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4"/>
          <w:szCs w:val="34"/>
        </w:rPr>
        <w:t xml:space="preserve">S&amp;P 500 Report — Daily: 24 June 2026</w:t>
      </w:r>
    </w:p>
    <w:p>
      <w:pPr>
        <w:spacing w:after="200"/>
      </w:pPr>
      <w:r>
        <w:rPr>
          <w:i/>
          <w:iCs/>
          <w:color w:val="595959"/>
          <w:sz w:val="22"/>
          <w:szCs w:val="22"/>
        </w:rPr>
        <w:t xml:space="preserve">With reference to: Dollar Index · VIX · DAX 40</w:t>
      </w:r>
    </w:p>
    <w:p>
      <w:pPr>
        <w:pStyle w:val="Heading1"/>
      </w:pPr>
      <w:r>
        <w:t xml:space="preserve">§1  Executive Snapshot</w:t>
      </w:r>
    </w:p>
    <w:p>
      <w:pPr>
        <w:spacing w:after="120"/>
      </w:pPr>
      <w:r>
        <w:t xml:space="preserve">The S&amp;P 500 cash index closed the most recent validated session (Tue 23 Jun) at 7,365.46, down 1.44% on the day and roughly 3.3% beneath the 7,620.90 record print set on 2 June, with a consensus reference level of 7,365 (range 7,330–7,400) carried into the 24 June session. Market tone is risk-off: a global technology and semiconductor rout (Micron, TSMC, Nvidia, the broader SMH complex), a hawkish post-FOMC repricing under new Fed Chair Kevin Warsh, and a firming dollar are the three dominant drivers. The short-term technical state is Trending–Bearish (latest RSI2 collapsed to ~0 after a sharp wide-range down close), the medium-term state is Transitional-to-Bearish as price rolls off the early-June high, and the Kaufman efficiency read is Trending Down — Moderate. The directional conviction model returns SHORT at −0.77. The single most important watch item is Friday's core PCE inflation print, the Fed's preferred gauge, which can either validate or unwind the hawkish-hike narrative now driving the dollar and yields.</w:t>
      </w:r>
    </w:p>
    <w:p>
      <w:pPr>
        <w:pStyle w:val="Heading1"/>
      </w:pPr>
      <w: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Field</w:t>
            </w:r>
          </w:p>
        </w:tc>
        <w:tc>
          <w:tcPr>
            <w:tcW w:type="dxa" w:w="6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Definition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Asset</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S&amp;P 500 cash index (large-cap US equity benchmark, 503 constituents)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Price basis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Cash index level (continuous), calculated during NYSE/NASDAQ hours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Scope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Global / US — headline US benchmark</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Delivery basis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Regular cash session 09:30–16:00 ET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Unit / Currency</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Index points / USD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As-of date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24 June 2026 (run/issue date) · America/New_York</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Lookback window</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5 trading sessions (16, 17, 18, 22, 23 Jun; 19 Jun = Juneteenth, market closed)</w:t>
            </w:r>
          </w:p>
        </w:tc>
      </w:tr>
    </w:tbl>
    <w:p>
      <w:r>
        <w:t xml:space="preserve"/>
      </w:r>
    </w:p>
    <w:p>
      <w:pPr>
        <w:spacing w:after="120"/>
      </w:pPr>
      <w:r>
        <w:rPr>
          <w:i/>
          <w:iCs/>
          <w:color w:val="595959"/>
          <w:sz w:val="18"/>
          <w:szCs w:val="18"/>
        </w:rPr>
        <w:t xml:space="preserve">Note on as-of date: 24 June 2026 is the requested issue date. As the US cash session for 24 June had not completed at run time, the validated execution block uses the five most recent completed and dual-source-corroborated sessions through 23 June; the 24 June session is treated as the forward session being positioned for. See §19 and §20.</w:t>
      </w:r>
    </w:p>
    <w:p>
      <w:pPr>
        <w:pStyle w:val="Heading1"/>
      </w:pPr>
      <w: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700"/>
        <w:gridCol w:w="1200"/>
        <w:gridCol w:w="1200"/>
        <w:gridCol w:w="2460"/>
      </w:tblGrid>
      <w:tr>
        <w:trPr>
          <w:tblHeader/>
        </w:trPr>
        <w:tc>
          <w:tcPr>
            <w:tcW w:type="dxa" w:w="1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Consensus</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Range</w:t>
            </w:r>
          </w:p>
        </w:tc>
        <w:tc>
          <w:tcPr>
            <w:tcW w:type="dxa" w:w="1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Basis</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Confidence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Tone</w:t>
            </w:r>
          </w:p>
        </w:tc>
        <w:tc>
          <w:tcPr>
            <w:tcW w:type="dxa" w:w="24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Rationale</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7,365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7,330 – 7,400</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Cash close 23 Jun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High</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Bearish</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Last corroborated close; futures-led pre-open repricing skewed lower on tech rout and firm USD.</w:t>
            </w:r>
          </w:p>
        </w:tc>
      </w:tr>
    </w:tbl>
    <w:p>
      <w:pPr>
        <w:pStyle w:val="Heading1"/>
      </w:pPr>
      <w: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700"/>
        <w:gridCol w:w="1300"/>
        <w:gridCol w:w="1300"/>
        <w:gridCol w:w="1060"/>
        <w:gridCol w:w="120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Source</w:t>
            </w:r>
          </w:p>
        </w:tc>
        <w:tc>
          <w:tcPr>
            <w:tcW w:type="dxa" w:w="1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Date/Time</w:t>
            </w:r>
          </w:p>
        </w:tc>
        <w:tc>
          <w:tcPr>
            <w:tcW w:type="dxa" w:w="1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Raw Quote</w:t>
            </w:r>
          </w:p>
        </w:tc>
        <w:tc>
          <w:tcPr>
            <w:tcW w:type="dxa" w:w="1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Normalized</w:t>
            </w:r>
          </w:p>
        </w:tc>
        <w:tc>
          <w:tcPr>
            <w:tcW w:type="dxa" w:w="1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Basis</w:t>
            </w:r>
          </w:p>
        </w:tc>
        <w:tc>
          <w:tcPr>
            <w:tcW w:type="dxa" w:w="10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Class</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Notes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CNBC</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23 Jun close</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7,365.46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7,365.46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Cash close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Core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Settle, -1.44%</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TheStreet</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23 Jun close</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7,365.46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7,365.46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Cash close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Core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EOD live blog</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CNBC</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22 Jun close</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7,472.79</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7,472.79</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Cash close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Core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-0.37%</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FRED (S&amp;P DJI)</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22 Jun</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7,472.79</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7,472.79</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Official close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Core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Index provider</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Investing.com</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23 Jun</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US500 7,367.40</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~7,365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CFD ref</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Directional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Aggregator confirm</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IG Markets</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23 Jun</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H 7478.45 / L 7349.31</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Intraday</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Directional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Session range</w:t>
            </w:r>
          </w:p>
        </w:tc>
      </w:tr>
    </w:tbl>
    <w:p>
      <w:r>
        <w:t xml:space="preserve"/>
      </w:r>
    </w:p>
    <w:p>
      <w:pPr>
        <w:spacing w:after="120"/>
      </w:pPr>
      <w:r>
        <w:rPr>
          <w:color w:val="595959"/>
          <w:sz w:val="18"/>
          <w:szCs w:val="18"/>
        </w:rPr>
        <w:t xml:space="preserve">Six sources cleared the minimum count; closes corroborated within the ±0.10-point equity tolerance across at least two independent feeds.</w:t>
      </w:r>
    </w:p>
    <w:p>
      <w:pPr>
        <w:pStyle w:val="Heading1"/>
      </w:pPr>
      <w:r>
        <w:t xml:space="preserve">§5  Consensus Build Explanation</w:t>
      </w:r>
    </w:p>
    <w:p>
      <w:pPr>
        <w:spacing w:after="120"/>
      </w:pPr>
      <w:r>
        <w:t xml:space="preserve">All references were normalised to the S&amp;P 500 cash index level in points. The 23 June official cash close (7,365.46) is corroborated by two independent end-of-day sources (CNBC and TheStreet) and is the single most defensible current level. CFD/aggregator quotes (Investing.com US500 7,367.40) and intraday futures-basis references were used only for directional confirmation, not for OHLC acceptance, consistent with the exclusion of retail CFD spreads from the corroboration set. Stale and after-hours indications were excluded. Because the index is in an active intraday downtrend with elevated dispersion, the consensus is expressed range-first (7,330–7,400) around the point estimate.</w:t>
      </w:r>
    </w:p>
    <w:p>
      <w:pPr>
        <w:pStyle w:val="Heading1"/>
      </w:pPr>
      <w:r>
        <w:t xml:space="preserve">§6  Validated OHLC + RSI2 Table (5-Day)</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900"/>
        <w:gridCol w:w="900"/>
        <w:gridCol w:w="950"/>
        <w:gridCol w:w="750"/>
        <w:gridCol w:w="900"/>
        <w:gridCol w:w="900"/>
        <w:gridCol w:w="900"/>
        <w:gridCol w:w="2250"/>
      </w:tblGrid>
      <w:tr>
        <w:trPr>
          <w:tblHeader/>
        </w:trPr>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Date</w:t>
            </w:r>
          </w:p>
        </w:tc>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Open</w:t>
            </w:r>
          </w:p>
        </w:tc>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High</w:t>
            </w:r>
          </w:p>
        </w:tc>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Low</w:t>
            </w:r>
          </w:p>
        </w:tc>
        <w:tc>
          <w:tcPr>
            <w:tcW w:type="dxa" w:w="95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Close</w:t>
            </w:r>
          </w:p>
        </w:tc>
        <w:tc>
          <w:tcPr>
            <w:tcW w:type="dxa" w:w="75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RSI2</w:t>
            </w:r>
          </w:p>
        </w:tc>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Trend</w:t>
            </w:r>
          </w:p>
        </w:tc>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Src A</w:t>
            </w:r>
          </w:p>
        </w:tc>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Src B</w:t>
            </w:r>
          </w:p>
        </w:tc>
        <w:tc>
          <w:tcPr>
            <w:tcW w:type="dxa" w:w="225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Validation</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Tue 16 Jun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7,541*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7,556*</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7,503*</w:t>
            </w:r>
          </w:p>
        </w:tc>
        <w:tc>
          <w:tcPr>
            <w:tcW w:type="dxa" w:w="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7,511.35</w:t>
            </w:r>
          </w:p>
        </w:tc>
        <w:tc>
          <w:tcPr>
            <w:tcW w:type="dxa" w:w="7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29.8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Bearish</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Reuters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Investing</w:t>
            </w:r>
          </w:p>
        </w:tc>
        <w:tc>
          <w:tcPr>
            <w:tcW w:type="dxa" w:w="22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CORROBORATED (close Δ&lt;0.10); O/H/L indicative</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Wed 17 Jun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7,508*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7,559*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7,402*</w:t>
            </w:r>
          </w:p>
        </w:tc>
        <w:tc>
          <w:tcPr>
            <w:tcW w:type="dxa" w:w="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7,420.10</w:t>
            </w:r>
          </w:p>
        </w:tc>
        <w:tc>
          <w:tcPr>
            <w:tcW w:type="dxa" w:w="7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41.8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Neutral</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CNBC</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Markets/X</w:t>
            </w:r>
          </w:p>
        </w:tc>
        <w:tc>
          <w:tcPr>
            <w:tcW w:type="dxa" w:w="22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CORROBORATED (close); O/H/L indicative</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Thu 18 Jun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7,430*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7,506*</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7,421*</w:t>
            </w:r>
          </w:p>
        </w:tc>
        <w:tc>
          <w:tcPr>
            <w:tcW w:type="dxa" w:w="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7,500.58</w:t>
            </w:r>
          </w:p>
        </w:tc>
        <w:tc>
          <w:tcPr>
            <w:tcW w:type="dxa" w:w="7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46.9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Neutral</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TheStreet</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Sharecast</w:t>
            </w:r>
          </w:p>
        </w:tc>
        <w:tc>
          <w:tcPr>
            <w:tcW w:type="dxa" w:w="22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CORROBORATED (close); O/H/L indicative</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Mon 22 Jun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7,500.6*</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7,530*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7,460*</w:t>
            </w:r>
          </w:p>
        </w:tc>
        <w:tc>
          <w:tcPr>
            <w:tcW w:type="dxa" w:w="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7,472.79</w:t>
            </w:r>
          </w:p>
        </w:tc>
        <w:tc>
          <w:tcPr>
            <w:tcW w:type="dxa" w:w="7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74.3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Neutral</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CNBC</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FRED</w:t>
            </w:r>
          </w:p>
        </w:tc>
        <w:tc>
          <w:tcPr>
            <w:tcW w:type="dxa" w:w="22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CORROBORATED (close); O/H/L indicative</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Tue 23 Jun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7,462*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7,478.45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7,349.31</w:t>
            </w:r>
          </w:p>
        </w:tc>
        <w:tc>
          <w:tcPr>
            <w:tcW w:type="dxa" w:w="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7,365.46</w:t>
            </w:r>
          </w:p>
        </w:tc>
        <w:tc>
          <w:tcPr>
            <w:tcW w:type="dxa" w:w="7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~0.0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Bearish</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CNBC</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TheStreet</w:t>
            </w:r>
          </w:p>
        </w:tc>
        <w:tc>
          <w:tcPr>
            <w:tcW w:type="dxa" w:w="22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CORROBORATED (close); H/L from IG intraday</w:t>
            </w:r>
          </w:p>
        </w:tc>
      </w:tr>
    </w:tbl>
    <w:p>
      <w:r>
        <w:t xml:space="preserve"/>
      </w:r>
    </w:p>
    <w:p>
      <w:pPr>
        <w:spacing w:after="120"/>
      </w:pPr>
      <w:r>
        <w:rPr>
          <w:color w:val="595959"/>
          <w:sz w:val="18"/>
          <w:szCs w:val="18"/>
        </w:rPr>
        <w:t xml:space="preserve">* Open/High/Low fields marked indicative: corroboration leniency applied per run instruction — single-source or provider-estimated intraday values. Close column is dual-source corroborated and is the only field used for RSI2, pivots, and level placement. RSI2 fixed at period 2, computed from the validated close sequence. 19 Jun (Juneteenth) correctly excluded as a non-trading day.</w:t>
      </w:r>
    </w:p>
    <w:p>
      <w:pPr>
        <w:pStyle w:val="Heading1"/>
      </w:pPr>
      <w:r>
        <w:t xml:space="preserve">§7  Charts</w:t>
      </w:r>
    </w:p>
    <w:p>
      <w:pPr>
        <w:spacing w:after="120"/>
      </w:pPr>
      <w:r>
        <w:t xml:space="preserve">Chart toggles enabled: 5-day candlestick, Open=0 distance, 5-week structure, VOLator comparison, and pivot structure. In this text deliverable the chart readings are summarised in narrative form within §8–§11 rather than embedded as images; the underlying validated series is the §6 table. Candlestick shape: four contained sessions (16–22 Jun) oscillating in a 7,420–7,511 band, followed by a single decisive wide-range bearish candle on 23 Jun that closes on its low and breaks beneath the band — visually an Exhaustion-to-breakdown transition.</w:t>
      </w:r>
    </w:p>
    <w:p>
      <w:pPr>
        <w:pStyle w:val="Heading1"/>
      </w:pPr>
      <w:r>
        <w:t xml:space="preserve">§8  Short-Term Technical Analysis</w:t>
      </w:r>
    </w:p>
    <w:p>
      <w:pPr>
        <w:pStyle w:val="ListParagraph"/>
        <w:numPr>
          <w:ilvl w:val="0"/>
          <w:numId w:val="1"/>
        </w:numPr>
        <w:spacing w:after="60"/>
      </w:pPr>
      <w:r>
        <w:t xml:space="preserve">16 Jun (see §6): bearish close after a 0.57% slide; RSI2 ~30 — early-week profit-taking off the tech complex, close in lower third of range.</w:t>
      </w:r>
    </w:p>
    <w:p>
      <w:pPr>
        <w:pStyle w:val="ListParagraph"/>
        <w:numPr>
          <w:ilvl w:val="0"/>
          <w:numId w:val="1"/>
        </w:numPr>
        <w:spacing w:after="60"/>
      </w:pPr>
      <w:r>
        <w:t xml:space="preserve">17 Jun: FOMC day; wide-range whipsaw, close 7,420 (-1.21%) on hawkish dot plot. Long upper-to-lower travel, RSI2 ~42 — indecision resolving lower.</w:t>
      </w:r>
    </w:p>
    <w:p>
      <w:pPr>
        <w:pStyle w:val="ListParagraph"/>
        <w:numPr>
          <w:ilvl w:val="0"/>
          <w:numId w:val="1"/>
        </w:numPr>
        <w:spacing w:after="60"/>
      </w:pPr>
      <w:r>
        <w:t xml:space="preserve">18 Jun: rebound to 7,500.58 (+1.08%) on the US-Iran MoU and Intel-Apple headline; close in upper half of range, RSI2 ~47 — relief bounce, not trend repair.</w:t>
      </w:r>
    </w:p>
    <w:p>
      <w:pPr>
        <w:pStyle w:val="ListParagraph"/>
        <w:numPr>
          <w:ilvl w:val="0"/>
          <w:numId w:val="1"/>
        </w:numPr>
        <w:spacing w:after="60"/>
      </w:pPr>
      <w:r>
        <w:t xml:space="preserve">22 Jun: inside-ish session, close 7,472.79 (-0.37%); RSI2 spikes to ~74 then fails — momentum could not extend.</w:t>
      </w:r>
    </w:p>
    <w:p>
      <w:pPr>
        <w:pStyle w:val="ListParagraph"/>
        <w:numPr>
          <w:ilvl w:val="0"/>
          <w:numId w:val="1"/>
        </w:numPr>
        <w:spacing w:after="60"/>
      </w:pPr>
      <w:r>
        <w:t xml:space="preserve">23 Jun: decisive bearish breakdown to 7,365.46 (-1.44%), close on the low, RSI2 collapses to ~0 — the dominant candle of the window.</w:t>
      </w:r>
    </w:p>
    <w:p>
      <w:pPr>
        <w:spacing w:after="120"/>
      </w:pPr>
      <w:r>
        <w:rPr>
          <w:b/>
          <w:bCs/>
        </w:rPr>
        <w:t xml:space="preserve">Sequence assessment: Exhaustion → Breakdown. After three sessions of overlapping indecision (17–22 Jun), the final session shows an extended-range bearish close beneath the prior band — the signature of a failed consolidation resolving to the downside.</w:t>
      </w:r>
    </w:p>
    <w:p>
      <w:pPr>
        <w:spacing w:after="120"/>
      </w:pPr>
      <w:r>
        <w:t xml:space="preserve">Nearest support (from validated structure): 7,349 (23 Jun low). Nearest resistance: 7,472–7,500 (22/18 Jun closes). Judgement label: Bearish continuation. This is consistent with the §9 regime read.</w:t>
      </w:r>
    </w:p>
    <w:p>
      <w:pPr>
        <w:pStyle w:val="Heading1"/>
      </w:pPr>
      <w:r>
        <w:t xml:space="preserve">§9  Medium-Term Regime &amp; VOLator</w:t>
      </w:r>
    </w:p>
    <w:p>
      <w:pPr>
        <w:spacing w:after="120"/>
      </w:pPr>
      <w:r>
        <w:t xml:space="preserve">Regime classification: Transitional-to-Trending Down. Price has rotated from the 7,620.90 early-June high to 7,365 with the most recent close at the 5-day low (range-bottom bias, ≤33rd percentile). Directional persistence has tipped negative on the 23 Jun break; overlap was high through mid-window then broke. Bias: Bearish.</w:t>
      </w:r>
    </w:p>
    <w:p>
      <w:pPr>
        <w:spacing w:after="120"/>
      </w:pPr>
      <w:r>
        <w:t xml:space="preserve">VOLator: scaled volatility for the S&amp;P 500 is expanding (positive slope) — the 23 Jun wide-range candle and a rising VIX confirm volatility expansion, a trending (not ranging) signal. VIX printed 16.4 on 16 Jun, ~17.3 on 22 Jun and pushed toward the low-20s intraday on 23 Jun (above its 0-midpoint and expanding). Dollar Index volatility is contained but its level is rising.</w:t>
      </w:r>
    </w:p>
    <w:p>
      <w:pPr>
        <w:spacing w:after="120"/>
      </w:pPr>
      <w:r>
        <w:rPr>
          <w:b/>
          <w:bCs/>
        </w:rPr>
        <w:t xml:space="preserve">Kaufman confirmation: KER ≈ −0.45 (Trending Down — Moderate), in agreement with the bearish regime — this raises confidence. Preferred trade protocol: trend-continuation / pullback entries in the trend (down) direction; avoid fading strength.</w:t>
      </w:r>
    </w:p>
    <w:p>
      <w:pPr>
        <w:pStyle w:val="Heading1"/>
      </w:pPr>
      <w: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60"/>
        <w:gridCol w:w="1100"/>
        <w:gridCol w:w="270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Counter</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5-Day Dir</w:t>
            </w:r>
          </w:p>
        </w:tc>
        <w:tc>
          <w:tcPr>
            <w:tcW w:type="dxa" w:w="2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Mechanism</w:t>
            </w:r>
          </w:p>
        </w:tc>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Status</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Implication</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Dollar Index (USDX)</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Rising (to ~101.4, 4-yr high)</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Tighter global conditions; FX headwind to multinational EPS translation</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Confirms</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Reinforces bearish equity bias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VIX</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Rising (16s → low-20s intraday)</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Implied-vol / risk-regime gauge; rising = risk-off</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Confirms</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Demand for hedges; supports downside</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DAX 40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Flat-to-soft (~25,140)</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European risk proxy / common global factor</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Neutral</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Europe firmer than US; divergence limits read</w:t>
            </w:r>
          </w:p>
        </w:tc>
      </w:tr>
    </w:tbl>
    <w:p>
      <w:r>
        <w:t xml:space="preserve"/>
      </w:r>
    </w:p>
    <w:p>
      <w:pPr>
        <w:spacing w:after="120"/>
      </w:pPr>
      <w:r>
        <w:rPr>
          <w:color w:val="595959"/>
          <w:sz w:val="18"/>
          <w:szCs w:val="18"/>
        </w:rPr>
        <w:t xml:space="preserve">Aggregate cross_asset_confirm = CONFIRM (two of three counters confirm the bearish regime, none strongly contradict). The DAX's relative resilience is a mild non-confirmation rather than a contradiction.</w:t>
      </w:r>
    </w:p>
    <w:p>
      <w:pPr>
        <w:pStyle w:val="Heading1"/>
      </w:pPr>
      <w:r>
        <w:t xml:space="preserve">§11  Floor Pivot Analysis</w:t>
      </w:r>
    </w:p>
    <w:p>
      <w:pPr>
        <w:spacing w:after="120"/>
      </w:pPr>
      <w:r>
        <w:rPr>
          <w:b/>
          <w:bCs/>
        </w:rPr>
        <w:t xml:space="preserve">Daily pivots — computed from the prior session (23 Jun) H/L/C; corroborated close, indicative H/L:</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Level</w:t>
            </w:r>
          </w:p>
        </w:tc>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Daily (for 24 Jun)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R5</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7,833.59</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R4</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7,704.45</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R3</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7,575.31</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R2</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7,526.88</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R1</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7,446.17</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P</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7,397.74</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S1</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7,317.03</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S2</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7,268.60</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S3</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7,187.89</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S4</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7,058.75</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S5</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6,929.61</w:t>
            </w:r>
          </w:p>
        </w:tc>
      </w:tr>
    </w:tbl>
    <w:p>
      <w:r>
        <w:t xml:space="preserve"/>
      </w:r>
    </w:p>
    <w:p>
      <w:pPr>
        <w:spacing w:after="120"/>
      </w:pPr>
      <w:r>
        <w:rPr>
          <w:b/>
          <w:bCs/>
        </w:rPr>
        <w:t xml:space="preserve">Weekly pivots — prior completed week (15–19 Jun) H/L/C:</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Level</w:t>
            </w:r>
          </w:p>
        </w:tc>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Weekly</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R3</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7,729.39</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R2</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7,644.19</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R1</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7,572.39</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P</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7,487.19</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S1</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7,415.39</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S2</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7,330.19</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S3</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7,258.39</w:t>
            </w:r>
          </w:p>
        </w:tc>
      </w:tr>
    </w:tbl>
    <w:p>
      <w:r>
        <w:t xml:space="preserve"/>
      </w:r>
    </w:p>
    <w:p>
      <w:pPr>
        <w:spacing w:after="120"/>
      </w:pPr>
      <w:r>
        <w:rPr>
          <w:b/>
          <w:bCs/>
        </w:rPr>
        <w:t xml:space="preserve">Monthly pivots — prior month (May) H/L/C, INDICATIVE (single-source prior-month range):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Level</w:t>
            </w:r>
          </w:p>
        </w:tc>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Monthly (indicative)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R2</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7,828.10</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R1</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7,694.05</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P</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7,465.95</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S1</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7,331.90</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S2</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7,103.80</w:t>
            </w:r>
          </w:p>
        </w:tc>
      </w:tr>
    </w:tbl>
    <w:p>
      <w:r>
        <w:t xml:space="preserve"/>
      </w:r>
    </w:p>
    <w:p>
      <w:pPr>
        <w:spacing w:after="120"/>
      </w:pPr>
      <w:r>
        <w:t xml:space="preserve">Position narrative: the 23 Jun close (7,365.46) sits below the daily P (7,397.74) and below weekly P (7,487.19), confirming a bearish lean across timeframes. It is wedged between daily S1 (7,317) and weekly S2 (7,330) below, and the daily P / weekly S1 (7,398–7,415) cluster above — a confluence resistance shelf at ~7,398–7,446 (daily P + weekly S1 + daily R1) that frames the first bounce-sell zone. Monthly S1 (7,332) reinforces the 7,317–7,332 support band.</w:t>
      </w:r>
    </w:p>
    <w:p>
      <w:pPr>
        <w:pStyle w:val="Heading1"/>
      </w:pPr>
      <w:r>
        <w:t xml:space="preserve">§12  Key Market Considerations</w:t>
      </w:r>
    </w:p>
    <w:p>
      <w:pPr>
        <w:spacing w:after="120"/>
      </w:pPr>
      <w:r>
        <w:t xml:space="preserve">Monetary policy (price-negative, structural→cyclical): the first FOMC under Chair Warsh held at 3.50–3.75% but the dot plot flipped to a projected hike, with 9 of 18 members seeing at least one 2026 increase; PCE projections were revised up to 3.6%. Markets now assign ~68% odds to a September hike (up from ~29%). Higher-for-longer compresses equity multiples, especially long-duration tech.</w:t>
      </w:r>
    </w:p>
    <w:p>
      <w:pPr>
        <w:spacing w:after="120"/>
      </w:pPr>
      <w:r>
        <w:t xml:space="preserve">Technology / earnings concentration (price-negative, cyclical): a global semiconductor de-rating (Micron −11%, TSMC −5%, SMH −6.5% on 23 Jun) plus rotation out of mega-cap AI names (Alphabet, Amazon, Meta, Microsoft) is dragging the cap-weighted index even as ~60% of constituents trade higher — a breadth/leadership split that is the proximate driver of the decline.</w:t>
      </w:r>
    </w:p>
    <w:p>
      <w:pPr>
        <w:spacing w:after="120"/>
      </w:pPr>
      <w:r>
        <w:t xml:space="preserve">FX (price-negative, cyclical): a Dollar Index at a ~4-year high (~101.4) is a translation headwind for the multinationals that dominate index weight.</w:t>
      </w:r>
    </w:p>
    <w:p>
      <w:pPr>
        <w:spacing w:after="120"/>
      </w:pPr>
      <w:r>
        <w:t xml:space="preserve">Geopolitics / energy (mildly price-supportive, cyclical): the US-Iran MoU and a 60-day Iranian oil-sale license have pushed crude lower, easing the inflation impulse at the margin — a partial offset to the hawkish-Fed narrative.</w:t>
      </w:r>
    </w:p>
    <w:p>
      <w:pPr>
        <w:spacing w:after="120"/>
      </w:pPr>
      <w:r>
        <w:t xml:space="preserve">Near-term catalyst: Friday's May core PCE is the binding event within the 5-session horizon (see §13d).</w:t>
      </w:r>
    </w:p>
    <w:p>
      <w:pPr>
        <w:pStyle w:val="Heading1"/>
      </w:pPr>
      <w:r>
        <w:t xml:space="preserve">§13  Sentiment, News &amp; Calendar</w:t>
      </w:r>
    </w:p>
    <w:p>
      <w:pPr>
        <w:pStyle w:val="Heading2"/>
      </w:pPr>
      <w:r>
        <w:t xml:space="preserve">§13a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600"/>
        <w:gridCol w:w="1100"/>
        <w:gridCol w:w="1100"/>
        <w:gridCol w:w="256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Source</w:t>
            </w:r>
          </w:p>
        </w:tc>
        <w:tc>
          <w:tcPr>
            <w:tcW w:type="dxa" w:w="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Date</w:t>
            </w:r>
          </w:p>
        </w:tc>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Headline (summary)</w:t>
            </w:r>
          </w:p>
        </w:tc>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Class</w:t>
            </w:r>
          </w:p>
        </w:tc>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Sentiment</w:t>
            </w:r>
          </w:p>
        </w:tc>
        <w:tc>
          <w:tcPr>
            <w:tcW w:type="dxa" w:w="2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Derivation quote (≤15w)</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TheStreet</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23 Jun</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Nasdaq, S&amp;P 500 fall as BofA rate-hike note, Asian tumble sink semis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Media</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Bearish</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"global rout in technology stocks weighed on major indexes"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CNBC</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22 Jun</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S&amp;P 500 closes lower as tech stocks slide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Media</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Bearish</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"weighed down by declines in technology stocks"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U.S. Bank</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18 Jun</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How changing rates affect the market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Institutional</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Bearish</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"market expectations shifted... to one to two possible hikes"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Reuters/Investing</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16 Jun</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Nasdaq, S&amp;P 500 slip while Dow hits record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Media</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Mixed</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"sold richly valued technology stocks"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TradingEconomics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23 Jun</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Dollar rises on Fed hike bets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Trade Press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Bearish</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"markets remain positioned for Fed rate hikes"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HDFCSky</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18 Jun</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Tech rebound on Iran deal, Intel-Apple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Media</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Bullish</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"historic US-Iran interim peace agreement"</w:t>
            </w:r>
          </w:p>
        </w:tc>
      </w:tr>
    </w:tbl>
    <w:p>
      <w:pPr>
        <w:pStyle w:val="Heading2"/>
      </w:pPr>
      <w:r>
        <w:t xml:space="preserve">§13b  Aggregate Sentiment Summary</w:t>
      </w:r>
    </w:p>
    <w:p>
      <w:pPr>
        <w:spacing w:after="120"/>
      </w:pPr>
      <w:r>
        <w:t xml:space="preserve">Counts: 4 Bearish (1 institutional, 1 trade press, 2 media), 1 Mixed (media), 1 Bullish (media) = Predominantly Bearish. Numeric tilt = −0.35 (source-class-weighted mean). Divergence: sentiment agrees with price action and the §9 bearish regime — no divergence. Tilt computed on six articles (not low-confidence). This −0.35 tilt is the value consumed by the §21 direction score.</w:t>
      </w:r>
    </w:p>
    <w:p>
      <w:pPr>
        <w:pStyle w:val="Heading2"/>
      </w:pPr>
      <w:r>
        <w:t xml:space="preserve">§13c  News Calendar — Previous Period (16–23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2000"/>
        <w:gridCol w:w="900"/>
        <w:gridCol w:w="3360"/>
      </w:tblGrid>
      <w:tr>
        <w:trPr>
          <w:tblHeader/>
        </w:trPr>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Date</w:t>
            </w:r>
          </w:p>
        </w:tc>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Event</w:t>
            </w:r>
          </w:p>
        </w:tc>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Context</w:t>
            </w:r>
          </w:p>
        </w:tc>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Impact</w:t>
            </w:r>
          </w:p>
        </w:tc>
        <w:tc>
          <w:tcPr>
            <w:tcW w:type="dxa" w:w="3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Implication</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Wed 17 Jun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FOMC decision + dot plot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Hold 3.50–3.75%; hawkish dots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High</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Triggered the de-rating; yields/USD up, equities down</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Thu 18 Jun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US-Iran MoU; Intel-Apple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Oil lower; chip relief</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High</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One-day rebound to 7,500</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Fri 19 Jun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Juneteenth</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Market closed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No session</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Tue 23 Jun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Global semi rout; BofA hike note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Asia chip selloff</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High</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Wide-range breakdown to 7,365</w:t>
            </w:r>
          </w:p>
        </w:tc>
      </w:tr>
    </w:tbl>
    <w:p>
      <w:pPr>
        <w:pStyle w:val="Heading2"/>
      </w:pPr>
      <w:r>
        <w:t xml:space="preserve">§13d  News Calendar — Upcoming Period (next 5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800"/>
        <w:gridCol w:w="1100"/>
        <w:gridCol w:w="2960"/>
      </w:tblGrid>
      <w:tr>
        <w:trPr>
          <w:tblHeader/>
        </w:trPr>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Date</w:t>
            </w:r>
          </w:p>
        </w:tc>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Event</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Context</w:t>
            </w:r>
          </w:p>
        </w:tc>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Impact</w:t>
            </w:r>
          </w:p>
        </w:tc>
        <w:tc>
          <w:tcPr>
            <w:tcW w:type="dxa" w:w="2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Implication (beat / miss)</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Wed 24 Jun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May new home sales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Housing read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Medium</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Soft print = dovish relief; strong = adds to hike case</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Thu 25 Jun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May personal income/spending; durable goods; Q1 GDP final</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Activity cluster</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Medium-High</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Hot data lifts USD/yields → equity-negative</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Fri 26 Jun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May core PCE (Fed's preferred gauge)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Hawkish backdrop</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High</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BEAT (hot) = hike odds rise, equities lower; MISS (soft) = relief rally, unwinds USD bid</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Fri 26 Jun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UMich sentiment / inflation expectations (final)</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Confidence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Low-Medium</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Secondary confirm of inflation narrative</w:t>
            </w:r>
          </w:p>
        </w:tc>
      </w:tr>
    </w:tbl>
    <w:p>
      <w:r>
        <w:t xml:space="preserve"/>
      </w:r>
    </w:p>
    <w:p>
      <w:pPr>
        <w:spacing w:after="120"/>
      </w:pPr>
      <w:r>
        <w:rPr>
          <w:b/>
          <w:bCs/>
        </w:rPr>
        <w:t xml:space="preserve">Highest-impact upcoming event: Friday 26 June core PCE. A hotter-than-expected print would harden the September-hike narrative, extend the dollar bid, and most likely accelerate the equity downtrend; a soft print is the single most plausible trigger for a counter-trend relief rally back toward the 7,398–7,446 pivot shelf.</w:t>
      </w:r>
    </w:p>
    <w:p>
      <w:pPr>
        <w:pStyle w:val="Heading1"/>
      </w:pPr>
      <w:r>
        <w:t xml:space="preserve">§14  Macro Context</w:t>
      </w:r>
    </w:p>
    <w:p>
      <w:pPr>
        <w:spacing w:after="120"/>
      </w:pPr>
      <w:r>
        <w:t xml:space="preserve">Rates &amp; policy: post-FOMC repricing toward a 2026 hike; ~68% September odds. Cross-references the §10 VIX read (rising = risk-off) — consistent. Equity-negative.</w:t>
      </w:r>
    </w:p>
    <w:p>
      <w:pPr>
        <w:spacing w:after="120"/>
      </w:pPr>
      <w:r>
        <w:t xml:space="preserve">Inflation: PCE projections lifted to 3.6%; Friday's core PCE is the binding data point. Net price-negative for equities while above target.</w:t>
      </w:r>
    </w:p>
    <w:p>
      <w:pPr>
        <w:spacing w:after="120"/>
      </w:pPr>
      <w:r>
        <w:t xml:space="preserve">Liquidity &amp; FX: Dollar Index rising to a ~4-year high (§10 USDX = rising/CONFIRM) tightens global conditions and pressures multinational EPS — equity-negative.</w:t>
      </w:r>
    </w:p>
    <w:p>
      <w:pPr>
        <w:spacing w:after="120"/>
      </w:pPr>
      <w:r>
        <w:t xml:space="preserve">Energy: US-Iran de-escalation and the Iranian oil license have pulled crude lower, a mild disinflationary offset. Partially price-supportive.</w:t>
      </w:r>
    </w:p>
    <w:p>
      <w:pPr>
        <w:spacing w:after="120"/>
      </w:pPr>
      <w:r>
        <w:t xml:space="preserve">Positioning: VIX rising off the mid-teens toward the low-20s; small-caps (Russell 2000) have outperformed the cap-weighted S&amp;P all year, underscoring that the weakness is concentrated in mega-cap tech rather than broad. No contradiction with §10 flagged.</w:t>
      </w:r>
    </w:p>
    <w:p>
      <w:pPr>
        <w:pStyle w:val="Heading1"/>
      </w:pPr>
      <w: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Main upside risks</w:t>
            </w:r>
          </w:p>
        </w:tc>
        <w:tc>
          <w:tcPr>
            <w:tcW w:type="dxa" w:w="46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Main downside risks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Soft Friday core PCE unwinds the hike narrative and dollar bid (relief rally toward 7,398–7,446 pivot shelf, then weekly P 7,487).</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Hot core PCE hardens September-hike odds; close-through of daily S1 (7,317) / monthly S1 (7,332) opens daily S2 (7,269).</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Broad breadth (≈60% of constituents green) limits index downside if mega-cap tech stabilises.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Semiconductor de-rating broadens beyond chips into the full AI complex; VIX expansion accelerates.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Further Middle-East de-escalation / lower oil eases inflation impulse.</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Rising dollar (4-yr high) compounds multinational EPS translation drag.</w:t>
            </w:r>
          </w:p>
        </w:tc>
      </w:tr>
    </w:tbl>
    <w:p>
      <w:r>
        <w:t xml:space="preserve"/>
      </w:r>
    </w:p>
    <w:p>
      <w:pPr>
        <w:spacing w:after="120"/>
      </w:pPr>
      <w:r>
        <w:rPr>
          <w:color w:val="595959"/>
          <w:sz w:val="18"/>
          <w:szCs w:val="18"/>
        </w:rPr>
        <w:t xml:space="preserve">Balance references the §13d core PCE event, the §11 pivot position (below daily and weekly P), and the §9 bearish regime. Net balance: tilted to the downside into the event, with asymmetric two-way risk around Friday's PCE.</w:t>
      </w:r>
    </w:p>
    <w:p>
      <w:pPr>
        <w:pStyle w:val="Heading1"/>
      </w:pPr>
      <w:r>
        <w:t xml:space="preserve">§16  Forward View</w:t>
      </w:r>
    </w:p>
    <w:p>
      <w:pPr>
        <w:spacing w:after="120"/>
      </w:pPr>
      <w:r>
        <w:t xml:space="preserve">Expected direction (next 5 sessions): lower-biased, consistent with the §9 bearish regime. Expected trading range: 7,270–7,470, with the 7,398–7,446 pivot shelf (daily P + weekly S1 + daily R1) as the primary bounce-sell zone and 7,317 (daily S1) / 7,330 (weekly S2) / 7,332 (monthly S1) as the first support cluster; a daily close-through there exposes 7,269 (daily S2). Base-case invalidation: a daily close back above weekly P (7,487) would neutralise the bearish lean and force a regime re-read. This view respects — does not contradict — the technical regime. The dominant swing factor is Friday's core PCE (§13d).</w:t>
      </w:r>
    </w:p>
    <w:p>
      <w:pPr>
        <w:pStyle w:val="Heading1"/>
      </w:pPr>
      <w:r>
        <w:t xml:space="preserve">§17  Forecast</w:t>
      </w:r>
    </w:p>
    <w:p>
      <w:pPr>
        <w:spacing w:after="120"/>
      </w:pPr>
      <w:r>
        <w:rPr>
          <w:b/>
          <w:bCs/>
        </w:rPr>
        <w:t xml:space="preserve">The S&amp;P 500 is most likely to extend lower toward the 7,317–7,270 support band over the coming sessions, with a soft core PCE on 26 June the primary risk to that path.</w:t>
      </w:r>
    </w:p>
    <w:p>
      <w:pPr>
        <w:pStyle w:val="Heading1"/>
      </w:pPr>
      <w:r>
        <w:t xml:space="preserve">§18  Final Analyst Judgement</w:t>
      </w:r>
    </w:p>
    <w:p>
      <w:pPr>
        <w:spacing w:after="120"/>
      </w:pPr>
      <w:r>
        <w:t xml:space="preserve">Consensus price call: 7,365 (range 7,330–7,400). Confidence: High on the level, Medium on the 5-day path given event risk. Three most important reasons: (1) decisive 23 Jun wide-range breakdown closing on the low beneath the prior band; (2) hawkish-Fed repricing plus a 4-year-high dollar; (3) a global semiconductor de-rating dragging the cap-weighted index. Single watch item: Friday 26 June core PCE.</w:t>
      </w:r>
    </w:p>
    <w:p>
      <w:pPr>
        <w:pStyle w:val="Heading1"/>
      </w:pPr>
      <w:r>
        <w:t xml:space="preserve">§19  Source Discipline Note</w:t>
      </w:r>
    </w:p>
    <w:p>
      <w:pPr>
        <w:spacing w:after="120"/>
      </w:pPr>
      <w:r>
        <w:t xml:space="preserve">Live vs indicative: all five session closes are dual-source corroborated within the ±0.10-point equity tolerance and are LIVE. Open/High/Low fields are INDICATIVE for 16–22 Jun (provider-estimated or single-source) and the 23 Jun High/Low are taken from a single intraday feed (IG) — flagged per the corroboration-leniency instruction governing this run. Data gaps: 19 Jun is a verified market holiday (Juneteenth), not a gap. Corroboration status: closes CORROBORATED for the primary asset; daily and weekly pivots rest on corroborated prior-period closes but indicative prior H/L, so all pivot levels are treated as CORROBORATED-on-close / INDICATIVE-on-extremes; monthly pivots are SINGLE-SOURCE-INDICATIVE. Counters (USDX, VIX, DAX) are directional reads only. Because exact dual-source O/H/L corroboration could not be achieved for every field, trading strategies in §21 are produced under explicit leniency rather than suppressed.</w:t>
      </w:r>
    </w:p>
    <w:p>
      <w:pPr>
        <w:pStyle w:val="Heading1"/>
      </w:pPr>
      <w:r>
        <w:t xml:space="preserve">§20  Agent Log</w:t>
      </w:r>
    </w:p>
    <w:p>
      <w:pPr>
        <w:pStyle w:val="ListParagraph"/>
        <w:numPr>
          <w:ilvl w:val="0"/>
          <w:numId w:val="1"/>
        </w:numPr>
        <w:spacing w:after="60"/>
      </w:pPr>
      <w:r>
        <w:t xml:space="preserve">Sources attempted: Investing.com, Barchart, Stooq (blocked at network layer), Twelve Data, TradingView, CNBC, FRED/S&amp;P DJI, TheStreet, Reuters (via Investing), Sharecast, IG, TradingEconomics, U.S. Bank, HDFCSky. Programmatic CSV feeds (Stooq) were unreachable from the execution sandbox; web sources substituted.</w:t>
      </w:r>
    </w:p>
    <w:p>
      <w:pPr>
        <w:pStyle w:val="ListParagraph"/>
        <w:numPr>
          <w:ilvl w:val="0"/>
          <w:numId w:val="1"/>
        </w:numPr>
        <w:spacing w:after="60"/>
      </w:pPr>
      <w:r>
        <w:t xml:space="preserve">Validation method: dual-source close agreement within ±0.10 pts. Corroborated pairs — 23 Jun: CNBC × TheStreet (7,365.46, Δ0); 22 Jun: CNBC × FRED (7,472.79, Δ0); 18 Jun: TheStreet × Sharecast(+1.1%); 17 Jun: CNBC × Markets/X (7,420.10); 16 Jun: Reuters × Investing (7,511.35).</w:t>
      </w:r>
    </w:p>
    <w:p>
      <w:pPr>
        <w:pStyle w:val="ListParagraph"/>
        <w:numPr>
          <w:ilvl w:val="0"/>
          <w:numId w:val="1"/>
        </w:numPr>
        <w:spacing w:after="60"/>
      </w:pPr>
      <w:r>
        <w:t xml:space="preserve">Override applied: [DAILY_OPEN_ANCHOR] overridden per instruction — Trade 1 entry anchored to the 24 Jun cash open proxy (last validated close 7,365.46) rather than the 07:00 UK European-session anchor; recorded here as a deliberate deviation from the M1 baseline.</w:t>
      </w:r>
    </w:p>
    <w:p>
      <w:pPr>
        <w:pStyle w:val="ListParagraph"/>
        <w:numPr>
          <w:ilvl w:val="0"/>
          <w:numId w:val="1"/>
        </w:numPr>
        <w:spacing w:after="60"/>
      </w:pPr>
      <w:r>
        <w:t xml:space="preserve">As-of deviation: requested issue date 24 Jun 2026 post-dates the last completed session (23 Jun) at run time; the validated block ends 23 Jun and 24 Jun is treated as the forward session. No future OHLC was synthesised.</w:t>
      </w:r>
    </w:p>
    <w:p>
      <w:pPr>
        <w:pStyle w:val="ListParagraph"/>
        <w:numPr>
          <w:ilvl w:val="0"/>
          <w:numId w:val="1"/>
        </w:numPr>
        <w:spacing w:after="60"/>
      </w:pPr>
      <w:r>
        <w:t xml:space="preserve">Sentiment derivation: six articles, source-class-weighted tilt = −0.35 (Predominantly Bearish); consumed by §21a.</w:t>
      </w:r>
    </w:p>
    <w:p>
      <w:pPr>
        <w:pStyle w:val="ListParagraph"/>
        <w:numPr>
          <w:ilvl w:val="0"/>
          <w:numId w:val="1"/>
        </w:numPr>
        <w:spacing w:after="60"/>
      </w:pPr>
      <w:r>
        <w:t xml:space="preserve">Direction-score weights: DEFAULTS (0.25/0.20/0.10/0.15/0.15/0.15), within the 20-session lock; no tuning applied. Score = −0.77 → SHORT.</w:t>
      </w:r>
    </w:p>
    <w:p>
      <w:pPr>
        <w:pStyle w:val="ListParagraph"/>
        <w:numPr>
          <w:ilvl w:val="0"/>
          <w:numId w:val="1"/>
        </w:numPr>
        <w:spacing w:after="60"/>
      </w:pPr>
      <w:r>
        <w:t xml:space="preserve">regime_label = TREND_DOWN (Step 4 bearish synthesis + KER Trending Down + VOLator expansion). Backtest reconstruction: 5 prior sessions replayed at each t−1 close with sentiment/ATR/pivots recomputed; no forward leakage; SL-first tick priority applied.</w:t>
      </w:r>
    </w:p>
    <w:p>
      <w:pPr>
        <w:pStyle w:val="ListParagraph"/>
        <w:numPr>
          <w:ilvl w:val="0"/>
          <w:numId w:val="1"/>
        </w:numPr>
        <w:spacing w:after="60"/>
      </w:pPr>
      <w:r>
        <w:t xml:space="preserve">Anomalies: O/H/L corroboration not achievable to tolerance — strategies produced under leniency (not suppressed) per instruction. Timestamp: 24 Jun 2026 (run), America/New_York basis.</w:t>
      </w:r>
    </w:p>
    <w:p>
      <w:pPr>
        <w:pStyle w:val="Heading1"/>
      </w:pPr>
      <w:r>
        <w:t xml:space="preserve">§21  Strategy Recommendations</w:t>
      </w:r>
    </w:p>
    <w:p>
      <w:pPr>
        <w:pStyle w:val="Heading2"/>
      </w:pPr>
      <w:r>
        <w:t xml:space="preserve">§21a  Directional Conviction</w:t>
      </w:r>
    </w:p>
    <w:p>
      <w:pPr>
        <w:spacing w:after="120"/>
      </w:pPr>
      <w:r>
        <w:t xml:space="preserve">Direction: SHORT. Score: −0.77 (defaults). The three highest-weighted contributors are short-term technical bias (§8) −0.25, medium-term regime (§9) −0.20, and cross-asset confirmation (§10) −0.15; sentiment tilt (§13b) −0.05 and Kaufman (§9) −0.07 reinforce. No conflict with the §17 forecast — both lean lower. Weights basis: defaults (within 20-session lock).</w:t>
      </w:r>
    </w:p>
    <w:p>
      <w:pPr>
        <w:pStyle w:val="Heading2"/>
      </w:pPr>
      <w:r>
        <w:t xml:space="preserve">§21b  Trade Cards</w:t>
      </w:r>
    </w:p>
    <w:p>
      <w:pPr>
        <w:spacing w:after="120"/>
      </w:pPr>
      <w:r>
        <w:rPr>
          <w:b/>
          <w:bCs/>
        </w:rPr>
        <w:t xml:space="preserve">Trade 1 — Daily Directional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Field</w:t>
            </w:r>
          </w:p>
        </w:tc>
        <w:tc>
          <w:tcPr>
            <w:tcW w:type="dxa" w:w="7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Detail</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Direction</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SHORT — TREND_DOWN regime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Entry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Market at the 24 Jun cash open (anchor overridden per instruction); reference 7,365.46 points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Stop loss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7,470.17 — 105 points above entry (anchor: 24 Jun bounce-sell shelf, daily R1 7,446 + 0.25×ATR; inside 3.5×ATR cap)</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Risk (R)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105 points (105 points)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TP1 (Unit 1, +1R)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7,260.75 (+105 pts)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TP2 (Unit 2, +2R)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7,156.04 (+210 pts)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TP3 (Unit 3, runner)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Time-stop at session close OR 3×ATR cap 7,077.46, whichever first</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Tranche mgmt</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3 equal units; U1 exits TP1; U2 exits TP2; on U2 fill, U3 SL → entry +0.2R (7,386.5)</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Confluences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SL zone overlaps daily R1 (7,446) + weekly S1 (7,415) shelf; TP1 near daily S5 region is clear; entry below daily P (7,398)</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Invalidation</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Daily close back above weekly P (7,487) breaks the short thesis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Caveats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Daily-open anchor overridden; O/H/L indicative (corroboration leniency); holding period collides with §13d core PCE (Fri 26 Jun)</w:t>
            </w:r>
          </w:p>
        </w:tc>
      </w:tr>
    </w:tbl>
    <w:p>
      <w:r>
        <w:t xml:space="preserve"/>
      </w:r>
    </w:p>
    <w:p>
      <w:pPr>
        <w:spacing w:after="120"/>
      </w:pPr>
      <w:r>
        <w:rPr>
          <w:b/>
          <w:bCs/>
        </w:rPr>
        <w:t xml:space="preserve">Trade 2 — Pivot (regime-aware, TREND_DOWN → trend-follow short below pivot)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Field</w:t>
            </w:r>
          </w:p>
        </w:tc>
        <w:tc>
          <w:tcPr>
            <w:tcW w:type="dxa" w:w="7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Detail</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Direction</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SHORT — trend-following across daily P</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Entry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Sell on a retest of the daily P / weekly S1 shelf: sell limit 7,398–7,415 points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Stop loss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7,489 — above weekly P (7,487); ~85 pts from a 7,405 fill</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Risk (R)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~85 points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TP1 (+1R)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7,320 (near daily S1 7,317)</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TP2 (+2R)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7,235 (below daily S2 7,269)</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TP3 (runner)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Toward daily S3 7,188 / pivot-P exit rule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Tranche mgmt</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3 equal units; standard BE+0.2R on U2 fill</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Confluences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Strong confluence at entry: daily P 7,398 + weekly S1 7,415 + daily R1 7,446 cluster; SL above weekly P 7,487</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Invalidation</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Daily close above weekly P (7,487)</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Caveats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Pivot extremes indicative on prior H/L; monthly tier single-source-indicative (not used for entry)</w:t>
            </w:r>
          </w:p>
        </w:tc>
      </w:tr>
    </w:tbl>
    <w:p>
      <w:r>
        <w:t xml:space="preserve"/>
      </w:r>
    </w:p>
    <w:p>
      <w:pPr>
        <w:spacing w:after="120"/>
      </w:pPr>
      <w:r>
        <w:rPr>
          <w:b/>
          <w:bCs/>
        </w:rPr>
        <w:t xml:space="preserve">Trade 3A — Momentum-Pullback (TREND_DOWN fork)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Field</w:t>
            </w:r>
          </w:p>
        </w:tc>
        <w:tc>
          <w:tcPr>
            <w:tcW w:type="dxa" w:w="7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Detail</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Direction</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SHORT — momentum pullback into the down-swing</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Swing anchor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Down-swing 7,620.90 (2 Jun high) → 7,349.31 (23 Jun low); magnitude ~271 pts ≈ 2.8×ATR (qualifies, 4-session base extended)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Entry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Sell limit at 38.2% retrace of the down-swing ≈ 7,453; secondary 50% ≈ 7,485</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Stop loss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7,545 — above the 61.8% retrace (≈7,517) and weekly P</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Risk (R)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~92 points from a 7,453 fill</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TP1</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Range/structural: 7,349 (swing low, ~38.2% of risk-to-1x)</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TP2</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Measured-move extension toward 7,270 (daily S2)</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TP3 (runner)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100%+ extension toward 7,188 (daily S3); structural runner override on 100%-ext break → SL to halfway entry↔anchor</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Tranche mgmt</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3 equal units; 3A structural runner override applies on extension break</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Confluences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38.2% (7,453) sits on daily R1 (7,446) — strong confluence; 61.8% near weekly P (7,487)</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Invalidation</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Daily close above 61.8% retrace / weekly P (7,487–7,517)</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Caveats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Fib anchor uses indicative 2-Jun high; holding period spans core PCE (§13d)</w:t>
            </w:r>
          </w:p>
        </w:tc>
      </w:tr>
    </w:tbl>
    <w:p>
      <w:r>
        <w:t xml:space="preserve"/>
      </w:r>
    </w:p>
    <w:p>
      <w:pPr>
        <w:pStyle w:val="Heading2"/>
      </w:pPr>
      <w:r>
        <w:t xml:space="preserve">§21c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800"/>
        <w:gridCol w:w="1100"/>
        <w:gridCol w:w="1700"/>
        <w:gridCol w:w="2060"/>
        <w:gridCol w:w="100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Date (t−N)</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Strategy</w:t>
            </w:r>
          </w:p>
        </w:tc>
        <w:tc>
          <w:tcPr>
            <w:tcW w:type="dxa" w:w="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Dir</w:t>
            </w:r>
          </w:p>
        </w:tc>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Triggered</w:t>
            </w:r>
          </w:p>
        </w:tc>
        <w:tc>
          <w:tcPr>
            <w:tcW w:type="dxa" w:w="1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Entry/Exit</w:t>
            </w:r>
          </w:p>
        </w:tc>
        <w:tc>
          <w:tcPr>
            <w:tcW w:type="dxa" w:w="20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Outcome (R)</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b/>
                <w:bCs/>
                <w:color w:val="FFFFFF"/>
                <w:sz w:val="18"/>
                <w:szCs w:val="18"/>
              </w:rPr>
              <w:t xml:space="preserve">Days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Mon 22 Jun (t−1)</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Trade 1</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YES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7,500.6 / 7,365.5</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+1.3R (U1+U2 hit, runner open)</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2</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Mon 22 Jun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Trade 2</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YES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limit 7,487 / 7,365</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+1.4R</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2</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Mon 22 Jun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Trade 3A</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YES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7,485 / 7,365</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+1.3R</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2</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Thu 18 Jun (t−2)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Trade 1</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YES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7,430 / 7,500.6</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+0.7R (U1 hit, U2 open→reversed)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1</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Thu 18 Jun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Trade 2</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NO</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limit not reached</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Thu 18 Jun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Trade 3A</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NO</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no qualifying pullback</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Wed 17 Jun (t−3)</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Trade 1</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YES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7,508 / 7,420</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+0.8R</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1</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Wed 17 Jun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Trade 2</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YES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limit 7,500 / 7,420</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+0.9R</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1</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Tue 16 Jun (t−4)</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Trade 1</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YES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7,541 / 7,511</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+0.3R</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1</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Tue 16 Jun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Trade 3A</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SUPPRESSED</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no swing ≥2×ATR</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Fri 19 Jun (t−5)</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All</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NO</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Juneteenth (no session)</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sz w:val="18"/>
                <w:szCs w:val="18"/>
              </w:rPr>
              <w:t xml:space="preserve">—</w:t>
            </w:r>
          </w:p>
        </w:tc>
      </w:tr>
    </w:tbl>
    <w:p>
      <w:r>
        <w:t xml:space="preserve"/>
      </w:r>
    </w:p>
    <w:p>
      <w:pPr>
        <w:pStyle w:val="Heading2"/>
      </w:pPr>
      <w:r>
        <w:t xml:space="preserve">§21d  'What Is Working' Aggregate</w:t>
      </w:r>
    </w:p>
    <w:p>
      <w:pPr>
        <w:spacing w:after="120"/>
      </w:pPr>
      <w:r>
        <w:t xml:space="preserve">Trade 1 over the last 5 sessions: triggered 4/4 valid sessions, mean R = +0.78, hit rates TP1/TP2/TP3 = 100% / 50% / 0%. Trade 2: triggered 3/4, mean R = +1.15, TP1/TP2/TP3 = 100% / 33% / 0%. Trade 3A: triggered 1/3 (others suppressed/not-triggered), mean R = +1.30. Strongest performer: Trade 3A (highest mean R, closed positions only); among consistently-triggering strategies, Trade 2 leads. Weakest: Trade 1 (lowest mean R but highest trigger frequency).</w:t>
      </w:r>
    </w:p>
    <w:p>
      <w:pPr>
        <w:spacing w:after="120"/>
      </w:pPr>
      <w:r>
        <w:rPr>
          <w:i/>
          <w:iCs/>
        </w:rPr>
        <w:t xml:space="preserve">Five-session windows are too small to support statistical claims. The backtest cannot model intraday tick-level fills, slippage, or commission. Treat as a directional sanity-check, not a strategy-validation framework.</w:t>
      </w:r>
    </w:p>
    <w:p>
      <w:r>
        <w:t xml:space="preserve"/>
      </w:r>
    </w:p>
    <w:p>
      <w:pPr>
        <w:spacing w:after="120"/>
      </w:pPr>
      <w:r>
        <w:rPr>
          <w:color w:val="595959"/>
          <w:sz w:val="18"/>
          <w:szCs w:val="18"/>
        </w:rPr>
        <w:t xml:space="preserve">All stops and targets are shown in index points; the native execution unit for the S&amp;P 500 cash index is the point, so price and native-unit values coincide.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S&amp;P 500 Daily Report │ 24 June 2026 │ Senior US Equity Strategist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2026-06-23T21:34:26.175Z</dcterms:created>
  <dcterms:modified xsi:type="dcterms:W3CDTF">2026-06-23T21:34:26.175Z</dcterms:modified>
</cp:coreProperties>
</file>

<file path=docProps/custom.xml><?xml version="1.0" encoding="utf-8"?>
<Properties xmlns="http://schemas.openxmlformats.org/officeDocument/2006/custom-properties" xmlns:vt="http://schemas.openxmlformats.org/officeDocument/2006/docPropsVTypes"/>
</file>