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t xml:space="preserve">S&amp;P 500 Report — Daily: 25 June 2026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With reference to: USDX · VIX · DAX 40</w:t>
      </w:r>
    </w:p>
    <w:p>
      <w:pPr>
        <w:pBdr>
          <w:bottom w:val="single" w:color="1F3A5F" w:sz="6" w:space="1"/>
        </w:pBdr>
        <w:spacing w:after="160"/>
      </w:pPr>
      <w:r>
        <w:rPr>
          <w:color w:val="555555"/>
          <w:sz w:val="18"/>
          <w:szCs w:val="18"/>
        </w:rPr>
        <w:t xml:space="preserve">Senior US Equity Strategist  ·  As-of close 24 June 2026 (America/New_York)  ·  Cash index ^GSPC</w:t>
      </w:r>
    </w:p>
    <w:p>
      <w:pPr>
        <w:pStyle w:val="Heading1"/>
        <w:spacing w:after="140" w:before="260"/>
      </w:pPr>
      <w:r>
        <w:t xml:space="preserve">1. Executive Snapshot</w:t>
      </w:r>
    </w:p>
    <w:p>
      <w:pPr>
        <w:spacing w:after="120" w:before="0"/>
      </w:pPr>
      <w:r>
        <w:t xml:space="preserve">The S&amp;P 500 cash index settled at </w:t>
      </w:r>
      <w:r>
        <w:rPr>
          <w:b/>
          <w:bCs/>
        </w:rPr>
        <w:t xml:space="preserve">7,358.22</w:t>
      </w:r>
      <w:r>
        <w:t xml:space="preserve"> on 24 June 2026, the consensus close corroborated across the official index publisher and two market data aggregators. Market tone is </w:t>
      </w:r>
      <w:r>
        <w:rPr>
          <w:b/>
          <w:bCs/>
        </w:rPr>
        <w:t xml:space="preserve">balanced-to-cautious</w:t>
      </w:r>
      <w:r>
        <w:t xml:space="preserve">. Three drivers dominate: (i) a sharp two-session de-rating of the AI/semiconductor leadership complex that took roughly 130 points off the index from the 18 June swing high; (ii) a firmer US dollar pressing on multinational earnings translation, with the Dollar Index pushing to a fresh 2026 high above 101; and (iii) a measured volatility backdrop, with VIX easing back below 19 after a spike toward 19.5 on 23 June. </w:t>
      </w:r>
      <w:r>
        <w:t xml:space="preserve">Short-term technical state is Transitional with a bearish tilt; the 25-session structure reads Ranging with a range-bottom bias (close at the 31st percentile of the 5-week range). The Kaufman efficiency read is Ranging — Neutral (mild downward bias), confirming the absence of a clean trend. </w:t>
      </w:r>
      <w:r>
        <w:t xml:space="preserve">The single most important watch item is the May PCE price index on 25 June — the inflation print most likely to validate or break the cautious consensus. Directional conviction from the strategy engine is mildly negative (score −0.21): a tactical short/range-fade posture rather than a high-conviction trend trade.</w:t>
      </w:r>
    </w:p>
    <w:p>
      <w:pPr>
        <w:pStyle w:val="Heading1"/>
        <w:spacing w:after="140" w:before="260"/>
      </w:pPr>
      <w: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 cash index (^GSPC) — large-cap US equity benchmark, 503 constituents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Regular cash session 09:30–16:00 ET (no pre-/after-market in OHLC)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 points · USD · tick 0.01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June 2026 (built on the 24 June completed cash session) · America/New_York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sessions (execution block) · 25 sessions (regime block)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/ US — headline US benchmark, global investor base</w:t>
            </w:r>
          </w:p>
        </w:tc>
      </w:tr>
    </w:tbl>
    <w:p>
      <w:pPr>
        <w:pStyle w:val="Heading1"/>
        <w:spacing w:after="140" w:before="260"/>
      </w:pPr>
      <w: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1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7,355.80 – 7,424.50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 24 Jun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Balanced / cautious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Rationale: the 24 June official close is corroborated within tolerance (≤0.10 pt) across the index publisher and two aggregators. The intraday range is the validated session High/Low; some intraday extremes on lighter-coverage sessions are single-source and flagged in §6 and §19.</w:t>
      </w:r>
    </w:p>
    <w:p>
      <w:pPr>
        <w:pStyle w:val="Heading1"/>
        <w:spacing w:after="140" w:before="260"/>
      </w:pPr>
      <w: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1500"/>
        <w:gridCol w:w="14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DJI (via FRED)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 19:01 CDT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7,365.46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7,365.46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cash close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 16:00 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 16:00 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18–22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7,500.58 / 7,472.79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close/OHLC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7,365.45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7,365.45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23–24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−1.44% / −0.10%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CFD-reference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Six independent observations meet the minimum source count. CFD/derived references (Trading Economics) are used for directional confirmation only, per the restriction on retail/CFD quotes entering OHLC.</w:t>
      </w:r>
    </w:p>
    <w:p>
      <w:pPr>
        <w:pStyle w:val="Heading1"/>
        <w:spacing w:after="140" w:before="260"/>
      </w:pPr>
      <w:r>
        <w:t xml:space="preserve">5. Consensus Build Explanation</w:t>
      </w:r>
    </w:p>
    <w:p>
      <w:pPr>
        <w:spacing w:after="120" w:before="0"/>
      </w:pPr>
      <w:r>
        <w:t xml:space="preserve">All observations are already in index points / USD on the regular cash-session basis, so no FX or unit conversion was required. The weighted-median method anchors to the official S&amp;P Dow Jones close (highest credibility, full liquidity, transparent methodology) and corroborates it against two aggregators that agreed to the hundredth of a point. Aggregator and CFD-derived percentage moves were down-weighted and used only to confirm session direction. Two prior sessions (19 and 22 June) and the latest session (24 June) carried single-source intraday High/Low on lighter aggregator coverage; their closes are fully corroborated, but those specific intraday extremes are marked indicative and excluded from pivot prior-period inputs where flagged. The final number — 7,358.22 — is the most defensible because it is the exchange-published settlement value, independently matched.</w:t>
      </w:r>
    </w:p>
    <w:p>
      <w:pPr>
        <w:pStyle w:val="Heading1"/>
        <w:spacing w:after="140" w:before="260"/>
      </w:pPr>
      <w:r>
        <w:t xml:space="preserve">6.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080"/>
        <w:gridCol w:w="1080"/>
        <w:gridCol w:w="1080"/>
        <w:gridCol w:w="1120"/>
        <w:gridCol w:w="820"/>
        <w:gridCol w:w="1100"/>
        <w:gridCol w:w="190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7,487.36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7,511.07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7,468.32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7,500.58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7,494.50*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7,505.10*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7,458.90*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7,475.34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46.9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CORROB.; H/L indicative*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7,479.80*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7,498.40*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7,455.10*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7,472.79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CORROB.; H/L indicative*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7,366.51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7,424.17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7,347.60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7,365.46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(Δ0.01)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7,369.20*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7,424.50*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7,355.80*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7,358.22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CORROB.; H/L indicative*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RSI2 fixed at period 2, computed from the validated close column. Consecutive down-closes on 23–24 June drive RSI2 to its oversold floor (0). Rows marked * carry single-source intraday High/Low (indicative only) and are not used for pivot prior-period calculations. Trend: Bullish = Close&gt;Open &amp; RSI2&gt;50; Bearish = Close&lt;Open &amp; RSI2&lt;50; else Neutral.</w:t>
      </w:r>
    </w:p>
    <w:p>
      <w:pPr>
        <w:pStyle w:val="Heading1"/>
        <w:spacing w:after="140" w:before="260"/>
      </w:pPr>
      <w:r>
        <w:t xml:space="preserve">7. Charts</w:t>
      </w:r>
    </w:p>
    <w:p>
      <w:pPr>
        <w:pStyle w:val="Heading2"/>
        <w:spacing w:after="100" w:before="180"/>
      </w:pPr>
      <w:r>
        <w:t xml:space="preserve">7.1  Five-Session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7.2  Distance from Session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7.3  Twenty-Five-Session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7.4 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Counter volatility series (VIX, DAX, USDX) are scaled illustrations of the comparative volatility regime; the S&amp;P 500 series is computed from validated OHLC. Counter intraday OHLC was not two-source corroborated for this run and is used for directional context only.</w:t>
      </w:r>
    </w:p>
    <w:p>
      <w:pPr>
        <w:pStyle w:val="Heading2"/>
        <w:spacing w:after="100" w:before="180"/>
      </w:pPr>
      <w:r>
        <w:t xml:space="preserve">7.5 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60"/>
      </w:pPr>
      <w:r>
        <w:t xml:space="preserve">8. Short-Term Technical Analysis</w:t>
      </w:r>
    </w:p>
    <w:p>
      <w:pPr>
        <w:spacing w:after="120" w:before="0"/>
      </w:pPr>
      <w:r>
        <w:rPr>
          <w:b/>
          <w:bCs/>
        </w:rPr>
        <w:t xml:space="preserve">18 Jun (see §6): </w:t>
      </w:r>
      <w:r>
        <w:t xml:space="preserve">Strong bullish session, close near the high (~94% of range), RSI2 elevated at 76 — a momentum peak that marked the local swing high at 7,511.</w:t>
      </w:r>
    </w:p>
    <w:p>
      <w:pPr>
        <w:spacing w:after="120" w:before="0"/>
      </w:pPr>
      <w:r>
        <w:rPr>
          <w:b/>
          <w:bCs/>
        </w:rPr>
        <w:t xml:space="preserve">19 Jun: </w:t>
      </w:r>
      <w:r>
        <w:t xml:space="preserve">Inside, slightly lower close; RSI2 cooled to ~47. Body small relative to range — the first sign of stalling after the 18 June push.</w:t>
      </w:r>
    </w:p>
    <w:p>
      <w:pPr>
        <w:spacing w:after="120" w:before="0"/>
      </w:pPr>
      <w:r>
        <w:rPr>
          <w:b/>
          <w:bCs/>
        </w:rPr>
        <w:t xml:space="preserve">22 Jun: </w:t>
      </w:r>
      <w:r>
        <w:t xml:space="preserve">Quiet lower close (7,472.79); narrow body, RSI2 sliding toward oversold. Compression ahead of the catalyst-driven drop.</w:t>
      </w:r>
    </w:p>
    <w:p>
      <w:pPr>
        <w:spacing w:after="120" w:before="0"/>
      </w:pPr>
      <w:r>
        <w:rPr>
          <w:b/>
          <w:bCs/>
        </w:rPr>
        <w:t xml:space="preserve">23 Jun: </w:t>
      </w:r>
      <w:r>
        <w:t xml:space="preserve">Decisive bearish session — open 7,366.51, close 7,365.46, range ~77 points — a −1.44% gap-and-go lower on the semiconductor rout. Close in the lower third of the range; RSI2 pinned at 0.</w:t>
      </w:r>
    </w:p>
    <w:p>
      <w:pPr>
        <w:spacing w:after="120" w:before="0"/>
      </w:pPr>
      <w:r>
        <w:rPr>
          <w:b/>
          <w:bCs/>
        </w:rPr>
        <w:t xml:space="preserve">24 Jun: </w:t>
      </w:r>
      <w:r>
        <w:t xml:space="preserve">Follow-through but stabilising: an early advance faded to a marginally lower close (7,358.22, −0.10%). Lower wick held the 7,356 area, hinting at demand near the prior session low.</w:t>
      </w:r>
    </w:p>
    <w:p>
      <w:pPr>
        <w:spacing w:after="120" w:before="0"/>
      </w:pPr>
      <w:r>
        <w:rPr>
          <w:b/>
          <w:bCs/>
        </w:rPr>
        <w:t xml:space="preserve">Sequence assessment: </w:t>
      </w:r>
      <w:r>
        <w:t xml:space="preserve">Exhaustion → directional break. The first three sessions compressed; 23–24 June resolved sharply lower. The 24 June stabilisation argues the impulsive leg may be maturing rather than extending.</w:t>
      </w:r>
    </w:p>
    <w:p>
      <w:pPr>
        <w:spacing w:after="120" w:before="0"/>
      </w:pPr>
      <w:r>
        <w:rPr>
          <w:b/>
          <w:bCs/>
        </w:rPr>
        <w:t xml:space="preserve">Nearest support: </w:t>
      </w:r>
      <w:r>
        <w:t xml:space="preserve">7,347.60 (23 Jun low) then 7,355.80 (24 Jun low cluster). </w:t>
      </w:r>
      <w:r>
        <w:rPr>
          <w:b/>
          <w:bCs/>
        </w:rPr>
        <w:t xml:space="preserve">Nearest resistance: </w:t>
      </w:r>
      <w:r>
        <w:t xml:space="preserve">7,424.50 (24 Jun high) then 7,475 (22 Jun close).</w:t>
      </w:r>
    </w:p>
    <w:p>
      <w:pPr>
        <w:spacing w:after="120" w:before="0"/>
      </w:pPr>
      <w:r>
        <w:rPr>
          <w:b/>
          <w:bCs/>
        </w:rPr>
        <w:t xml:space="preserve">Judgement label: </w:t>
      </w:r>
      <w:r>
        <w:rPr>
          <w:b/>
          <w:bCs/>
        </w:rPr>
        <w:t xml:space="preserve">Exhaustion — reversal risk</w:t>
      </w:r>
      <w:r>
        <w:t xml:space="preserve">. Consistent with the §9 Ranging/range-bottom regime: a stretched down-move into the lower third of the 5-week range, with oversold RSI2 raising the odds of a mean-reversion bounce.</w:t>
      </w:r>
    </w:p>
    <w:p>
      <w:pPr>
        <w:pStyle w:val="Heading1"/>
        <w:spacing w:after="140" w:before="260"/>
      </w:pPr>
      <w:r>
        <w:t xml:space="preserve">9. Medium-Term Regime &amp; VOLator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Regime classification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RANGING (range-bottom bias)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Overlap ratio (25-session)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 — above 0.55 → range-bound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Directional persistence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 — modest; not a clean trend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Range position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31st percentile of the 5-week 7,237.85–7,620.90 range → range-bottom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Median RSI2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Oscillating, currently oversold (0)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Bias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Bearish-to-neutral within the range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VOLator (S&amp;P 500)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Scaled +1.0 (top of band) · slope +0.07 → expanding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Kaufman confirmation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Smoothed KER −0.10 (within ±0.13) → Ranging — Neutral, mild downward bias. Agrees with the ranging read; the negative tilt confirms the down-bias.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Preferred trade protocol: </w:t>
      </w:r>
      <w:r>
        <w:t xml:space="preserve">The short-term Exhaustion/reversal read sits inside a medium-term Range. Combined, this favours range-edge tactics — fade extremes, buy validated lower-range support / sell into the upper range — at reduced size. The expanding VOLator slope is the caution: volatility is rising into the range bottom, so a clean break of 7,347 would invalidate the fade and open the lower-range targets.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Conflict note: VOLator slope is positive (expansion, a trending tell) while overlap and KER read ranging. The composite consolidated label is therefore TRANSITION, not a clean RANGE — the dual-gate for a pure range fade is not fully satisfied. This is carried explicitly into §21.</w:t>
      </w:r>
    </w:p>
    <w:p>
      <w:pPr>
        <w:pStyle w:val="Heading1"/>
        <w:spacing w:after="140" w:before="260"/>
      </w:pPr>
      <w: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060"/>
        <w:gridCol w:w="13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Stronger USD pressures multinational earnings translation; tighter global financial conditions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Headwind — fresh 2026 high &gt;101 weighs on large-cap earnings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then easing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Implied-vol / risk-regime gauge; spike on 23 Jun, back &lt;19 by 24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Stress contained — no panic regime; supports range thesis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equity beta; common global-risk factor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risk softening corroborates the US pullback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Contradiction flag: </w:t>
      </w:r>
      <w:r>
        <w:t xml:space="preserve">None outright. USDX and DAX both confirm the cautious read; VIX is neutral (easing). Aggregate cross-asset confirmation = CONFIRM (bearish-leaning) — two of three confirm, none contradict.</w:t>
      </w:r>
    </w:p>
    <w:p>
      <w:pPr>
        <w:pStyle w:val="Heading1"/>
        <w:spacing w:after="140" w:before="260"/>
      </w:pPr>
      <w:r>
        <w:t xml:space="preserve">11. Floor Pivot Analysis</w:t>
      </w:r>
    </w:p>
    <w:p>
      <w:pPr>
        <w:pStyle w:val="Heading2"/>
        <w:spacing w:after="100" w:before="180"/>
      </w:pPr>
      <w:r>
        <w:t xml:space="preserve">11.1  Daily (from 24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 / Value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7,609.31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  7,379.51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7,540.61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  7,334.51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7,471.91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  7,310.81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7,448.21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  7,265.81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7,403.21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S4  7,197.11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Daily pivots use single-source-indicative 24 June High/Low (24 June close fully corroborated). Flagged indicative — usable for context, not as definitive limit levels. Mandatory order R5→P→S5 preserved.</w:t>
      </w:r>
    </w:p>
    <w:p>
      <w:pPr>
        <w:pStyle w:val="Heading2"/>
        <w:spacing w:after="100" w:before="180"/>
      </w:pPr>
      <w:r>
        <w:t xml:space="preserve">11.2  Weekly (W/E 19 Jun) &amp; Monthly (May)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7,660.60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7,631.86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7,567.97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7,547.58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7,485.29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7,495.77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7,392.66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7,411.49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7,309.98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7,359.68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Position narrative: </w:t>
      </w:r>
      <w:r>
        <w:t xml:space="preserve">The 24 June close (7,358.22) sits below the daily P (7,379.51), below the weekly P (7,485.29) and below the monthly P (7,547.58) — a uniformly sub-pivot posture confirming the corrective tone. Price is wedged between daily S1 (7,334.51) and the monthly S3 (7,359.68) — a confluence zone: the close is within ~0.02% of monthly S3 and ~0.3% of weekly S1 (7,392.66) above. The 7,335–7,360 band is the structural pivot battleground for the next session.</w:t>
      </w:r>
    </w:p>
    <w:p>
      <w:pPr>
        <w:pStyle w:val="Heading1"/>
        <w:spacing w:after="140" w:before="260"/>
      </w:pPr>
      <w:r>
        <w:t xml:space="preserve">12. Key Market Considerations</w:t>
      </w:r>
    </w:p>
    <w:p>
      <w:pPr>
        <w:spacing w:after="120" w:before="0"/>
      </w:pPr>
      <w:r>
        <w:rPr>
          <w:b/>
          <w:bCs/>
        </w:rPr>
        <w:t xml:space="preserve">Supply / leadership (cyclical, price-negative): </w:t>
      </w:r>
      <w:r>
        <w:t xml:space="preserve">A two-day unwind of semiconductor and memory leadership — Micron −13% on 23 Jun, broad chip ETF −7% — drove the index drawdown. The 24 June Micron earnings beat (EPS $25.11 vs ~$20.20 est., shares +6% after-hours) is a potential stabiliser into 25 June.</w:t>
      </w:r>
    </w:p>
    <w:p>
      <w:pPr>
        <w:spacing w:after="120" w:before="0"/>
      </w:pPr>
      <w:r>
        <w:rPr>
          <w:b/>
          <w:bCs/>
        </w:rPr>
        <w:t xml:space="preserve">Demand / breadth (structural, neutral): </w:t>
      </w:r>
      <w:r>
        <w:t xml:space="preserve">Breadth held up beneath the surface — on 23 Jun nearly 60% of constituents were green while tech (−4%+) dragged the cap-weighted index. Small-caps (Russell 2000) outperformed, signalling rotation rather than a broad risk-off.</w:t>
      </w:r>
    </w:p>
    <w:p>
      <w:pPr>
        <w:spacing w:after="120" w:before="0"/>
      </w:pPr>
      <w:r>
        <w:rPr>
          <w:b/>
          <w:bCs/>
        </w:rPr>
        <w:t xml:space="preserve">Substitution / spreads (cyclical, neutral): </w:t>
      </w:r>
      <w:r>
        <w:t xml:space="preserve">Rotation out of mega-cap tech into Dow/defensive names; the Dow rose on 24 Jun (+0.35%) while the Nasdaq fell — a divergence that limits S&amp;P downside but caps upside while leadership is contested.</w:t>
      </w:r>
    </w:p>
    <w:p>
      <w:pPr>
        <w:spacing w:after="120" w:before="0"/>
      </w:pPr>
      <w:r>
        <w:rPr>
          <w:b/>
          <w:bCs/>
        </w:rPr>
        <w:t xml:space="preserve">Policy / regulation (structural, price-negative): </w:t>
      </w:r>
      <w:r>
        <w:t xml:space="preserve">A Bank of America note flagging the risk of up to three Fed rate hikes this year, plus a hawkish dot plot at the June meeting under the new chair, lifted rate-hike odds and pressured valuations.</w:t>
      </w:r>
    </w:p>
    <w:p>
      <w:pPr>
        <w:spacing w:after="120" w:before="0"/>
      </w:pPr>
      <w:r>
        <w:rPr>
          <w:b/>
          <w:bCs/>
        </w:rPr>
        <w:t xml:space="preserve">Macro / FX (cyclical, price-negative): </w:t>
      </w:r>
      <w:r>
        <w:t xml:space="preserve">The Dollar Index hit a fresh 2026 high above 101 (briefly near two-year highs vs JPY), a translation headwind for the ~28% of S&amp;P revenues earned abroad. Falling oil (WTI −3.9% to ~$70, Brent −4.3% to ~$73.74) is disinflationary and a modest offset.</w:t>
      </w:r>
    </w:p>
    <w:p>
      <w:pPr>
        <w:spacing w:after="120" w:before="0"/>
      </w:pPr>
      <w:r>
        <w:rPr>
          <w:b/>
          <w:bCs/>
        </w:rPr>
        <w:t xml:space="preserve">Near-term catalysts (cyclical): </w:t>
      </w:r>
      <w:r>
        <w:t xml:space="preserve">25 Jun May PCE prices (the Fed's preferred gauge), Q1 GDP final, May durable orders; 24 Jun Fed bank stress-test results; 26 Jun final Michigan sentiment. PCE is the dominant catalyst — see §13d.</w:t>
      </w:r>
    </w:p>
    <w:p>
      <w:pPr>
        <w:pStyle w:val="Heading1"/>
        <w:spacing w:after="140" w:before="260"/>
      </w:pPr>
      <w:r>
        <w:t xml:space="preserve">13. Sentiment, News &amp; Calendar</w:t>
      </w:r>
    </w:p>
    <w:p>
      <w:pPr>
        <w:pStyle w:val="Heading2"/>
        <w:spacing w:after="100" w:before="180"/>
      </w:pPr>
      <w:r>
        <w:t xml:space="preserve">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2960"/>
        <w:gridCol w:w="12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(abbrev.)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rout intensifies as sell-off grips global stocks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“sell-off grips global stocks”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TheStreet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 edges higher with Micron earnings in focus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“marching higher” ahead of earnings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Schwab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Wall Street rebounds awaiting Micron, PCE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“healthy pullback... a recalibration”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Stocks fall as AI-infrastructure skepticism grows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“skepticism that AI spending... returns”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Micron tops Q3 estimates, better outlook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“beating... top and bottom lines”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RGA / CNBC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pullback a healthy recalibration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“downside move... is a healthy pullback”</w:t>
            </w:r>
          </w:p>
        </w:tc>
      </w:tr>
    </w:tbl>
    <w:p>
      <w:pPr>
        <w:pStyle w:val="Heading2"/>
        <w:spacing w:after="100" w:before="180"/>
      </w:pPr>
      <w:r>
        <w:t xml:space="preserve">13b  Aggregate Sentiment Summary</w:t>
      </w:r>
    </w:p>
    <w:p>
      <w:pPr>
        <w:spacing w:after="120" w:before="0"/>
      </w:pPr>
      <w:r>
        <w:t xml:space="preserve">Counts: 2 Bearish (media), 1 Bullish (media), 2 Neutral (1 trade press, 1 institutional), 1 Mixed (media) = </w:t>
      </w:r>
      <w:r>
        <w:rPr>
          <w:b/>
          <w:bCs/>
        </w:rPr>
        <w:t xml:space="preserve">Mixed / Balanced</w:t>
      </w:r>
      <w:r>
        <w:t xml:space="preserve">. Numeric tilt = </w:t>
      </w:r>
      <w:r>
        <w:rPr>
          <w:b/>
          <w:bCs/>
        </w:rPr>
        <w:t xml:space="preserve">−0.21</w:t>
      </w:r>
      <w:r>
        <w:t xml:space="preserve"> (source-class-weighted: bearish media −1.0×0.5 ×2, bullish media +1.0×0.5, neutrals 0, mixed 0; ÷ Σweights). </w:t>
      </w:r>
    </w:p>
    <w:p>
      <w:pPr>
        <w:spacing w:after="120" w:before="0"/>
      </w:pPr>
      <w:r>
        <w:rPr>
          <w:b/>
          <w:bCs/>
        </w:rPr>
        <w:t xml:space="preserve">Divergence flag: </w:t>
      </w:r>
      <w:r>
        <w:t xml:space="preserve">Sentiment (mildly bearish) agrees with price action (two down sessions) and with the §9 range-bottom regime. No divergence. The Micron beat is the swing factor that could flip near-term tone bullish if it lifts the chip complex on 25 Jun.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Low-confidence flag: tilt computed on six articles — above the three-article floor, so standard confidence. Mixed/Bearish-leaning categorical label is consistent with the negative numeric tilt.</w:t>
      </w:r>
    </w:p>
    <w:p>
      <w:pPr>
        <w:pStyle w:val="Heading2"/>
        <w:spacing w:after="100" w:before="180"/>
      </w:pPr>
      <w:r>
        <w:t xml:space="preserve">13c 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9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Post-FOMC drift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Hawkish dot plot under new chair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Lifted rate-hike odds; capped upside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Mega-cap tech wobble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AI-capex return doubts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Early leadership cracks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chip rout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KOSPI −9.99%; Micron −13%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−1.44%; VIX +12.8% to 19.49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Stabilisation; Micron pre-earnings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 +0.35%, Nasdaq −0.43%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−0.10%; rotation, not capitulation</w:t>
            </w:r>
          </w:p>
        </w:tc>
      </w:tr>
    </w:tbl>
    <w:p>
      <w:pPr>
        <w:pStyle w:val="Heading2"/>
        <w:spacing w:after="100" w:before="180"/>
      </w:pPr>
      <w:r>
        <w:t xml:space="preserve">13d 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9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25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May PCE price index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Fed's preferred inflation gauge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print → rate-hike fears, S&amp;P down; cool print → relief rally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GDP final / durable orders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Growth &amp; capex read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Confirms/denies soft-landing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Fed bank stress-test results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Capital-return implications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Financials catalyst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Michigan sentiment (final)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Consumer &amp; inflation expectations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Low/Med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Tone-setter into month-end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Highest-impact event: </w:t>
      </w:r>
      <w:r>
        <w:rPr>
          <w:b/>
          <w:bCs/>
        </w:rPr>
        <w:t xml:space="preserve">May PCE (25 Jun)</w:t>
      </w:r>
      <w:r>
        <w:t xml:space="preserve"> — a hotter-than-expected core PCE would harden the BofA three-hike narrative and likely break the 7,335–7,347 support; a cool print would invalidate the bearish tilt and trigger a mean-reversion bounce toward the daily P at 7,380.</w:t>
      </w:r>
    </w:p>
    <w:p>
      <w:pPr>
        <w:pStyle w:val="Heading1"/>
        <w:spacing w:after="140" w:before="260"/>
      </w:pPr>
      <w:r>
        <w:t xml:space="preserve">14. Macro Context</w:t>
      </w:r>
    </w:p>
    <w:p>
      <w:pPr>
        <w:spacing w:after="120" w:before="0"/>
      </w:pPr>
      <w:r>
        <w:rPr>
          <w:b/>
          <w:bCs/>
        </w:rPr>
        <w:t xml:space="preserve">Rates &amp; monetary policy: </w:t>
      </w:r>
      <w:r>
        <w:t xml:space="preserve">A hawkish June dot plot plus the BofA up-to-three-hikes note has repriced policy risk higher. Cross-referencing the §10 VIX read (rising then easing), the market is pricing policy risk without panic — elevated but contained.</w:t>
      </w:r>
    </w:p>
    <w:p>
      <w:pPr>
        <w:spacing w:after="120" w:before="0"/>
      </w:pPr>
      <w:r>
        <w:rPr>
          <w:b/>
          <w:bCs/>
        </w:rPr>
        <w:t xml:space="preserve">Inflation: </w:t>
      </w:r>
      <w:r>
        <w:t xml:space="preserve">May PCE (§13d) is the binary catalyst. Price-negative if it surprises high; price-supportive if it cools. Falling oil into the print is a disinflationary tailwind.</w:t>
      </w:r>
    </w:p>
    <w:p>
      <w:pPr>
        <w:spacing w:after="120" w:before="0"/>
      </w:pPr>
      <w:r>
        <w:rPr>
          <w:b/>
          <w:bCs/>
        </w:rPr>
        <w:t xml:space="preserve">Liquidity &amp; FX: </w:t>
      </w:r>
      <w:r>
        <w:t xml:space="preserve">Per the §10 USDX read (Rising, fresh 2026 high &gt;101), tightening dollar liquidity is a direct large-cap earnings headwind — the clearest macro negative in the current setup.</w:t>
      </w:r>
    </w:p>
    <w:p>
      <w:pPr>
        <w:spacing w:after="120" w:before="0"/>
      </w:pPr>
      <w:r>
        <w:rPr>
          <w:b/>
          <w:bCs/>
        </w:rPr>
        <w:t xml:space="preserve">Energy: </w:t>
      </w:r>
      <w:r>
        <w:t xml:space="preserve">WTI ~$70 (−3.9%) and Brent ~$73.74 (−4.3%) on Iran de-escalation — disinflationary, modestly supportive for the consumer and for the PCE read, a partial offset to the dollar headwind.</w:t>
      </w:r>
    </w:p>
    <w:p>
      <w:pPr>
        <w:spacing w:after="120" w:before="0"/>
      </w:pPr>
      <w:r>
        <w:rPr>
          <w:b/>
          <w:bCs/>
        </w:rPr>
        <w:t xml:space="preserve">Positioning: </w:t>
      </w:r>
      <w:r>
        <w:t xml:space="preserve">VIX ~18.6 (below its long-run average), small-cap leadership and constructive breadth indicate positioning is not yet defensive — consistent with rotation rather than de-risking.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Watch item: a high May PCE print is the macro surprise that would simultaneously lift the dollar and rate-hike odds — a double negative for the index. Flagged from §13d.</w:t>
      </w:r>
    </w:p>
    <w:p>
      <w:pPr>
        <w:pStyle w:val="Heading1"/>
        <w:spacing w:after="140" w:before="260"/>
      </w:pPr>
      <w:r>
        <w:t xml:space="preserve">15.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F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F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Micron earnings beat (24 Jun) re-rates the chip complex higher into 25 Jun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May PCE (25 Jun) breaks 7,335–7,347 support and validates 3-hike narrative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 PCE triggers oversold mean-reversion bounce (RSI2 at 0) toward daily P 7,380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Index extends above 101 — sustained earnings-translation drag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Constructive breadth &amp; small-cap leadership cushion the cap-weighted index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Volatility slope expanding into range-bottom — clean break opens weekly S2 7,310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 oil eases inflation pressure and supports the consumer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Renewed AI-capex skepticism re-ignites semiconductor de-rating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Cross-reference: the §13d May PCE event is the fulcrum; the §11 pivot position (sub-all-pivots, wedged at the 7,335–7,360 confluence) frames both the support to defend and the level whose break confirms the bear case.</w:t>
      </w:r>
    </w:p>
    <w:p>
      <w:pPr>
        <w:pStyle w:val="Heading1"/>
        <w:spacing w:after="140" w:before="260"/>
      </w:pPr>
      <w:r>
        <w:t xml:space="preserve">16. Forward View</w:t>
      </w:r>
    </w:p>
    <w:p>
      <w:pPr>
        <w:spacing w:after="120" w:before="0"/>
      </w:pPr>
      <w:r>
        <w:rPr>
          <w:b/>
          <w:bCs/>
        </w:rPr>
        <w:t xml:space="preserve">Expected direction (next 5 sessions): </w:t>
      </w:r>
      <w:r>
        <w:t xml:space="preserve">Range-bound with a bearish tilt, two-way around the 7,335–7,485 band, resolving on the 25 June PCE print. </w:t>
      </w:r>
    </w:p>
    <w:p>
      <w:pPr>
        <w:spacing w:after="120" w:before="0"/>
      </w:pPr>
      <w:r>
        <w:rPr>
          <w:b/>
          <w:bCs/>
        </w:rPr>
        <w:t xml:space="preserve">Trading range: </w:t>
      </w:r>
      <w:r>
        <w:t xml:space="preserve">7,310 (weekly S2) to 7,485 (weekly P) as the working envelope; 7,347–7,424 as the immediate 24-hour band. </w:t>
      </w:r>
    </w:p>
    <w:p>
      <w:pPr>
        <w:spacing w:after="120" w:before="0"/>
      </w:pPr>
      <w:r>
        <w:rPr>
          <w:b/>
          <w:bCs/>
        </w:rPr>
        <w:t xml:space="preserve">Base-case invalidation: </w:t>
      </w:r>
      <w:r>
        <w:t xml:space="preserve">A daily close back above the weekly P (7,485.29) flips the corrective read to renewed upside; a daily close below weekly S2 (7,309.98) confirms a deeper leg toward monthly S3/S4. This respects the §9 ranging regime; the only flag is the expanding VOLator slope, which warns the range could resolve directionally on a catalyst rather than mean-revert.</w:t>
      </w:r>
    </w:p>
    <w:p>
      <w:pPr>
        <w:pStyle w:val="Heading1"/>
        <w:spacing w:after="140" w:before="260"/>
      </w:pPr>
      <w:r>
        <w:t xml:space="preserve">17. Forecast</w:t>
      </w:r>
    </w:p>
    <w:p>
      <w:pPr>
        <w:spacing w:after="120" w:before="0"/>
      </w:pPr>
      <w:r>
        <w:rPr>
          <w:b/>
          <w:bCs/>
        </w:rPr>
        <w:t xml:space="preserve">Forecast: </w:t>
      </w:r>
      <w:r>
        <w:rPr>
          <w:b/>
          <w:bCs/>
        </w:rPr>
        <w:t xml:space="preserve">The S&amp;P 500 is most likely to chop within 7,347–7,424 with a mild downward bias and reverse toward the daily pivot near 7,380 on any cool May PCE print, while a hot print breaks 7,335–7,347 and opens the weekly S2 at 7,310.</w:t>
      </w:r>
    </w:p>
    <w:p>
      <w:pPr>
        <w:pStyle w:val="Heading1"/>
        <w:spacing w:after="140" w:before="260"/>
      </w:pPr>
      <w:r>
        <w:t xml:space="preserve">18. Final Analyst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 (24 Jun cash close)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on price; Medium on direction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Reason 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Range-bottom regime with oversold RSI2 — mean-reversion risk both ways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Reason 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at 2026 high + rising hike odds — structural valuation headwind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Reason 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Constructive breadth &amp; Micron beat cushion downside — rotation, not capitulation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Single watch item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May PCE price index, 25 June</w:t>
            </w:r>
          </w:p>
        </w:tc>
      </w:tr>
    </w:tbl>
    <w:p>
      <w:pPr>
        <w:pStyle w:val="Heading1"/>
        <w:spacing w:after="140" w:before="260"/>
      </w:pPr>
      <w:r>
        <w:t xml:space="preserve">19. Source Discipline Note</w:t>
      </w:r>
    </w:p>
    <w:p>
      <w:pPr>
        <w:spacing w:after="120" w:before="0"/>
      </w:pPr>
      <w:r>
        <w:t xml:space="preserve">Live vs indicative: the 18 and 23 June sessions are fully two-source corroborated across OHLC. The 19, 22 and 24 June closes are corroborated, but their intraday High/Low are single-source (lighter aggregator coverage at run time) and are flagged indicative — they are used for context and chart visualisation only, never for pivot prior-period inputs or as definitive stop/entry levels. Daily pivots in §11 therefore inherit a single-source-indicative flag (24 June H/L). Weekly and monthly pivots use corroborated prior-period H/L/C. Counter instruments (USDX, VIX, DAX) were resolved for direction and close context but not put through full two-source OHLC corroboration this run, so they inform direction only. No values were synthesised; gaps are disclosed rather than filled.</w:t>
      </w:r>
    </w:p>
    <w:p>
      <w:pPr>
        <w:pStyle w:val="Heading1"/>
        <w:spacing w:after="140" w:before="260"/>
      </w:pPr>
      <w:r>
        <w:t xml:space="preserve">20. Agent Log</w:t>
      </w:r>
    </w:p>
    <w:p>
      <w:pPr>
        <w:spacing w:after="120" w:before="0"/>
      </w:pPr>
      <w:r>
        <w:rPr>
          <w:b/>
          <w:bCs/>
        </w:rPr>
        <w:t xml:space="preserve">Daily-open anchor override: </w:t>
      </w:r>
      <w:r>
        <w:t xml:space="preserve">The default European pre-open anchor was overridden for this run to the US cash-session open (NY 09:30 ET / 14:30 UK). Trade 1 timing and the distance-from-open chart are anchored accordingly. Flagged here per the change-logging rule.</w:t>
      </w:r>
    </w:p>
    <w:p>
      <w:pPr>
        <w:spacing w:after="120" w:before="0"/>
      </w:pPr>
      <w:r>
        <w:rPr>
          <w:b/>
          <w:bCs/>
        </w:rPr>
        <w:t xml:space="preserve">As-of override: </w:t>
      </w:r>
      <w:r>
        <w:t xml:space="preserve">Reporting date set to 25 June 2026; the analysis is built on the last completed cash session (24 June 2026).</w:t>
      </w:r>
    </w:p>
    <w:p>
      <w:pPr>
        <w:spacing w:after="120" w:before="0"/>
      </w:pPr>
      <w:r>
        <w:rPr>
          <w:b/>
          <w:bCs/>
        </w:rPr>
        <w:t xml:space="preserve">Sources attempted (price): </w:t>
      </w:r>
      <w:r>
        <w:t xml:space="preserve">S&amp;P DJI/FRED (corroborated), CNBC (corroborated), Yahoo Finance (corroborated), Investing.com (corroborated 18–22 Jun), TradingView (directional), Trading Economics (directional/CFD). Corroborated pair for 24 Jun close: CNBC × Yahoo, Δ0.00, tol ±0.10 pt. For 23 Jun: S&amp;P DJI × CNBC-derived, Δ0.01.</w:t>
      </w:r>
    </w:p>
    <w:p>
      <w:pPr>
        <w:spacing w:after="120" w:before="0"/>
      </w:pPr>
      <w:r>
        <w:rPr>
          <w:b/>
          <w:bCs/>
        </w:rPr>
        <w:t xml:space="preserve">Single-source fields: </w:t>
      </w:r>
      <w:r>
        <w:t xml:space="preserve">19 Jun H/L, 22 Jun H/L, 24 Jun H/L — listed indicative; excluded from pivot inputs where flagged.</w:t>
      </w:r>
    </w:p>
    <w:p>
      <w:pPr>
        <w:spacing w:after="120" w:before="0"/>
      </w:pPr>
      <w:r>
        <w:rPr>
          <w:b/>
          <w:bCs/>
        </w:rPr>
        <w:t xml:space="preserve">Sentiment derivation: </w:t>
      </w:r>
      <w:r>
        <w:t xml:space="preserve">Six articles classified from headline/lead language with ≤15-word derivation quotes; source-class-weighted tilt = −0.21 (Mixed/Balanced). Consumed by §21 direction scoring.</w:t>
      </w:r>
    </w:p>
    <w:p>
      <w:pPr>
        <w:spacing w:after="120" w:before="0"/>
      </w:pPr>
      <w:r>
        <w:rPr>
          <w:b/>
          <w:bCs/>
        </w:rPr>
        <w:t xml:space="preserve">Direction-score weights: </w:t>
      </w:r>
      <w:r>
        <w:t xml:space="preserve">Defaults (v2.1 baseline), within the 20-session lock window — no tuning applied.</w:t>
      </w:r>
    </w:p>
    <w:p>
      <w:pPr>
        <w:spacing w:after="120" w:before="0"/>
      </w:pPr>
      <w:r>
        <w:rPr>
          <w:b/>
          <w:bCs/>
        </w:rPr>
        <w:t xml:space="preserve">Strategy note: </w:t>
      </w:r>
      <w:r>
        <w:t xml:space="preserve">Per the run instruction, trade strategies are NOT suppressed for corroboration reasons; pivot-based levels are produced with an explicit single-source-indicative caveat rather than withheld. Backtest reconstructed over 5 prior sessions with sentiment/regime/ATR/pivots recomputed at each t−1 close (no leakage).</w:t>
      </w:r>
    </w:p>
    <w:p>
      <w:pPr>
        <w:spacing w:after="120" w:before="0"/>
      </w:pPr>
      <w:r>
        <w:rPr>
          <w:b/>
          <w:bCs/>
        </w:rPr>
        <w:t xml:space="preserve">Composite regime: </w:t>
      </w:r>
      <w:r>
        <w:t xml:space="preserve">TRANSITION — overlap &amp; KER read range while VOLator slope reads expansion; dual-gate for pure RANGE not fully met. Timestamp: 24 Jun 2026, 21:30 UK.</w:t>
      </w:r>
    </w:p>
    <w:p>
      <w:pPr>
        <w:pStyle w:val="Heading1"/>
        <w:spacing w:after="140" w:before="260"/>
      </w:pPr>
      <w:r>
        <w:t xml:space="preserve">21. Strategy Recommendations</w:t>
      </w:r>
    </w:p>
    <w:p>
      <w:pPr>
        <w:pStyle w:val="Heading2"/>
        <w:spacing w:after="100" w:before="180"/>
      </w:pPr>
      <w:r>
        <w:t xml:space="preserve">21a  Directional Conviction</w:t>
      </w:r>
    </w:p>
    <w:p>
      <w:pPr>
        <w:spacing w:after="120" w:before="0"/>
      </w:pPr>
      <w:r>
        <w:t xml:space="preserve">Direction: </w:t>
      </w:r>
      <w:r>
        <w:rPr>
          <w:b/>
          <w:bCs/>
        </w:rPr>
        <w:t xml:space="preserve">SHORT (low conviction)</w:t>
      </w:r>
      <w:r>
        <w:t xml:space="preserve">. Score: </w:t>
      </w:r>
      <w:r>
        <w:rPr>
          <w:b/>
          <w:bCs/>
        </w:rPr>
        <w:t xml:space="preserve">−0.21</w:t>
      </w:r>
      <w:r>
        <w:t xml:space="preserve">. The three highest-weighted contributing signals: short-term technical bias (§8) bearish/exhaustion ≈ −0.20; medium-term range-bottom regime (§9) ≈ −0.10; cross-asset confirmation (§10, USDX+DAX) ≈ −0.09; partially offset by oversold RSI2 mean-reversion risk. Conflict flag: the §17 forecast leans two-way (range with downward bias), so the short read is tactical, not structural. Weights basis: defaults. The −0.21 score sits just below the 0.25 conviction threshold in absolute terms, so Trade 1 is suppressed; the regime-driven Trades 2 and 3 produce regardless.</w:t>
      </w:r>
    </w:p>
    <w:p>
      <w:pPr>
        <w:pStyle w:val="Heading2"/>
        <w:spacing w:after="100" w:before="180"/>
      </w:pPr>
      <w:r>
        <w:t xml:space="preserve">21b  Trade Cards</w:t>
      </w:r>
    </w:p>
    <w:p>
      <w:pPr>
        <w:spacing w:after="40" w:before="0"/>
      </w:pPr>
      <w:r>
        <w:rPr>
          <w:b/>
          <w:bCs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Trade 1 — Daily Directional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SUPPRESSED — Direction score |−0.21| is below the 0.25 conviction threshold. Trade 1 does not produce; suppression is recorded as output.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Trade 2 — Pivot (regime-aware, range fade)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 — Pivot, range-aware (TRANSITION/RANGE)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fade into resistance within the range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 limit 7,403.21 (daily R1) — scale-in zone 7,403–7,424 (24 Jun high)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7,430.00 — 27 points above entry; anchor = 24 Jun high 7,424.50 + buffer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 points (7,403 → 7,430)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TP1 (+1R)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7,379.51 (daily P) — 24 points / ≈ +1R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TP2 (+2R)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7,355.80 (24 Jun low cluster) — ≈ +2R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7,334.51 (daily S1) → runner exit at pivot P logic / weekly S1 7,392 trail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U1 exits TP1, U2 exits TP2; on U2 fill, U3 stop → entry ± 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Entry: daily R1 + 24 Jun high cluster (strong). TP2: 24 Jun low + monthly S3 7,359.68 (strong)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weekly P 7,485.29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single-source-indicative daily pivots (§19); ATR(14)=116 is wide vs 27-pt stop — reduce size; holding period collides with 25 Jun PCE (§13d)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Trade 3 — Regime-driven complex (3A Momentum-Pullback)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 — Momentum-Pullback (TRANSITION fork; down-leg active)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pullback entry in the direction of the 23–24 Jun impulse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 stop 7,346.00 on confirmed break of 23 Jun low 7,347.60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7,385.00 — 39 points above; anchor = daily P 7,379.51 + buffer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 points (7,346 → 7,385)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TP1 (38.2%)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7,318.00 — measured pull from the 7,511→7,348 swing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7,309.98 (weekly S2) — ≈ structural target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7,265.81 (daily S3) on 100%+ extension / range breakdown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3A override — on 100%-extension break, U3 stop → halfway entry↔0% anchor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Entry: 23 Jun low break. TP2: weekly S2 cluster (strong)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daily P 7,379.51 (negates the breakdown)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breakout trade — only triggers on confirmed 7,347 break; PCE-driven whipsaw risk (§13d); low-conviction directional score</w:t>
            </w:r>
          </w:p>
        </w:tc>
      </w:tr>
    </w:tbl>
    <w:p>
      <w:pPr>
        <w:pStyle w:val="Heading2"/>
        <w:spacing w:after="100" w:before="180"/>
      </w:pPr>
      <w:r>
        <w:t xml:space="preserve">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186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(fade R1)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 / 7,475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break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7,498 / 7,473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break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7,496 / 7,455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+1.6R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7,470 / 7,366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+2.5R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7,424 / 7,366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+2.0R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7,360 / 7,348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touch R1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7,346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@ +0.3R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conviction &lt; threshold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SL-first tick priority applied where SL and TP fall in the same bar; slippage = 0. Suppressed rows reported for traceability, excluded from the §21d aggregate.</w:t>
      </w:r>
    </w:p>
    <w:p>
      <w:pPr>
        <w:pStyle w:val="Heading2"/>
        <w:spacing w:after="100" w:before="180"/>
      </w:pPr>
      <w:r>
        <w:t xml:space="preserve">21d  'What Is Working' Aggregate</w:t>
      </w:r>
    </w:p>
    <w:p>
      <w:pPr>
        <w:spacing w:after="120" w:before="0"/>
      </w:pPr>
      <w:r>
        <w:t xml:space="preserve">Trade 2 (pivot range-fade) over the last 5 sessions: triggered 4/5, mean R ≈ +1.33, TP1/TP2/TP3 hit ≈ 100% / 50% / 25%. Trade 3A (momentum-pullback) triggered 2/4 with one open, mean R ≈ +1.55 on closed positions, TP1/TP2 ≈ 100% / 50%. Strongest performer: Trade 3A by mean R on closed trades; Trade 2 most consistent by trigger frequency. Weakest: Trade 1 — suppressed throughout (insufficient conviction to rank).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A5F" w:sz="6" w:space="1"/>
        </w:pBdr>
        <w:spacing w:before="240"/>
      </w:pPr>
      <w:r>
        <w:rPr>
          <w:i/>
          <w:iCs/>
          <w:color w:val="777777"/>
          <w:sz w:val="16"/>
          <w:szCs w:val="16"/>
        </w:rPr>
        <w:t xml:space="preserve">Not investment advice. The author is not a licensed financial advisor; this is a forward-test research artifact for trading and risk review. All levels are derived from the validated data window and carry the corroboration caveats stated in §19.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99999"/>
        <w:sz w:val="16"/>
        <w:szCs w:val="16"/>
      </w:rPr>
      <w:t xml:space="preserve">S&amp;P 500 Daily Report │ 25 June 2026 │ Senior US Equity Strategist      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S&amp;P 500 — Daily 25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fd6053e765550de5b212343fe41511460a43a7.png"/><Relationship Id="rId10" Type="http://schemas.openxmlformats.org/officeDocument/2006/relationships/image" Target="media/11549dc9fbab60c1bd10f928221b77f55a8267c0.png"/><Relationship Id="rId11" Type="http://schemas.openxmlformats.org/officeDocument/2006/relationships/image" Target="media/3c1ae91744fd7060fe59c516bce007010b93a013.png"/><Relationship Id="rId12" Type="http://schemas.openxmlformats.org/officeDocument/2006/relationships/image" Target="media/68e653c5327783e5253adc4e3d227c04dac07fcf.png"/><Relationship Id="rId13" Type="http://schemas.openxmlformats.org/officeDocument/2006/relationships/image" Target="media/ae3462ac4dcb575df6de3df1539093fa7c92df8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2026-06-24T21:31:20.256Z</dcterms:created>
  <dcterms:modified xsi:type="dcterms:W3CDTF">2026-06-24T21:31:20.256Z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