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6"/>
          <w:szCs w:val="36"/>
        </w:rPr>
        <w:t xml:space="preserve">S&amp;P 500 Report — Daily: 26 June 2026</w:t>
      </w:r>
    </w:p>
    <w:p>
      <w:pPr>
        <w:spacing w:after="40"/>
      </w:pPr>
      <w:r>
        <w:rPr>
          <w:i/>
          <w:iCs/>
          <w:color w:val="555555"/>
          <w:sz w:val="22"/>
          <w:szCs w:val="22"/>
        </w:rPr>
        <w:t xml:space="preserve">With reference to: USDX · VIX · DAX 40</w:t>
      </w:r>
    </w:p>
    <w:p>
      <w:pPr>
        <w:spacing w:after="200"/>
      </w:pPr>
      <w:r>
        <w:rPr>
          <w:color w:val="777777"/>
          <w:sz w:val="19"/>
          <w:szCs w:val="19"/>
        </w:rPr>
        <w:t xml:space="preserve">Senior US Equity Strategist  ·  Cash index (^GSPC)  ·  Prepared 25 June 2026 (America/New_York)</w:t>
      </w:r>
    </w:p>
    <w:p>
      <w:pPr>
        <w:pBdr>
          <w:bottom w:val="single" w:color="1F3A5F" w:sz="8" w:space="1"/>
        </w:pBdr>
      </w:pPr>
      <w:r>
        <w:rPr>
          <w:sz w:val="2"/>
          <w:szCs w:val="2"/>
        </w:rPr>
        <w:t xml:space="preserve"/>
      </w:r>
    </w:p>
    <w:p>
      <w:pPr>
        <w:pStyle w:val="Heading2"/>
        <w:spacing w:after="120" w:before="220"/>
      </w:pPr>
      <w:r>
        <w:rPr>
          <w:b/>
          <w:bCs/>
          <w:color w:val="1F3A5F"/>
          <w:sz w:val="26"/>
          <w:szCs w:val="26"/>
        </w:rPr>
        <w:t xml:space="preserve">§1  Executive Snapshot</w:t>
      </w:r>
    </w:p>
    <w:p>
      <w:pPr>
        <w:spacing w:after="120"/>
      </w:pPr>
      <w:r>
        <w:rPr>
          <w:sz w:val="21"/>
          <w:szCs w:val="21"/>
        </w:rPr>
        <w:t xml:space="preserve">Consensus level for the 26 June session opens against a most-recent validated close of 7,358.22 (24 Jun), with a defensible consensus reference of 7,358 ± 35 index points (Medium confidence). </w:t>
      </w:r>
      <w:r>
        <w:rPr>
          <w:b/>
          <w:bCs/>
          <w:sz w:val="21"/>
          <w:szCs w:val="21"/>
        </w:rPr>
        <w:t xml:space="preserve">Market tone is balanced-to-cautious. </w:t>
      </w:r>
      <w:r>
        <w:rPr>
          <w:sz w:val="21"/>
          <w:szCs w:val="21"/>
        </w:rPr>
        <w:t xml:space="preserve">Three dominant drivers: (1) a sharp two-session technical break that carried price from the 7,500 shelf down through 7,360 on tech-led derisking; (2) an unusually bullish sell-side reset — JPMorgan, BCA, Barclays and Stifel all lifted year-end targets to 7,800–8,100 this week on AI-earnings momentum; and (3) softening cross-asset risk gauges (VIX easing from the low-19s toward 18.6, a softer dollar, firm European equities) that argue against a disorderly continuation. Short-term technical regime is Trending–Bearish; medium-term is Transitional with a range-bottom lean (latest close sits near the 31st percentile of the 25-session range). Kaufman efficiency classifies the tape as Trending Down — Moderate-to-Strong. The single most important watch item is month-end positioning into the 30 June close and the early-July labour-market data, which will confirm or reject the current pullback. When strategy scoring is active, directional conviction reads SHORT (score −0.56) — a tactical lean that explicitly conflicts with the constructive sell-side fundamental case.</w:t>
      </w:r>
    </w:p>
    <w:p>
      <w:pPr>
        <w:pStyle w:val="Heading2"/>
        <w:spacing w:after="120" w:before="220"/>
      </w:pPr>
      <w:r>
        <w:rPr>
          <w:b/>
          <w:bCs/>
          <w:color w:val="1F3A5F"/>
          <w:sz w:val="26"/>
          <w:szCs w:val="26"/>
        </w:rPr>
        <w:t xml:space="preserve">§2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Field</w:t>
            </w:r>
          </w:p>
        </w:tc>
        <w:tc>
          <w:tcPr>
            <w:tcW w:type="dxa" w:w="67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Value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Asset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S&amp;P 500 cash index (^GSPC) — large-cap US equity benchmark, 503 constituents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Price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Cash index level (continuous), calculated during NYSE/NASDAQ hours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Delivery basis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Regular cash session 09:30–16:00 ET (pre/after-market excluded from OHLC)</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Unit / Currency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Index points / USD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As-of date</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June 2026 last validated session; report horizon 26 June 2026 (America/New_York)</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Lookback window</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5 trading sessions (execution block); 25 sessions (regime block)</w:t>
            </w:r>
          </w:p>
        </w:tc>
      </w:tr>
    </w:tbl>
    <w:p>
      <w:pPr>
        <w:spacing w:after="120"/>
      </w:pPr>
      <w:r>
        <w:rPr>
          <w:b/>
          <w:bCs/>
          <w:sz w:val="20"/>
          <w:szCs w:val="20"/>
        </w:rPr>
        <w:t xml:space="preserve">Note — daily-open anchor override applied for this run. </w:t>
      </w:r>
      <w:r>
        <w:rPr>
          <w:i/>
          <w:iCs/>
          <w:sz w:val="20"/>
          <w:szCs w:val="20"/>
        </w:rPr>
        <w:t xml:space="preserve">The pre-NY-open European-session anchor has been shifted to 00:00 UK (midnight) for this instance per the run instruction, in place of the standard 07:00 UK anchor; the change affects only the reference window used to frame pre-open re-pricing narrative in §16 and the Trade 1 entry-timing note in §21, not the validated OHLC.</w:t>
      </w:r>
    </w:p>
    <w:p>
      <w:pPr>
        <w:pStyle w:val="Heading2"/>
        <w:spacing w:after="120" w:before="220"/>
      </w:pPr>
      <w:r>
        <w:rPr>
          <w:b/>
          <w:bCs/>
          <w:color w:val="1F3A5F"/>
          <w:sz w:val="26"/>
          <w:szCs w:val="26"/>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1500"/>
        <w:gridCol w:w="1760"/>
      </w:tblGrid>
      <w:tr>
        <w:trPr>
          <w:tblHeader/>
        </w:trPr>
        <w:tc>
          <w:tcPr>
            <w:tcW w:type="dxa" w:w="2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Consensus level</w:t>
            </w:r>
          </w:p>
        </w:tc>
        <w:tc>
          <w:tcPr>
            <w:tcW w:type="dxa" w:w="2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Range</w:t>
            </w:r>
          </w:p>
        </w:tc>
        <w:tc>
          <w:tcPr>
            <w:tcW w:type="dxa" w:w="17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Basis</w:t>
            </w:r>
          </w:p>
        </w:tc>
        <w:tc>
          <w:tcPr>
            <w:tcW w:type="dxa" w:w="15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Confidence</w:t>
            </w:r>
          </w:p>
        </w:tc>
        <w:tc>
          <w:tcPr>
            <w:tcW w:type="dxa" w:w="17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Tone</w:t>
            </w:r>
          </w:p>
        </w:tc>
      </w:tr>
      <w:tr>
        <w:trPr>
          <w:tblHeader w:val="false"/>
        </w:trPr>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 pts</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7,323 – 7,393</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Cash close (24 Jun), exchange-corroborated</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Medium</w:t>
            </w:r>
          </w:p>
        </w:tc>
        <w:tc>
          <w:tcPr>
            <w:tcW w:type="dxa" w:w="1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Balanced / cautious</w:t>
            </w:r>
          </w:p>
        </w:tc>
      </w:tr>
    </w:tbl>
    <w:p>
      <w:pPr>
        <w:spacing w:after="120"/>
      </w:pPr>
      <w:r>
        <w:rPr>
          <w:b/>
          <w:bCs/>
          <w:sz w:val="20"/>
          <w:szCs w:val="20"/>
        </w:rPr>
        <w:t xml:space="preserve">Rationale: </w:t>
      </w:r>
      <w:r>
        <w:rPr>
          <w:sz w:val="20"/>
          <w:szCs w:val="20"/>
        </w:rPr>
        <w:t xml:space="preserve">The 24 June official close (7,358.22) is corroborated across exchange-grade and aggregator feeds within tolerance. The 25 June session (in progress at preparation) showed a Micron-led AI-relief rally lifting CFD/derived quotes toward the 7,430–7,475 area, but that print is single-source indicative and is therefore excluded from the validated consensus; it is carried only as directional context for the forward view.</w:t>
      </w:r>
    </w:p>
    <w:p>
      <w:pPr>
        <w:pStyle w:val="Heading2"/>
        <w:spacing w:after="120" w:before="220"/>
      </w:pPr>
      <w:r>
        <w:rPr>
          <w:b/>
          <w:bCs/>
          <w:color w:val="1F3A5F"/>
          <w:sz w:val="26"/>
          <w:szCs w:val="26"/>
        </w:rPr>
        <w:t xml:space="preserve">§4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300"/>
        <w:gridCol w:w="1300"/>
        <w:gridCol w:w="1250"/>
        <w:gridCol w:w="1300"/>
        <w:gridCol w:w="1460"/>
      </w:tblGrid>
      <w:tr>
        <w:trPr>
          <w:tblHeader/>
        </w:trPr>
        <w:tc>
          <w:tcPr>
            <w:tcW w:type="dxa" w:w="15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Source</w:t>
            </w:r>
          </w:p>
        </w:tc>
        <w:tc>
          <w:tcPr>
            <w:tcW w:type="dxa" w:w="12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Date/Time</w:t>
            </w:r>
          </w:p>
        </w:tc>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Raw quote</w:t>
            </w:r>
          </w:p>
        </w:tc>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Normalized</w:t>
            </w:r>
          </w:p>
        </w:tc>
        <w:tc>
          <w:tcPr>
            <w:tcW w:type="dxa" w:w="12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Basis</w:t>
            </w:r>
          </w:p>
        </w:tc>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Relevance</w:t>
            </w:r>
          </w:p>
        </w:tc>
        <w:tc>
          <w:tcPr>
            <w:tcW w:type="dxa" w:w="14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Notes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S&amp;P DJI via FRED</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23 Jun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7,365.46</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7,365.46</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Official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Index provider series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Investing.com</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Cash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Full OHLC table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CNBC / Reuters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Cash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Editorial confirm</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TheStreet</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Cash close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Session recap</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Yahoo Finance ^GSPC</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7,475.34 (derived)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Real-time derived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Directional</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Intraday derived; not used for OHLC</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Trading Economics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25 Jun (CFD)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~7,430–7,475</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CFD/derived</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Excluded</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Single-source indicative; 25 Jun in-progress</w:t>
            </w:r>
          </w:p>
        </w:tc>
      </w:tr>
    </w:tbl>
    <w:p>
      <w:pPr>
        <w:pStyle w:val="Heading2"/>
        <w:spacing w:after="120" w:before="220"/>
      </w:pPr>
      <w:r>
        <w:rPr>
          <w:b/>
          <w:bCs/>
          <w:color w:val="1F3A5F"/>
          <w:sz w:val="26"/>
          <w:szCs w:val="26"/>
        </w:rPr>
        <w:t xml:space="preserve">§5  Consensus Build Explanation</w:t>
      </w:r>
    </w:p>
    <w:p>
      <w:pPr>
        <w:spacing w:after="120"/>
      </w:pPr>
      <w:r>
        <w:rPr>
          <w:sz w:val="21"/>
          <w:szCs w:val="21"/>
        </w:rPr>
        <w:t xml:space="preserve">Comparables required no FX or unit normalization — all sources report the cash index in USD index points. Weighting under the weighted-median method privileges the index provider (S&amp;P Dow Jones via FRED) and the exchange-corroborated cash close, both of which agree on the 23–24 June prints within the ±0.10-point equity tolerance. Real-time derived quotes (Yahoo) and CFD-based quotes (Trading Economics) were down-weighted to directional-only because they reflect intraday or contract-for-difference pricing rather than the official cash settlement. The 25 June relief rally is real but unvalidated at preparation time; admitting it would breach the two-source corroboration rule for that session. The 24 June close is therefore the most defensible anchor.</w:t>
      </w:r>
    </w:p>
    <w:p>
      <w:pPr>
        <w:pStyle w:val="Heading2"/>
        <w:spacing w:after="120" w:before="220"/>
      </w:pPr>
      <w:r>
        <w:rPr>
          <w:b/>
          <w:bCs/>
          <w:color w:val="1B6E3C"/>
          <w:sz w:val="26"/>
          <w:szCs w:val="26"/>
        </w:rPr>
        <w:t xml:space="preserve">§6  Validated OHLC + RSI2 Table (5-Day)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80"/>
        <w:gridCol w:w="1080"/>
        <w:gridCol w:w="1080"/>
        <w:gridCol w:w="1080"/>
        <w:gridCol w:w="720"/>
        <w:gridCol w:w="1090"/>
        <w:gridCol w:w="1180"/>
        <w:gridCol w:w="1000"/>
      </w:tblGrid>
      <w:tr>
        <w:trPr>
          <w:tblHeader/>
        </w:trPr>
        <w:tc>
          <w:tcPr>
            <w:tcW w:type="dxa" w:w="10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w:t>
            </w:r>
          </w:p>
        </w:tc>
        <w:tc>
          <w:tcPr>
            <w:tcW w:type="dxa" w:w="10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Open</w:t>
            </w:r>
          </w:p>
        </w:tc>
        <w:tc>
          <w:tcPr>
            <w:tcW w:type="dxa" w:w="10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High</w:t>
            </w:r>
          </w:p>
        </w:tc>
        <w:tc>
          <w:tcPr>
            <w:tcW w:type="dxa" w:w="10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Low</w:t>
            </w:r>
          </w:p>
        </w:tc>
        <w:tc>
          <w:tcPr>
            <w:tcW w:type="dxa" w:w="10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Close</w:t>
            </w:r>
          </w:p>
        </w:tc>
        <w:tc>
          <w:tcPr>
            <w:tcW w:type="dxa" w:w="72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RSI2</w:t>
            </w:r>
          </w:p>
        </w:tc>
        <w:tc>
          <w:tcPr>
            <w:tcW w:type="dxa" w:w="109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Trend</w:t>
            </w:r>
          </w:p>
        </w:tc>
        <w:tc>
          <w:tcPr>
            <w:tcW w:type="dxa" w:w="11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Source A × B</w:t>
            </w:r>
          </w:p>
        </w:tc>
        <w:tc>
          <w:tcPr>
            <w:tcW w:type="dxa" w:w="10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Validation</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17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7,524.50</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7,532.17</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7,402.61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7,420.10</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0.0</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Bearish</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 × FRED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CORROB. (Δ0.00)</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18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7,487.36</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7,511.07</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7,468.32</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7,500.58</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46.9</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Neutral</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 × FRED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CORROB. (Δ0.00)</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22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7,500.44</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7,530.01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7,460.01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7,472.79</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74.3</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Neutral</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 × FRED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CORROB. (Δ0.00)</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23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7,366.51</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7,424.17</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7,347.60</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7,365.46</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0.0</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Bearish</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 × FRED</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CORROB. (Δ0.00)</w:t>
            </w:r>
          </w:p>
        </w:tc>
      </w:tr>
      <w:tr>
        <w:trPr>
          <w:tblHeader w:val="false"/>
        </w:trPr>
        <w:tc>
          <w:tcPr>
            <w:tcW w:type="dxa" w:w="10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7,370.88</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7,428.06</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7,336.82</w:t>
            </w:r>
          </w:p>
        </w:tc>
        <w:tc>
          <w:tcPr>
            <w:tcW w:type="dxa" w:w="10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7,358.22</w:t>
            </w:r>
          </w:p>
        </w:tc>
        <w:tc>
          <w:tcPr>
            <w:tcW w:type="dxa" w:w="72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0.0</w:t>
            </w:r>
          </w:p>
        </w:tc>
        <w:tc>
          <w:tcPr>
            <w:tcW w:type="dxa" w:w="109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Bearish</w:t>
            </w:r>
          </w:p>
        </w:tc>
        <w:tc>
          <w:tcPr>
            <w:tcW w:type="dxa" w:w="11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 × CNBC</w:t>
            </w:r>
          </w:p>
        </w:tc>
        <w:tc>
          <w:tcPr>
            <w:tcW w:type="dxa" w:w="10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CORROB. (Δ0.00)</w:t>
            </w:r>
          </w:p>
        </w:tc>
      </w:tr>
    </w:tbl>
    <w:p>
      <w:pPr>
        <w:spacing w:after="120"/>
      </w:pPr>
      <w:r>
        <w:rPr>
          <w:i/>
          <w:iCs/>
          <w:sz w:val="19"/>
          <w:szCs w:val="19"/>
        </w:rPr>
        <w:t xml:space="preserve">Close column corroborated to two independent sources within ±0.10 pts. RSI2 computed from the validated close sequence (period fixed at 2). The 23–24 June RSI2 prints of 0.0 reflect two consecutive lower closes against a falling 2-period average — a momentum-washout reading, not a data error.</w:t>
      </w:r>
    </w:p>
    <w:p>
      <w:pPr>
        <w:pStyle w:val="Heading2"/>
        <w:spacing w:after="120" w:before="220"/>
      </w:pPr>
      <w:r>
        <w:rPr>
          <w:b/>
          <w:bCs/>
          <w:color w:val="1B6E3C"/>
          <w:sz w:val="26"/>
          <w:szCs w:val="26"/>
        </w:rPr>
        <w:t xml:space="preserve">§7  Charts</w:t>
      </w:r>
    </w:p>
    <w:p>
      <w:pPr>
        <w:spacing w:after="120"/>
      </w:pPr>
      <w:r>
        <w:rPr>
          <w:b/>
          <w:bCs/>
          <w:sz w:val="21"/>
          <w:szCs w:val="21"/>
        </w:rPr>
        <w:t xml:space="preserve">Chart 1 — 5-Session Candlestick</w:t>
      </w:r>
    </w:p>
    <w:p>
      <w:pPr>
        <w:spacing w:after="160"/>
      </w:pPr>
      <w:r>
        <w:drawing>
          <wp:inline distT="0" distB="0" distL="0" distR="0">
            <wp:extent cx="5715000" cy="3048000"/>
            <wp:effectExtent t="0" r="0" b="0" l="0"/>
            <wp:docPr id="1" name="S&amp;P 500 5-session candlestick" descr="S&amp;P 500 5-session candlestick" title="S&amp;P 500 5-session candle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1"/>
          <w:szCs w:val="21"/>
        </w:rPr>
        <w:t xml:space="preserve">Chart 2 — Distance From Open</w:t>
      </w:r>
    </w:p>
    <w:p>
      <w:pPr>
        <w:spacing w:after="160"/>
      </w:pPr>
      <w:r>
        <w:drawing>
          <wp:inline distT="0" distB="0" distL="0" distR="0">
            <wp:extent cx="5715000" cy="3048000"/>
            <wp:effectExtent t="0" r="0" b="0" l="0"/>
            <wp:docPr id="1" name="Distance from open" descr="Distance from open" title="Distance from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1"/>
          <w:szCs w:val="21"/>
        </w:rPr>
        <w:t xml:space="preserve">Chart 3 — 25-Session Structure</w:t>
      </w:r>
    </w:p>
    <w:p>
      <w:pPr>
        <w:spacing w:after="160"/>
      </w:pPr>
      <w:r>
        <w:drawing>
          <wp:inline distT="0" distB="0" distL="0" distR="0">
            <wp:extent cx="5715000" cy="3048000"/>
            <wp:effectExtent t="0" r="0" b="0" l="0"/>
            <wp:docPr id="1" name="25-session structure" descr="25-session structure" title="25-sessi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120"/>
      </w:pPr>
      <w:r>
        <w:rPr>
          <w:b/>
          <w:bCs/>
          <w:sz w:val="21"/>
          <w:szCs w:val="21"/>
        </w:rPr>
        <w:t xml:space="preserve">Chart 4 — Comparative Volatility (VOLator)</w:t>
      </w:r>
    </w:p>
    <w:p>
      <w:pPr>
        <w:spacing w:after="160"/>
      </w:pPr>
      <w:r>
        <w:drawing>
          <wp:inline distT="0" distB="0" distL="0" distR="0">
            <wp:extent cx="5715000" cy="3171825"/>
            <wp:effectExtent t="0" r="0" b="0" l="0"/>
            <wp:docPr id="1" name="VOLator comparison" descr="VOLator comparison" title="VOLator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120"/>
      </w:pPr>
      <w:r>
        <w:rPr>
          <w:b/>
          <w:bCs/>
          <w:sz w:val="21"/>
          <w:szCs w:val="21"/>
        </w:rPr>
        <w:t xml:space="preserve">Chart 5 — Pivot Structure</w:t>
      </w:r>
    </w:p>
    <w:p>
      <w:pPr>
        <w:spacing w:after="160"/>
      </w:pPr>
      <w:r>
        <w:drawing>
          <wp:inline distT="0" distB="0" distL="0" distR="0">
            <wp:extent cx="5715000" cy="4124325"/>
            <wp:effectExtent t="0" r="0" b="0" l="0"/>
            <wp:docPr id="1" name="Pivot structure" descr="Pivot structure" title="Pivo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24325"/>
                    </a:xfrm>
                    <a:prstGeom prst="rect">
                      <a:avLst/>
                    </a:prstGeom>
                  </pic:spPr>
                </pic:pic>
              </a:graphicData>
            </a:graphic>
          </wp:inline>
        </w:drawing>
      </w:r>
    </w:p>
    <w:p>
      <w:pPr>
        <w:pStyle w:val="Heading2"/>
        <w:spacing w:after="120" w:before="220"/>
      </w:pPr>
      <w:r>
        <w:rPr>
          <w:b/>
          <w:bCs/>
          <w:color w:val="1B6E3C"/>
          <w:sz w:val="26"/>
          <w:szCs w:val="26"/>
        </w:rPr>
        <w:t xml:space="preserve">§8  Short-Term Technical Analysis</w:t>
      </w:r>
    </w:p>
    <w:p>
      <w:pPr>
        <w:pStyle w:val="ListParagraph"/>
        <w:numPr>
          <w:ilvl w:val="0"/>
          <w:numId w:val="1"/>
        </w:numPr>
        <w:spacing w:after="60"/>
      </w:pPr>
      <w:r>
        <w:rPr>
          <w:sz w:val="21"/>
          <w:szCs w:val="21"/>
        </w:rPr>
        <w:t xml:space="preserve">17 Jun (see §6): wide bearish body, close near the session low (~14% of range), RSI2 washed to 0.0 — a decisive down-day that broke the prior up-trend rhythm.</w:t>
      </w:r>
    </w:p>
    <w:p>
      <w:pPr>
        <w:pStyle w:val="ListParagraph"/>
        <w:numPr>
          <w:ilvl w:val="0"/>
          <w:numId w:val="1"/>
        </w:numPr>
        <w:spacing w:after="60"/>
      </w:pPr>
      <w:r>
        <w:rPr>
          <w:sz w:val="21"/>
          <w:szCs w:val="21"/>
        </w:rPr>
        <w:t xml:space="preserve">18 Jun: bullish recovery candle closing in the upper third of range, RSI2 rebounding to 46.9 — a relief bounce that failed to reclaim the 7,520 area.</w:t>
      </w:r>
    </w:p>
    <w:p>
      <w:pPr>
        <w:pStyle w:val="ListParagraph"/>
        <w:numPr>
          <w:ilvl w:val="0"/>
          <w:numId w:val="1"/>
        </w:numPr>
        <w:spacing w:after="60"/>
      </w:pPr>
      <w:r>
        <w:rPr>
          <w:sz w:val="21"/>
          <w:szCs w:val="21"/>
        </w:rPr>
        <w:t xml:space="preserve">22 Jun: small bearish body but RSI2 at 74.3 reflects the two-day close sequence; upper-wick rejection near 7,530 signalled supply at the prior shelf.</w:t>
      </w:r>
    </w:p>
    <w:p>
      <w:pPr>
        <w:pStyle w:val="ListParagraph"/>
        <w:numPr>
          <w:ilvl w:val="0"/>
          <w:numId w:val="1"/>
        </w:numPr>
        <w:spacing w:after="60"/>
      </w:pPr>
      <w:r>
        <w:rPr>
          <w:sz w:val="21"/>
          <w:szCs w:val="21"/>
        </w:rPr>
        <w:t xml:space="preserve">23 Jun: large bearish marubozu-like body, close at the low (~13% of range), RSI2 0.0 — the gap-and-go breakdown through 7,440.</w:t>
      </w:r>
    </w:p>
    <w:p>
      <w:pPr>
        <w:pStyle w:val="ListParagraph"/>
        <w:numPr>
          <w:ilvl w:val="0"/>
          <w:numId w:val="1"/>
        </w:numPr>
        <w:spacing w:after="60"/>
      </w:pPr>
      <w:r>
        <w:rPr>
          <w:sz w:val="21"/>
          <w:szCs w:val="21"/>
        </w:rPr>
        <w:t xml:space="preserve">24 Jun: inside-ish bearish day, close in the lower quarter of range, RSI2 0.0 — continuation, not reversal.</w:t>
      </w:r>
    </w:p>
    <w:p>
      <w:pPr>
        <w:spacing w:after="120"/>
      </w:pPr>
      <w:r>
        <w:rPr>
          <w:b/>
          <w:bCs/>
          <w:sz w:val="21"/>
          <w:szCs w:val="21"/>
        </w:rPr>
        <w:t xml:space="preserve">Sequence assessment: Continuation (bearish). </w:t>
      </w:r>
      <w:r>
        <w:rPr>
          <w:sz w:val="21"/>
          <w:szCs w:val="21"/>
        </w:rPr>
        <w:t xml:space="preserve">Closes travelled persistently lower over the block with low overlap on the 23–24 June legs and RSI2 pinned at the floor. Nearest support from the validated window is 7,336.82 (24 Jun low); nearest resistance is 7,532.17 (17 Jun high), with intermediate supply at 7,428–7,460.</w:t>
      </w:r>
    </w:p>
    <w:p>
      <w:pPr>
        <w:spacing w:after="120"/>
      </w:pPr>
      <w:r>
        <w:rPr>
          <w:b/>
          <w:bCs/>
          <w:sz w:val="21"/>
          <w:szCs w:val="21"/>
        </w:rPr>
        <w:t xml:space="preserve">Judgement label: Bearish continuation. </w:t>
      </w:r>
      <w:r>
        <w:rPr>
          <w:sz w:val="21"/>
          <w:szCs w:val="21"/>
        </w:rPr>
        <w:t xml:space="preserve">This is consistent with the medium-term transitional-bearish regime in §9; no conflict flagged.</w:t>
      </w:r>
    </w:p>
    <w:p>
      <w:pPr>
        <w:pStyle w:val="Heading2"/>
        <w:spacing w:after="120" w:before="220"/>
      </w:pPr>
      <w:r>
        <w:rPr>
          <w:b/>
          <w:bCs/>
          <w:color w:val="1B6E3C"/>
          <w:sz w:val="26"/>
          <w:szCs w:val="26"/>
        </w:rPr>
        <w:t xml:space="preserve">§9  Medium-Term Regime &amp; VOLator</w:t>
      </w:r>
    </w:p>
    <w:p>
      <w:pPr>
        <w:pStyle w:val="ListParagraph"/>
        <w:numPr>
          <w:ilvl w:val="0"/>
          <w:numId w:val="1"/>
        </w:numPr>
        <w:spacing w:after="60"/>
      </w:pPr>
      <w:r>
        <w:rPr>
          <w:b/>
          <w:bCs/>
          <w:sz w:val="21"/>
          <w:szCs w:val="21"/>
        </w:rPr>
        <w:t xml:space="preserve">Regime classification: Transitional (bearish lean). </w:t>
      </w:r>
      <w:r>
        <w:rPr>
          <w:sz w:val="21"/>
          <w:szCs w:val="21"/>
        </w:rPr>
        <w:t xml:space="preserve">Overlap ratio 0.415 (mildly directional), directional persistence 0.55, VOLator slope positive (expansion), median RSI2 51.5, range-position bias ~31% (range-bottom).</w:t>
      </w:r>
    </w:p>
    <w:p>
      <w:pPr>
        <w:pStyle w:val="ListParagraph"/>
        <w:numPr>
          <w:ilvl w:val="0"/>
          <w:numId w:val="1"/>
        </w:numPr>
        <w:spacing w:after="60"/>
      </w:pPr>
      <w:r>
        <w:rPr>
          <w:sz w:val="21"/>
          <w:szCs w:val="21"/>
        </w:rPr>
        <w:t xml:space="preserve">Bias: Bearish — the most recent leg drove price from the 7,620 May/June high zone to the lower third of the 25-session range.</w:t>
      </w:r>
    </w:p>
    <w:p>
      <w:pPr>
        <w:pStyle w:val="ListParagraph"/>
        <w:numPr>
          <w:ilvl w:val="0"/>
          <w:numId w:val="1"/>
        </w:numPr>
        <w:spacing w:after="60"/>
      </w:pPr>
      <w:r>
        <w:rPr>
          <w:sz w:val="21"/>
          <w:szCs w:val="21"/>
        </w:rPr>
        <w:t xml:space="preserve">VOLator current readings: S&amp;P 500 scaled volatility elevated and rising (~+0.9, above midpoint, expanding); VIX-proxy elevated but rolling over; USDX below midpoint and contracting; DAX mildly positive. Volatility expansion into a declining tape confirms the bearish short-term read.</w:t>
      </w:r>
    </w:p>
    <w:p>
      <w:pPr>
        <w:pStyle w:val="ListParagraph"/>
        <w:numPr>
          <w:ilvl w:val="0"/>
          <w:numId w:val="1"/>
        </w:numPr>
        <w:spacing w:after="60"/>
      </w:pPr>
      <w:r>
        <w:rPr>
          <w:sz w:val="21"/>
          <w:szCs w:val="21"/>
        </w:rPr>
        <w:t xml:space="preserve">Preferred trade protocol: Tactical breakout/continuation in the trend direction with reduced size — short-term Trending-Bearish over a Transitional medium-term frame maps to a range-edge / pullback-fade posture.</w:t>
      </w:r>
    </w:p>
    <w:p>
      <w:pPr>
        <w:pStyle w:val="ListParagraph"/>
        <w:numPr>
          <w:ilvl w:val="0"/>
          <w:numId w:val="1"/>
        </w:numPr>
        <w:spacing w:after="60"/>
      </w:pPr>
      <w:r>
        <w:rPr>
          <w:b/>
          <w:bCs/>
          <w:sz w:val="21"/>
          <w:szCs w:val="21"/>
        </w:rPr>
        <w:t xml:space="preserve">Kaufman confirmation: Trending Down — Moderate-to-Strong </w:t>
      </w:r>
      <w:r>
        <w:rPr>
          <w:sz w:val="21"/>
          <w:szCs w:val="21"/>
        </w:rPr>
        <w:t xml:space="preserve">(smoothed KER −0.19, below the −0.13 threshold and falling). KER agrees with the regime synthesis and increases confidence in the bearish lean.</w:t>
      </w:r>
    </w:p>
    <w:p>
      <w:pPr>
        <w:pStyle w:val="Heading2"/>
        <w:spacing w:after="120" w:before="220"/>
      </w:pPr>
      <w:r>
        <w:rPr>
          <w:b/>
          <w:bCs/>
          <w:color w:val="1B6E3C"/>
          <w:sz w:val="26"/>
          <w:szCs w:val="26"/>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200"/>
        <w:gridCol w:w="1300"/>
        <w:gridCol w:w="2060"/>
      </w:tblGrid>
      <w:tr>
        <w:trPr>
          <w:tblHeader/>
        </w:trPr>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Counter</w:t>
            </w:r>
          </w:p>
        </w:tc>
        <w:tc>
          <w:tcPr>
            <w:tcW w:type="dxa" w:w="15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5-day direction</w:t>
            </w:r>
          </w:p>
        </w:tc>
        <w:tc>
          <w:tcPr>
            <w:tcW w:type="dxa" w:w="3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Mechanism</w:t>
            </w:r>
          </w:p>
        </w:tc>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Status</w:t>
            </w:r>
          </w:p>
        </w:tc>
        <w:tc>
          <w:tcPr>
            <w:tcW w:type="dxa" w:w="20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Implication</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USDX</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Falling (~101.2)</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Softer dollar eases global financial conditions; supportive for risk and multinational earnings translation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Contradicts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Risk-positive — argues against disorderly downside continuation</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VIX</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Falling (19.5→18.6)</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Lower implied vol signals fading hedging demand / risk-on</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Contradicts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Risk-positive — pullback looks orderly, not stressed</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DAX 40</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Rising/firm (~25,000)</w:t>
            </w:r>
          </w:p>
        </w:tc>
        <w:tc>
          <w:tcPr>
            <w:tcW w:type="dxa" w:w="3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European equity confirmation of global risk appetite</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Contradicts</w:t>
            </w:r>
          </w:p>
        </w:tc>
        <w:tc>
          <w:tcPr>
            <w:tcW w:type="dxa" w:w="20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Risk-positive — no global risk-off corroboration of the S&amp;P break</w:t>
            </w:r>
          </w:p>
        </w:tc>
      </w:tr>
    </w:tbl>
    <w:p>
      <w:pPr>
        <w:spacing w:after="120"/>
      </w:pPr>
      <w:r>
        <w:rPr>
          <w:b/>
          <w:bCs/>
          <w:color w:val="9B2D5E"/>
          <w:sz w:val="21"/>
          <w:szCs w:val="21"/>
        </w:rPr>
        <w:t xml:space="preserve">Contradiction flag: </w:t>
      </w:r>
      <w:r>
        <w:rPr>
          <w:b/>
          <w:bCs/>
          <w:sz w:val="21"/>
          <w:szCs w:val="21"/>
        </w:rPr>
        <w:t xml:space="preserve">all three active counters lean risk-positive and therefore CONTRADICT the bearish regime synthesis. This cross-asset divergence is not resolved silently — it is carried into §15 and §16 and is the primary reason the forward view is a controlled pullback rather than a trend-reversal-down call.</w:t>
      </w:r>
    </w:p>
    <w:p>
      <w:pPr>
        <w:pStyle w:val="Heading2"/>
        <w:spacing w:after="120" w:before="220"/>
      </w:pPr>
      <w:r>
        <w:rPr>
          <w:b/>
          <w:bCs/>
          <w:color w:val="1B6E3C"/>
          <w:sz w:val="26"/>
          <w:szCs w:val="26"/>
        </w:rPr>
        <w:t xml:space="preserve">§11  Floor Pivot Analysis</w:t>
      </w:r>
    </w:p>
    <w:p>
      <w:pPr>
        <w:spacing w:after="120"/>
      </w:pPr>
      <w:r>
        <w:rPr>
          <w:b/>
          <w:bCs/>
          <w:sz w:val="21"/>
          <w:szCs w:val="21"/>
        </w:rPr>
        <w:t xml:space="preserve">Daily pivots (from 24 Jun H/L/C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R3</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R2</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R1</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P</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S1 / S2</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7,503.15</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7,465.61</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7,411.91</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7,374.37</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7,320.67 / 7,283.13</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
            </w:r>
          </w:p>
        </w:tc>
      </w:tr>
    </w:tbl>
    <w:p>
      <w:pPr>
        <w:spacing w:after="120"/>
      </w:pPr>
      <w:r>
        <w:rPr>
          <w:b/>
          <w:bCs/>
          <w:sz w:val="21"/>
          <w:szCs w:val="21"/>
        </w:rPr>
        <w:t xml:space="preserve">Weekly pivots (prior week 15–18 Jun H/L/C — CORROBORATED):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R2</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R1</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P</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S1</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S2</w:t>
            </w:r>
          </w:p>
        </w:tc>
        <w:tc>
          <w:tcPr>
            <w:tcW w:type="dxa" w:w="15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S3</w:t>
            </w:r>
          </w:p>
        </w:tc>
      </w:tr>
      <w:tr>
        <w:trPr>
          <w:tblHeader w:val="false"/>
        </w:trPr>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7,669.01</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7,584.80</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7,493.70</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7,409.49</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7,318.39</w:t>
            </w:r>
          </w:p>
        </w:tc>
        <w:tc>
          <w:tcPr>
            <w:tcW w:type="dxa" w:w="15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7,234.18</w:t>
            </w:r>
          </w:p>
        </w:tc>
      </w:tr>
    </w:tbl>
    <w:p>
      <w:pPr>
        <w:spacing w:after="120"/>
      </w:pPr>
      <w:r>
        <w:rPr>
          <w:b/>
          <w:bCs/>
          <w:sz w:val="21"/>
          <w:szCs w:val="21"/>
        </w:rPr>
        <w:t xml:space="preserve">Monthly pivots (prior month May 2026): </w:t>
      </w:r>
      <w:r>
        <w:rPr>
          <w:i/>
          <w:iCs/>
          <w:sz w:val="21"/>
          <w:szCs w:val="21"/>
        </w:rPr>
        <w:t xml:space="preserve">marked INDICATIVE — single-source only. Full May OHLC could not be two-source corroborated at preparation; monthly levels are therefore excluded from level-based order placement in §21 per the suppression contract.</w:t>
      </w:r>
    </w:p>
    <w:p>
      <w:pPr>
        <w:spacing w:after="120"/>
      </w:pPr>
      <w:r>
        <w:rPr>
          <w:b/>
          <w:bCs/>
          <w:sz w:val="21"/>
          <w:szCs w:val="21"/>
        </w:rPr>
        <w:t xml:space="preserve">Position narrative: </w:t>
      </w:r>
      <w:r>
        <w:rPr>
          <w:sz w:val="21"/>
          <w:szCs w:val="21"/>
        </w:rPr>
        <w:t xml:space="preserve">the 24 June close (7,358) sits below the daily P (7,374) and below the weekly P (7,494), between weekly S1 (7,409) and S2 (7,318). Daily S1 (7,321) and weekly S2 (7,318) form a confluence support band at ~7,318–7,321 (within 0.05%) — the key downside shelf. First resistance is the daily P/R1 cluster at 7,374–7,412.</w:t>
      </w:r>
    </w:p>
    <w:p>
      <w:pPr>
        <w:pStyle w:val="Heading2"/>
        <w:spacing w:after="120" w:before="220"/>
      </w:pPr>
      <w:r>
        <w:rPr>
          <w:b/>
          <w:bCs/>
          <w:color w:val="9A6A00"/>
          <w:sz w:val="26"/>
          <w:szCs w:val="26"/>
        </w:rPr>
        <w:t xml:space="preserve">§12  Key Market Considerations</w:t>
      </w:r>
    </w:p>
    <w:p>
      <w:pPr>
        <w:pStyle w:val="ListParagraph"/>
        <w:numPr>
          <w:ilvl w:val="0"/>
          <w:numId w:val="1"/>
        </w:numPr>
        <w:spacing w:after="60"/>
      </w:pPr>
      <w:r>
        <w:rPr>
          <w:b/>
          <w:bCs/>
          <w:sz w:val="21"/>
          <w:szCs w:val="21"/>
        </w:rPr>
        <w:t xml:space="preserve">Earnings / fundamentals (price-supportive, structural): </w:t>
      </w:r>
      <w:r>
        <w:rPr>
          <w:sz w:val="21"/>
          <w:szCs w:val="21"/>
        </w:rPr>
        <w:t xml:space="preserve">Q1 2026 S&amp;P EPS grew ~28.9% YoY; Q2 expected ~+22%. JPMorgan lifted 2026 EPS to $350 (2027 $390). AI-infrastructure capex remains the dominant driver.</w:t>
      </w:r>
    </w:p>
    <w:p>
      <w:pPr>
        <w:pStyle w:val="ListParagraph"/>
        <w:numPr>
          <w:ilvl w:val="0"/>
          <w:numId w:val="1"/>
        </w:numPr>
        <w:spacing w:after="60"/>
      </w:pPr>
      <w:r>
        <w:rPr>
          <w:b/>
          <w:bCs/>
          <w:sz w:val="21"/>
          <w:szCs w:val="21"/>
        </w:rPr>
        <w:t xml:space="preserve">Positioning / valuation (price-negative, cyclical): </w:t>
      </w:r>
      <w:r>
        <w:rPr>
          <w:sz w:val="21"/>
          <w:szCs w:val="21"/>
        </w:rPr>
        <w:t xml:space="preserve">forward P/E ~20.7×; JPMorgan flags 'extreme crowding' in second/third-order AI names and a high probability of a flash-crash — the near-term derisking catalyst.</w:t>
      </w:r>
    </w:p>
    <w:p>
      <w:pPr>
        <w:pStyle w:val="ListParagraph"/>
        <w:numPr>
          <w:ilvl w:val="0"/>
          <w:numId w:val="1"/>
        </w:numPr>
        <w:spacing w:after="60"/>
      </w:pPr>
      <w:r>
        <w:rPr>
          <w:b/>
          <w:bCs/>
          <w:sz w:val="21"/>
          <w:szCs w:val="21"/>
        </w:rPr>
        <w:t xml:space="preserve">Substitution / breadth (neutral-to-supportive): </w:t>
      </w:r>
      <w:r>
        <w:rPr>
          <w:sz w:val="21"/>
          <w:szCs w:val="21"/>
        </w:rPr>
        <w:t xml:space="preserve">Dow and Russell 2000 rose on 24 Jun while the S&amp;P and Nasdaq fell — a rotation out of mega-cap tech rather than broad risk-off.</w:t>
      </w:r>
    </w:p>
    <w:p>
      <w:pPr>
        <w:pStyle w:val="ListParagraph"/>
        <w:numPr>
          <w:ilvl w:val="0"/>
          <w:numId w:val="1"/>
        </w:numPr>
        <w:spacing w:after="60"/>
      </w:pPr>
      <w:r>
        <w:rPr>
          <w:b/>
          <w:bCs/>
          <w:sz w:val="21"/>
          <w:szCs w:val="21"/>
        </w:rPr>
        <w:t xml:space="preserve">Policy / macro (neutral): </w:t>
      </w:r>
      <w:r>
        <w:rPr>
          <w:sz w:val="21"/>
          <w:szCs w:val="21"/>
        </w:rPr>
        <w:t xml:space="preserve">Fed expected on hold through 2026; oil collapsing (Brent −4.3% to ~$73.7, WTI to ~$70.3) easing inflation risk; 10Y yield slipping below 4.5%.</w:t>
      </w:r>
    </w:p>
    <w:p>
      <w:pPr>
        <w:pStyle w:val="ListParagraph"/>
        <w:numPr>
          <w:ilvl w:val="0"/>
          <w:numId w:val="1"/>
        </w:numPr>
        <w:spacing w:after="60"/>
      </w:pPr>
      <w:r>
        <w:rPr>
          <w:b/>
          <w:bCs/>
          <w:sz w:val="21"/>
          <w:szCs w:val="21"/>
        </w:rPr>
        <w:t xml:space="preserve">Near-term catalysts (cyclical): </w:t>
      </w:r>
      <w:r>
        <w:rPr>
          <w:sz w:val="21"/>
          <w:szCs w:val="21"/>
        </w:rPr>
        <w:t xml:space="preserve">month-end rebalancing into 30 Jun; early-July labour data; the back-half of Q2 earnings season starting July — all flagged in §13d.</w:t>
      </w:r>
    </w:p>
    <w:p>
      <w:pPr>
        <w:pStyle w:val="Heading2"/>
        <w:spacing w:after="120" w:before="220"/>
      </w:pPr>
      <w:r>
        <w:rPr>
          <w:b/>
          <w:bCs/>
          <w:color w:val="9A6A00"/>
          <w:sz w:val="26"/>
          <w:szCs w:val="26"/>
        </w:rPr>
        <w:t xml:space="preserve">§13  Sentiment, News &amp; Calendar</w:t>
      </w:r>
    </w:p>
    <w:p>
      <w:pPr>
        <w:spacing w:after="120"/>
      </w:pPr>
      <w:r>
        <w:rPr>
          <w:b/>
          <w:bCs/>
          <w:sz w:val="22"/>
          <w:szCs w:val="22"/>
        </w:rPr>
        <w:t xml:space="preserve">§13a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2400"/>
        <w:gridCol w:w="1250"/>
        <w:gridCol w:w="1500"/>
        <w:gridCol w:w="1810"/>
      </w:tblGrid>
      <w:tr>
        <w:trPr>
          <w:tblHeader/>
        </w:trPr>
        <w:tc>
          <w:tcPr>
            <w:tcW w:type="dxa" w:w="12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Source</w:t>
            </w:r>
          </w:p>
        </w:tc>
        <w:tc>
          <w:tcPr>
            <w:tcW w:type="dxa" w:w="11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w:t>
            </w:r>
          </w:p>
        </w:tc>
        <w:tc>
          <w:tcPr>
            <w:tcW w:type="dxa" w:w="24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Headline (abridged)</w:t>
            </w:r>
          </w:p>
        </w:tc>
        <w:tc>
          <w:tcPr>
            <w:tcW w:type="dxa" w:w="125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Class.</w:t>
            </w:r>
          </w:p>
        </w:tc>
        <w:tc>
          <w:tcPr>
            <w:tcW w:type="dxa" w:w="15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Sentiment</w:t>
            </w:r>
          </w:p>
        </w:tc>
        <w:tc>
          <w:tcPr>
            <w:tcW w:type="dxa" w:w="181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Derivation quote</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Reuters</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JPMorgan raises S&amp;P 500 target to 7,800, joins bullish trend</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Institutional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Bullish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“citing strong earnings momentum… AI-led investment boom”</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Bloomberg</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JPMorgan lifts target to 7,800 as ‘Blue Sky’ approaches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Institutional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Bullish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“stronger-than-expected earnings growth… peace deal”</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CNBC</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JPMorgan hikes target, but sees hurdles ahead</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Institutional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Mixed (+)</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“path upwards will likely be non-linear”</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Investing.com</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JPMorgan calls earnings revision ‘unprecedented’</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Institutional</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Bullish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“earnings revision unprecedented”</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TheStreet</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Nasdaq, S&amp;P 500 fall before Micron earnings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Bearish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“gave up its day gains as declines in… technology weighed”</w:t>
            </w:r>
          </w:p>
        </w:tc>
      </w:tr>
      <w:tr>
        <w:trPr>
          <w:tblHeader w:val="false"/>
        </w:trPr>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CNBC</w:t>
            </w:r>
          </w:p>
        </w:tc>
        <w:tc>
          <w:tcPr>
            <w:tcW w:type="dxa" w:w="11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23 Jun</w:t>
            </w:r>
          </w:p>
        </w:tc>
        <w:tc>
          <w:tcPr>
            <w:tcW w:type="dxa" w:w="24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Nasdaq closes lower as chip sell-off resumes</w:t>
            </w:r>
          </w:p>
        </w:tc>
        <w:tc>
          <w:tcPr>
            <w:tcW w:type="dxa" w:w="125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Media</w:t>
            </w:r>
          </w:p>
        </w:tc>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Bearish</w:t>
            </w:r>
          </w:p>
        </w:tc>
        <w:tc>
          <w:tcPr>
            <w:tcW w:type="dxa" w:w="181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“rout in the technology sector dragged the S&amp;P 500… lower”</w:t>
            </w:r>
          </w:p>
        </w:tc>
      </w:tr>
    </w:tbl>
    <w:p>
      <w:pPr>
        <w:spacing w:after="120"/>
      </w:pPr>
      <w:r>
        <w:rPr>
          <w:b/>
          <w:bCs/>
          <w:sz w:val="22"/>
          <w:szCs w:val="22"/>
        </w:rPr>
        <w:t xml:space="preserve">§13b  Aggregate Sentiment</w:t>
      </w:r>
    </w:p>
    <w:p>
      <w:pPr>
        <w:spacing w:after="120"/>
      </w:pPr>
      <w:r>
        <w:rPr>
          <w:sz w:val="21"/>
          <w:szCs w:val="21"/>
        </w:rPr>
        <w:t xml:space="preserve">Counts: 3 Bullish (institutional), 1 Mixed-positive (institutional), 2 Bearish (media) = Mixed, institutionally bullish. </w:t>
      </w:r>
      <w:r>
        <w:rPr>
          <w:b/>
          <w:bCs/>
          <w:sz w:val="21"/>
          <w:szCs w:val="21"/>
        </w:rPr>
        <w:t xml:space="preserve">Numeric tilt = −0.04 </w:t>
      </w:r>
      <w:r>
        <w:rPr>
          <w:sz w:val="21"/>
          <w:szCs w:val="21"/>
        </w:rPr>
        <w:t xml:space="preserve">on the source-class-weighted formula (strong-conviction institutional bulls are offset in the near term by a fresh, lower-weighted media-led derisking narrative and the institutional flash-crash caveat). Categorical-vs-numeric divergence is reported: the categorical lean is bullish on a year-end horizon while the numeric near-term tilt is roughly flat-to-slightly-negative — the analyst should weight by horizon. This tilt is consumed by §21a.</w:t>
      </w:r>
    </w:p>
    <w:p>
      <w:pPr>
        <w:spacing w:after="120"/>
      </w:pPr>
      <w:r>
        <w:rPr>
          <w:b/>
          <w:bCs/>
          <w:color w:val="9B2D5E"/>
          <w:sz w:val="21"/>
          <w:szCs w:val="21"/>
        </w:rPr>
        <w:t xml:space="preserve">Divergence flag: </w:t>
      </w:r>
      <w:r>
        <w:rPr>
          <w:sz w:val="21"/>
          <w:szCs w:val="21"/>
        </w:rPr>
        <w:t xml:space="preserve">predominantly bullish strategist commentary coincides with a falling price — a sentiment/price divergence. Given the §9 regime and §10 cross-asset reads, the near-term price/technical signal takes precedence for the 5-day horizon; the bullish institutional case governs the multi-month horizon.</w:t>
      </w:r>
    </w:p>
    <w:p>
      <w:pPr>
        <w:spacing w:after="120"/>
      </w:pPr>
      <w:r>
        <w:rPr>
          <w:b/>
          <w:bCs/>
          <w:sz w:val="22"/>
          <w:szCs w:val="22"/>
        </w:rPr>
        <w:t xml:space="preserve">§13c  News Calendar — Previous Period (5 sessions to 24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w:t>
            </w:r>
          </w:p>
        </w:tc>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Event</w:t>
            </w:r>
          </w:p>
        </w:tc>
        <w:tc>
          <w:tcPr>
            <w:tcW w:type="dxa" w:w="2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Context</w:t>
            </w:r>
          </w:p>
        </w:tc>
        <w:tc>
          <w:tcPr>
            <w:tcW w:type="dxa" w:w="9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Impact</w:t>
            </w:r>
          </w:p>
        </w:tc>
        <w:tc>
          <w:tcPr>
            <w:tcW w:type="dxa" w:w="23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Implication for S&amp;P 500</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Tue 23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Semiconductor sell-off (SMH −7%)</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AI-name de-risking</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Dragged S&amp;P/Nasdaq lower; broke 7,440</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Wed 24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Oil collapse (Brent −4.3%)</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Strait of Hormuz de-escalation</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Eased inflation risk; lifted Dow/breadth</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Wed 24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JPMorgan target → 7,800</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Mid-year outlook</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Reinforced bullish year-end frame</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Wed 24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Micron earnings (after-bell)</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Beat &amp; raise (~$50bn guide)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Sparked 25 Jun AI-relief rally</w:t>
            </w:r>
          </w:p>
        </w:tc>
      </w:tr>
    </w:tbl>
    <w:p>
      <w:pPr>
        <w:spacing w:after="120"/>
      </w:pPr>
      <w:r>
        <w:rPr>
          <w:b/>
          <w:bCs/>
          <w:sz w:val="22"/>
          <w:szCs w:val="22"/>
        </w:rPr>
        <w:t xml:space="preserve">§13d  News Calendar — Upcoming Period (5 sessions from 26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200"/>
        <w:gridCol w:w="900"/>
        <w:gridCol w:w="2360"/>
      </w:tblGrid>
      <w:tr>
        <w:trPr>
          <w:tblHeader/>
        </w:trPr>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w:t>
            </w:r>
          </w:p>
        </w:tc>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Event</w:t>
            </w:r>
          </w:p>
        </w:tc>
        <w:tc>
          <w:tcPr>
            <w:tcW w:type="dxa" w:w="2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Context</w:t>
            </w:r>
          </w:p>
        </w:tc>
        <w:tc>
          <w:tcPr>
            <w:tcW w:type="dxa" w:w="9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Impact</w:t>
            </w:r>
          </w:p>
        </w:tc>
        <w:tc>
          <w:tcPr>
            <w:tcW w:type="dxa" w:w="23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Implication (beat / miss)</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Fri 26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PCE follow-through / Fed-speak</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Inflation gauge</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Med</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Cooler → supportive; hotter → renews rate-hike fear</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Tue 30 Jun</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Month-end / quarter-end rebalance</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Index reconstitution flows</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Mechanical flows can amplify or fade the pullback</w:t>
            </w:r>
          </w:p>
        </w:tc>
      </w:tr>
      <w:tr>
        <w:trPr>
          <w:tblHeader w:val="false"/>
        </w:trPr>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Wed–Fri 1–3 Jul</w:t>
            </w:r>
          </w:p>
        </w:tc>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Early-July labour data (incl. NFP)</w:t>
            </w:r>
          </w:p>
        </w:tc>
        <w:tc>
          <w:tcPr>
            <w:tcW w:type="dxa" w:w="2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Jobs trajectory</w:t>
            </w:r>
          </w:p>
        </w:tc>
        <w:tc>
          <w:tcPr>
            <w:tcW w:type="dxa" w:w="9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High</w:t>
            </w:r>
          </w:p>
        </w:tc>
        <w:tc>
          <w:tcPr>
            <w:tcW w:type="dxa" w:w="23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Strong jobs → hike-risk headwind; soft → relief</w:t>
            </w:r>
          </w:p>
        </w:tc>
      </w:tr>
    </w:tbl>
    <w:p>
      <w:pPr>
        <w:spacing w:after="120"/>
      </w:pPr>
      <w:r>
        <w:rPr>
          <w:b/>
          <w:bCs/>
          <w:sz w:val="21"/>
          <w:szCs w:val="21"/>
        </w:rPr>
        <w:t xml:space="preserve">Highest-impact upcoming event: </w:t>
      </w:r>
      <w:r>
        <w:rPr>
          <w:b/>
          <w:bCs/>
          <w:sz w:val="21"/>
          <w:szCs w:val="21"/>
        </w:rPr>
        <w:t xml:space="preserve">the early-July labour-market data (incl. NFP). </w:t>
      </w:r>
      <w:r>
        <w:rPr>
          <w:sz w:val="21"/>
          <w:szCs w:val="21"/>
        </w:rPr>
        <w:t xml:space="preserve">A hot print would harden JPMorgan’s 2027-hike scenario and pressure multiples, flipping the consensus view back toward the 7,318 confluence support; a soft print would validate the bullish institutional case and target a reclaim of 7,494.</w:t>
      </w:r>
    </w:p>
    <w:p>
      <w:pPr>
        <w:pStyle w:val="Heading2"/>
        <w:spacing w:after="120" w:before="220"/>
      </w:pPr>
      <w:r>
        <w:rPr>
          <w:b/>
          <w:bCs/>
          <w:color w:val="9A6A00"/>
          <w:sz w:val="26"/>
          <w:szCs w:val="26"/>
        </w:rPr>
        <w:t xml:space="preserve">§14  Macro Context</w:t>
      </w:r>
    </w:p>
    <w:p>
      <w:pPr>
        <w:pStyle w:val="ListParagraph"/>
        <w:numPr>
          <w:ilvl w:val="0"/>
          <w:numId w:val="1"/>
        </w:numPr>
        <w:spacing w:after="60"/>
      </w:pPr>
      <w:r>
        <w:rPr>
          <w:sz w:val="21"/>
          <w:szCs w:val="21"/>
        </w:rPr>
        <w:t xml:space="preserve">Rates &amp; policy: Fed seen on hold through 2026 (hikes not expected until 2027). Cross-referencing the §10 VIX read — falling implied vol — corroborates a market not pricing imminent policy stress.</w:t>
      </w:r>
    </w:p>
    <w:p>
      <w:pPr>
        <w:pStyle w:val="ListParagraph"/>
        <w:numPr>
          <w:ilvl w:val="0"/>
          <w:numId w:val="1"/>
        </w:numPr>
        <w:spacing w:after="60"/>
      </w:pPr>
      <w:r>
        <w:rPr>
          <w:sz w:val="21"/>
          <w:szCs w:val="21"/>
        </w:rPr>
        <w:t xml:space="preserve">Inflation: collapsing oil (WTI ~$70, Brent ~$74) is price-supportive for equities via the inflation/discount-rate channel; PCE within expectations on 25 Jun.</w:t>
      </w:r>
    </w:p>
    <w:p>
      <w:pPr>
        <w:pStyle w:val="ListParagraph"/>
        <w:numPr>
          <w:ilvl w:val="0"/>
          <w:numId w:val="1"/>
        </w:numPr>
        <w:spacing w:after="60"/>
      </w:pPr>
      <w:r>
        <w:rPr>
          <w:sz w:val="21"/>
          <w:szCs w:val="21"/>
        </w:rPr>
        <w:t xml:space="preserve">Safe-haven / real yields: Gold fell sharply this week as the Iran war premium evaporated — risk-on / war-premium unwind, supportive for equities at the margin.</w:t>
      </w:r>
    </w:p>
    <w:p>
      <w:pPr>
        <w:pStyle w:val="ListParagraph"/>
        <w:numPr>
          <w:ilvl w:val="0"/>
          <w:numId w:val="1"/>
        </w:numPr>
        <w:spacing w:after="60"/>
      </w:pPr>
      <w:r>
        <w:rPr>
          <w:sz w:val="21"/>
          <w:szCs w:val="21"/>
        </w:rPr>
        <w:t xml:space="preserve">Liquidity &amp; FX: per §10, USDX is soft and contracting — easier global conditions, mildly supportive.</w:t>
      </w:r>
    </w:p>
    <w:p>
      <w:pPr>
        <w:pStyle w:val="ListParagraph"/>
        <w:numPr>
          <w:ilvl w:val="0"/>
          <w:numId w:val="1"/>
        </w:numPr>
        <w:spacing w:after="60"/>
      </w:pPr>
      <w:r>
        <w:rPr>
          <w:sz w:val="21"/>
          <w:szCs w:val="21"/>
        </w:rPr>
        <w:t xml:space="preserve">Positioning: VIX low-18s; JPMorgan flags extreme crowding in speculative AI names — the key positioning risk. Watch item: early-July labour data (per §13d) directly drives the rate path and is the dominant macro swing factor.</w:t>
      </w:r>
    </w:p>
    <w:p>
      <w:pPr>
        <w:pStyle w:val="Heading2"/>
        <w:spacing w:after="120" w:before="220"/>
      </w:pPr>
      <w:r>
        <w:rPr>
          <w:b/>
          <w:bCs/>
          <w:color w:val="1F3A5F"/>
          <w:sz w:val="26"/>
          <w:szCs w:val="26"/>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Upside risks</w:t>
            </w:r>
          </w:p>
        </w:tc>
        <w:tc>
          <w:tcPr>
            <w:tcW w:type="dxa" w:w="468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Downside risks</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Bullish sell-side reset (7,800–8,100 targets); AI-earnings momentum; Micron beat-and-raise reigniting the AI trade; falling VIX and soft dollar (§10); oil/inflation relief; close holding above the 7,318 confluence support (§11).</w:t>
            </w:r>
          </w:p>
        </w:tc>
        <w:tc>
          <w:tcPr>
            <w:tcW w:type="dxa" w:w="468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Extreme crowding / flash-crash risk flagged by JPMorgan; bearish short-term continuation and Trending-Down KER (§9); break of the 7,318–7,321 daily-S1/weekly-S2 confluence (§11) opening 7,234; hot early-July labour data (§13d) reviving rate-hike fears; valuation at ~20.7× forward.</w:t>
            </w:r>
          </w:p>
        </w:tc>
      </w:tr>
    </w:tbl>
    <w:p>
      <w:pPr>
        <w:pStyle w:val="Heading2"/>
        <w:spacing w:after="120" w:before="220"/>
      </w:pPr>
      <w:r>
        <w:rPr>
          <w:b/>
          <w:bCs/>
          <w:color w:val="1F3A5F"/>
          <w:sz w:val="26"/>
          <w:szCs w:val="26"/>
        </w:rPr>
        <w:t xml:space="preserve">§16  Forward View</w:t>
      </w:r>
    </w:p>
    <w:p>
      <w:pPr>
        <w:spacing w:after="120"/>
      </w:pPr>
      <w:r>
        <w:rPr>
          <w:b/>
          <w:bCs/>
          <w:sz w:val="21"/>
          <w:szCs w:val="21"/>
        </w:rPr>
        <w:t xml:space="preserve">Expected direction (next 5 sessions): </w:t>
      </w:r>
      <w:r>
        <w:rPr>
          <w:sz w:val="21"/>
          <w:szCs w:val="21"/>
        </w:rPr>
        <w:t xml:space="preserve">a controlled, two-way pullback with a modest downside skew, framed by an expected trading range of roughly 7,318–7,494. Base case: price chops between the 7,318–7,321 confluence support and the 7,374–7,412 daily pivot resistance, with the 25 June AI-relief bounce (indicative) capable of carrying a test of the weekly P at 7,494. </w:t>
      </w:r>
      <w:r>
        <w:rPr>
          <w:i/>
          <w:iCs/>
          <w:sz w:val="21"/>
          <w:szCs w:val="21"/>
        </w:rPr>
        <w:t xml:space="preserve">This view respects the §9 bearish-transitional regime but is deliberately moderated by the §10 cross-asset contradiction </w:t>
      </w:r>
      <w:r>
        <w:rPr>
          <w:sz w:val="21"/>
          <w:szCs w:val="21"/>
        </w:rPr>
        <w:t xml:space="preserve">— all three counters lean risk-positive, so a clean trend-down is not corroborated. Invalidation of the base case: a daily close back above the weekly P (7,494) flips the bias constructive; a daily close below 7,234 (weekly S3) confirms a deeper risk-off leg. The midnight-UK pre-open anchor (override) frames the European-session re-pricing read into the NY open.</w:t>
      </w:r>
    </w:p>
    <w:p>
      <w:pPr>
        <w:pStyle w:val="Heading2"/>
        <w:spacing w:after="120" w:before="220"/>
      </w:pPr>
      <w:r>
        <w:rPr>
          <w:b/>
          <w:bCs/>
          <w:color w:val="1F3A5F"/>
          <w:sz w:val="26"/>
          <w:szCs w:val="26"/>
        </w:rPr>
        <w:t xml:space="preserve">§17  Forecast</w:t>
      </w:r>
    </w:p>
    <w:p>
      <w:pPr>
        <w:spacing w:after="120"/>
      </w:pPr>
      <w:r>
        <w:rPr>
          <w:b/>
          <w:bCs/>
          <w:sz w:val="22"/>
          <w:szCs w:val="22"/>
        </w:rPr>
        <w:t xml:space="preserve">The S&amp;P 500 is most likely to consolidate lower within a 7,318–7,494 band over the coming five sessions, holding the 7,318–7,321 confluence support unless early-July labour data surprises hot.</w:t>
      </w:r>
    </w:p>
    <w:p>
      <w:pPr>
        <w:pStyle w:val="Heading2"/>
        <w:spacing w:after="120" w:before="220"/>
      </w:pPr>
      <w:r>
        <w:rPr>
          <w:b/>
          <w:bCs/>
          <w:color w:val="1F3A5F"/>
          <w:sz w:val="26"/>
          <w:szCs w:val="26"/>
        </w:rPr>
        <w:t xml:space="preserve">§18  Final Analyst Judgement</w:t>
      </w:r>
    </w:p>
    <w:p>
      <w:pPr>
        <w:spacing w:after="120"/>
      </w:pPr>
      <w:r>
        <w:rPr>
          <w:b/>
          <w:bCs/>
          <w:sz w:val="21"/>
          <w:szCs w:val="21"/>
        </w:rPr>
        <w:t xml:space="preserve">Consensus price call: 7,358 ± 35 pts · Confidence: Medium. </w:t>
      </w:r>
      <w:r>
        <w:rPr>
          <w:sz w:val="21"/>
          <w:szCs w:val="21"/>
        </w:rPr>
        <w:t xml:space="preserve">Three most important reasons: (1) bearish short-term continuation with Trending-Down KER and volatility expansion (§8–§9); (2) a risk-positive cross-asset backdrop that caps downside and argues for an orderly pullback (§10); (3) an institutionally bullish multi-month fundamental case (§12–§13) that conflicts with the near-term tape. Single watch item: the 7,318–7,321 daily-S1/weekly-S2 confluence support — holding it keeps the structure a pullback; losing it opens 7,234.</w:t>
      </w:r>
    </w:p>
    <w:p>
      <w:pPr>
        <w:pStyle w:val="Heading2"/>
        <w:spacing w:after="120" w:before="220"/>
      </w:pPr>
      <w:r>
        <w:rPr>
          <w:b/>
          <w:bCs/>
          <w:color w:val="1F3A5F"/>
          <w:sz w:val="26"/>
          <w:szCs w:val="26"/>
        </w:rPr>
        <w:t xml:space="preserve">§19  Source Discipline Note</w:t>
      </w:r>
    </w:p>
    <w:p>
      <w:pPr>
        <w:pStyle w:val="ListParagraph"/>
        <w:numPr>
          <w:ilvl w:val="0"/>
          <w:numId w:val="1"/>
        </w:numPr>
        <w:spacing w:after="60"/>
      </w:pPr>
      <w:r>
        <w:rPr>
          <w:sz w:val="21"/>
          <w:szCs w:val="21"/>
        </w:rPr>
        <w:t xml:space="preserve">Live vs indicative: 17–24 Jun primary OHLC is CORROBORATED (two-source, within ±0.10-pt equity tolerance). The 25 Jun session and all CFD/derived quotes are single-source indicative and excluded from validated data.</w:t>
      </w:r>
    </w:p>
    <w:p>
      <w:pPr>
        <w:pStyle w:val="ListParagraph"/>
        <w:numPr>
          <w:ilvl w:val="0"/>
          <w:numId w:val="1"/>
        </w:numPr>
        <w:spacing w:after="60"/>
      </w:pPr>
      <w:r>
        <w:rPr>
          <w:sz w:val="21"/>
          <w:szCs w:val="21"/>
        </w:rPr>
        <w:t xml:space="preserve">Corroboration status per surface: daily pivots (from 24 Jun) CORROBORATED; weekly pivots (15–18 Jun) CORROBORATED; monthly pivots SINGLE-SOURCE INDICATIVE — excluded from §21 level placement.</w:t>
      </w:r>
    </w:p>
    <w:p>
      <w:pPr>
        <w:pStyle w:val="ListParagraph"/>
        <w:numPr>
          <w:ilvl w:val="0"/>
          <w:numId w:val="1"/>
        </w:numPr>
        <w:spacing w:after="60"/>
      </w:pPr>
      <w:r>
        <w:rPr>
          <w:sz w:val="21"/>
          <w:szCs w:val="21"/>
        </w:rPr>
        <w:t xml:space="preserve">Counters (USDX, VIX, DAX) resolved for directional use only (VIX carries no OHLC pivots by rule). No fields were synthesised; the 25 Jun rally is carried as narrative context, not data.</w:t>
      </w:r>
    </w:p>
    <w:p>
      <w:pPr>
        <w:pStyle w:val="ListParagraph"/>
        <w:numPr>
          <w:ilvl w:val="0"/>
          <w:numId w:val="1"/>
        </w:numPr>
        <w:spacing w:after="60"/>
      </w:pPr>
      <w:r>
        <w:rPr>
          <w:sz w:val="21"/>
          <w:szCs w:val="21"/>
        </w:rPr>
        <w:t xml:space="preserve">Data gaps: full May OHLC for the monthly pivot could not be two-source corroborated at preparation time.</w:t>
      </w:r>
    </w:p>
    <w:p>
      <w:pPr>
        <w:pStyle w:val="Heading2"/>
        <w:spacing w:after="120" w:before="220"/>
      </w:pPr>
      <w:r>
        <w:rPr>
          <w:b/>
          <w:bCs/>
          <w:color w:val="9A6A00"/>
          <w:sz w:val="26"/>
          <w:szCs w:val="26"/>
        </w:rPr>
        <w:t xml:space="preserve">§20  Agent Log</w:t>
      </w:r>
    </w:p>
    <w:p>
      <w:pPr>
        <w:pStyle w:val="ListParagraph"/>
        <w:numPr>
          <w:ilvl w:val="0"/>
          <w:numId w:val="1"/>
        </w:numPr>
        <w:spacing w:after="60"/>
      </w:pPr>
      <w:r>
        <w:rPr>
          <w:sz w:val="21"/>
          <w:szCs w:val="21"/>
        </w:rPr>
        <w:t xml:space="preserve">Sources attempted (OHLC): Investing.com (rank 1, corroborated), FRED/S&amp;P DJI (index provider, corroborated on closes), CNBC/Reuters/TheStreet (editorial confirm), Yahoo (derived — directional only), Trading Economics (CFD — excluded), Stooq (rank 3 — robots-blocked, not retrieved), Barchart (rank 2 — not retrieved). Corroborated pair for closes: Investing.com × FRED, Δ = 0.00 pts (tolerance ±0.10).</w:t>
      </w:r>
    </w:p>
    <w:p>
      <w:pPr>
        <w:pStyle w:val="ListParagraph"/>
        <w:numPr>
          <w:ilvl w:val="0"/>
          <w:numId w:val="1"/>
        </w:numPr>
        <w:spacing w:after="60"/>
      </w:pPr>
      <w:r>
        <w:rPr>
          <w:sz w:val="21"/>
          <w:szCs w:val="21"/>
        </w:rPr>
        <w:t xml:space="preserve">Validation method: two-source corroboration on all five validated sessions; RSI2 (period 2), ATR(14)=122.5, KER(13, EMA-3)=−0.19 computed from the validated close sequence.</w:t>
      </w:r>
    </w:p>
    <w:p>
      <w:pPr>
        <w:pStyle w:val="ListParagraph"/>
        <w:numPr>
          <w:ilvl w:val="0"/>
          <w:numId w:val="1"/>
        </w:numPr>
        <w:spacing w:after="60"/>
      </w:pPr>
      <w:r>
        <w:rPr>
          <w:sz w:val="21"/>
          <w:szCs w:val="21"/>
        </w:rPr>
        <w:t xml:space="preserve">Sentiment derivation: 6 articles, source-class-weighted; numeric tilt −0.04 (low-confidence not triggered — 6 ≥ 3). Categorical-vs-numeric divergence reported in §13b.</w:t>
      </w:r>
    </w:p>
    <w:p>
      <w:pPr>
        <w:pStyle w:val="ListParagraph"/>
        <w:numPr>
          <w:ilvl w:val="0"/>
          <w:numId w:val="1"/>
        </w:numPr>
        <w:spacing w:after="60"/>
      </w:pPr>
      <w:r>
        <w:rPr>
          <w:sz w:val="21"/>
          <w:szCs w:val="21"/>
        </w:rPr>
        <w:t xml:space="preserve">Direction-score weights basis: DEFAULTS (v2.1 baseline 0.25/0.20/0.10/0.15/0.15/0.15); no tuning applied; weights within the 20-session lock window.</w:t>
      </w:r>
    </w:p>
    <w:p>
      <w:pPr>
        <w:pStyle w:val="ListParagraph"/>
        <w:numPr>
          <w:ilvl w:val="0"/>
          <w:numId w:val="1"/>
        </w:numPr>
        <w:spacing w:after="60"/>
      </w:pPr>
      <w:r>
        <w:rPr>
          <w:sz w:val="21"/>
          <w:szCs w:val="21"/>
        </w:rPr>
        <w:t xml:space="preserve">Forecast reasoning: bearish short/medium technical + Trending-Down KER, moderated by risk-positive cross-asset contradiction; net SHORT conviction (−0.56) flagged as conflicting with the §17 consolidation-lower forecast and the bullish institutional case.</w:t>
      </w:r>
    </w:p>
    <w:p>
      <w:pPr>
        <w:pStyle w:val="ListParagraph"/>
        <w:numPr>
          <w:ilvl w:val="0"/>
          <w:numId w:val="1"/>
        </w:numPr>
        <w:spacing w:after="60"/>
      </w:pPr>
      <w:r>
        <w:rPr>
          <w:sz w:val="21"/>
          <w:szCs w:val="21"/>
        </w:rPr>
        <w:t xml:space="preserve">Overrides applied: [DAILY_OPEN_ANCHOR] overridden to 00:00 UK (midnight) for this run; report horizon set to 26 Jun 2026. Anomalies: 23–24 Jun RSI2 pinned at 0.0 (valid washout). Backtest reconstructed over 5 prior sessions with t−1 sentiment/ATR/pivot freeze (no forward leakage).</w:t>
      </w:r>
    </w:p>
    <w:p>
      <w:pPr>
        <w:pStyle w:val="ListParagraph"/>
        <w:numPr>
          <w:ilvl w:val="0"/>
          <w:numId w:val="1"/>
        </w:numPr>
        <w:spacing w:after="60"/>
      </w:pPr>
      <w:r>
        <w:rPr>
          <w:sz w:val="21"/>
          <w:szCs w:val="21"/>
        </w:rPr>
        <w:t xml:space="preserve">Timestamp: prepared 25 June 2026, ~21:30 UK.</w:t>
      </w:r>
    </w:p>
    <w:p>
      <w:pPr>
        <w:pStyle w:val="Heading2"/>
        <w:spacing w:after="120" w:before="220"/>
      </w:pPr>
      <w:r>
        <w:rPr>
          <w:b/>
          <w:bCs/>
          <w:color w:val="9B2D5E"/>
          <w:sz w:val="26"/>
          <w:szCs w:val="26"/>
        </w:rPr>
        <w:t xml:space="preserve">§21  Strategy Recommendations</w:t>
      </w:r>
    </w:p>
    <w:p>
      <w:pPr>
        <w:spacing w:after="120"/>
      </w:pPr>
      <w:r>
        <w:rPr>
          <w:b/>
          <w:bCs/>
          <w:sz w:val="22"/>
          <w:szCs w:val="22"/>
        </w:rPr>
        <w:t xml:space="preserve">§21a  Directional Conviction</w:t>
      </w:r>
    </w:p>
    <w:p>
      <w:pPr>
        <w:spacing w:after="120"/>
      </w:pPr>
      <w:r>
        <w:rPr>
          <w:b/>
          <w:bCs/>
          <w:sz w:val="21"/>
          <w:szCs w:val="21"/>
        </w:rPr>
        <w:t xml:space="preserve">Direction: SHORT · Score −0.56 (weights basis: defaults). </w:t>
      </w:r>
      <w:r>
        <w:rPr>
          <w:sz w:val="21"/>
          <w:szCs w:val="21"/>
        </w:rPr>
        <w:t xml:space="preserve">Three highest-weighted contributing signals: short-term technical bias (§8) −0.25, Kaufman/regime (§9) −0.15, medium-term regime (§9) −0.12; partially offset by cross-asset confirmation (§10) +0.09. </w:t>
      </w:r>
      <w:r>
        <w:rPr>
          <w:b/>
          <w:bCs/>
          <w:sz w:val="21"/>
          <w:szCs w:val="21"/>
        </w:rPr>
        <w:t xml:space="preserve">Conflict flag: the directional score points SHORT while §17 leans to range-bound consolidation and the institutional case (§13) is bullish on a multi-month horizon — neither output is edited to align. Conviction threshold (0.25) is exceeded, so Trade 1 produces.</w:t>
      </w:r>
    </w:p>
    <w:p>
      <w:pPr>
        <w:spacing w:after="120"/>
      </w:pPr>
      <w:r>
        <w:rPr>
          <w:b/>
          <w:bCs/>
          <w:sz w:val="22"/>
          <w:szCs w:val="22"/>
        </w:rPr>
        <w:t xml:space="preserve">§21b  Trade Cards</w:t>
      </w:r>
    </w:p>
    <w:p>
      <w:pPr>
        <w:spacing w:after="120"/>
      </w:pPr>
      <w:r>
        <w:rPr>
          <w:b/>
          <w:bCs/>
          <w:color w:val="9B2D5E"/>
          <w:sz w:val="21"/>
          <w:szCs w:val="21"/>
        </w:rPr>
        <w:t xml:space="preserve">Trade 1 — Daily Directional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Field</w:t>
            </w:r>
          </w:p>
        </w:tc>
        <w:tc>
          <w:tcPr>
            <w:tcW w:type="dxa" w:w="67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 — bearish short-term continuation, Trending-Down KER regime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Stop-entry at 7,336.80 on a confirmed break of the 24 Jun low (or market at the 00:00 UK anchor if already below)</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7,412.00 — 75.2 points above entry; structural anchor = daily R1 / 18 Jun supply shelf</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75.2 points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TP1 (Unit 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7,261.60 — +1R (−75 pts); confluence with the 10 Jun swing-low zone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TP2 (Unit 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7,186.40 — +2R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7,111.20 — +3R cap; runner exit = session close + 3×ATR cap (≈ 367 pts)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3 equal units; U1 exits TP1, U2 exits TP2; on U2 fill, U3 stop → entry ± 0.2R (≈15 pts)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Entry at 24 Jun low (swing); SL at daily R1 + 18 Jun shelf (strong confluence); TP1 near 10 Jun demand</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Daily close back above weekly P 7,493.70 (distinct from SL) — breaks the bearish narrative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Conflicts with §17 forecast; cross-asset counters contradict (§10) — size reduced; holding period spans §13d month-end rebalance</w:t>
            </w:r>
          </w:p>
        </w:tc>
      </w:tr>
    </w:tbl>
    <w:p>
      <w:pPr>
        <w:spacing w:after="120"/>
      </w:pPr>
      <w:r>
        <w:rPr>
          <w:b/>
          <w:bCs/>
          <w:color w:val="9B2D5E"/>
          <w:sz w:val="21"/>
          <w:szCs w:val="21"/>
        </w:rPr>
        <w:t xml:space="preserve">Trade 2 — Pivot (regime-aware, SHORT-from-resistance)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Field</w:t>
            </w:r>
          </w:p>
        </w:tc>
        <w:tc>
          <w:tcPr>
            <w:tcW w:type="dxa" w:w="67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 — fade rallies into pivot resistance within the bearish-transitional regime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Sell limit at 7,374.37 (daily P); scale at 7,411.91 (daily R1)</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7,465.61 — daily R2; 91.2 pts above the P entry</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91.2 points (P entry)</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7,320.67 — daily S1 (+0.6R); confluence with weekly S2 7,318.39 (strong confluence)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7,283.13 — daily S2</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Pivot P of next session / weekly S3 7,234.18; runner exit rule = pivot 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3 equal units; standard tranche rule; on U2 fill U3 stop → entry ± 0.2R</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TP1 at daily-S1/weekly-S2 confluence band 7,318–7,321 (within 0.05%)</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Daily close above weekly P 7,493.70</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Daily &amp; weekly pivots CORROBORATED (tradeable); monthly pivots single-source indicative and not used; counters contradict (§10)</w:t>
            </w:r>
          </w:p>
        </w:tc>
      </w:tr>
    </w:tbl>
    <w:p>
      <w:pPr>
        <w:spacing w:after="120"/>
      </w:pPr>
      <w:r>
        <w:rPr>
          <w:b/>
          <w:bCs/>
          <w:color w:val="9B2D5E"/>
          <w:sz w:val="21"/>
          <w:szCs w:val="21"/>
        </w:rPr>
        <w:t xml:space="preserve">Trade 3 — Regime-driven complex → 3A Momentum-Pullback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Field</w:t>
            </w:r>
          </w:p>
        </w:tc>
        <w:tc>
          <w:tcPr>
            <w:tcW w:type="dxa" w:w="67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Detail</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Direction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 — fork resolves to 3A: Trending-Down KER + VOLator expansion select Momentum-Pullback, not 3B mean-reversion</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Entry</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Sell on a pullback into 7,411.91 (daily R1) / 38.2% retrace of the 7,532→7,337 down-leg (≈7,412)</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Stop loss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7,465.61 — above daily R2 / 50% retrace; 53.7 pts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Risk (R)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53.7 points</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TP1</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Range mid / 38.2% target 7,357 (≈ measured-move first leg)</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TP2</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7,318.39 — weekly S2 confluence</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TP3 (runner)</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100%+ extension of the down-leg toward 7,234 (weekly S3); runner exit = range breakout</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Tranche mgmt</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3A structural override: on 100%-extension break, U3 stop → halfway between entry and 0% anchor (≈7,439)</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Confluences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Entry at daily-R1 + fib 38.2% (strong confluence); TP2 at weekly S2</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Thesis invalidation</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Daily close above 7,493.70 weekly P</w:t>
            </w:r>
          </w:p>
        </w:tc>
      </w:tr>
      <w:tr>
        <w:trPr>
          <w:tblHeader w:val="false"/>
        </w:trPr>
        <w:tc>
          <w:tcPr>
            <w:tcW w:type="dxa" w:w="26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Caveats</w:t>
            </w:r>
          </w:p>
        </w:tc>
        <w:tc>
          <w:tcPr>
            <w:tcW w:type="dxa" w:w="67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RANGE dual-gate not met (KER trending) so 3B suppressed — fork falls to 3A; counters contradict (§10)</w:t>
            </w:r>
          </w:p>
        </w:tc>
      </w:tr>
    </w:tbl>
    <w:p>
      <w:pPr>
        <w:spacing w:after="120"/>
      </w:pPr>
      <w:r>
        <w:rPr>
          <w:b/>
          <w:bCs/>
          <w:sz w:val="22"/>
          <w:szCs w:val="22"/>
        </w:rPr>
        <w:t xml:space="preserve">§21c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100"/>
        <w:gridCol w:w="1700"/>
        <w:gridCol w:w="1100"/>
        <w:gridCol w:w="1460"/>
      </w:tblGrid>
      <w:tr>
        <w:trPr>
          <w:tblHeader/>
        </w:trPr>
        <w:tc>
          <w:tcPr>
            <w:tcW w:type="dxa" w:w="15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Date (t−N)</w:t>
            </w:r>
          </w:p>
        </w:tc>
        <w:tc>
          <w:tcPr>
            <w:tcW w:type="dxa" w:w="12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Strategy</w:t>
            </w:r>
          </w:p>
        </w:tc>
        <w:tc>
          <w:tcPr>
            <w:tcW w:type="dxa" w:w="13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Direction</w:t>
            </w:r>
          </w:p>
        </w:tc>
        <w:tc>
          <w:tcPr>
            <w:tcW w:type="dxa" w:w="11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Triggered</w:t>
            </w:r>
          </w:p>
        </w:tc>
        <w:tc>
          <w:tcPr>
            <w:tcW w:type="dxa" w:w="17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Entry / Exit</w:t>
            </w:r>
          </w:p>
        </w:tc>
        <w:tc>
          <w:tcPr>
            <w:tcW w:type="dxa" w:w="110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Outcome (R)</w:t>
            </w:r>
          </w:p>
        </w:tc>
        <w:tc>
          <w:tcPr>
            <w:tcW w:type="dxa" w:w="1460"/>
            <w:tcBorders>
              <w:top w:val="single" w:color="BBBBBB" w:sz="1"/>
              <w:left w:val="single" w:color="BBBBBB" w:sz="1"/>
              <w:bottom w:val="single" w:color="BBBBBB" w:sz="1"/>
              <w:right w:val="single" w:color="BBBBBB" w:sz="1"/>
            </w:tcBorders>
            <w:shd w:fill="D9E2EC" w:val="clear"/>
            <w:tcMar>
              <w:top w:type="dxa" w:w="60"/>
              <w:left w:type="dxa" w:w="90"/>
              <w:bottom w:type="dxa" w:w="60"/>
              <w:right w:type="dxa" w:w="90"/>
            </w:tcMar>
          </w:tcPr>
          <w:p>
            <w:r>
              <w:rPr>
                <w:b/>
                <w:bCs/>
                <w:sz w:val="19"/>
                <w:szCs w:val="19"/>
              </w:rPr>
              <w:t xml:space="preserve">Days</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17 Jun (t−5)</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7,420 / 7,358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+0.8R (open)</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5+ (open)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17 Jun (t−5)</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7,494 / 7,409</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+1.0R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17 Jun (t−5)</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limit not reached</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18 Jun (t−4)</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NO</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no break of low</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18 Jun (t−4)</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7,500 / 7,460</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+0.5R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22 Jun (t−3)</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7,460 / 7,366</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+1.6R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22 Jun (t−3)</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7,500 / 7,366</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+1.5R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23 Jun (t−2)</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7,347 / 7,358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−0.3R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23 Jun (t−2)</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3A</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7,424 / 7,366</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+0.9R</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 (t−1)</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1</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7,337 / 7,358 (open)</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−0.3R (open)</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 (open)</w:t>
            </w:r>
          </w:p>
        </w:tc>
      </w:tr>
      <w:tr>
        <w:trPr>
          <w:tblHeader w:val="false"/>
        </w:trPr>
        <w:tc>
          <w:tcPr>
            <w:tcW w:type="dxa" w:w="15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24 Jun (t−1)</w:t>
            </w:r>
          </w:p>
        </w:tc>
        <w:tc>
          <w:tcPr>
            <w:tcW w:type="dxa" w:w="12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Trade 2</w:t>
            </w:r>
          </w:p>
        </w:tc>
        <w:tc>
          <w:tcPr>
            <w:tcW w:type="dxa" w:w="13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SHORT</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YES</w:t>
            </w:r>
          </w:p>
        </w:tc>
        <w:tc>
          <w:tcPr>
            <w:tcW w:type="dxa" w:w="17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7,374 / 7,358</w:t>
            </w:r>
          </w:p>
        </w:tc>
        <w:tc>
          <w:tcPr>
            <w:tcW w:type="dxa" w:w="110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+0.2R (open)</w:t>
            </w:r>
          </w:p>
        </w:tc>
        <w:tc>
          <w:tcPr>
            <w:tcW w:type="dxa" w:w="1460"/>
            <w:tcBorders>
              <w:top w:val="single" w:color="BBBBBB" w:sz="1"/>
              <w:left w:val="single" w:color="BBBBBB" w:sz="1"/>
              <w:bottom w:val="single" w:color="BBBBBB" w:sz="1"/>
              <w:right w:val="single" w:color="BBBBBB" w:sz="1"/>
            </w:tcBorders>
            <w:tcMar>
              <w:top w:type="dxa" w:w="60"/>
              <w:left w:type="dxa" w:w="90"/>
              <w:bottom w:type="dxa" w:w="60"/>
              <w:right w:type="dxa" w:w="90"/>
            </w:tcMar>
          </w:tcPr>
          <w:p>
            <w:r>
              <w:rPr>
                <w:b w:val="false"/>
                <w:bCs w:val="false"/>
                <w:sz w:val="19"/>
                <w:szCs w:val="19"/>
              </w:rPr>
              <w:t xml:space="preserve">1+ (open)</w:t>
            </w:r>
          </w:p>
        </w:tc>
      </w:tr>
    </w:tbl>
    <w:p>
      <w:pPr>
        <w:spacing w:after="120"/>
      </w:pPr>
      <w:r>
        <w:rPr>
          <w:b/>
          <w:bCs/>
          <w:sz w:val="22"/>
          <w:szCs w:val="22"/>
        </w:rPr>
        <w:t xml:space="preserve">§21d  ‘What Is Working’ Aggregate</w:t>
      </w:r>
    </w:p>
    <w:p>
      <w:pPr>
        <w:spacing w:after="120"/>
      </w:pPr>
      <w:r>
        <w:rPr>
          <w:sz w:val="21"/>
          <w:szCs w:val="21"/>
        </w:rPr>
        <w:t xml:space="preserve">Trade 1 over the last 5 sessions: triggered 4/5, mean R ≈ +0.45, TP1/TP2/TP3 hit ≈ 50% / 25% / 0%. Trade 2: triggered 5/5, mean R ≈ +0.74, the most consistent performer fading pivot resistance into the down-move. Trade 3A: triggered 1/2, mean R ≈ +0.9 on its single fill. </w:t>
      </w:r>
      <w:r>
        <w:rPr>
          <w:b/>
          <w:bCs/>
          <w:sz w:val="21"/>
          <w:szCs w:val="21"/>
        </w:rPr>
        <w:t xml:space="preserve">Strongest performer: Trade 2 (pivot fade). Weakest: Trade 1 (whipsawed on the 23–24 Jun basing). </w:t>
      </w:r>
    </w:p>
    <w:p>
      <w:pPr>
        <w:spacing w:after="120"/>
      </w:pPr>
      <w:r>
        <w:rPr>
          <w:i/>
          <w:iCs/>
          <w:sz w:val="20"/>
          <w:szCs w:val="20"/>
        </w:rPr>
        <w:t xml:space="preserve">Five-session windows are too small to support statistical claims. The backtest cannot model intraday tick-level fills, slippage, or commission. Treat as a directional sanity-check, not a strategy-validation framework.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S&amp;P 500 Daily Report  │  26 June 2026  │  Senior US Equity Strategist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0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5dfc3e4dced781f06914383c7a33985f591da1.png"/><Relationship Id="rId9" Type="http://schemas.openxmlformats.org/officeDocument/2006/relationships/image" Target="media/7aa51d2dec5830d9e321cacd50eaf83f5137a766.png"/><Relationship Id="rId10" Type="http://schemas.openxmlformats.org/officeDocument/2006/relationships/image" Target="media/450b10b1efda3f7c051b29f6d5b91d955d16c003.png"/><Relationship Id="rId11" Type="http://schemas.openxmlformats.org/officeDocument/2006/relationships/image" Target="media/12ef811d5be52335c67f25a66f710ef97da9af87.png"/><Relationship Id="rId12" Type="http://schemas.openxmlformats.org/officeDocument/2006/relationships/image" Target="media/f021877e2466b40e5396ba0ae7c50f32eba30db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2026-06-25T21:37:59.860Z</dcterms:created>
  <dcterms:modified xsi:type="dcterms:W3CDTF">2026-06-25T21:37:59.860Z</dcterms:modified>
</cp:coreProperties>
</file>

<file path=docProps/custom.xml><?xml version="1.0" encoding="utf-8"?>
<Properties xmlns="http://schemas.openxmlformats.org/officeDocument/2006/custom-properties" xmlns:vt="http://schemas.openxmlformats.org/officeDocument/2006/docPropsVTypes"/>
</file>