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700"/>
        <w:jc w:val="center"/>
      </w:pPr>
      <w:r>
        <w:rPr>
          <w:rFonts w:ascii="Calibri" w:cs="Calibri" w:eastAsia="Calibri" w:hAnsi="Calibri"/>
          <w:b/>
          <w:bCs/>
          <w:color w:val="1F3A5F"/>
          <w:sz w:val="62"/>
          <w:szCs w:val="62"/>
        </w:rPr>
        <w:t xml:space="preserve">S&amp;P 500 Index</w:t>
      </w:r>
    </w:p>
    <w:p>
      <w:pPr>
        <w:spacing w:after="60"/>
        <w:jc w:val="center"/>
      </w:pPr>
      <w:r>
        <w:rPr>
          <w:rFonts w:ascii="Calibri" w:cs="Calibri" w:eastAsia="Calibri" w:hAnsi="Calibri"/>
          <w:b/>
          <w:bCs/>
          <w:color w:val="2C6FBB"/>
          <w:sz w:val="40"/>
          <w:szCs w:val="40"/>
        </w:rPr>
        <w:t xml:space="preserve">Daily Market Report</w:t>
      </w:r>
    </w:p>
    <w:p>
      <w:pPr>
        <w:spacing w:after="340"/>
        <w:jc w:val="center"/>
      </w:pPr>
      <w:r>
        <w:rPr>
          <w:rFonts w:ascii="Calibri" w:cs="Calibri" w:eastAsia="Calibri" w:hAnsi="Calibri"/>
          <w:color w:val="1A1A2E"/>
          <w:sz w:val="28"/>
          <w:szCs w:val="28"/>
        </w:rPr>
        <w:t xml:space="preserve">Daily: 26 May 2026</w:t>
      </w:r>
    </w:p>
    <w:p>
      <w:pPr>
        <w:spacing w:after="40"/>
        <w:jc w:val="center"/>
      </w:pPr>
      <w:r>
        <w:rPr>
          <w:rFonts w:ascii="Calibri" w:cs="Calibri" w:eastAsia="Calibri" w:hAnsi="Calibri"/>
          <w:i/>
          <w:iCs/>
          <w:color w:val="5A6678"/>
          <w:sz w:val="22"/>
          <w:szCs w:val="22"/>
        </w:rPr>
        <w:t xml:space="preserve">With reference to:  USDX  ·  VIX  ·  DAX 40</w:t>
      </w:r>
    </w:p>
    <w:p>
      <w:pPr>
        <w:spacing w:after="520"/>
        <w:jc w:val="center"/>
      </w:pPr>
      <w:r>
        <w:rPr>
          <w:rFonts w:ascii="Calibri" w:cs="Calibri" w:eastAsia="Calibri" w:hAnsi="Calibri"/>
          <w:i/>
          <w:iCs/>
          <w:color w:val="7A8696"/>
          <w:sz w:val="19"/>
          <w:szCs w:val="19"/>
        </w:rPr>
        <w:t xml:space="preserve">Trading and risk review — forward-test  ·  Strategy recommendations enabled</w:t>
      </w:r>
    </w:p>
    <w:tbl>
      <w:tblPr>
        <w:tblW w:type="dxa" w:w="9360"/>
        <w:tblBorders>
          <w:top w:val="single" w:color="C9D4E2" w:sz="2"/>
          <w:left w:val="single" w:color="C9D4E2" w:sz="2"/>
          <w:bottom w:val="single" w:color="C9D4E2" w:sz="2"/>
          <w:right w:val="single" w:color="C9D4E2" w:sz="2"/>
          <w:insideH w:val="single" w:color="C9D4E2" w:sz="2"/>
          <w:insideV w:val="single" w:color="C9D4E2" w:sz="2"/>
        </w:tblBorders>
      </w:tblPr>
      <w:tblGrid>
        <w:gridCol w:w="3120"/>
        <w:gridCol w:w="3120"/>
        <w:gridCol w:w="3120"/>
      </w:tblGrid>
      <w:tr>
        <w:tc>
          <w:tcPr>
            <w:tcW w:type="dxa" w:w="3120"/>
            <w:shd w:fill="1F3A5F" w:val="clear"/>
            <w:tcMar>
              <w:top w:type="dxa" w:w="70"/>
              <w:left w:type="dxa" w:w="90"/>
              <w:bottom w:type="dxa" w:w="70"/>
              <w:right w:type="dxa" w:w="90"/>
            </w:tcMar>
            <w:vAlign w:val="center"/>
          </w:tcPr>
          <w:p>
            <w:pPr>
              <w:spacing w:after="0" w:line="248"/>
              <w:jc w:val="center"/>
            </w:pPr>
            <w:r>
              <w:rPr>
                <w:rFonts w:ascii="Calibri" w:cs="Calibri" w:eastAsia="Calibri" w:hAnsi="Calibri"/>
                <w:b/>
                <w:bCs/>
                <w:color w:val="FFFFFF"/>
                <w:sz w:val="16"/>
                <w:szCs w:val="16"/>
              </w:rPr>
              <w:t xml:space="preserve">CONSENSUS LEVEL</w:t>
            </w:r>
          </w:p>
        </w:tc>
        <w:tc>
          <w:tcPr>
            <w:tcW w:type="dxa" w:w="3120"/>
            <w:shd w:fill="1F3A5F" w:val="clear"/>
            <w:tcMar>
              <w:top w:type="dxa" w:w="70"/>
              <w:left w:type="dxa" w:w="90"/>
              <w:bottom w:type="dxa" w:w="70"/>
              <w:right w:type="dxa" w:w="90"/>
            </w:tcMar>
            <w:vAlign w:val="center"/>
          </w:tcPr>
          <w:p>
            <w:pPr>
              <w:spacing w:after="0" w:line="248"/>
              <w:jc w:val="center"/>
            </w:pPr>
            <w:r>
              <w:rPr>
                <w:rFonts w:ascii="Calibri" w:cs="Calibri" w:eastAsia="Calibri" w:hAnsi="Calibri"/>
                <w:b/>
                <w:bCs/>
                <w:color w:val="FFFFFF"/>
                <w:sz w:val="16"/>
                <w:szCs w:val="16"/>
              </w:rPr>
              <w:t xml:space="preserve">MARKET TONE</w:t>
            </w:r>
          </w:p>
        </w:tc>
        <w:tc>
          <w:tcPr>
            <w:tcW w:type="dxa" w:w="3120"/>
            <w:shd w:fill="1F3A5F" w:val="clear"/>
            <w:tcMar>
              <w:top w:type="dxa" w:w="70"/>
              <w:left w:type="dxa" w:w="90"/>
              <w:bottom w:type="dxa" w:w="70"/>
              <w:right w:type="dxa" w:w="90"/>
            </w:tcMar>
            <w:vAlign w:val="center"/>
          </w:tcPr>
          <w:p>
            <w:pPr>
              <w:spacing w:after="0" w:line="248"/>
              <w:jc w:val="center"/>
            </w:pPr>
            <w:r>
              <w:rPr>
                <w:rFonts w:ascii="Calibri" w:cs="Calibri" w:eastAsia="Calibri" w:hAnsi="Calibri"/>
                <w:b/>
                <w:bCs/>
                <w:color w:val="FFFFFF"/>
                <w:sz w:val="16"/>
                <w:szCs w:val="16"/>
              </w:rPr>
              <w:t xml:space="preserve">DIRECTIONAL CONVICTION</w:t>
            </w:r>
          </w:p>
        </w:tc>
      </w:tr>
      <w:tr>
        <w:tc>
          <w:tcPr>
            <w:tcW w:type="dxa" w:w="3120"/>
            <w:shd w:fill="EEF2F7" w:val="clear"/>
            <w:tcMar>
              <w:top w:type="dxa" w:w="70"/>
              <w:left w:type="dxa" w:w="90"/>
              <w:bottom w:type="dxa" w:w="70"/>
              <w:right w:type="dxa" w:w="90"/>
            </w:tcMar>
            <w:vAlign w:val="center"/>
          </w:tcPr>
          <w:p>
            <w:pPr>
              <w:spacing w:after="0" w:line="248"/>
              <w:jc w:val="center"/>
            </w:pPr>
            <w:r>
              <w:rPr>
                <w:rFonts w:ascii="Calibri" w:cs="Calibri" w:eastAsia="Calibri" w:hAnsi="Calibri"/>
                <w:b/>
                <w:bCs/>
                <w:color w:val="1F3A5F"/>
                <w:sz w:val="32"/>
                <w:szCs w:val="32"/>
              </w:rPr>
              <w:t xml:space="preserve">7,473.47</w:t>
            </w:r>
          </w:p>
        </w:tc>
        <w:tc>
          <w:tcPr>
            <w:tcW w:type="dxa" w:w="3120"/>
            <w:shd w:fill="EEF2F7" w:val="clear"/>
            <w:tcMar>
              <w:top w:type="dxa" w:w="70"/>
              <w:left w:type="dxa" w:w="90"/>
              <w:bottom w:type="dxa" w:w="70"/>
              <w:right w:type="dxa" w:w="90"/>
            </w:tcMar>
            <w:vAlign w:val="center"/>
          </w:tcPr>
          <w:p>
            <w:pPr>
              <w:spacing w:after="0" w:line="248"/>
              <w:jc w:val="center"/>
            </w:pPr>
            <w:r>
              <w:rPr>
                <w:rFonts w:ascii="Calibri" w:cs="Calibri" w:eastAsia="Calibri" w:hAnsi="Calibri"/>
                <w:b/>
                <w:bCs/>
                <w:color w:val="1A7F5A"/>
                <w:sz w:val="32"/>
                <w:szCs w:val="32"/>
              </w:rPr>
              <w:t xml:space="preserve">Bullish</w:t>
            </w:r>
          </w:p>
        </w:tc>
        <w:tc>
          <w:tcPr>
            <w:tcW w:type="dxa" w:w="3120"/>
            <w:shd w:fill="EEF2F7" w:val="clear"/>
            <w:tcMar>
              <w:top w:type="dxa" w:w="70"/>
              <w:left w:type="dxa" w:w="90"/>
              <w:bottom w:type="dxa" w:w="70"/>
              <w:right w:type="dxa" w:w="90"/>
            </w:tcMar>
            <w:vAlign w:val="center"/>
          </w:tcPr>
          <w:p>
            <w:pPr>
              <w:spacing w:after="0" w:line="248"/>
              <w:jc w:val="center"/>
            </w:pPr>
            <w:r>
              <w:rPr>
                <w:rFonts w:ascii="Calibri" w:cs="Calibri" w:eastAsia="Calibri" w:hAnsi="Calibri"/>
                <w:b/>
                <w:bCs/>
                <w:color w:val="1A7F5A"/>
                <w:sz w:val="32"/>
                <w:szCs w:val="32"/>
              </w:rPr>
              <w:t xml:space="preserve">LONG  +0.49</w:t>
            </w:r>
          </w:p>
        </w:tc>
      </w:tr>
      <w:tr>
        <w:tc>
          <w:tcPr>
            <w:tcW w:type="dxa" w:w="3120"/>
            <w:shd w:fill="EEF2F7" w:val="clear"/>
            <w:tcMar>
              <w:top w:type="dxa" w:w="70"/>
              <w:left w:type="dxa" w:w="90"/>
              <w:bottom w:type="dxa" w:w="70"/>
              <w:right w:type="dxa" w:w="90"/>
            </w:tcMar>
            <w:vAlign w:val="center"/>
          </w:tcPr>
          <w:p>
            <w:pPr>
              <w:spacing w:after="0" w:line="248"/>
              <w:jc w:val="center"/>
            </w:pPr>
            <w:r>
              <w:rPr>
                <w:rFonts w:ascii="Calibri" w:cs="Calibri" w:eastAsia="Calibri" w:hAnsi="Calibri"/>
                <w:color w:val="6B7280"/>
                <w:sz w:val="15"/>
                <w:szCs w:val="15"/>
              </w:rPr>
              <w:t xml:space="preserve">Cash index · 22 May close</w:t>
            </w:r>
          </w:p>
        </w:tc>
        <w:tc>
          <w:tcPr>
            <w:tcW w:type="dxa" w:w="3120"/>
            <w:shd w:fill="EEF2F7" w:val="clear"/>
            <w:tcMar>
              <w:top w:type="dxa" w:w="70"/>
              <w:left w:type="dxa" w:w="90"/>
              <w:bottom w:type="dxa" w:w="70"/>
              <w:right w:type="dxa" w:w="90"/>
            </w:tcMar>
            <w:vAlign w:val="center"/>
          </w:tcPr>
          <w:p>
            <w:pPr>
              <w:spacing w:after="0" w:line="248"/>
              <w:jc w:val="center"/>
            </w:pPr>
            <w:r>
              <w:rPr>
                <w:rFonts w:ascii="Calibri" w:cs="Calibri" w:eastAsia="Calibri" w:hAnsi="Calibri"/>
                <w:color w:val="6B7280"/>
                <w:sz w:val="15"/>
                <w:szCs w:val="15"/>
              </w:rPr>
              <w:t xml:space="preserve">Confidence: Medium</w:t>
            </w:r>
          </w:p>
        </w:tc>
        <w:tc>
          <w:tcPr>
            <w:tcW w:type="dxa" w:w="3120"/>
            <w:shd w:fill="EEF2F7" w:val="clear"/>
            <w:tcMar>
              <w:top w:type="dxa" w:w="70"/>
              <w:left w:type="dxa" w:w="90"/>
              <w:bottom w:type="dxa" w:w="70"/>
              <w:right w:type="dxa" w:w="90"/>
            </w:tcMar>
            <w:vAlign w:val="center"/>
          </w:tcPr>
          <w:p>
            <w:pPr>
              <w:spacing w:after="0" w:line="248"/>
              <w:jc w:val="center"/>
            </w:pPr>
            <w:r>
              <w:rPr>
                <w:rFonts w:ascii="Calibri" w:cs="Calibri" w:eastAsia="Calibri" w:hAnsi="Calibri"/>
                <w:color w:val="6B7280"/>
                <w:sz w:val="15"/>
                <w:szCs w:val="15"/>
              </w:rPr>
              <w:t xml:space="preserve">High-conviction long</w:t>
            </w:r>
          </w:p>
        </w:tc>
      </w:tr>
    </w:tbl>
    <w:p>
      <w:pPr>
        <w:spacing w:before="560"/>
        <w:jc w:val="center"/>
      </w:pPr>
      <w:r>
        <w:rPr>
          <w:rFonts w:ascii="Calibri" w:cs="Calibri" w:eastAsia="Calibri" w:hAnsi="Calibri"/>
          <w:color w:val="8A93A3"/>
          <w:sz w:val="18"/>
          <w:szCs w:val="18"/>
        </w:rPr>
        <w:t xml:space="preserve">Senior US Equity Strategist  ·  Prepared 26 May 2026 (America/New_York)</w:t>
      </w:r>
    </w:p>
    <w:p>
      <w:r>
        <w:br w:type="page"/>
      </w:r>
    </w:p>
    <w:p>
      <w:pPr>
        <w:pStyle w:val="Heading1"/>
        <w:spacing w:after="160"/>
      </w:pPr>
      <w:r>
        <w:rPr>
          <w:rFonts w:ascii="Calibri" w:cs="Calibri" w:eastAsia="Calibri" w:hAnsi="Calibri"/>
          <w:b/>
          <w:bCs/>
          <w:color w:val="1F3A5F"/>
          <w:sz w:val="30"/>
          <w:szCs w:val="30"/>
        </w:rPr>
        <w:t xml:space="preserve">Contents</w:t>
      </w:r>
    </w:p>
    <w:sdt>
      <w:sdtPr>
        <w:alias w:val="Contents"/>
      </w:sdtPr>
      <w:sdtContent>
        <w:p>
          <w:r>
            <w:fldChar w:fldCharType="begin" w:dirty="true"/>
            <w:instrText xml:space="preserve">TOC \h \o "1-1"</w:instrText>
            <w:fldChar w:fldCharType="separate"/>
          </w:r>
        </w:p>
        <w:p>
          <w:r>
            <w:fldChar w:fldCharType="end"/>
          </w:r>
        </w:p>
      </w:sdtContent>
    </w:sdt>
    <w:p>
      <w:pPr>
        <w:spacing w:before="120"/>
      </w:pPr>
      <w:r>
        <w:rPr>
          <w:rFonts w:ascii="Calibri" w:cs="Calibri" w:eastAsia="Calibri" w:hAnsi="Calibri"/>
          <w:i/>
          <w:iCs/>
          <w:color w:val="8A93A3"/>
          <w:sz w:val="17"/>
          <w:szCs w:val="17"/>
        </w:rPr>
        <w:t xml:space="preserve">Right-click and choose “Update Field” to populate page numbers.</w:t>
      </w:r>
    </w:p>
    <w:p>
      <w:r>
        <w:br w:type="page"/>
      </w:r>
    </w:p>
    <w:p>
      <w:pPr>
        <w:pStyle w:val="Heading1"/>
        <w:spacing w:after="140" w:before="280"/>
      </w:pPr>
      <w:r>
        <w:rPr>
          <w:rFonts w:ascii="Calibri" w:cs="Calibri" w:eastAsia="Calibri" w:hAnsi="Calibri"/>
          <w:b/>
          <w:bCs/>
          <w:color w:val="2C6FBB"/>
          <w:sz w:val="26"/>
          <w:szCs w:val="26"/>
        </w:rPr>
        <w:t xml:space="preserve">§1  </w:t>
      </w:r>
      <w:r>
        <w:rPr>
          <w:rFonts w:ascii="Calibri" w:cs="Calibri" w:eastAsia="Calibri" w:hAnsi="Calibri"/>
          <w:b/>
          <w:bCs/>
          <w:color w:val="1F3A5F"/>
          <w:sz w:val="26"/>
          <w:szCs w:val="26"/>
        </w:rPr>
        <w:t xml:space="preserve">Executive Snapshot</w:t>
      </w:r>
    </w:p>
    <w:p>
      <w:pPr>
        <w:spacing w:after="120" w:before="0" w:line="276"/>
      </w:pPr>
      <w:r>
        <w:rPr>
          <w:rFonts w:ascii="Calibri" w:cs="Calibri" w:eastAsia="Calibri" w:hAnsi="Calibri"/>
          <w:color w:val="1A1A2E"/>
          <w:sz w:val="19"/>
          <w:szCs w:val="19"/>
        </w:rPr>
        <w:t xml:space="preserve">The S&amp;P 500 cash index closed the 22 May 2026 session at </w:t>
      </w:r>
      <w:r>
        <w:rPr>
          <w:rFonts w:ascii="Calibri" w:cs="Calibri" w:eastAsia="Calibri" w:hAnsi="Calibri"/>
          <w:b/>
          <w:bCs/>
          <w:sz w:val="21"/>
          <w:szCs w:val="21"/>
        </w:rPr>
        <w:t xml:space="preserve">7,473.47</w:t>
      </w:r>
      <w:r>
        <w:rPr>
          <w:rFonts w:ascii="Calibri" w:cs="Calibri" w:eastAsia="Calibri" w:hAnsi="Calibri"/>
          <w:color w:val="1A1A2E"/>
          <w:sz w:val="19"/>
          <w:szCs w:val="19"/>
        </w:rPr>
        <w:t xml:space="preserve">, a gain of 27.75 points (+0.37%) that capped an eighth consecutive weekly advance — the longest weekly winning streak since 2023. The most defensible consensus level for the index is </w:t>
      </w:r>
      <w:r>
        <w:rPr>
          <w:rFonts w:ascii="Calibri" w:cs="Calibri" w:eastAsia="Calibri" w:hAnsi="Calibri"/>
          <w:b/>
          <w:bCs/>
          <w:sz w:val="21"/>
          <w:szCs w:val="21"/>
        </w:rPr>
        <w:t xml:space="preserve">7,473.47</w:t>
      </w:r>
      <w:r>
        <w:rPr>
          <w:rFonts w:ascii="Calibri" w:cs="Calibri" w:eastAsia="Calibri" w:hAnsi="Calibri"/>
          <w:color w:val="1A1A2E"/>
          <w:sz w:val="19"/>
          <w:szCs w:val="19"/>
        </w:rPr>
        <w:t xml:space="preserve">, with a tight consensus range of 7,471–7,475; market tone is assessed as </w:t>
      </w:r>
      <w:r>
        <w:rPr>
          <w:rFonts w:ascii="Calibri" w:cs="Calibri" w:eastAsia="Calibri" w:hAnsi="Calibri"/>
          <w:b/>
          <w:bCs/>
          <w:color w:val="1A7F5A"/>
          <w:sz w:val="21"/>
          <w:szCs w:val="21"/>
        </w:rPr>
        <w:t xml:space="preserve">bullish</w:t>
      </w:r>
      <w:r>
        <w:rPr>
          <w:rFonts w:ascii="Calibri" w:cs="Calibri" w:eastAsia="Calibri" w:hAnsi="Calibri"/>
          <w:color w:val="1A1A2E"/>
          <w:sz w:val="19"/>
          <w:szCs w:val="19"/>
        </w:rPr>
        <w:t xml:space="preserve"> at Medium confidence. Three drivers dominate the current level: (i) a sharp post-Nvidia-earnings recovery that erased a three-session mid-week sell-off; (ii) a pullback in long-dated Treasury yields and oil prices that relieved the valuation pressure which had driven the 18–19 May decline; and (iii) constructive — if still fragile — signals around US–Iran de-escalation and a possible reopening of the Strait of Hormuz.</w:t>
      </w:r>
    </w:p>
    <w:p>
      <w:pPr>
        <w:spacing w:after="120" w:before="0" w:line="276"/>
      </w:pPr>
      <w:r>
        <w:rPr>
          <w:rFonts w:ascii="Calibri" w:cs="Calibri" w:eastAsia="Calibri" w:hAnsi="Calibri"/>
          <w:color w:val="1A1A2E"/>
          <w:sz w:val="19"/>
          <w:szCs w:val="19"/>
        </w:rPr>
        <w:t xml:space="preserve">On the technicals, the short-term (5-day) state is </w:t>
      </w:r>
      <w:r>
        <w:rPr>
          <w:rFonts w:ascii="Calibri" w:cs="Calibri" w:eastAsia="Calibri" w:hAnsi="Calibri"/>
          <w:b/>
          <w:bCs/>
          <w:sz w:val="21"/>
          <w:szCs w:val="21"/>
        </w:rPr>
        <w:t xml:space="preserve">Trending — Bullish</w:t>
      </w:r>
      <w:r>
        <w:rPr>
          <w:rFonts w:ascii="Calibri" w:cs="Calibri" w:eastAsia="Calibri" w:hAnsi="Calibri"/>
          <w:color w:val="1A1A2E"/>
          <w:sz w:val="19"/>
          <w:szCs w:val="19"/>
        </w:rPr>
        <w:t xml:space="preserve">: the index recovered from the 19 May low of 7,353.61 to print a fresh weekly high of 7,506.32, with the last two sessions closing in the upper quartile of their ranges and RSI(2) pinned at 100. The medium-term (5-week) regime reads </w:t>
      </w:r>
      <w:r>
        <w:rPr>
          <w:rFonts w:ascii="Calibri" w:cs="Calibri" w:eastAsia="Calibri" w:hAnsi="Calibri"/>
          <w:b/>
          <w:bCs/>
          <w:sz w:val="21"/>
          <w:szCs w:val="21"/>
        </w:rPr>
        <w:t xml:space="preserve">Transitional</w:t>
      </w:r>
      <w:r>
        <w:rPr>
          <w:rFonts w:ascii="Calibri" w:cs="Calibri" w:eastAsia="Calibri" w:hAnsi="Calibri"/>
          <w:color w:val="1A1A2E"/>
          <w:sz w:val="19"/>
          <w:szCs w:val="19"/>
        </w:rPr>
        <w:t xml:space="preserve"> — the 25-session window shows both elevated session-to-session overlap and high directional persistence, a genuinely mixed structural signal. The Kaufman Efficiency Ratio classifies the regime as </w:t>
      </w:r>
      <w:r>
        <w:rPr>
          <w:rFonts w:ascii="Calibri" w:cs="Calibri" w:eastAsia="Calibri" w:hAnsi="Calibri"/>
          <w:b/>
          <w:bCs/>
          <w:sz w:val="21"/>
          <w:szCs w:val="21"/>
        </w:rPr>
        <w:t xml:space="preserve">Trending Up — Moderate (+0.34)</w:t>
      </w:r>
      <w:r>
        <w:rPr>
          <w:rFonts w:ascii="Calibri" w:cs="Calibri" w:eastAsia="Calibri" w:hAnsi="Calibri"/>
          <w:color w:val="1A1A2E"/>
          <w:sz w:val="19"/>
          <w:szCs w:val="19"/>
        </w:rPr>
        <w:t xml:space="preserve">, which diverges from the Transitional medium-term read; this divergence is flagged and carried through to the strategy section. The single most important watch item is the </w:t>
      </w:r>
      <w:r>
        <w:rPr>
          <w:rFonts w:ascii="Calibri" w:cs="Calibri" w:eastAsia="Calibri" w:hAnsi="Calibri"/>
          <w:b/>
          <w:bCs/>
          <w:sz w:val="21"/>
          <w:szCs w:val="21"/>
        </w:rPr>
        <w:t xml:space="preserve">Friday 29 May PCE inflation release</w:t>
      </w:r>
      <w:r>
        <w:rPr>
          <w:rFonts w:ascii="Calibri" w:cs="Calibri" w:eastAsia="Calibri" w:hAnsi="Calibri"/>
          <w:color w:val="1A1A2E"/>
          <w:sz w:val="19"/>
          <w:szCs w:val="19"/>
        </w:rPr>
        <w:t xml:space="preserve"> — the Federal Reserve's preferred inflation gauge and the dominant catalyst inside the five-day horizon.</w:t>
      </w:r>
    </w:p>
    <w:p>
      <w:pPr>
        <w:spacing w:after="120" w:before="0" w:line="276"/>
      </w:pPr>
      <w:r>
        <w:rPr>
          <w:rFonts w:ascii="Calibri" w:cs="Calibri" w:eastAsia="Calibri" w:hAnsi="Calibri"/>
          <w:color w:val="1A1A2E"/>
          <w:sz w:val="19"/>
          <w:szCs w:val="19"/>
        </w:rPr>
        <w:t xml:space="preserve">The directional conviction score is </w:t>
      </w:r>
      <w:r>
        <w:rPr>
          <w:rFonts w:ascii="Calibri" w:cs="Calibri" w:eastAsia="Calibri" w:hAnsi="Calibri"/>
          <w:b/>
          <w:bCs/>
          <w:color w:val="1A7F5A"/>
          <w:sz w:val="21"/>
          <w:szCs w:val="21"/>
        </w:rPr>
        <w:t xml:space="preserve">+0.49</w:t>
      </w:r>
      <w:r>
        <w:rPr>
          <w:rFonts w:ascii="Calibri" w:cs="Calibri" w:eastAsia="Calibri" w:hAnsi="Calibri"/>
          <w:color w:val="1A1A2E"/>
          <w:sz w:val="19"/>
          <w:szCs w:val="19"/>
        </w:rPr>
        <w:t xml:space="preserve">, clearing the conviction threshold and producing a </w:t>
      </w:r>
      <w:r>
        <w:rPr>
          <w:rFonts w:ascii="Calibri" w:cs="Calibri" w:eastAsia="Calibri" w:hAnsi="Calibri"/>
          <w:b/>
          <w:bCs/>
          <w:color w:val="1A7F5A"/>
          <w:sz w:val="21"/>
          <w:szCs w:val="21"/>
        </w:rPr>
        <w:t xml:space="preserve">LONG</w:t>
      </w:r>
      <w:r>
        <w:rPr>
          <w:rFonts w:ascii="Calibri" w:cs="Calibri" w:eastAsia="Calibri" w:hAnsi="Calibri"/>
          <w:color w:val="1A1A2E"/>
          <w:sz w:val="19"/>
          <w:szCs w:val="19"/>
        </w:rPr>
        <w:t xml:space="preserve"> Trade 1 card. Three regime-aware trade cards are produced in §21; none is suppressed.</w:t>
      </w:r>
    </w:p>
    <w:p>
      <w:pPr>
        <w:spacing w:after="60"/>
      </w:pPr>
      <w:r>
        <w:rPr>
          <w:rFonts w:ascii="Calibri" w:cs="Calibri" w:eastAsia="Calibri" w:hAnsi="Calibri"/>
          <w:sz w:val="21"/>
          <w:szCs w:val="21"/>
        </w:rPr>
        <w:t xml:space="preserve"/>
      </w:r>
    </w:p>
    <w:tbl>
      <w:tblPr>
        <w:tblW w:type="dxa" w:w="9360"/>
        <w:tblBorders>
          <w:top w:val="single" w:color="C9D4E2" w:sz="2"/>
          <w:left w:val="single" w:color="C9D4E2" w:sz="2"/>
          <w:bottom w:val="single" w:color="C9D4E2" w:sz="2"/>
          <w:right w:val="single" w:color="C9D4E2" w:sz="2"/>
          <w:insideH w:val="single" w:color="C9D4E2" w:sz="2"/>
          <w:insideV w:val="single" w:color="C9D4E2" w:sz="2"/>
        </w:tblBorders>
      </w:tblPr>
      <w:tblGrid>
        <w:gridCol w:w="9360"/>
      </w:tblGrid>
      <w:tr>
        <w:tc>
          <w:tcPr>
            <w:tcW w:type="dxa" w:w="9360"/>
            <w:shd w:fill="1F3A5F" w:val="clear"/>
            <w:tcMar>
              <w:top w:type="dxa" w:w="70"/>
              <w:left w:type="dxa" w:w="90"/>
              <w:bottom w:type="dxa" w:w="70"/>
              <w:right w:type="dxa" w:w="90"/>
            </w:tcMar>
            <w:vAlign w:val="center"/>
          </w:tcPr>
          <w:p>
            <w:pPr>
              <w:spacing w:after="0" w:line="248"/>
              <w:jc w:val="left"/>
            </w:pPr>
            <w:r>
              <w:rPr>
                <w:rFonts w:ascii="Calibri" w:cs="Calibri" w:eastAsia="Calibri" w:hAnsi="Calibri"/>
                <w:b/>
                <w:bCs/>
                <w:color w:val="FFFFFF"/>
                <w:sz w:val="19"/>
                <w:szCs w:val="19"/>
              </w:rPr>
              <w:t xml:space="preserve">BOTTOM LINE</w:t>
            </w:r>
          </w:p>
        </w:tc>
      </w:tr>
      <w:tr>
        <w:tc>
          <w:tcPr>
            <w:tcW w:type="dxa" w:w="9360"/>
            <w:shd w:fill="F4F8FC" w:val="clear"/>
            <w:tcMar>
              <w:top w:type="dxa" w:w="70"/>
              <w:left w:type="dxa" w:w="90"/>
              <w:bottom w:type="dxa" w:w="70"/>
              <w:right w:type="dxa" w:w="90"/>
            </w:tcMar>
            <w:vAlign w:val="center"/>
          </w:tcPr>
          <w:p>
            <w:pPr>
              <w:spacing w:after="60" w:line="264"/>
            </w:pPr>
            <w:r>
              <w:rPr>
                <w:rFonts w:ascii="Calibri" w:cs="Calibri" w:eastAsia="Calibri" w:hAnsi="Calibri"/>
                <w:color w:val="1A1A2E"/>
                <w:sz w:val="19"/>
                <w:szCs w:val="19"/>
              </w:rPr>
              <w:t xml:space="preserve">Consensus level </w:t>
            </w:r>
            <w:r>
              <w:rPr>
                <w:rFonts w:ascii="Calibri" w:cs="Calibri" w:eastAsia="Calibri" w:hAnsi="Calibri"/>
                <w:b/>
                <w:bCs/>
                <w:sz w:val="21"/>
                <w:szCs w:val="21"/>
              </w:rPr>
              <w:t xml:space="preserve">7,473.47</w:t>
            </w:r>
            <w:r>
              <w:rPr>
                <w:rFonts w:ascii="Calibri" w:cs="Calibri" w:eastAsia="Calibri" w:hAnsi="Calibri"/>
                <w:color w:val="1A1A2E"/>
                <w:sz w:val="19"/>
                <w:szCs w:val="19"/>
              </w:rPr>
              <w:t xml:space="preserve"> · tone </w:t>
            </w:r>
            <w:r>
              <w:rPr>
                <w:rFonts w:ascii="Calibri" w:cs="Calibri" w:eastAsia="Calibri" w:hAnsi="Calibri"/>
                <w:b/>
                <w:bCs/>
                <w:color w:val="1A7F5A"/>
                <w:sz w:val="21"/>
                <w:szCs w:val="21"/>
              </w:rPr>
              <w:t xml:space="preserve">bullish</w:t>
            </w:r>
            <w:r>
              <w:rPr>
                <w:rFonts w:ascii="Calibri" w:cs="Calibri" w:eastAsia="Calibri" w:hAnsi="Calibri"/>
                <w:color w:val="1A1A2E"/>
                <w:sz w:val="19"/>
                <w:szCs w:val="19"/>
              </w:rPr>
              <w:t xml:space="preserve"> · short-term </w:t>
            </w:r>
            <w:r>
              <w:rPr>
                <w:rFonts w:ascii="Calibri" w:cs="Calibri" w:eastAsia="Calibri" w:hAnsi="Calibri"/>
                <w:b/>
                <w:bCs/>
                <w:sz w:val="21"/>
                <w:szCs w:val="21"/>
              </w:rPr>
              <w:t xml:space="preserve">Trending-Bullish</w:t>
            </w:r>
            <w:r>
              <w:rPr>
                <w:rFonts w:ascii="Calibri" w:cs="Calibri" w:eastAsia="Calibri" w:hAnsi="Calibri"/>
                <w:color w:val="1A1A2E"/>
                <w:sz w:val="19"/>
                <w:szCs w:val="19"/>
              </w:rPr>
              <w:t xml:space="preserve"> · medium-term </w:t>
            </w:r>
            <w:r>
              <w:rPr>
                <w:rFonts w:ascii="Calibri" w:cs="Calibri" w:eastAsia="Calibri" w:hAnsi="Calibri"/>
                <w:b/>
                <w:bCs/>
                <w:sz w:val="21"/>
                <w:szCs w:val="21"/>
              </w:rPr>
              <w:t xml:space="preserve">Transitional</w:t>
            </w:r>
            <w:r>
              <w:rPr>
                <w:rFonts w:ascii="Calibri" w:cs="Calibri" w:eastAsia="Calibri" w:hAnsi="Calibri"/>
                <w:color w:val="1A1A2E"/>
                <w:sz w:val="19"/>
                <w:szCs w:val="19"/>
              </w:rPr>
              <w:t xml:space="preserve"> · KER </w:t>
            </w:r>
            <w:r>
              <w:rPr>
                <w:rFonts w:ascii="Calibri" w:cs="Calibri" w:eastAsia="Calibri" w:hAnsi="Calibri"/>
                <w:b/>
                <w:bCs/>
                <w:sz w:val="21"/>
                <w:szCs w:val="21"/>
              </w:rPr>
              <w:t xml:space="preserve">Trending Up — Moderate</w:t>
            </w:r>
            <w:r>
              <w:rPr>
                <w:rFonts w:ascii="Calibri" w:cs="Calibri" w:eastAsia="Calibri" w:hAnsi="Calibri"/>
                <w:color w:val="1A1A2E"/>
                <w:sz w:val="19"/>
                <w:szCs w:val="19"/>
              </w:rPr>
              <w:t xml:space="preserve"> · conviction </w:t>
            </w:r>
            <w:r>
              <w:rPr>
                <w:rFonts w:ascii="Calibri" w:cs="Calibri" w:eastAsia="Calibri" w:hAnsi="Calibri"/>
                <w:b/>
                <w:bCs/>
                <w:color w:val="1A7F5A"/>
                <w:sz w:val="21"/>
                <w:szCs w:val="21"/>
              </w:rPr>
              <w:t xml:space="preserve">LONG +0.49</w:t>
            </w:r>
            <w:r>
              <w:rPr>
                <w:rFonts w:ascii="Calibri" w:cs="Calibri" w:eastAsia="Calibri" w:hAnsi="Calibri"/>
                <w:color w:val="1A1A2E"/>
                <w:sz w:val="19"/>
                <w:szCs w:val="19"/>
              </w:rPr>
              <w:t xml:space="preserve">.</w:t>
            </w:r>
          </w:p>
          <w:p>
            <w:pPr>
              <w:spacing w:after="0" w:line="264"/>
            </w:pPr>
            <w:r>
              <w:rPr>
                <w:rFonts w:ascii="Calibri" w:cs="Calibri" w:eastAsia="Calibri" w:hAnsi="Calibri"/>
                <w:color w:val="1A1A2E"/>
                <w:sz w:val="19"/>
                <w:szCs w:val="19"/>
              </w:rPr>
              <w:t xml:space="preserve">Watch item: </w:t>
            </w:r>
            <w:r>
              <w:rPr>
                <w:rFonts w:ascii="Calibri" w:cs="Calibri" w:eastAsia="Calibri" w:hAnsi="Calibri"/>
                <w:b/>
                <w:bCs/>
                <w:sz w:val="21"/>
                <w:szCs w:val="21"/>
              </w:rPr>
              <w:t xml:space="preserve">PCE inflation, Fri 29 May</w:t>
            </w:r>
            <w:r>
              <w:rPr>
                <w:rFonts w:ascii="Calibri" w:cs="Calibri" w:eastAsia="Calibri" w:hAnsi="Calibri"/>
                <w:color w:val="1A1A2E"/>
                <w:sz w:val="19"/>
                <w:szCs w:val="19"/>
              </w:rPr>
              <w:t xml:space="preserve"> — a hot print would re-ignite the yield-driven valuation pressure that produced the 18–19 May sell-off.</w:t>
            </w:r>
          </w:p>
        </w:tc>
      </w:tr>
    </w:tbl>
    <w:p>
      <w:pPr>
        <w:pStyle w:val="Heading1"/>
        <w:pageBreakBefore/>
        <w:spacing w:after="140" w:before="280"/>
      </w:pPr>
      <w:r>
        <w:rPr>
          <w:rFonts w:ascii="Calibri" w:cs="Calibri" w:eastAsia="Calibri" w:hAnsi="Calibri"/>
          <w:b/>
          <w:bCs/>
          <w:color w:val="2C6FBB"/>
          <w:sz w:val="26"/>
          <w:szCs w:val="26"/>
        </w:rPr>
        <w:t xml:space="preserve">§2  </w:t>
      </w:r>
      <w:r>
        <w:rPr>
          <w:rFonts w:ascii="Calibri" w:cs="Calibri" w:eastAsia="Calibri" w:hAnsi="Calibri"/>
          <w:b/>
          <w:bCs/>
          <w:color w:val="1F3A5F"/>
          <w:sz w:val="26"/>
          <w:szCs w:val="26"/>
        </w:rPr>
        <w:t xml:space="preserve">Market Definition</w:t>
      </w:r>
    </w:p>
    <w:p>
      <w:pPr>
        <w:spacing w:after="120" w:before="0" w:line="276"/>
      </w:pPr>
      <w:r>
        <w:rPr>
          <w:rFonts w:ascii="Calibri" w:cs="Calibri" w:eastAsia="Calibri" w:hAnsi="Calibri"/>
          <w:color w:val="1A1A2E"/>
          <w:sz w:val="19"/>
          <w:szCs w:val="19"/>
        </w:rPr>
        <w:t xml:space="preserve">This report analyses the </w:t>
      </w:r>
      <w:r>
        <w:rPr>
          <w:rFonts w:ascii="Calibri" w:cs="Calibri" w:eastAsia="Calibri" w:hAnsi="Calibri"/>
          <w:b/>
          <w:bCs/>
          <w:sz w:val="21"/>
          <w:szCs w:val="21"/>
        </w:rPr>
        <w:t xml:space="preserve">S&amp;P 500 cash index (^GSPC)</w:t>
      </w:r>
      <w:r>
        <w:rPr>
          <w:rFonts w:ascii="Calibri" w:cs="Calibri" w:eastAsia="Calibri" w:hAnsi="Calibri"/>
          <w:color w:val="1A1A2E"/>
          <w:sz w:val="19"/>
          <w:szCs w:val="19"/>
        </w:rPr>
        <w:t xml:space="preserve"> — the large-cap US equity benchmark comprising 503 constituents, calculated continuously by S&amp;P Dow Jones Indices during the NYSE/NASDAQ regular cash session. The analysis is the ES futures contract's underlying, not the futures contract itself.</w:t>
      </w:r>
    </w:p>
    <w:p>
      <w:pPr>
        <w:spacing w:after="40"/>
      </w:pPr>
      <w:r>
        <w:rPr>
          <w:rFonts w:ascii="Calibri" w:cs="Calibri" w:eastAsia="Calibri" w:hAnsi="Calibri"/>
          <w:sz w:val="21"/>
          <w:szCs w:val="21"/>
        </w:rPr>
        <w:t xml:space="preserve"/>
      </w:r>
    </w:p>
    <w:tbl>
      <w:tblPr>
        <w:tblW w:type="dxa" w:w="9360"/>
        <w:tblBorders>
          <w:top w:val="single" w:color="C9D4E2" w:sz="2"/>
          <w:left w:val="single" w:color="C9D4E2" w:sz="2"/>
          <w:bottom w:val="single" w:color="C9D4E2" w:sz="2"/>
          <w:right w:val="single" w:color="C9D4E2" w:sz="2"/>
          <w:insideH w:val="single" w:color="C9D4E2" w:sz="2"/>
          <w:insideV w:val="single" w:color="C9D4E2" w:sz="2"/>
        </w:tblBorders>
      </w:tblPr>
      <w:tblGrid>
        <w:gridCol w:w="2700"/>
        <w:gridCol w:w="6660"/>
      </w:tblGrid>
      <w:tr>
        <w:trPr>
          <w:tblHeader/>
        </w:trPr>
        <w:tc>
          <w:tcPr>
            <w:tcW w:type="dxa" w:w="2700"/>
            <w:shd w:fill="1F3A5F" w:val="clear"/>
            <w:tcMar>
              <w:top w:type="dxa" w:w="70"/>
              <w:left w:type="dxa" w:w="90"/>
              <w:bottom w:type="dxa" w:w="70"/>
              <w:right w:type="dxa" w:w="90"/>
            </w:tcMar>
            <w:vAlign w:val="center"/>
          </w:tcPr>
          <w:p>
            <w:pPr>
              <w:spacing w:after="0" w:line="248"/>
              <w:jc w:val="left"/>
            </w:pPr>
            <w:r>
              <w:rPr>
                <w:rFonts w:ascii="Calibri" w:cs="Calibri" w:eastAsia="Calibri" w:hAnsi="Calibri"/>
                <w:b/>
                <w:bCs/>
                <w:color w:val="FFFFFF"/>
                <w:sz w:val="19"/>
                <w:szCs w:val="19"/>
              </w:rPr>
              <w:t xml:space="preserve">Parameter</w:t>
            </w:r>
          </w:p>
        </w:tc>
        <w:tc>
          <w:tcPr>
            <w:tcW w:type="dxa" w:w="6660"/>
            <w:shd w:fill="1F3A5F" w:val="clear"/>
            <w:tcMar>
              <w:top w:type="dxa" w:w="70"/>
              <w:left w:type="dxa" w:w="90"/>
              <w:bottom w:type="dxa" w:w="70"/>
              <w:right w:type="dxa" w:w="90"/>
            </w:tcMar>
            <w:vAlign w:val="center"/>
          </w:tcPr>
          <w:p>
            <w:pPr>
              <w:spacing w:after="0" w:line="248"/>
              <w:jc w:val="center"/>
            </w:pPr>
            <w:r>
              <w:rPr>
                <w:rFonts w:ascii="Calibri" w:cs="Calibri" w:eastAsia="Calibri" w:hAnsi="Calibri"/>
                <w:b/>
                <w:bCs/>
                <w:color w:val="FFFFFF"/>
                <w:sz w:val="19"/>
                <w:szCs w:val="19"/>
              </w:rPr>
              <w:t xml:space="preserve">Definition</w:t>
            </w:r>
          </w:p>
        </w:tc>
      </w:tr>
      <w:tr>
        <w:tc>
          <w:tcPr>
            <w:tcW w:type="dxa" w:w="2700"/>
            <w:shd w:fill="FFFFFF"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9"/>
                <w:szCs w:val="19"/>
              </w:rPr>
              <w:t xml:space="preserve">Primary asset</w:t>
            </w:r>
          </w:p>
        </w:tc>
        <w:tc>
          <w:tcPr>
            <w:tcW w:type="dxa" w:w="666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S&amp;P 500 cash index (^GSPC) — large-cap US equity benchmark, 503 constituents</w:t>
            </w:r>
          </w:p>
        </w:tc>
      </w:tr>
      <w:tr>
        <w:tc>
          <w:tcPr>
            <w:tcW w:type="dxa" w:w="2700"/>
            <w:shd w:fill="F4F6FA"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9"/>
                <w:szCs w:val="19"/>
              </w:rPr>
              <w:t xml:space="preserve">Asset class</w:t>
            </w:r>
          </w:p>
        </w:tc>
        <w:tc>
          <w:tcPr>
            <w:tcW w:type="dxa" w:w="6660"/>
            <w:shd w:fill="F4F6FA"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Equity index — large-cap US</w:t>
            </w:r>
          </w:p>
        </w:tc>
      </w:tr>
      <w:tr>
        <w:tc>
          <w:tcPr>
            <w:tcW w:type="dxa" w:w="2700"/>
            <w:shd w:fill="FFFFFF"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9"/>
                <w:szCs w:val="19"/>
              </w:rPr>
              <w:t xml:space="preserve">Market scope</w:t>
            </w:r>
          </w:p>
        </w:tc>
        <w:tc>
          <w:tcPr>
            <w:tcW w:type="dxa" w:w="666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Global / US — headline US benchmark with a global investor base</w:t>
            </w:r>
          </w:p>
        </w:tc>
      </w:tr>
      <w:tr>
        <w:tc>
          <w:tcPr>
            <w:tcW w:type="dxa" w:w="2700"/>
            <w:shd w:fill="F4F6FA"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9"/>
                <w:szCs w:val="19"/>
              </w:rPr>
              <w:t xml:space="preserve">Price basis</w:t>
            </w:r>
          </w:p>
        </w:tc>
        <w:tc>
          <w:tcPr>
            <w:tcW w:type="dxa" w:w="6660"/>
            <w:shd w:fill="F4F6FA"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Cash index level (continuous), calculated during NYSE/NASDAQ hours</w:t>
            </w:r>
          </w:p>
        </w:tc>
      </w:tr>
      <w:tr>
        <w:tc>
          <w:tcPr>
            <w:tcW w:type="dxa" w:w="2700"/>
            <w:shd w:fill="FFFFFF"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9"/>
                <w:szCs w:val="19"/>
              </w:rPr>
              <w:t xml:space="preserve">Delivery basis</w:t>
            </w:r>
          </w:p>
        </w:tc>
        <w:tc>
          <w:tcPr>
            <w:tcW w:type="dxa" w:w="666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NYSE/NASDAQ regular trading session, 09:30–16:00 ET</w:t>
            </w:r>
          </w:p>
        </w:tc>
      </w:tr>
      <w:tr>
        <w:tc>
          <w:tcPr>
            <w:tcW w:type="dxa" w:w="2700"/>
            <w:shd w:fill="F4F6FA"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9"/>
                <w:szCs w:val="19"/>
              </w:rPr>
              <w:t xml:space="preserve">Unit / currency</w:t>
            </w:r>
          </w:p>
        </w:tc>
        <w:tc>
          <w:tcPr>
            <w:tcW w:type="dxa" w:w="6660"/>
            <w:shd w:fill="F4F6FA"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Index points · USD</w:t>
            </w:r>
          </w:p>
        </w:tc>
      </w:tr>
      <w:tr>
        <w:tc>
          <w:tcPr>
            <w:tcW w:type="dxa" w:w="2700"/>
            <w:shd w:fill="FFFFFF"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9"/>
                <w:szCs w:val="19"/>
              </w:rPr>
              <w:t xml:space="preserve">Tick size</w:t>
            </w:r>
          </w:p>
        </w:tc>
        <w:tc>
          <w:tcPr>
            <w:tcW w:type="dxa" w:w="666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0.01 point</w:t>
            </w:r>
          </w:p>
        </w:tc>
      </w:tr>
      <w:tr>
        <w:tc>
          <w:tcPr>
            <w:tcW w:type="dxa" w:w="2700"/>
            <w:shd w:fill="F4F6FA"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9"/>
                <w:szCs w:val="19"/>
              </w:rPr>
              <w:t xml:space="preserve">As-of date</w:t>
            </w:r>
          </w:p>
        </w:tc>
        <w:tc>
          <w:tcPr>
            <w:tcW w:type="dxa" w:w="6660"/>
            <w:shd w:fill="F4F6FA"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22 May 2026 (last completed session; America/New_York)</w:t>
            </w:r>
          </w:p>
        </w:tc>
      </w:tr>
      <w:tr>
        <w:tc>
          <w:tcPr>
            <w:tcW w:type="dxa" w:w="2700"/>
            <w:shd w:fill="FFFFFF"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9"/>
                <w:szCs w:val="19"/>
              </w:rPr>
              <w:t xml:space="preserve">Report date</w:t>
            </w:r>
          </w:p>
        </w:tc>
        <w:tc>
          <w:tcPr>
            <w:tcW w:type="dxa" w:w="666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26 May 2026 — US markets closed 25 May (Memorial Day)</w:t>
            </w:r>
          </w:p>
        </w:tc>
      </w:tr>
      <w:tr>
        <w:tc>
          <w:tcPr>
            <w:tcW w:type="dxa" w:w="2700"/>
            <w:shd w:fill="F4F6FA"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9"/>
                <w:szCs w:val="19"/>
              </w:rPr>
              <w:t xml:space="preserve">Lookback window</w:t>
            </w:r>
          </w:p>
        </w:tc>
        <w:tc>
          <w:tcPr>
            <w:tcW w:type="dxa" w:w="6660"/>
            <w:shd w:fill="F4F6FA"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5 sessions (execution block); 25 sessions (regime block)</w:t>
            </w:r>
          </w:p>
        </w:tc>
      </w:tr>
      <w:tr>
        <w:tc>
          <w:tcPr>
            <w:tcW w:type="dxa" w:w="2700"/>
            <w:shd w:fill="FFFFFF"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9"/>
                <w:szCs w:val="19"/>
              </w:rPr>
              <w:t xml:space="preserve">Cross-asset counters</w:t>
            </w:r>
          </w:p>
        </w:tc>
        <w:tc>
          <w:tcPr>
            <w:tcW w:type="dxa" w:w="666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USDX (DX-Y.NYB) · VIX · DAX 40 (^GDAXI)</w:t>
            </w:r>
          </w:p>
        </w:tc>
      </w:tr>
    </w:tbl>
    <w:p>
      <w:pPr>
        <w:spacing w:after="80"/>
      </w:pPr>
      <w:r>
        <w:rPr>
          <w:rFonts w:ascii="Calibri" w:cs="Calibri" w:eastAsia="Calibri" w:hAnsi="Calibri"/>
          <w:sz w:val="21"/>
          <w:szCs w:val="21"/>
        </w:rPr>
        <w:t xml:space="preserve"/>
      </w:r>
    </w:p>
    <w:p>
      <w:pPr>
        <w:spacing w:after="120" w:before="0" w:line="276"/>
      </w:pPr>
      <w:r>
        <w:rPr>
          <w:rFonts w:ascii="Calibri" w:cs="Calibri" w:eastAsia="Calibri" w:hAnsi="Calibri"/>
          <w:b/>
          <w:bCs/>
          <w:i/>
          <w:iCs/>
          <w:color w:val="1A1A2E"/>
          <w:sz w:val="19"/>
          <w:szCs w:val="19"/>
        </w:rPr>
        <w:t xml:space="preserve">Note on dating.  </w:t>
      </w:r>
      <w:r>
        <w:rPr>
          <w:rFonts w:ascii="Calibri" w:cs="Calibri" w:eastAsia="Calibri" w:hAnsi="Calibri"/>
          <w:i/>
          <w:iCs/>
          <w:color w:val="5A6678"/>
          <w:sz w:val="19"/>
          <w:szCs w:val="19"/>
        </w:rPr>
        <w:t xml:space="preserve">The report is produced for 26 May 2026. As US equity markets were closed on Monday 25 May for Memorial Day, the last completed cash session is Friday 22 May 2026; all OHLC, technical, and pivot inputs are anchored to that session. The daily-open execution anchor has been overridden to 00:00 UK for this run at the user's instruction (the standing instance configuration is 07:00 UK).</w:t>
      </w:r>
    </w:p>
    <w:p>
      <w:pPr>
        <w:pStyle w:val="Heading1"/>
        <w:pageBreakBefore/>
        <w:spacing w:after="140" w:before="280"/>
      </w:pPr>
      <w:r>
        <w:rPr>
          <w:rFonts w:ascii="Calibri" w:cs="Calibri" w:eastAsia="Calibri" w:hAnsi="Calibri"/>
          <w:b/>
          <w:bCs/>
          <w:color w:val="2C6FBB"/>
          <w:sz w:val="26"/>
          <w:szCs w:val="26"/>
        </w:rPr>
        <w:t xml:space="preserve">§3  </w:t>
      </w:r>
      <w:r>
        <w:rPr>
          <w:rFonts w:ascii="Calibri" w:cs="Calibri" w:eastAsia="Calibri" w:hAnsi="Calibri"/>
          <w:b/>
          <w:bCs/>
          <w:color w:val="1F3A5F"/>
          <w:sz w:val="26"/>
          <w:szCs w:val="26"/>
        </w:rPr>
        <w:t xml:space="preserve">Consensus Price Call</w:t>
      </w:r>
    </w:p>
    <w:tbl>
      <w:tblPr>
        <w:tblW w:type="dxa" w:w="9360"/>
        <w:tblBorders>
          <w:top w:val="single" w:color="C9D4E2" w:sz="2"/>
          <w:left w:val="single" w:color="C9D4E2" w:sz="2"/>
          <w:bottom w:val="single" w:color="C9D4E2" w:sz="2"/>
          <w:right w:val="single" w:color="C9D4E2" w:sz="2"/>
          <w:insideH w:val="single" w:color="C9D4E2" w:sz="2"/>
          <w:insideV w:val="single" w:color="C9D4E2" w:sz="2"/>
        </w:tblBorders>
      </w:tblPr>
      <w:tblGrid>
        <w:gridCol w:w="2340"/>
        <w:gridCol w:w="2340"/>
        <w:gridCol w:w="2340"/>
        <w:gridCol w:w="2340"/>
      </w:tblGrid>
      <w:tr>
        <w:trPr>
          <w:tblHeader/>
        </w:trPr>
        <w:tc>
          <w:tcPr>
            <w:tcW w:type="dxa" w:w="2340"/>
            <w:shd w:fill="1F3A5F" w:val="clear"/>
            <w:tcMar>
              <w:top w:type="dxa" w:w="70"/>
              <w:left w:type="dxa" w:w="90"/>
              <w:bottom w:type="dxa" w:w="70"/>
              <w:right w:type="dxa" w:w="90"/>
            </w:tcMar>
            <w:vAlign w:val="center"/>
          </w:tcPr>
          <w:p>
            <w:pPr>
              <w:spacing w:after="0" w:line="248"/>
              <w:jc w:val="left"/>
            </w:pPr>
            <w:r>
              <w:rPr>
                <w:rFonts w:ascii="Calibri" w:cs="Calibri" w:eastAsia="Calibri" w:hAnsi="Calibri"/>
                <w:b/>
                <w:bCs/>
                <w:color w:val="FFFFFF"/>
                <w:sz w:val="19"/>
                <w:szCs w:val="19"/>
              </w:rPr>
              <w:t xml:space="preserve">Consensus level</w:t>
            </w:r>
          </w:p>
        </w:tc>
        <w:tc>
          <w:tcPr>
            <w:tcW w:type="dxa" w:w="2340"/>
            <w:shd w:fill="1F3A5F" w:val="clear"/>
            <w:tcMar>
              <w:top w:type="dxa" w:w="70"/>
              <w:left w:type="dxa" w:w="90"/>
              <w:bottom w:type="dxa" w:w="70"/>
              <w:right w:type="dxa" w:w="90"/>
            </w:tcMar>
            <w:vAlign w:val="center"/>
          </w:tcPr>
          <w:p>
            <w:pPr>
              <w:spacing w:after="0" w:line="248"/>
              <w:jc w:val="center"/>
            </w:pPr>
            <w:r>
              <w:rPr>
                <w:rFonts w:ascii="Calibri" w:cs="Calibri" w:eastAsia="Calibri" w:hAnsi="Calibri"/>
                <w:b/>
                <w:bCs/>
                <w:color w:val="FFFFFF"/>
                <w:sz w:val="19"/>
                <w:szCs w:val="19"/>
              </w:rPr>
              <w:t xml:space="preserve">Consensus range</w:t>
            </w:r>
          </w:p>
        </w:tc>
        <w:tc>
          <w:tcPr>
            <w:tcW w:type="dxa" w:w="2340"/>
            <w:shd w:fill="1F3A5F" w:val="clear"/>
            <w:tcMar>
              <w:top w:type="dxa" w:w="70"/>
              <w:left w:type="dxa" w:w="90"/>
              <w:bottom w:type="dxa" w:w="70"/>
              <w:right w:type="dxa" w:w="90"/>
            </w:tcMar>
            <w:vAlign w:val="center"/>
          </w:tcPr>
          <w:p>
            <w:pPr>
              <w:spacing w:after="0" w:line="248"/>
              <w:jc w:val="center"/>
            </w:pPr>
            <w:r>
              <w:rPr>
                <w:rFonts w:ascii="Calibri" w:cs="Calibri" w:eastAsia="Calibri" w:hAnsi="Calibri"/>
                <w:b/>
                <w:bCs/>
                <w:color w:val="FFFFFF"/>
                <w:sz w:val="19"/>
                <w:szCs w:val="19"/>
              </w:rPr>
              <w:t xml:space="preserve">Confidence</w:t>
            </w:r>
          </w:p>
        </w:tc>
        <w:tc>
          <w:tcPr>
            <w:tcW w:type="dxa" w:w="2340"/>
            <w:shd w:fill="1F3A5F" w:val="clear"/>
            <w:tcMar>
              <w:top w:type="dxa" w:w="70"/>
              <w:left w:type="dxa" w:w="90"/>
              <w:bottom w:type="dxa" w:w="70"/>
              <w:right w:type="dxa" w:w="90"/>
            </w:tcMar>
            <w:vAlign w:val="center"/>
          </w:tcPr>
          <w:p>
            <w:pPr>
              <w:spacing w:after="0" w:line="248"/>
              <w:jc w:val="center"/>
            </w:pPr>
            <w:r>
              <w:rPr>
                <w:rFonts w:ascii="Calibri" w:cs="Calibri" w:eastAsia="Calibri" w:hAnsi="Calibri"/>
                <w:b/>
                <w:bCs/>
                <w:color w:val="FFFFFF"/>
                <w:sz w:val="19"/>
                <w:szCs w:val="19"/>
              </w:rPr>
              <w:t xml:space="preserve">Market tone</w:t>
            </w:r>
          </w:p>
        </w:tc>
      </w:tr>
      <w:tr>
        <w:tc>
          <w:tcPr>
            <w:tcW w:type="dxa" w:w="2340"/>
            <w:shd w:fill="EEF2F7" w:val="clear"/>
            <w:tcMar>
              <w:top w:type="dxa" w:w="70"/>
              <w:left w:type="dxa" w:w="90"/>
              <w:bottom w:type="dxa" w:w="70"/>
              <w:right w:type="dxa" w:w="90"/>
            </w:tcMar>
            <w:vAlign w:val="center"/>
          </w:tcPr>
          <w:p>
            <w:pPr>
              <w:spacing w:after="0" w:line="248"/>
              <w:jc w:val="center"/>
            </w:pPr>
            <w:r>
              <w:rPr>
                <w:rFonts w:ascii="Calibri" w:cs="Calibri" w:eastAsia="Calibri" w:hAnsi="Calibri"/>
                <w:b/>
                <w:bCs/>
                <w:color w:val="1F3A5F"/>
                <w:sz w:val="26"/>
                <w:szCs w:val="26"/>
              </w:rPr>
              <w:t xml:space="preserve">7,473.47</w:t>
            </w:r>
          </w:p>
        </w:tc>
        <w:tc>
          <w:tcPr>
            <w:tcW w:type="dxa" w:w="2340"/>
            <w:shd w:fill="EEF2F7" w:val="clear"/>
            <w:tcMar>
              <w:top w:type="dxa" w:w="70"/>
              <w:left w:type="dxa" w:w="90"/>
              <w:bottom w:type="dxa" w:w="70"/>
              <w:right w:type="dxa" w:w="90"/>
            </w:tcMar>
            <w:vAlign w:val="center"/>
          </w:tcPr>
          <w:p>
            <w:pPr>
              <w:spacing w:after="0" w:line="248"/>
              <w:jc w:val="center"/>
            </w:pPr>
            <w:r>
              <w:rPr>
                <w:rFonts w:ascii="Calibri" w:cs="Calibri" w:eastAsia="Calibri" w:hAnsi="Calibri"/>
                <w:b/>
                <w:bCs/>
                <w:color w:val="1A1A2E"/>
                <w:sz w:val="26"/>
                <w:szCs w:val="26"/>
              </w:rPr>
              <w:t xml:space="preserve">7,471 – 7,475</w:t>
            </w:r>
          </w:p>
        </w:tc>
        <w:tc>
          <w:tcPr>
            <w:tcW w:type="dxa" w:w="2340"/>
            <w:shd w:fill="EEF2F7" w:val="clear"/>
            <w:tcMar>
              <w:top w:type="dxa" w:w="70"/>
              <w:left w:type="dxa" w:w="90"/>
              <w:bottom w:type="dxa" w:w="70"/>
              <w:right w:type="dxa" w:w="90"/>
            </w:tcMar>
            <w:vAlign w:val="center"/>
          </w:tcPr>
          <w:p>
            <w:pPr>
              <w:spacing w:after="0" w:line="248"/>
              <w:jc w:val="center"/>
            </w:pPr>
            <w:r>
              <w:rPr>
                <w:rFonts w:ascii="Calibri" w:cs="Calibri" w:eastAsia="Calibri" w:hAnsi="Calibri"/>
                <w:b/>
                <w:bCs/>
                <w:color w:val="B8860B"/>
                <w:sz w:val="26"/>
                <w:szCs w:val="26"/>
              </w:rPr>
              <w:t xml:space="preserve">Medium</w:t>
            </w:r>
          </w:p>
        </w:tc>
        <w:tc>
          <w:tcPr>
            <w:tcW w:type="dxa" w:w="2340"/>
            <w:shd w:fill="EEF2F7" w:val="clear"/>
            <w:tcMar>
              <w:top w:type="dxa" w:w="70"/>
              <w:left w:type="dxa" w:w="90"/>
              <w:bottom w:type="dxa" w:w="70"/>
              <w:right w:type="dxa" w:w="90"/>
            </w:tcMar>
            <w:vAlign w:val="center"/>
          </w:tcPr>
          <w:p>
            <w:pPr>
              <w:spacing w:after="0" w:line="248"/>
              <w:jc w:val="center"/>
            </w:pPr>
            <w:r>
              <w:rPr>
                <w:rFonts w:ascii="Calibri" w:cs="Calibri" w:eastAsia="Calibri" w:hAnsi="Calibri"/>
                <w:b/>
                <w:bCs/>
                <w:color w:val="1A7F5A"/>
                <w:sz w:val="26"/>
                <w:szCs w:val="26"/>
              </w:rPr>
              <w:t xml:space="preserve">Bullish</w:t>
            </w:r>
          </w:p>
        </w:tc>
      </w:tr>
    </w:tbl>
    <w:p>
      <w:pPr>
        <w:spacing w:after="120"/>
      </w:pPr>
      <w:r>
        <w:rPr>
          <w:rFonts w:ascii="Calibri" w:cs="Calibri" w:eastAsia="Calibri" w:hAnsi="Calibri"/>
          <w:sz w:val="21"/>
          <w:szCs w:val="21"/>
        </w:rPr>
        <w:t xml:space="preserve"/>
      </w:r>
    </w:p>
    <w:p>
      <w:pPr>
        <w:spacing w:after="120" w:before="0" w:line="276"/>
      </w:pPr>
      <w:r>
        <w:rPr>
          <w:rFonts w:ascii="Calibri" w:cs="Calibri" w:eastAsia="Calibri" w:hAnsi="Calibri"/>
          <w:color w:val="1A1A2E"/>
          <w:sz w:val="19"/>
          <w:szCs w:val="19"/>
        </w:rPr>
        <w:t xml:space="preserve">The consensus level is the official S&amp;P Dow Jones close for 22 May 2026, corroborated by the Federal Reserve Bank of St. Louis (FRED) published series and by independent aggregator feeds within the ±0.10-point equity-index tolerance. Because the cash index is a single, exchange-published value at the close, the consensus range is necessarily tight; the 7,471–7,475 band reflects only the trivial dispersion between provider feeds (one alternate Chicago-quoted feed printed 7,474.33) and carries no analytical uncertainty about the level itself. Confidence is set at Medium rather than High because the </w:t>
      </w:r>
      <w:r>
        <w:rPr>
          <w:rFonts w:ascii="Calibri" w:cs="Calibri" w:eastAsia="Calibri" w:hAnsi="Calibri"/>
          <w:b/>
          <w:bCs/>
          <w:sz w:val="21"/>
          <w:szCs w:val="21"/>
        </w:rPr>
        <w:t xml:space="preserve">forward tone</w:t>
      </w:r>
      <w:r>
        <w:rPr>
          <w:rFonts w:ascii="Calibri" w:cs="Calibri" w:eastAsia="Calibri" w:hAnsi="Calibri"/>
          <w:color w:val="1A1A2E"/>
          <w:sz w:val="19"/>
          <w:szCs w:val="19"/>
        </w:rPr>
        <w:t xml:space="preserve"> — not the level — is what the H/M/L scale grades here: the index is trading less than 0.6% below its 14 May all-time high while a heavy macro calendar (PCE, GDP, jobless claims) sits inside the five-day horizon, leaving the bullish tone genuinely contingent on the inflation print.</w:t>
      </w:r>
    </w:p>
    <w:p>
      <w:pPr>
        <w:pStyle w:val="Heading1"/>
        <w:pageBreakBefore/>
        <w:spacing w:after="140" w:before="280"/>
      </w:pPr>
      <w:r>
        <w:rPr>
          <w:rFonts w:ascii="Calibri" w:cs="Calibri" w:eastAsia="Calibri" w:hAnsi="Calibri"/>
          <w:b/>
          <w:bCs/>
          <w:color w:val="2C6FBB"/>
          <w:sz w:val="26"/>
          <w:szCs w:val="26"/>
        </w:rPr>
        <w:t xml:space="preserve">§4  </w:t>
      </w:r>
      <w:r>
        <w:rPr>
          <w:rFonts w:ascii="Calibri" w:cs="Calibri" w:eastAsia="Calibri" w:hAnsi="Calibri"/>
          <w:b/>
          <w:bCs/>
          <w:color w:val="1F3A5F"/>
          <w:sz w:val="26"/>
          <w:szCs w:val="26"/>
        </w:rPr>
        <w:t xml:space="preserve">Price Evidence Table</w:t>
      </w:r>
    </w:p>
    <w:p>
      <w:pPr>
        <w:spacing w:after="120" w:before="0" w:line="276"/>
      </w:pPr>
      <w:r>
        <w:rPr>
          <w:rFonts w:ascii="Calibri" w:cs="Calibri" w:eastAsia="Calibri" w:hAnsi="Calibri"/>
          <w:color w:val="1A1A2E"/>
          <w:sz w:val="19"/>
          <w:szCs w:val="19"/>
        </w:rPr>
        <w:t xml:space="preserve">Six independent observations of the 22 May 2026 closing level. All are normalised to the S&amp;P 500 cash index level in USD index points; no futures, ETF, or total-return series is blended into the cash-index consensus.</w:t>
      </w:r>
    </w:p>
    <w:p>
      <w:pPr>
        <w:spacing w:after="40"/>
      </w:pPr>
      <w:r>
        <w:rPr>
          <w:rFonts w:ascii="Calibri" w:cs="Calibri" w:eastAsia="Calibri" w:hAnsi="Calibri"/>
          <w:sz w:val="21"/>
          <w:szCs w:val="21"/>
        </w:rPr>
        <w:t xml:space="preserve"/>
      </w:r>
    </w:p>
    <w:tbl>
      <w:tblPr>
        <w:tblW w:type="dxa" w:w="9360"/>
        <w:tblBorders>
          <w:top w:val="single" w:color="C9D4E2" w:sz="2"/>
          <w:left w:val="single" w:color="C9D4E2" w:sz="2"/>
          <w:bottom w:val="single" w:color="C9D4E2" w:sz="2"/>
          <w:right w:val="single" w:color="C9D4E2" w:sz="2"/>
          <w:insideH w:val="single" w:color="C9D4E2" w:sz="2"/>
          <w:insideV w:val="single" w:color="C9D4E2" w:sz="2"/>
        </w:tblBorders>
      </w:tblPr>
      <w:tblGrid>
        <w:gridCol w:w="1660"/>
        <w:gridCol w:w="1180"/>
        <w:gridCol w:w="1300"/>
        <w:gridCol w:w="1300"/>
        <w:gridCol w:w="1560"/>
        <w:gridCol w:w="2360"/>
      </w:tblGrid>
      <w:tr>
        <w:trPr>
          <w:tblHeader/>
        </w:trPr>
        <w:tc>
          <w:tcPr>
            <w:tcW w:type="dxa" w:w="1660"/>
            <w:shd w:fill="1F3A5F" w:val="clear"/>
            <w:tcMar>
              <w:top w:type="dxa" w:w="70"/>
              <w:left w:type="dxa" w:w="90"/>
              <w:bottom w:type="dxa" w:w="70"/>
              <w:right w:type="dxa" w:w="90"/>
            </w:tcMar>
            <w:vAlign w:val="center"/>
          </w:tcPr>
          <w:p>
            <w:pPr>
              <w:spacing w:after="0" w:line="248"/>
              <w:jc w:val="left"/>
            </w:pPr>
            <w:r>
              <w:rPr>
                <w:rFonts w:ascii="Calibri" w:cs="Calibri" w:eastAsia="Calibri" w:hAnsi="Calibri"/>
                <w:b/>
                <w:bCs/>
                <w:color w:val="FFFFFF"/>
                <w:sz w:val="19"/>
                <w:szCs w:val="19"/>
              </w:rPr>
              <w:t xml:space="preserve">Source</w:t>
            </w:r>
          </w:p>
        </w:tc>
        <w:tc>
          <w:tcPr>
            <w:tcW w:type="dxa" w:w="1180"/>
            <w:shd w:fill="1F3A5F" w:val="clear"/>
            <w:tcMar>
              <w:top w:type="dxa" w:w="70"/>
              <w:left w:type="dxa" w:w="90"/>
              <w:bottom w:type="dxa" w:w="70"/>
              <w:right w:type="dxa" w:w="90"/>
            </w:tcMar>
            <w:vAlign w:val="center"/>
          </w:tcPr>
          <w:p>
            <w:pPr>
              <w:spacing w:after="0" w:line="248"/>
              <w:jc w:val="center"/>
            </w:pPr>
            <w:r>
              <w:rPr>
                <w:rFonts w:ascii="Calibri" w:cs="Calibri" w:eastAsia="Calibri" w:hAnsi="Calibri"/>
                <w:b/>
                <w:bCs/>
                <w:color w:val="FFFFFF"/>
                <w:sz w:val="19"/>
                <w:szCs w:val="19"/>
              </w:rPr>
              <w:t xml:space="preserve">Date/Time</w:t>
            </w:r>
          </w:p>
        </w:tc>
        <w:tc>
          <w:tcPr>
            <w:tcW w:type="dxa" w:w="1300"/>
            <w:shd w:fill="1F3A5F" w:val="clear"/>
            <w:tcMar>
              <w:top w:type="dxa" w:w="70"/>
              <w:left w:type="dxa" w:w="90"/>
              <w:bottom w:type="dxa" w:w="70"/>
              <w:right w:type="dxa" w:w="90"/>
            </w:tcMar>
            <w:vAlign w:val="center"/>
          </w:tcPr>
          <w:p>
            <w:pPr>
              <w:spacing w:after="0" w:line="248"/>
              <w:jc w:val="center"/>
            </w:pPr>
            <w:r>
              <w:rPr>
                <w:rFonts w:ascii="Calibri" w:cs="Calibri" w:eastAsia="Calibri" w:hAnsi="Calibri"/>
                <w:b/>
                <w:bCs/>
                <w:color w:val="FFFFFF"/>
                <w:sz w:val="19"/>
                <w:szCs w:val="19"/>
              </w:rPr>
              <w:t xml:space="preserve">Raw quote</w:t>
            </w:r>
          </w:p>
        </w:tc>
        <w:tc>
          <w:tcPr>
            <w:tcW w:type="dxa" w:w="1300"/>
            <w:shd w:fill="1F3A5F" w:val="clear"/>
            <w:tcMar>
              <w:top w:type="dxa" w:w="70"/>
              <w:left w:type="dxa" w:w="90"/>
              <w:bottom w:type="dxa" w:w="70"/>
              <w:right w:type="dxa" w:w="90"/>
            </w:tcMar>
            <w:vAlign w:val="center"/>
          </w:tcPr>
          <w:p>
            <w:pPr>
              <w:spacing w:after="0" w:line="248"/>
              <w:jc w:val="center"/>
            </w:pPr>
            <w:r>
              <w:rPr>
                <w:rFonts w:ascii="Calibri" w:cs="Calibri" w:eastAsia="Calibri" w:hAnsi="Calibri"/>
                <w:b/>
                <w:bCs/>
                <w:color w:val="FFFFFF"/>
                <w:sz w:val="19"/>
                <w:szCs w:val="19"/>
              </w:rPr>
              <w:t xml:space="preserve">Normalised</w:t>
            </w:r>
          </w:p>
        </w:tc>
        <w:tc>
          <w:tcPr>
            <w:tcW w:type="dxa" w:w="1560"/>
            <w:shd w:fill="1F3A5F" w:val="clear"/>
            <w:tcMar>
              <w:top w:type="dxa" w:w="70"/>
              <w:left w:type="dxa" w:w="90"/>
              <w:bottom w:type="dxa" w:w="70"/>
              <w:right w:type="dxa" w:w="90"/>
            </w:tcMar>
            <w:vAlign w:val="center"/>
          </w:tcPr>
          <w:p>
            <w:pPr>
              <w:spacing w:after="0" w:line="248"/>
              <w:jc w:val="center"/>
            </w:pPr>
            <w:r>
              <w:rPr>
                <w:rFonts w:ascii="Calibri" w:cs="Calibri" w:eastAsia="Calibri" w:hAnsi="Calibri"/>
                <w:b/>
                <w:bCs/>
                <w:color w:val="FFFFFF"/>
                <w:sz w:val="19"/>
                <w:szCs w:val="19"/>
              </w:rPr>
              <w:t xml:space="preserve">Classification</w:t>
            </w:r>
          </w:p>
        </w:tc>
        <w:tc>
          <w:tcPr>
            <w:tcW w:type="dxa" w:w="2360"/>
            <w:shd w:fill="1F3A5F" w:val="clear"/>
            <w:tcMar>
              <w:top w:type="dxa" w:w="70"/>
              <w:left w:type="dxa" w:w="90"/>
              <w:bottom w:type="dxa" w:w="70"/>
              <w:right w:type="dxa" w:w="90"/>
            </w:tcMar>
            <w:vAlign w:val="center"/>
          </w:tcPr>
          <w:p>
            <w:pPr>
              <w:spacing w:after="0" w:line="248"/>
              <w:jc w:val="center"/>
            </w:pPr>
            <w:r>
              <w:rPr>
                <w:rFonts w:ascii="Calibri" w:cs="Calibri" w:eastAsia="Calibri" w:hAnsi="Calibri"/>
                <w:b/>
                <w:bCs/>
                <w:color w:val="FFFFFF"/>
                <w:sz w:val="19"/>
                <w:szCs w:val="19"/>
              </w:rPr>
              <w:t xml:space="preserve">Notes</w:t>
            </w:r>
          </w:p>
        </w:tc>
      </w:tr>
      <w:tr>
        <w:tc>
          <w:tcPr>
            <w:tcW w:type="dxa" w:w="1660"/>
            <w:shd w:fill="FFFFFF"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9"/>
                <w:szCs w:val="19"/>
              </w:rPr>
              <w:t xml:space="preserve">S&amp;P Dow Jones (FRED)</w:t>
            </w:r>
          </w:p>
        </w:tc>
        <w:tc>
          <w:tcPr>
            <w:tcW w:type="dxa" w:w="118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22 May 16:00 ET</w:t>
            </w:r>
          </w:p>
        </w:tc>
        <w:tc>
          <w:tcPr>
            <w:tcW w:type="dxa" w:w="130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7,473.47</w:t>
            </w:r>
          </w:p>
        </w:tc>
        <w:tc>
          <w:tcPr>
            <w:tcW w:type="dxa" w:w="130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7,473.47</w:t>
            </w:r>
          </w:p>
        </w:tc>
        <w:tc>
          <w:tcPr>
            <w:tcW w:type="dxa" w:w="156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Core — official</w:t>
            </w:r>
          </w:p>
        </w:tc>
        <w:tc>
          <w:tcPr>
            <w:tcW w:type="dxa" w:w="236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Index provider; official close. Primary reference.</w:t>
            </w:r>
          </w:p>
        </w:tc>
      </w:tr>
      <w:tr>
        <w:tc>
          <w:tcPr>
            <w:tcW w:type="dxa" w:w="1660"/>
            <w:shd w:fill="F4F6FA"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9"/>
                <w:szCs w:val="19"/>
              </w:rPr>
              <w:t xml:space="preserve">Yahoo Finance ^GSPC</w:t>
            </w:r>
          </w:p>
        </w:tc>
        <w:tc>
          <w:tcPr>
            <w:tcW w:type="dxa" w:w="1180"/>
            <w:shd w:fill="F4F6FA"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22 May 16:45 ET</w:t>
            </w:r>
          </w:p>
        </w:tc>
        <w:tc>
          <w:tcPr>
            <w:tcW w:type="dxa" w:w="1300"/>
            <w:shd w:fill="F4F6FA"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7,473.47</w:t>
            </w:r>
          </w:p>
        </w:tc>
        <w:tc>
          <w:tcPr>
            <w:tcW w:type="dxa" w:w="1300"/>
            <w:shd w:fill="F4F6FA"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7,473.47</w:t>
            </w:r>
          </w:p>
        </w:tc>
        <w:tc>
          <w:tcPr>
            <w:tcW w:type="dxa" w:w="1560"/>
            <w:shd w:fill="F4F6FA"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Core comparable</w:t>
            </w:r>
          </w:p>
        </w:tc>
        <w:tc>
          <w:tcPr>
            <w:tcW w:type="dxa" w:w="2360"/>
            <w:shd w:fill="F4F6FA"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Aggregator; exact agreement with official.</w:t>
            </w:r>
          </w:p>
        </w:tc>
      </w:tr>
      <w:tr>
        <w:tc>
          <w:tcPr>
            <w:tcW w:type="dxa" w:w="1660"/>
            <w:shd w:fill="FFFFFF"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9"/>
                <w:szCs w:val="19"/>
              </w:rPr>
              <w:t xml:space="preserve">CNBC market wrap</w:t>
            </w:r>
          </w:p>
        </w:tc>
        <w:tc>
          <w:tcPr>
            <w:tcW w:type="dxa" w:w="118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22 May EOD</w:t>
            </w:r>
          </w:p>
        </w:tc>
        <w:tc>
          <w:tcPr>
            <w:tcW w:type="dxa" w:w="130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+0.37% to 7,473.47</w:t>
            </w:r>
          </w:p>
        </w:tc>
        <w:tc>
          <w:tcPr>
            <w:tcW w:type="dxa" w:w="130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7,473.47</w:t>
            </w:r>
          </w:p>
        </w:tc>
        <w:tc>
          <w:tcPr>
            <w:tcW w:type="dxa" w:w="156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Directional comparable</w:t>
            </w:r>
          </w:p>
        </w:tc>
        <w:tc>
          <w:tcPr>
            <w:tcW w:type="dxa" w:w="236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Media wrap; corroborates close and % change.</w:t>
            </w:r>
          </w:p>
        </w:tc>
      </w:tr>
      <w:tr>
        <w:tc>
          <w:tcPr>
            <w:tcW w:type="dxa" w:w="1660"/>
            <w:shd w:fill="F4F6FA"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9"/>
                <w:szCs w:val="19"/>
              </w:rPr>
              <w:t xml:space="preserve">TheStreet market blog</w:t>
            </w:r>
          </w:p>
        </w:tc>
        <w:tc>
          <w:tcPr>
            <w:tcW w:type="dxa" w:w="1180"/>
            <w:shd w:fill="F4F6FA"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22 May 16:29 ET</w:t>
            </w:r>
          </w:p>
        </w:tc>
        <w:tc>
          <w:tcPr>
            <w:tcW w:type="dxa" w:w="1300"/>
            <w:shd w:fill="F4F6FA"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7,473.47</w:t>
            </w:r>
          </w:p>
        </w:tc>
        <w:tc>
          <w:tcPr>
            <w:tcW w:type="dxa" w:w="1300"/>
            <w:shd w:fill="F4F6FA"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7,473.47</w:t>
            </w:r>
          </w:p>
        </w:tc>
        <w:tc>
          <w:tcPr>
            <w:tcW w:type="dxa" w:w="1560"/>
            <w:shd w:fill="F4F6FA"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Directional comparable</w:t>
            </w:r>
          </w:p>
        </w:tc>
        <w:tc>
          <w:tcPr>
            <w:tcW w:type="dxa" w:w="2360"/>
            <w:shd w:fill="F4F6FA"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Media; closing-bell confirmation.</w:t>
            </w:r>
          </w:p>
        </w:tc>
      </w:tr>
      <w:tr>
        <w:tc>
          <w:tcPr>
            <w:tcW w:type="dxa" w:w="1660"/>
            <w:shd w:fill="FFFFFF"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9"/>
                <w:szCs w:val="19"/>
              </w:rPr>
              <w:t xml:space="preserve">Yahoo ^SPX (Chicago)</w:t>
            </w:r>
          </w:p>
        </w:tc>
        <w:tc>
          <w:tcPr>
            <w:tcW w:type="dxa" w:w="118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22 May 15:56 ET</w:t>
            </w:r>
          </w:p>
        </w:tc>
        <w:tc>
          <w:tcPr>
            <w:tcW w:type="dxa" w:w="130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7,474.33</w:t>
            </w:r>
          </w:p>
        </w:tc>
        <w:tc>
          <w:tcPr>
            <w:tcW w:type="dxa" w:w="130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7,474.33</w:t>
            </w:r>
          </w:p>
        </w:tc>
        <w:tc>
          <w:tcPr>
            <w:tcW w:type="dxa" w:w="156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Excluded — basis</w:t>
            </w:r>
          </w:p>
        </w:tc>
        <w:tc>
          <w:tcPr>
            <w:tcW w:type="dxa" w:w="236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Alternate Chicago feed; +0.86 pt vs official — noted, not blended.</w:t>
            </w:r>
          </w:p>
        </w:tc>
      </w:tr>
      <w:tr>
        <w:tc>
          <w:tcPr>
            <w:tcW w:type="dxa" w:w="1660"/>
            <w:shd w:fill="F4F6FA"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9"/>
                <w:szCs w:val="19"/>
              </w:rPr>
              <w:t xml:space="preserve">Advisor Perspectives</w:t>
            </w:r>
          </w:p>
        </w:tc>
        <w:tc>
          <w:tcPr>
            <w:tcW w:type="dxa" w:w="1180"/>
            <w:shd w:fill="F4F6FA"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22 May EOD</w:t>
            </w:r>
          </w:p>
        </w:tc>
        <w:tc>
          <w:tcPr>
            <w:tcW w:type="dxa" w:w="1300"/>
            <w:shd w:fill="F4F6FA"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7,473.47</w:t>
            </w:r>
          </w:p>
        </w:tc>
        <w:tc>
          <w:tcPr>
            <w:tcW w:type="dxa" w:w="1300"/>
            <w:shd w:fill="F4F6FA"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7,473.47</w:t>
            </w:r>
          </w:p>
        </w:tc>
        <w:tc>
          <w:tcPr>
            <w:tcW w:type="dxa" w:w="1560"/>
            <w:shd w:fill="F4F6FA"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Core comparable</w:t>
            </w:r>
          </w:p>
        </w:tc>
        <w:tc>
          <w:tcPr>
            <w:tcW w:type="dxa" w:w="2360"/>
            <w:shd w:fill="F4F6FA"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Specialist; eight-week-streak snapshot.</w:t>
            </w:r>
          </w:p>
        </w:tc>
      </w:tr>
    </w:tbl>
    <w:p>
      <w:pPr>
        <w:spacing w:after="80"/>
      </w:pPr>
      <w:r>
        <w:rPr>
          <w:rFonts w:ascii="Calibri" w:cs="Calibri" w:eastAsia="Calibri" w:hAnsi="Calibri"/>
          <w:sz w:val="21"/>
          <w:szCs w:val="21"/>
        </w:rPr>
        <w:t xml:space="preserve"/>
      </w:r>
    </w:p>
    <w:p>
      <w:pPr>
        <w:spacing w:after="120" w:before="0" w:line="276"/>
      </w:pPr>
      <w:r>
        <w:rPr>
          <w:rFonts w:ascii="Calibri" w:cs="Calibri" w:eastAsia="Calibri" w:hAnsi="Calibri"/>
          <w:b/>
          <w:bCs/>
          <w:i/>
          <w:iCs/>
          <w:color w:val="1A1A2E"/>
          <w:sz w:val="19"/>
          <w:szCs w:val="19"/>
        </w:rPr>
        <w:t xml:space="preserve">Corroboration.  </w:t>
      </w:r>
      <w:r>
        <w:rPr>
          <w:rFonts w:ascii="Calibri" w:cs="Calibri" w:eastAsia="Calibri" w:hAnsi="Calibri"/>
          <w:i/>
          <w:iCs/>
          <w:color w:val="5A6678"/>
          <w:sz w:val="19"/>
          <w:szCs w:val="19"/>
        </w:rPr>
        <w:t xml:space="preserve">Five of six observations agree exactly on 7,473.47; the official S&amp;P Dow Jones value is corroborated by the FRED published series within a 0.00-point delta — well inside the ±0.10-point equity-index tolerance. The alternate Chicago-quoted ^SPX feed (7,474.33) is recorded for transparency and excluded from the consensus because it is a different calculation basis.</w:t>
      </w:r>
    </w:p>
    <w:p>
      <w:pPr>
        <w:pStyle w:val="Heading1"/>
        <w:pageBreakBefore/>
        <w:spacing w:after="140" w:before="280"/>
      </w:pPr>
      <w:r>
        <w:rPr>
          <w:rFonts w:ascii="Calibri" w:cs="Calibri" w:eastAsia="Calibri" w:hAnsi="Calibri"/>
          <w:b/>
          <w:bCs/>
          <w:color w:val="2C6FBB"/>
          <w:sz w:val="26"/>
          <w:szCs w:val="26"/>
        </w:rPr>
        <w:t xml:space="preserve">§5  </w:t>
      </w:r>
      <w:r>
        <w:rPr>
          <w:rFonts w:ascii="Calibri" w:cs="Calibri" w:eastAsia="Calibri" w:hAnsi="Calibri"/>
          <w:b/>
          <w:bCs/>
          <w:color w:val="1F3A5F"/>
          <w:sz w:val="26"/>
          <w:szCs w:val="26"/>
        </w:rPr>
        <w:t xml:space="preserve">Consensus Build Explanation</w:t>
      </w:r>
    </w:p>
    <w:p>
      <w:pPr>
        <w:spacing w:after="120" w:before="0" w:line="276"/>
      </w:pPr>
      <w:r>
        <w:rPr>
          <w:rFonts w:ascii="Calibri" w:cs="Calibri" w:eastAsia="Calibri" w:hAnsi="Calibri"/>
          <w:color w:val="1A1A2E"/>
          <w:sz w:val="19"/>
          <w:szCs w:val="19"/>
        </w:rPr>
        <w:t xml:space="preserve">The consensus level was constructed under a weighted-median method that down-weights stale or off-basis observations. Because the S&amp;P 500 cash index is a single exchange-published number at the close, the build is straightforward: the official S&amp;P Dow Jones value carries the highest weight, the FRED published series provides the mandatory second corroborating source, and the agreement is exact.</w:t>
      </w:r>
    </w:p>
    <w:p>
      <w:pPr>
        <w:pStyle w:val="Heading2"/>
        <w:spacing w:after="100" w:before="180"/>
      </w:pPr>
      <w:r>
        <w:rPr>
          <w:rFonts w:ascii="Calibri" w:cs="Calibri" w:eastAsia="Calibri" w:hAnsi="Calibri"/>
          <w:b/>
          <w:bCs/>
          <w:color w:val="1A1A2E"/>
          <w:sz w:val="22"/>
          <w:szCs w:val="22"/>
        </w:rPr>
        <w:t xml:space="preserve">Normalisation</w:t>
      </w:r>
    </w:p>
    <w:p>
      <w:pPr>
        <w:pStyle w:val="ListParagraph"/>
        <w:numPr>
          <w:ilvl w:val="0"/>
          <w:numId w:val="2"/>
        </w:numPr>
        <w:spacing w:after="70" w:line="268"/>
      </w:pPr>
      <w:r>
        <w:rPr>
          <w:rFonts w:ascii="Calibri" w:cs="Calibri" w:eastAsia="Calibri" w:hAnsi="Calibri"/>
          <w:color w:val="1A1A2E"/>
          <w:sz w:val="19"/>
          <w:szCs w:val="19"/>
        </w:rPr>
        <w:t xml:space="preserve">All six observations were checked against a single specification: the S&amp;P 500 </w:t>
      </w:r>
      <w:r>
        <w:rPr>
          <w:rFonts w:ascii="Calibri" w:cs="Calibri" w:eastAsia="Calibri" w:hAnsi="Calibri"/>
          <w:b/>
          <w:bCs/>
          <w:sz w:val="21"/>
          <w:szCs w:val="21"/>
        </w:rPr>
        <w:t xml:space="preserve">cash index</w:t>
      </w:r>
      <w:r>
        <w:rPr>
          <w:rFonts w:ascii="Calibri" w:cs="Calibri" w:eastAsia="Calibri" w:hAnsi="Calibri"/>
          <w:color w:val="1A1A2E"/>
          <w:sz w:val="19"/>
          <w:szCs w:val="19"/>
        </w:rPr>
        <w:t xml:space="preserve"> level (not the ES futures contract, not an ETF proxy, not a total-return series), in USD index points, at the regular-session close.</w:t>
      </w:r>
    </w:p>
    <w:p>
      <w:pPr>
        <w:pStyle w:val="ListParagraph"/>
        <w:numPr>
          <w:ilvl w:val="0"/>
          <w:numId w:val="2"/>
        </w:numPr>
        <w:spacing w:after="70" w:line="268"/>
      </w:pPr>
      <w:r>
        <w:rPr>
          <w:rFonts w:ascii="Calibri" w:cs="Calibri" w:eastAsia="Calibri" w:hAnsi="Calibri"/>
          <w:color w:val="1A1A2E"/>
          <w:sz w:val="19"/>
          <w:szCs w:val="19"/>
        </w:rPr>
        <w:t xml:space="preserve">No FX conversion is required — the index is natively USD-denominated.</w:t>
      </w:r>
    </w:p>
    <w:p>
      <w:pPr>
        <w:pStyle w:val="ListParagraph"/>
        <w:numPr>
          <w:ilvl w:val="0"/>
          <w:numId w:val="2"/>
        </w:numPr>
        <w:spacing w:after="70" w:line="268"/>
      </w:pPr>
      <w:r>
        <w:rPr>
          <w:rFonts w:ascii="Calibri" w:cs="Calibri" w:eastAsia="Calibri" w:hAnsi="Calibri"/>
          <w:color w:val="1A1A2E"/>
          <w:sz w:val="19"/>
          <w:szCs w:val="19"/>
        </w:rPr>
        <w:t xml:space="preserve">One observation (the Chicago-quoted ^SPX feed at 7,474.33) was </w:t>
      </w:r>
      <w:r>
        <w:rPr>
          <w:rFonts w:ascii="Calibri" w:cs="Calibri" w:eastAsia="Calibri" w:hAnsi="Calibri"/>
          <w:b/>
          <w:bCs/>
          <w:sz w:val="21"/>
          <w:szCs w:val="21"/>
        </w:rPr>
        <w:t xml:space="preserve">excluded</w:t>
      </w:r>
      <w:r>
        <w:rPr>
          <w:rFonts w:ascii="Calibri" w:cs="Calibri" w:eastAsia="Calibri" w:hAnsi="Calibri"/>
          <w:color w:val="1A1A2E"/>
          <w:sz w:val="19"/>
          <w:szCs w:val="19"/>
        </w:rPr>
        <w:t xml:space="preserve"> from the consensus because it is a different calculation basis; the 0.86-point gap is a basis artefact, not a data error, and is disclosed rather than averaged in.</w:t>
      </w:r>
    </w:p>
    <w:p>
      <w:pPr>
        <w:pStyle w:val="Heading2"/>
        <w:spacing w:after="100" w:before="180"/>
      </w:pPr>
      <w:r>
        <w:rPr>
          <w:rFonts w:ascii="Calibri" w:cs="Calibri" w:eastAsia="Calibri" w:hAnsi="Calibri"/>
          <w:b/>
          <w:bCs/>
          <w:color w:val="1A1A2E"/>
          <w:sz w:val="22"/>
          <w:szCs w:val="22"/>
        </w:rPr>
        <w:t xml:space="preserve">Weighting rationale</w:t>
      </w:r>
    </w:p>
    <w:p>
      <w:pPr>
        <w:pStyle w:val="ListParagraph"/>
        <w:numPr>
          <w:ilvl w:val="0"/>
          <w:numId w:val="2"/>
        </w:numPr>
        <w:spacing w:after="70" w:line="268"/>
      </w:pPr>
      <w:r>
        <w:rPr>
          <w:rFonts w:ascii="Calibri" w:cs="Calibri" w:eastAsia="Calibri" w:hAnsi="Calibri"/>
          <w:color w:val="1A1A2E"/>
          <w:sz w:val="19"/>
          <w:szCs w:val="19"/>
        </w:rPr>
        <w:t xml:space="preserve">Recency: all observations are from the 22 May close — no recency penalty applies.</w:t>
      </w:r>
    </w:p>
    <w:p>
      <w:pPr>
        <w:pStyle w:val="ListParagraph"/>
        <w:numPr>
          <w:ilvl w:val="0"/>
          <w:numId w:val="2"/>
        </w:numPr>
        <w:spacing w:after="70" w:line="268"/>
      </w:pPr>
      <w:r>
        <w:rPr>
          <w:rFonts w:ascii="Calibri" w:cs="Calibri" w:eastAsia="Calibri" w:hAnsi="Calibri"/>
          <w:color w:val="1A1A2E"/>
          <w:sz w:val="19"/>
          <w:szCs w:val="19"/>
        </w:rPr>
        <w:t xml:space="preserve">Source credibility: the index provider (S&amp;P Dow Jones) and the official FRED series rank at the top of the evidence hierarchy and together fix the level.</w:t>
      </w:r>
    </w:p>
    <w:p>
      <w:pPr>
        <w:pStyle w:val="ListParagraph"/>
        <w:numPr>
          <w:ilvl w:val="0"/>
          <w:numId w:val="2"/>
        </w:numPr>
        <w:spacing w:after="70" w:line="268"/>
      </w:pPr>
      <w:r>
        <w:rPr>
          <w:rFonts w:ascii="Calibri" w:cs="Calibri" w:eastAsia="Calibri" w:hAnsi="Calibri"/>
          <w:color w:val="1A1A2E"/>
          <w:sz w:val="19"/>
          <w:szCs w:val="19"/>
        </w:rPr>
        <w:t xml:space="preserve">Methodology transparency: aggregator and media feeds were used only as corroborators; they did not move the number.</w:t>
      </w:r>
    </w:p>
    <w:p>
      <w:pPr>
        <w:spacing w:after="60"/>
      </w:pPr>
      <w:r>
        <w:rPr>
          <w:rFonts w:ascii="Calibri" w:cs="Calibri" w:eastAsia="Calibri" w:hAnsi="Calibri"/>
          <w:sz w:val="21"/>
          <w:szCs w:val="21"/>
        </w:rPr>
        <w:t xml:space="preserve"/>
      </w:r>
    </w:p>
    <w:p>
      <w:pPr>
        <w:spacing w:after="120" w:before="0" w:line="276"/>
      </w:pPr>
      <w:r>
        <w:rPr>
          <w:rFonts w:ascii="Calibri" w:cs="Calibri" w:eastAsia="Calibri" w:hAnsi="Calibri"/>
          <w:color w:val="1A1A2E"/>
          <w:sz w:val="19"/>
          <w:szCs w:val="19"/>
        </w:rPr>
        <w:t xml:space="preserve">The final figure of </w:t>
      </w:r>
      <w:r>
        <w:rPr>
          <w:rFonts w:ascii="Calibri" w:cs="Calibri" w:eastAsia="Calibri" w:hAnsi="Calibri"/>
          <w:b/>
          <w:bCs/>
          <w:sz w:val="21"/>
          <w:szCs w:val="21"/>
        </w:rPr>
        <w:t xml:space="preserve">7,473.47</w:t>
      </w:r>
      <w:r>
        <w:rPr>
          <w:rFonts w:ascii="Calibri" w:cs="Calibri" w:eastAsia="Calibri" w:hAnsi="Calibri"/>
          <w:color w:val="1A1A2E"/>
          <w:sz w:val="19"/>
          <w:szCs w:val="19"/>
        </w:rPr>
        <w:t xml:space="preserve"> is the most defensible consensus because it is the official close, it is corroborated by an independent official source at a zero delta, and it required no normalisation assumptions. The reported precision is genuine — not a derived estimate.</w:t>
      </w:r>
    </w:p>
    <w:p>
      <w:pPr>
        <w:pStyle w:val="Heading1"/>
        <w:pageBreakBefore/>
        <w:spacing w:after="140" w:before="280"/>
      </w:pPr>
      <w:r>
        <w:rPr>
          <w:rFonts w:ascii="Calibri" w:cs="Calibri" w:eastAsia="Calibri" w:hAnsi="Calibri"/>
          <w:b/>
          <w:bCs/>
          <w:color w:val="2C6FBB"/>
          <w:sz w:val="26"/>
          <w:szCs w:val="26"/>
        </w:rPr>
        <w:t xml:space="preserve">§6  </w:t>
      </w:r>
      <w:r>
        <w:rPr>
          <w:rFonts w:ascii="Calibri" w:cs="Calibri" w:eastAsia="Calibri" w:hAnsi="Calibri"/>
          <w:b/>
          <w:bCs/>
          <w:color w:val="1F3A5F"/>
          <w:sz w:val="26"/>
          <w:szCs w:val="26"/>
        </w:rPr>
        <w:t xml:space="preserve">Validated OHLC + RSI(2) Table</w:t>
      </w:r>
    </w:p>
    <w:p>
      <w:pPr>
        <w:spacing w:after="120" w:before="0" w:line="276"/>
      </w:pPr>
      <w:r>
        <w:rPr>
          <w:rFonts w:ascii="Calibri" w:cs="Calibri" w:eastAsia="Calibri" w:hAnsi="Calibri"/>
          <w:color w:val="1A1A2E"/>
          <w:sz w:val="19"/>
          <w:szCs w:val="19"/>
        </w:rPr>
        <w:t xml:space="preserve">Five validated cash sessions for the S&amp;P 500, 18–22 May 2026. Closing prices are dual-source corroborated within the ±0.10-point equity-index tolerance. Several intraday Open/High/Low fields are single-source and are flagged </w:t>
      </w:r>
      <w:r>
        <w:rPr>
          <w:rFonts w:ascii="Calibri" w:cs="Calibri" w:eastAsia="Calibri" w:hAnsi="Calibri"/>
          <w:b/>
          <w:bCs/>
          <w:color w:val="B8860B"/>
          <w:sz w:val="21"/>
          <w:szCs w:val="21"/>
        </w:rPr>
        <w:t xml:space="preserve">indicative</w:t>
      </w:r>
      <w:r>
        <w:rPr>
          <w:rFonts w:ascii="Calibri" w:cs="Calibri" w:eastAsia="Calibri" w:hAnsi="Calibri"/>
          <w:color w:val="1A1A2E"/>
          <w:sz w:val="19"/>
          <w:szCs w:val="19"/>
        </w:rPr>
        <w:t xml:space="preserve"> — they are used for chart visualisation and directional context but not as definitive pivot inputs (see §19).</w:t>
      </w:r>
    </w:p>
    <w:p>
      <w:pPr>
        <w:spacing w:after="40"/>
      </w:pPr>
      <w:r>
        <w:rPr>
          <w:rFonts w:ascii="Calibri" w:cs="Calibri" w:eastAsia="Calibri" w:hAnsi="Calibri"/>
          <w:sz w:val="21"/>
          <w:szCs w:val="21"/>
        </w:rPr>
        <w:t xml:space="preserve"/>
      </w:r>
    </w:p>
    <w:tbl>
      <w:tblPr>
        <w:tblW w:type="dxa" w:w="9360"/>
        <w:tblBorders>
          <w:top w:val="single" w:color="C9D4E2" w:sz="2"/>
          <w:left w:val="single" w:color="C9D4E2" w:sz="2"/>
          <w:bottom w:val="single" w:color="C9D4E2" w:sz="2"/>
          <w:right w:val="single" w:color="C9D4E2" w:sz="2"/>
          <w:insideH w:val="single" w:color="C9D4E2" w:sz="2"/>
          <w:insideV w:val="single" w:color="C9D4E2" w:sz="2"/>
        </w:tblBorders>
      </w:tblPr>
      <w:tblGrid>
        <w:gridCol w:w="980"/>
        <w:gridCol w:w="1160"/>
        <w:gridCol w:w="1160"/>
        <w:gridCol w:w="1160"/>
        <w:gridCol w:w="1240"/>
        <w:gridCol w:w="720"/>
        <w:gridCol w:w="1000"/>
        <w:gridCol w:w="1940"/>
      </w:tblGrid>
      <w:tr>
        <w:trPr>
          <w:tblHeader/>
        </w:trPr>
        <w:tc>
          <w:tcPr>
            <w:tcW w:type="dxa" w:w="980"/>
            <w:shd w:fill="1F3A5F" w:val="clear"/>
            <w:tcMar>
              <w:top w:type="dxa" w:w="70"/>
              <w:left w:type="dxa" w:w="90"/>
              <w:bottom w:type="dxa" w:w="70"/>
              <w:right w:type="dxa" w:w="90"/>
            </w:tcMar>
            <w:vAlign w:val="center"/>
          </w:tcPr>
          <w:p>
            <w:pPr>
              <w:spacing w:after="0" w:line="248"/>
              <w:jc w:val="left"/>
            </w:pPr>
            <w:r>
              <w:rPr>
                <w:rFonts w:ascii="Calibri" w:cs="Calibri" w:eastAsia="Calibri" w:hAnsi="Calibri"/>
                <w:b/>
                <w:bCs/>
                <w:color w:val="FFFFFF"/>
                <w:sz w:val="19"/>
                <w:szCs w:val="19"/>
              </w:rPr>
              <w:t xml:space="preserve">Date</w:t>
            </w:r>
          </w:p>
        </w:tc>
        <w:tc>
          <w:tcPr>
            <w:tcW w:type="dxa" w:w="1160"/>
            <w:shd w:fill="1F3A5F" w:val="clear"/>
            <w:tcMar>
              <w:top w:type="dxa" w:w="70"/>
              <w:left w:type="dxa" w:w="90"/>
              <w:bottom w:type="dxa" w:w="70"/>
              <w:right w:type="dxa" w:w="90"/>
            </w:tcMar>
            <w:vAlign w:val="center"/>
          </w:tcPr>
          <w:p>
            <w:pPr>
              <w:spacing w:after="0" w:line="248"/>
              <w:jc w:val="center"/>
            </w:pPr>
            <w:r>
              <w:rPr>
                <w:rFonts w:ascii="Calibri" w:cs="Calibri" w:eastAsia="Calibri" w:hAnsi="Calibri"/>
                <w:b/>
                <w:bCs/>
                <w:color w:val="FFFFFF"/>
                <w:sz w:val="19"/>
                <w:szCs w:val="19"/>
              </w:rPr>
              <w:t xml:space="preserve">Open</w:t>
            </w:r>
          </w:p>
        </w:tc>
        <w:tc>
          <w:tcPr>
            <w:tcW w:type="dxa" w:w="1160"/>
            <w:shd w:fill="1F3A5F" w:val="clear"/>
            <w:tcMar>
              <w:top w:type="dxa" w:w="70"/>
              <w:left w:type="dxa" w:w="90"/>
              <w:bottom w:type="dxa" w:w="70"/>
              <w:right w:type="dxa" w:w="90"/>
            </w:tcMar>
            <w:vAlign w:val="center"/>
          </w:tcPr>
          <w:p>
            <w:pPr>
              <w:spacing w:after="0" w:line="248"/>
              <w:jc w:val="center"/>
            </w:pPr>
            <w:r>
              <w:rPr>
                <w:rFonts w:ascii="Calibri" w:cs="Calibri" w:eastAsia="Calibri" w:hAnsi="Calibri"/>
                <w:b/>
                <w:bCs/>
                <w:color w:val="FFFFFF"/>
                <w:sz w:val="19"/>
                <w:szCs w:val="19"/>
              </w:rPr>
              <w:t xml:space="preserve">High</w:t>
            </w:r>
          </w:p>
        </w:tc>
        <w:tc>
          <w:tcPr>
            <w:tcW w:type="dxa" w:w="1160"/>
            <w:shd w:fill="1F3A5F" w:val="clear"/>
            <w:tcMar>
              <w:top w:type="dxa" w:w="70"/>
              <w:left w:type="dxa" w:w="90"/>
              <w:bottom w:type="dxa" w:w="70"/>
              <w:right w:type="dxa" w:w="90"/>
            </w:tcMar>
            <w:vAlign w:val="center"/>
          </w:tcPr>
          <w:p>
            <w:pPr>
              <w:spacing w:after="0" w:line="248"/>
              <w:jc w:val="center"/>
            </w:pPr>
            <w:r>
              <w:rPr>
                <w:rFonts w:ascii="Calibri" w:cs="Calibri" w:eastAsia="Calibri" w:hAnsi="Calibri"/>
                <w:b/>
                <w:bCs/>
                <w:color w:val="FFFFFF"/>
                <w:sz w:val="19"/>
                <w:szCs w:val="19"/>
              </w:rPr>
              <w:t xml:space="preserve">Low</w:t>
            </w:r>
          </w:p>
        </w:tc>
        <w:tc>
          <w:tcPr>
            <w:tcW w:type="dxa" w:w="1240"/>
            <w:shd w:fill="1F3A5F" w:val="clear"/>
            <w:tcMar>
              <w:top w:type="dxa" w:w="70"/>
              <w:left w:type="dxa" w:w="90"/>
              <w:bottom w:type="dxa" w:w="70"/>
              <w:right w:type="dxa" w:w="90"/>
            </w:tcMar>
            <w:vAlign w:val="center"/>
          </w:tcPr>
          <w:p>
            <w:pPr>
              <w:spacing w:after="0" w:line="248"/>
              <w:jc w:val="center"/>
            </w:pPr>
            <w:r>
              <w:rPr>
                <w:rFonts w:ascii="Calibri" w:cs="Calibri" w:eastAsia="Calibri" w:hAnsi="Calibri"/>
                <w:b/>
                <w:bCs/>
                <w:color w:val="FFFFFF"/>
                <w:sz w:val="19"/>
                <w:szCs w:val="19"/>
              </w:rPr>
              <w:t xml:space="preserve">Close</w:t>
            </w:r>
          </w:p>
        </w:tc>
        <w:tc>
          <w:tcPr>
            <w:tcW w:type="dxa" w:w="720"/>
            <w:shd w:fill="1F3A5F" w:val="clear"/>
            <w:tcMar>
              <w:top w:type="dxa" w:w="70"/>
              <w:left w:type="dxa" w:w="90"/>
              <w:bottom w:type="dxa" w:w="70"/>
              <w:right w:type="dxa" w:w="90"/>
            </w:tcMar>
            <w:vAlign w:val="center"/>
          </w:tcPr>
          <w:p>
            <w:pPr>
              <w:spacing w:after="0" w:line="248"/>
              <w:jc w:val="center"/>
            </w:pPr>
            <w:r>
              <w:rPr>
                <w:rFonts w:ascii="Calibri" w:cs="Calibri" w:eastAsia="Calibri" w:hAnsi="Calibri"/>
                <w:b/>
                <w:bCs/>
                <w:color w:val="FFFFFF"/>
                <w:sz w:val="19"/>
                <w:szCs w:val="19"/>
              </w:rPr>
              <w:t xml:space="preserve">RSI2</w:t>
            </w:r>
          </w:p>
        </w:tc>
        <w:tc>
          <w:tcPr>
            <w:tcW w:type="dxa" w:w="1000"/>
            <w:shd w:fill="1F3A5F" w:val="clear"/>
            <w:tcMar>
              <w:top w:type="dxa" w:w="70"/>
              <w:left w:type="dxa" w:w="90"/>
              <w:bottom w:type="dxa" w:w="70"/>
              <w:right w:type="dxa" w:w="90"/>
            </w:tcMar>
            <w:vAlign w:val="center"/>
          </w:tcPr>
          <w:p>
            <w:pPr>
              <w:spacing w:after="0" w:line="248"/>
              <w:jc w:val="center"/>
            </w:pPr>
            <w:r>
              <w:rPr>
                <w:rFonts w:ascii="Calibri" w:cs="Calibri" w:eastAsia="Calibri" w:hAnsi="Calibri"/>
                <w:b/>
                <w:bCs/>
                <w:color w:val="FFFFFF"/>
                <w:sz w:val="19"/>
                <w:szCs w:val="19"/>
              </w:rPr>
              <w:t xml:space="preserve">Trend</w:t>
            </w:r>
          </w:p>
        </w:tc>
        <w:tc>
          <w:tcPr>
            <w:tcW w:type="dxa" w:w="1940"/>
            <w:shd w:fill="1F3A5F" w:val="clear"/>
            <w:tcMar>
              <w:top w:type="dxa" w:w="70"/>
              <w:left w:type="dxa" w:w="90"/>
              <w:bottom w:type="dxa" w:w="70"/>
              <w:right w:type="dxa" w:w="90"/>
            </w:tcMar>
            <w:vAlign w:val="center"/>
          </w:tcPr>
          <w:p>
            <w:pPr>
              <w:spacing w:after="0" w:line="248"/>
              <w:jc w:val="center"/>
            </w:pPr>
            <w:r>
              <w:rPr>
                <w:rFonts w:ascii="Calibri" w:cs="Calibri" w:eastAsia="Calibri" w:hAnsi="Calibri"/>
                <w:b/>
                <w:bCs/>
                <w:color w:val="FFFFFF"/>
                <w:sz w:val="19"/>
                <w:szCs w:val="19"/>
              </w:rPr>
              <w:t xml:space="preserve">Validation</w:t>
            </w:r>
          </w:p>
        </w:tc>
      </w:tr>
      <w:tr>
        <w:tc>
          <w:tcPr>
            <w:tcW w:type="dxa" w:w="980"/>
            <w:shd w:fill="FFFFFF"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9"/>
                <w:szCs w:val="19"/>
              </w:rPr>
              <w:t xml:space="preserve">Mon 18 May</w:t>
            </w:r>
          </w:p>
        </w:tc>
        <w:tc>
          <w:tcPr>
            <w:tcW w:type="dxa" w:w="116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7,445.10</w:t>
            </w:r>
          </w:p>
        </w:tc>
        <w:tc>
          <w:tcPr>
            <w:tcW w:type="dxa" w:w="116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7,448.60</w:t>
            </w:r>
          </w:p>
        </w:tc>
        <w:tc>
          <w:tcPr>
            <w:tcW w:type="dxa" w:w="116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7,360.20</w:t>
            </w:r>
          </w:p>
        </w:tc>
        <w:tc>
          <w:tcPr>
            <w:tcW w:type="dxa" w:w="1240"/>
            <w:shd w:fill="FFFFFF" w:val="clear"/>
            <w:tcMar>
              <w:top w:type="dxa" w:w="70"/>
              <w:left w:type="dxa" w:w="90"/>
              <w:bottom w:type="dxa" w:w="70"/>
              <w:right w:type="dxa" w:w="90"/>
            </w:tcMar>
            <w:vAlign w:val="center"/>
          </w:tcPr>
          <w:p>
            <w:pPr>
              <w:spacing w:after="0" w:line="248"/>
              <w:jc w:val="center"/>
            </w:pPr>
            <w:r>
              <w:rPr>
                <w:rFonts w:ascii="Calibri" w:cs="Calibri" w:eastAsia="Calibri" w:hAnsi="Calibri"/>
                <w:b/>
                <w:bCs/>
                <w:sz w:val="21"/>
                <w:szCs w:val="21"/>
              </w:rPr>
              <w:t xml:space="preserve">7,403.05</w:t>
            </w:r>
          </w:p>
        </w:tc>
        <w:tc>
          <w:tcPr>
            <w:tcW w:type="dxa" w:w="72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0.0</w:t>
            </w:r>
          </w:p>
        </w:tc>
        <w:tc>
          <w:tcPr>
            <w:tcW w:type="dxa" w:w="1000"/>
            <w:shd w:fill="FFFFFF" w:val="clear"/>
            <w:tcMar>
              <w:top w:type="dxa" w:w="70"/>
              <w:left w:type="dxa" w:w="90"/>
              <w:bottom w:type="dxa" w:w="70"/>
              <w:right w:type="dxa" w:w="90"/>
            </w:tcMar>
            <w:vAlign w:val="center"/>
          </w:tcPr>
          <w:p>
            <w:pPr>
              <w:spacing w:after="0" w:line="248"/>
              <w:jc w:val="center"/>
            </w:pPr>
            <w:r>
              <w:rPr>
                <w:rFonts w:ascii="Calibri" w:cs="Calibri" w:eastAsia="Calibri" w:hAnsi="Calibri"/>
                <w:b/>
                <w:bCs/>
                <w:color w:val="C0392B"/>
                <w:sz w:val="19"/>
                <w:szCs w:val="19"/>
              </w:rPr>
              <w:t xml:space="preserve">Bearish</w:t>
            </w:r>
          </w:p>
        </w:tc>
        <w:tc>
          <w:tcPr>
            <w:tcW w:type="dxa" w:w="194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Close CORROBORATED (Δ 0.00); O/H/L indicative</w:t>
            </w:r>
          </w:p>
        </w:tc>
      </w:tr>
      <w:tr>
        <w:tc>
          <w:tcPr>
            <w:tcW w:type="dxa" w:w="980"/>
            <w:shd w:fill="F4F6FA"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9"/>
                <w:szCs w:val="19"/>
              </w:rPr>
              <w:t xml:space="preserve">Tue 19 May</w:t>
            </w:r>
          </w:p>
        </w:tc>
        <w:tc>
          <w:tcPr>
            <w:tcW w:type="dxa" w:w="1160"/>
            <w:shd w:fill="F4F6FA"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7,401.90</w:t>
            </w:r>
          </w:p>
        </w:tc>
        <w:tc>
          <w:tcPr>
            <w:tcW w:type="dxa" w:w="1160"/>
            <w:shd w:fill="F4F6FA"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7,409.50</w:t>
            </w:r>
          </w:p>
        </w:tc>
        <w:tc>
          <w:tcPr>
            <w:tcW w:type="dxa" w:w="1160"/>
            <w:shd w:fill="F4F6FA"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7,338.40</w:t>
            </w:r>
          </w:p>
        </w:tc>
        <w:tc>
          <w:tcPr>
            <w:tcW w:type="dxa" w:w="1240"/>
            <w:shd w:fill="F4F6FA" w:val="clear"/>
            <w:tcMar>
              <w:top w:type="dxa" w:w="70"/>
              <w:left w:type="dxa" w:w="90"/>
              <w:bottom w:type="dxa" w:w="70"/>
              <w:right w:type="dxa" w:w="90"/>
            </w:tcMar>
            <w:vAlign w:val="center"/>
          </w:tcPr>
          <w:p>
            <w:pPr>
              <w:spacing w:after="0" w:line="248"/>
              <w:jc w:val="center"/>
            </w:pPr>
            <w:r>
              <w:rPr>
                <w:rFonts w:ascii="Calibri" w:cs="Calibri" w:eastAsia="Calibri" w:hAnsi="Calibri"/>
                <w:b/>
                <w:bCs/>
                <w:sz w:val="21"/>
                <w:szCs w:val="21"/>
              </w:rPr>
              <w:t xml:space="preserve">7,353.61</w:t>
            </w:r>
          </w:p>
        </w:tc>
        <w:tc>
          <w:tcPr>
            <w:tcW w:type="dxa" w:w="720"/>
            <w:shd w:fill="F4F6FA"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0.0</w:t>
            </w:r>
          </w:p>
        </w:tc>
        <w:tc>
          <w:tcPr>
            <w:tcW w:type="dxa" w:w="1000"/>
            <w:shd w:fill="F4F6FA" w:val="clear"/>
            <w:tcMar>
              <w:top w:type="dxa" w:w="70"/>
              <w:left w:type="dxa" w:w="90"/>
              <w:bottom w:type="dxa" w:w="70"/>
              <w:right w:type="dxa" w:w="90"/>
            </w:tcMar>
            <w:vAlign w:val="center"/>
          </w:tcPr>
          <w:p>
            <w:pPr>
              <w:spacing w:after="0" w:line="248"/>
              <w:jc w:val="center"/>
            </w:pPr>
            <w:r>
              <w:rPr>
                <w:rFonts w:ascii="Calibri" w:cs="Calibri" w:eastAsia="Calibri" w:hAnsi="Calibri"/>
                <w:b/>
                <w:bCs/>
                <w:color w:val="C0392B"/>
                <w:sz w:val="19"/>
                <w:szCs w:val="19"/>
              </w:rPr>
              <w:t xml:space="preserve">Bearish</w:t>
            </w:r>
          </w:p>
        </w:tc>
        <w:tc>
          <w:tcPr>
            <w:tcW w:type="dxa" w:w="1940"/>
            <w:shd w:fill="F4F6FA"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Close CORROBORATED (Δ 0.00); O/H/L indicative</w:t>
            </w:r>
          </w:p>
        </w:tc>
      </w:tr>
      <w:tr>
        <w:tc>
          <w:tcPr>
            <w:tcW w:type="dxa" w:w="980"/>
            <w:shd w:fill="FFFFFF"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9"/>
                <w:szCs w:val="19"/>
              </w:rPr>
              <w:t xml:space="preserve">Wed 20 May</w:t>
            </w:r>
          </w:p>
        </w:tc>
        <w:tc>
          <w:tcPr>
            <w:tcW w:type="dxa" w:w="116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7,361.20</w:t>
            </w:r>
          </w:p>
        </w:tc>
        <w:tc>
          <w:tcPr>
            <w:tcW w:type="dxa" w:w="116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7,440.10</w:t>
            </w:r>
          </w:p>
        </w:tc>
        <w:tc>
          <w:tcPr>
            <w:tcW w:type="dxa" w:w="116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7,352.80</w:t>
            </w:r>
          </w:p>
        </w:tc>
        <w:tc>
          <w:tcPr>
            <w:tcW w:type="dxa" w:w="1240"/>
            <w:shd w:fill="FFFFFF" w:val="clear"/>
            <w:tcMar>
              <w:top w:type="dxa" w:w="70"/>
              <w:left w:type="dxa" w:w="90"/>
              <w:bottom w:type="dxa" w:w="70"/>
              <w:right w:type="dxa" w:w="90"/>
            </w:tcMar>
            <w:vAlign w:val="center"/>
          </w:tcPr>
          <w:p>
            <w:pPr>
              <w:spacing w:after="0" w:line="248"/>
              <w:jc w:val="center"/>
            </w:pPr>
            <w:r>
              <w:rPr>
                <w:rFonts w:ascii="Calibri" w:cs="Calibri" w:eastAsia="Calibri" w:hAnsi="Calibri"/>
                <w:b/>
                <w:bCs/>
                <w:sz w:val="21"/>
                <w:szCs w:val="21"/>
              </w:rPr>
              <w:t xml:space="preserve">7,433.07</w:t>
            </w:r>
          </w:p>
        </w:tc>
        <w:tc>
          <w:tcPr>
            <w:tcW w:type="dxa" w:w="72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61.6</w:t>
            </w:r>
          </w:p>
        </w:tc>
        <w:tc>
          <w:tcPr>
            <w:tcW w:type="dxa" w:w="1000"/>
            <w:shd w:fill="FFFFFF" w:val="clear"/>
            <w:tcMar>
              <w:top w:type="dxa" w:w="70"/>
              <w:left w:type="dxa" w:w="90"/>
              <w:bottom w:type="dxa" w:w="70"/>
              <w:right w:type="dxa" w:w="90"/>
            </w:tcMar>
            <w:vAlign w:val="center"/>
          </w:tcPr>
          <w:p>
            <w:pPr>
              <w:spacing w:after="0" w:line="248"/>
              <w:jc w:val="center"/>
            </w:pPr>
            <w:r>
              <w:rPr>
                <w:rFonts w:ascii="Calibri" w:cs="Calibri" w:eastAsia="Calibri" w:hAnsi="Calibri"/>
                <w:b/>
                <w:bCs/>
                <w:color w:val="1A7F5A"/>
                <w:sz w:val="19"/>
                <w:szCs w:val="19"/>
              </w:rPr>
              <w:t xml:space="preserve">Bullish</w:t>
            </w:r>
          </w:p>
        </w:tc>
        <w:tc>
          <w:tcPr>
            <w:tcW w:type="dxa" w:w="194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Close CORROBORATED (Δ &lt;0.10); O/H/L indicative</w:t>
            </w:r>
          </w:p>
        </w:tc>
      </w:tr>
      <w:tr>
        <w:tc>
          <w:tcPr>
            <w:tcW w:type="dxa" w:w="980"/>
            <w:shd w:fill="F4F6FA"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9"/>
                <w:szCs w:val="19"/>
              </w:rPr>
              <w:t xml:space="preserve">Thu 21 May</w:t>
            </w:r>
          </w:p>
        </w:tc>
        <w:tc>
          <w:tcPr>
            <w:tcW w:type="dxa" w:w="1160"/>
            <w:shd w:fill="F4F6FA"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7,438.50</w:t>
            </w:r>
          </w:p>
        </w:tc>
        <w:tc>
          <w:tcPr>
            <w:tcW w:type="dxa" w:w="1160"/>
            <w:shd w:fill="F4F6FA"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7,470.30</w:t>
            </w:r>
          </w:p>
        </w:tc>
        <w:tc>
          <w:tcPr>
            <w:tcW w:type="dxa" w:w="1160"/>
            <w:shd w:fill="F4F6FA"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7,421.60</w:t>
            </w:r>
          </w:p>
        </w:tc>
        <w:tc>
          <w:tcPr>
            <w:tcW w:type="dxa" w:w="1240"/>
            <w:shd w:fill="F4F6FA" w:val="clear"/>
            <w:tcMar>
              <w:top w:type="dxa" w:w="70"/>
              <w:left w:type="dxa" w:w="90"/>
              <w:bottom w:type="dxa" w:w="70"/>
              <w:right w:type="dxa" w:w="90"/>
            </w:tcMar>
            <w:vAlign w:val="center"/>
          </w:tcPr>
          <w:p>
            <w:pPr>
              <w:spacing w:after="0" w:line="248"/>
              <w:jc w:val="center"/>
            </w:pPr>
            <w:r>
              <w:rPr>
                <w:rFonts w:ascii="Calibri" w:cs="Calibri" w:eastAsia="Calibri" w:hAnsi="Calibri"/>
                <w:b/>
                <w:bCs/>
                <w:sz w:val="21"/>
                <w:szCs w:val="21"/>
              </w:rPr>
              <w:t xml:space="preserve">7,445.72</w:t>
            </w:r>
          </w:p>
        </w:tc>
        <w:tc>
          <w:tcPr>
            <w:tcW w:type="dxa" w:w="720"/>
            <w:shd w:fill="F4F6FA"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100.0</w:t>
            </w:r>
          </w:p>
        </w:tc>
        <w:tc>
          <w:tcPr>
            <w:tcW w:type="dxa" w:w="1000"/>
            <w:shd w:fill="F4F6FA" w:val="clear"/>
            <w:tcMar>
              <w:top w:type="dxa" w:w="70"/>
              <w:left w:type="dxa" w:w="90"/>
              <w:bottom w:type="dxa" w:w="70"/>
              <w:right w:type="dxa" w:w="90"/>
            </w:tcMar>
            <w:vAlign w:val="center"/>
          </w:tcPr>
          <w:p>
            <w:pPr>
              <w:spacing w:after="0" w:line="248"/>
              <w:jc w:val="center"/>
            </w:pPr>
            <w:r>
              <w:rPr>
                <w:rFonts w:ascii="Calibri" w:cs="Calibri" w:eastAsia="Calibri" w:hAnsi="Calibri"/>
                <w:b/>
                <w:bCs/>
                <w:color w:val="1A7F5A"/>
                <w:sz w:val="19"/>
                <w:szCs w:val="19"/>
              </w:rPr>
              <w:t xml:space="preserve">Bullish</w:t>
            </w:r>
          </w:p>
        </w:tc>
        <w:tc>
          <w:tcPr>
            <w:tcW w:type="dxa" w:w="1940"/>
            <w:shd w:fill="F4F6FA"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Close CORROBORATED (Δ 0.00)</w:t>
            </w:r>
          </w:p>
        </w:tc>
      </w:tr>
      <w:tr>
        <w:tc>
          <w:tcPr>
            <w:tcW w:type="dxa" w:w="980"/>
            <w:shd w:fill="FFFFFF"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9"/>
                <w:szCs w:val="19"/>
              </w:rPr>
              <w:t xml:space="preserve">Fri 22 May</w:t>
            </w:r>
          </w:p>
        </w:tc>
        <w:tc>
          <w:tcPr>
            <w:tcW w:type="dxa" w:w="116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7,468.82</w:t>
            </w:r>
          </w:p>
        </w:tc>
        <w:tc>
          <w:tcPr>
            <w:tcW w:type="dxa" w:w="116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7,506.32</w:t>
            </w:r>
          </w:p>
        </w:tc>
        <w:tc>
          <w:tcPr>
            <w:tcW w:type="dxa" w:w="116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7,463.29</w:t>
            </w:r>
          </w:p>
        </w:tc>
        <w:tc>
          <w:tcPr>
            <w:tcW w:type="dxa" w:w="1240"/>
            <w:shd w:fill="FFFFFF" w:val="clear"/>
            <w:tcMar>
              <w:top w:type="dxa" w:w="70"/>
              <w:left w:type="dxa" w:w="90"/>
              <w:bottom w:type="dxa" w:w="70"/>
              <w:right w:type="dxa" w:w="90"/>
            </w:tcMar>
            <w:vAlign w:val="center"/>
          </w:tcPr>
          <w:p>
            <w:pPr>
              <w:spacing w:after="0" w:line="248"/>
              <w:jc w:val="center"/>
            </w:pPr>
            <w:r>
              <w:rPr>
                <w:rFonts w:ascii="Calibri" w:cs="Calibri" w:eastAsia="Calibri" w:hAnsi="Calibri"/>
                <w:b/>
                <w:bCs/>
                <w:sz w:val="21"/>
                <w:szCs w:val="21"/>
              </w:rPr>
              <w:t xml:space="preserve">7,473.47</w:t>
            </w:r>
          </w:p>
        </w:tc>
        <w:tc>
          <w:tcPr>
            <w:tcW w:type="dxa" w:w="72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100.0</w:t>
            </w:r>
          </w:p>
        </w:tc>
        <w:tc>
          <w:tcPr>
            <w:tcW w:type="dxa" w:w="1000"/>
            <w:shd w:fill="FFFFFF" w:val="clear"/>
            <w:tcMar>
              <w:top w:type="dxa" w:w="70"/>
              <w:left w:type="dxa" w:w="90"/>
              <w:bottom w:type="dxa" w:w="70"/>
              <w:right w:type="dxa" w:w="90"/>
            </w:tcMar>
            <w:vAlign w:val="center"/>
          </w:tcPr>
          <w:p>
            <w:pPr>
              <w:spacing w:after="0" w:line="248"/>
              <w:jc w:val="center"/>
            </w:pPr>
            <w:r>
              <w:rPr>
                <w:rFonts w:ascii="Calibri" w:cs="Calibri" w:eastAsia="Calibri" w:hAnsi="Calibri"/>
                <w:b/>
                <w:bCs/>
                <w:color w:val="1A7F5A"/>
                <w:sz w:val="19"/>
                <w:szCs w:val="19"/>
              </w:rPr>
              <w:t xml:space="preserve">Bullish</w:t>
            </w:r>
          </w:p>
        </w:tc>
        <w:tc>
          <w:tcPr>
            <w:tcW w:type="dxa" w:w="194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Close CORROBORATED (Δ 0.00); O/H/L from Investing.com</w:t>
            </w:r>
          </w:p>
        </w:tc>
      </w:tr>
    </w:tbl>
    <w:p>
      <w:pPr>
        <w:spacing w:after="80"/>
      </w:pPr>
      <w:r>
        <w:rPr>
          <w:rFonts w:ascii="Calibri" w:cs="Calibri" w:eastAsia="Calibri" w:hAnsi="Calibri"/>
          <w:sz w:val="21"/>
          <w:szCs w:val="21"/>
        </w:rPr>
        <w:t xml:space="preserve"/>
      </w:r>
    </w:p>
    <w:p>
      <w:pPr>
        <w:spacing w:after="120" w:before="0" w:line="276"/>
      </w:pPr>
      <w:r>
        <w:rPr>
          <w:rFonts w:ascii="Calibri" w:cs="Calibri" w:eastAsia="Calibri" w:hAnsi="Calibri"/>
          <w:b/>
          <w:bCs/>
          <w:i/>
          <w:iCs/>
          <w:color w:val="1A1A2E"/>
          <w:sz w:val="19"/>
          <w:szCs w:val="19"/>
        </w:rPr>
        <w:t xml:space="preserve">Reading the table.  </w:t>
      </w:r>
      <w:r>
        <w:rPr>
          <w:rFonts w:ascii="Calibri" w:cs="Calibri" w:eastAsia="Calibri" w:hAnsi="Calibri"/>
          <w:i/>
          <w:iCs/>
          <w:color w:val="5A6678"/>
          <w:sz w:val="19"/>
          <w:szCs w:val="19"/>
        </w:rPr>
        <w:t xml:space="preserve">RSI(2) is fixed at period 2 and computed from the validated close sequence. The two consecutive up-closes on 21 and 22 May drive RSI(2) to its 100 ceiling — a textbook short-term overbought reading that confirms strong momentum but also flags stretched conditions. The 18 and 19 May sessions show RSI(2) at 0, the mirror-image oversold extreme reached during the three-day sell-off. The Trend column applies the standard rule (Close vs Open combined with RSI2 above/below 50): two bearish sessions, then three bullish sessions, a clean V-shaped recovery within the week.</w:t>
      </w:r>
    </w:p>
    <w:p>
      <w:pPr>
        <w:pStyle w:val="Heading1"/>
        <w:pageBreakBefore/>
        <w:spacing w:after="140" w:before="280"/>
      </w:pPr>
      <w:r>
        <w:rPr>
          <w:rFonts w:ascii="Calibri" w:cs="Calibri" w:eastAsia="Calibri" w:hAnsi="Calibri"/>
          <w:b/>
          <w:bCs/>
          <w:color w:val="2C6FBB"/>
          <w:sz w:val="26"/>
          <w:szCs w:val="26"/>
        </w:rPr>
        <w:t xml:space="preserve">§7  </w:t>
      </w:r>
      <w:r>
        <w:rPr>
          <w:rFonts w:ascii="Calibri" w:cs="Calibri" w:eastAsia="Calibri" w:hAnsi="Calibri"/>
          <w:b/>
          <w:bCs/>
          <w:color w:val="1F3A5F"/>
          <w:sz w:val="26"/>
          <w:szCs w:val="26"/>
        </w:rPr>
        <w:t xml:space="preserve">Charts</w:t>
      </w:r>
    </w:p>
    <w:p>
      <w:pPr>
        <w:spacing w:after="120" w:before="0" w:line="276"/>
      </w:pPr>
      <w:r>
        <w:rPr>
          <w:rFonts w:ascii="Calibri" w:cs="Calibri" w:eastAsia="Calibri" w:hAnsi="Calibri"/>
          <w:color w:val="1A1A2E"/>
          <w:sz w:val="19"/>
          <w:szCs w:val="19"/>
        </w:rPr>
        <w:t xml:space="preserve">Five charts are produced for this instance. All are embedded inline and sized to the page content area.</w:t>
      </w:r>
    </w:p>
    <w:p>
      <w:pPr>
        <w:pStyle w:val="Heading2"/>
        <w:spacing w:after="100" w:before="180"/>
      </w:pPr>
      <w:r>
        <w:rPr>
          <w:rFonts w:ascii="Calibri" w:cs="Calibri" w:eastAsia="Calibri" w:hAnsi="Calibri"/>
          <w:b/>
          <w:bCs/>
          <w:color w:val="1A1A2E"/>
          <w:sz w:val="22"/>
          <w:szCs w:val="22"/>
        </w:rPr>
        <w:t xml:space="preserve">Chart 1 — Five-Day Candlestick</w:t>
      </w:r>
    </w:p>
    <w:p>
      <w:pPr>
        <w:spacing w:after="60" w:before="60"/>
        <w:jc w:val="center"/>
      </w:pPr>
      <w:r>
        <w:drawing>
          <wp:inline distT="0" distB="0" distL="0" distR="0">
            <wp:extent cx="5669280" cy="30236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9280" cy="3023616"/>
                    </a:xfrm>
                    <a:prstGeom prst="rect">
                      <a:avLst/>
                    </a:prstGeom>
                  </pic:spPr>
                </pic:pic>
              </a:graphicData>
            </a:graphic>
          </wp:inline>
        </w:drawing>
      </w:r>
    </w:p>
    <w:p>
      <w:pPr>
        <w:spacing w:after="160"/>
        <w:jc w:val="center"/>
      </w:pPr>
      <w:r>
        <w:rPr>
          <w:rFonts w:ascii="Calibri" w:cs="Calibri" w:eastAsia="Calibri" w:hAnsi="Calibri"/>
          <w:i/>
          <w:iCs/>
          <w:color w:val="6B7280"/>
          <w:sz w:val="17"/>
          <w:szCs w:val="17"/>
        </w:rPr>
        <w:t xml:space="preserve">S&amp;P 500 cash index, 18–22 May 2026. Green = up close, red = down close.</w:t>
      </w:r>
    </w:p>
    <w:p>
      <w:pPr>
        <w:pStyle w:val="Heading2"/>
        <w:spacing w:after="100" w:before="180"/>
      </w:pPr>
      <w:r>
        <w:rPr>
          <w:rFonts w:ascii="Calibri" w:cs="Calibri" w:eastAsia="Calibri" w:hAnsi="Calibri"/>
          <w:b/>
          <w:bCs/>
          <w:color w:val="1A1A2E"/>
          <w:sz w:val="22"/>
          <w:szCs w:val="22"/>
        </w:rPr>
        <w:t xml:space="preserve">Chart 2 — Distance From Open</w:t>
      </w:r>
    </w:p>
    <w:p>
      <w:pPr>
        <w:spacing w:after="60" w:before="60"/>
        <w:jc w:val="center"/>
      </w:pPr>
      <w:r>
        <w:drawing>
          <wp:inline distT="0" distB="0" distL="0" distR="0">
            <wp:extent cx="5669280" cy="30236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9280" cy="3023616"/>
                    </a:xfrm>
                    <a:prstGeom prst="rect">
                      <a:avLst/>
                    </a:prstGeom>
                  </pic:spPr>
                </pic:pic>
              </a:graphicData>
            </a:graphic>
          </wp:inline>
        </w:drawing>
      </w:r>
    </w:p>
    <w:p>
      <w:pPr>
        <w:spacing w:after="160"/>
        <w:jc w:val="center"/>
      </w:pPr>
      <w:r>
        <w:rPr>
          <w:rFonts w:ascii="Calibri" w:cs="Calibri" w:eastAsia="Calibri" w:hAnsi="Calibri"/>
          <w:i/>
          <w:iCs/>
          <w:color w:val="6B7280"/>
          <w:sz w:val="17"/>
          <w:szCs w:val="17"/>
        </w:rPr>
        <w:t xml:space="preserve">Each session normalised to Open = 0; markers show the close relative to the open.</w:t>
      </w:r>
    </w:p>
    <w:p>
      <w:r>
        <w:br w:type="page"/>
      </w:r>
    </w:p>
    <w:p>
      <w:pPr>
        <w:pStyle w:val="Heading2"/>
        <w:spacing w:after="100" w:before="180"/>
      </w:pPr>
      <w:r>
        <w:rPr>
          <w:rFonts w:ascii="Calibri" w:cs="Calibri" w:eastAsia="Calibri" w:hAnsi="Calibri"/>
          <w:b/>
          <w:bCs/>
          <w:color w:val="1A1A2E"/>
          <w:sz w:val="22"/>
          <w:szCs w:val="22"/>
        </w:rPr>
        <w:t xml:space="preserve">Chart 3 — 25-Session Structure</w:t>
      </w:r>
    </w:p>
    <w:p>
      <w:pPr>
        <w:spacing w:after="60" w:before="60"/>
        <w:jc w:val="center"/>
      </w:pPr>
      <w:r>
        <w:drawing>
          <wp:inline distT="0" distB="0" distL="0" distR="0">
            <wp:extent cx="5669280" cy="30236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9280" cy="3023616"/>
                    </a:xfrm>
                    <a:prstGeom prst="rect">
                      <a:avLst/>
                    </a:prstGeom>
                  </pic:spPr>
                </pic:pic>
              </a:graphicData>
            </a:graphic>
          </wp:inline>
        </w:drawing>
      </w:r>
    </w:p>
    <w:p>
      <w:pPr>
        <w:spacing w:after="160"/>
        <w:jc w:val="center"/>
      </w:pPr>
      <w:r>
        <w:rPr>
          <w:rFonts w:ascii="Calibri" w:cs="Calibri" w:eastAsia="Calibri" w:hAnsi="Calibri"/>
          <w:i/>
          <w:iCs/>
          <w:color w:val="6B7280"/>
          <w:sz w:val="17"/>
          <w:szCs w:val="17"/>
        </w:rPr>
        <w:t xml:space="preserve">Medium-term regime block. Bars colour-coded by session direction; close-line overlay shows the rotation around the 14 May all-time high.</w:t>
      </w:r>
    </w:p>
    <w:p>
      <w:pPr>
        <w:pStyle w:val="Heading2"/>
        <w:spacing w:after="100" w:before="180"/>
      </w:pPr>
      <w:r>
        <w:rPr>
          <w:rFonts w:ascii="Calibri" w:cs="Calibri" w:eastAsia="Calibri" w:hAnsi="Calibri"/>
          <w:b/>
          <w:bCs/>
          <w:color w:val="1A1A2E"/>
          <w:sz w:val="22"/>
          <w:szCs w:val="22"/>
        </w:rPr>
        <w:t xml:space="preserve">Chart 4 — Comparative Volatility (VOLator)</w:t>
      </w:r>
    </w:p>
    <w:p>
      <w:pPr>
        <w:spacing w:after="60" w:before="60"/>
        <w:jc w:val="center"/>
      </w:pPr>
      <w:r>
        <w:drawing>
          <wp:inline distT="0" distB="0" distL="0" distR="0">
            <wp:extent cx="5669280" cy="314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9280" cy="3149600"/>
                    </a:xfrm>
                    <a:prstGeom prst="rect">
                      <a:avLst/>
                    </a:prstGeom>
                  </pic:spPr>
                </pic:pic>
              </a:graphicData>
            </a:graphic>
          </wp:inline>
        </w:drawing>
      </w:r>
    </w:p>
    <w:p>
      <w:pPr>
        <w:spacing w:after="160"/>
        <w:jc w:val="center"/>
      </w:pPr>
      <w:r>
        <w:rPr>
          <w:rFonts w:ascii="Calibri" w:cs="Calibri" w:eastAsia="Calibri" w:hAnsi="Calibri"/>
          <w:i/>
          <w:iCs/>
          <w:color w:val="6B7280"/>
          <w:sz w:val="17"/>
          <w:szCs w:val="17"/>
        </w:rPr>
        <w:t xml:space="preserve">Scaled volatility (−1 to +1) for the S&amp;P 500 and its three counters; ATR method, historical scaling.</w:t>
      </w:r>
    </w:p>
    <w:p>
      <w:r>
        <w:br w:type="page"/>
      </w:r>
    </w:p>
    <w:p>
      <w:pPr>
        <w:pStyle w:val="Heading2"/>
        <w:spacing w:after="100" w:before="180"/>
      </w:pPr>
      <w:r>
        <w:rPr>
          <w:rFonts w:ascii="Calibri" w:cs="Calibri" w:eastAsia="Calibri" w:hAnsi="Calibri"/>
          <w:b/>
          <w:bCs/>
          <w:color w:val="1A1A2E"/>
          <w:sz w:val="22"/>
          <w:szCs w:val="22"/>
        </w:rPr>
        <w:t xml:space="preserve">Chart 5 — Pivot Structure</w:t>
      </w:r>
    </w:p>
    <w:p>
      <w:pPr>
        <w:spacing w:after="60" w:before="60"/>
        <w:jc w:val="center"/>
      </w:pPr>
      <w:r>
        <w:drawing>
          <wp:inline distT="0" distB="0" distL="0" distR="0">
            <wp:extent cx="5029200" cy="363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29200" cy="3632200"/>
                    </a:xfrm>
                    <a:prstGeom prst="rect">
                      <a:avLst/>
                    </a:prstGeom>
                  </pic:spPr>
                </pic:pic>
              </a:graphicData>
            </a:graphic>
          </wp:inline>
        </w:drawing>
      </w:r>
    </w:p>
    <w:p>
      <w:pPr>
        <w:spacing w:after="160"/>
        <w:jc w:val="center"/>
      </w:pPr>
      <w:r>
        <w:rPr>
          <w:rFonts w:ascii="Calibri" w:cs="Calibri" w:eastAsia="Calibri" w:hAnsi="Calibri"/>
          <w:i/>
          <w:iCs/>
          <w:color w:val="6B7280"/>
          <w:sz w:val="17"/>
          <w:szCs w:val="17"/>
        </w:rPr>
        <w:t xml:space="preserve">Prior-week and current-week candles with smart-scaled daily, weekly, and monthly pivot levels.</w:t>
      </w:r>
    </w:p>
    <w:p>
      <w:pPr>
        <w:pStyle w:val="Heading1"/>
        <w:pageBreakBefore/>
        <w:spacing w:after="140" w:before="280"/>
      </w:pPr>
      <w:r>
        <w:rPr>
          <w:rFonts w:ascii="Calibri" w:cs="Calibri" w:eastAsia="Calibri" w:hAnsi="Calibri"/>
          <w:b/>
          <w:bCs/>
          <w:color w:val="2C6FBB"/>
          <w:sz w:val="26"/>
          <w:szCs w:val="26"/>
        </w:rPr>
        <w:t xml:space="preserve">§8  </w:t>
      </w:r>
      <w:r>
        <w:rPr>
          <w:rFonts w:ascii="Calibri" w:cs="Calibri" w:eastAsia="Calibri" w:hAnsi="Calibri"/>
          <w:b/>
          <w:bCs/>
          <w:color w:val="1F3A5F"/>
          <w:sz w:val="26"/>
          <w:szCs w:val="26"/>
        </w:rPr>
        <w:t xml:space="preserve">Short-Term Technical Analysis</w:t>
      </w:r>
    </w:p>
    <w:p>
      <w:pPr>
        <w:spacing w:after="120" w:before="0" w:line="276"/>
      </w:pPr>
      <w:r>
        <w:rPr>
          <w:rFonts w:ascii="Calibri" w:cs="Calibri" w:eastAsia="Calibri" w:hAnsi="Calibri"/>
          <w:color w:val="1A1A2E"/>
          <w:sz w:val="19"/>
          <w:szCs w:val="19"/>
        </w:rPr>
        <w:t xml:space="preserve">Session-by-session classification of the five validated cash sessions (see §6).</w:t>
      </w:r>
    </w:p>
    <w:p>
      <w:pPr>
        <w:pStyle w:val="Heading2"/>
        <w:spacing w:after="100" w:before="180"/>
      </w:pPr>
      <w:r>
        <w:rPr>
          <w:rFonts w:ascii="Calibri" w:cs="Calibri" w:eastAsia="Calibri" w:hAnsi="Calibri"/>
          <w:b/>
          <w:bCs/>
          <w:color w:val="1A1A2E"/>
          <w:sz w:val="22"/>
          <w:szCs w:val="22"/>
        </w:rPr>
        <w:t xml:space="preserve">Session commentary</w:t>
      </w:r>
    </w:p>
    <w:p>
      <w:pPr>
        <w:pStyle w:val="ListParagraph"/>
        <w:numPr>
          <w:ilvl w:val="0"/>
          <w:numId w:val="2"/>
        </w:numPr>
        <w:spacing w:after="70" w:line="268"/>
      </w:pPr>
      <w:r>
        <w:rPr>
          <w:rFonts w:ascii="Calibri" w:cs="Calibri" w:eastAsia="Calibri" w:hAnsi="Calibri"/>
          <w:b/>
          <w:bCs/>
          <w:sz w:val="21"/>
          <w:szCs w:val="21"/>
        </w:rPr>
        <w:t xml:space="preserve">Mon 18 May — </w:t>
      </w:r>
      <w:r>
        <w:rPr>
          <w:rFonts w:ascii="Calibri" w:cs="Calibri" w:eastAsia="Calibri" w:hAnsi="Calibri"/>
          <w:color w:val="1A1A2E"/>
          <w:sz w:val="19"/>
          <w:szCs w:val="19"/>
        </w:rPr>
        <w:t xml:space="preserve">a bearish session: the index opened near 7,445, sold off through the day and closed at 7,403.05, finishing in the lower third of its range. The long lower wick down to 7,360 shows intraday buyers were present, but RSI(2) at 0 confirms decisive short-term selling pressure as long-dated Treasury yields pushed to a one-year high.</w:t>
      </w:r>
    </w:p>
    <w:p>
      <w:pPr>
        <w:pStyle w:val="ListParagraph"/>
        <w:numPr>
          <w:ilvl w:val="0"/>
          <w:numId w:val="2"/>
        </w:numPr>
        <w:spacing w:after="70" w:line="268"/>
      </w:pPr>
      <w:r>
        <w:rPr>
          <w:rFonts w:ascii="Calibri" w:cs="Calibri" w:eastAsia="Calibri" w:hAnsi="Calibri"/>
          <w:b/>
          <w:bCs/>
          <w:sz w:val="21"/>
          <w:szCs w:val="21"/>
        </w:rPr>
        <w:t xml:space="preserve">Tue 19 May — </w:t>
      </w:r>
      <w:r>
        <w:rPr>
          <w:rFonts w:ascii="Calibri" w:cs="Calibri" w:eastAsia="Calibri" w:hAnsi="Calibri"/>
          <w:color w:val="1A1A2E"/>
          <w:sz w:val="19"/>
          <w:szCs w:val="19"/>
        </w:rPr>
        <w:t xml:space="preserve">a second bearish session and the low of the week. The index closed at 7,353.61, a third consecutive decline, with RSI(2) again at 0. The close in the middle of the range and the prominent lower wick to 7,338 hint at selling exhaustion rather than fresh breakdown.</w:t>
      </w:r>
    </w:p>
    <w:p>
      <w:pPr>
        <w:pStyle w:val="ListParagraph"/>
        <w:numPr>
          <w:ilvl w:val="0"/>
          <w:numId w:val="2"/>
        </w:numPr>
        <w:spacing w:after="70" w:line="268"/>
      </w:pPr>
      <w:r>
        <w:rPr>
          <w:rFonts w:ascii="Calibri" w:cs="Calibri" w:eastAsia="Calibri" w:hAnsi="Calibri"/>
          <w:b/>
          <w:bCs/>
          <w:sz w:val="21"/>
          <w:szCs w:val="21"/>
        </w:rPr>
        <w:t xml:space="preserve">Wed 20 May — </w:t>
      </w:r>
      <w:r>
        <w:rPr>
          <w:rFonts w:ascii="Calibri" w:cs="Calibri" w:eastAsia="Calibri" w:hAnsi="Calibri"/>
          <w:color w:val="1A1A2E"/>
          <w:sz w:val="19"/>
          <w:szCs w:val="19"/>
        </w:rPr>
        <w:t xml:space="preserve">the turn. A wide-range bullish session: the index opened near the prior low, traded up to 7,440 and closed at 7,433.07 in the upper quartile of its range. RSI(2) snapped back to 61.6. This is the pivotal candle of the week — a strong-bodied reversal bar formed ahead of Nvidia's after-the-bell earnings.</w:t>
      </w:r>
    </w:p>
    <w:p>
      <w:pPr>
        <w:pStyle w:val="ListParagraph"/>
        <w:numPr>
          <w:ilvl w:val="0"/>
          <w:numId w:val="2"/>
        </w:numPr>
        <w:spacing w:after="70" w:line="268"/>
      </w:pPr>
      <w:r>
        <w:rPr>
          <w:rFonts w:ascii="Calibri" w:cs="Calibri" w:eastAsia="Calibri" w:hAnsi="Calibri"/>
          <w:b/>
          <w:bCs/>
          <w:sz w:val="21"/>
          <w:szCs w:val="21"/>
        </w:rPr>
        <w:t xml:space="preserve">Thu 21 May — </w:t>
      </w:r>
      <w:r>
        <w:rPr>
          <w:rFonts w:ascii="Calibri" w:cs="Calibri" w:eastAsia="Calibri" w:hAnsi="Calibri"/>
          <w:color w:val="1A1A2E"/>
          <w:sz w:val="19"/>
          <w:szCs w:val="19"/>
        </w:rPr>
        <w:t xml:space="preserve">continuation. Despite Nvidia's beat producing only a muted index reaction, the S&amp;P 500 closed up at 7,445.72 with RSI(2) at 100. A narrow-bodied candle high in its range — quiet, constructive follow-through.</w:t>
      </w:r>
    </w:p>
    <w:p>
      <w:pPr>
        <w:pStyle w:val="ListParagraph"/>
        <w:numPr>
          <w:ilvl w:val="0"/>
          <w:numId w:val="2"/>
        </w:numPr>
        <w:spacing w:after="70" w:line="268"/>
      </w:pPr>
      <w:r>
        <w:rPr>
          <w:rFonts w:ascii="Calibri" w:cs="Calibri" w:eastAsia="Calibri" w:hAnsi="Calibri"/>
          <w:b/>
          <w:bCs/>
          <w:sz w:val="21"/>
          <w:szCs w:val="21"/>
        </w:rPr>
        <w:t xml:space="preserve">Fri 22 May — </w:t>
      </w:r>
      <w:r>
        <w:rPr>
          <w:rFonts w:ascii="Calibri" w:cs="Calibri" w:eastAsia="Calibri" w:hAnsi="Calibri"/>
          <w:color w:val="1A1A2E"/>
          <w:sz w:val="19"/>
          <w:szCs w:val="19"/>
        </w:rPr>
        <w:t xml:space="preserve">the strongest close of the week at 7,473.47, with an intraday high of 7,506.32 — a fresh weekly high and within 0.6% of the 14 May all-time high of 7,517.12. The close in the upper quartile of the range and RSI(2) at 100 confirm momentum, with the small upper wick the only sign of resistance near 7,506.</w:t>
      </w:r>
    </w:p>
    <w:p>
      <w:pPr>
        <w:pStyle w:val="Heading2"/>
        <w:spacing w:after="100" w:before="180"/>
      </w:pPr>
      <w:r>
        <w:rPr>
          <w:rFonts w:ascii="Calibri" w:cs="Calibri" w:eastAsia="Calibri" w:hAnsi="Calibri"/>
          <w:b/>
          <w:bCs/>
          <w:color w:val="1A1A2E"/>
          <w:sz w:val="22"/>
          <w:szCs w:val="22"/>
        </w:rPr>
        <w:t xml:space="preserve">Sequence assessment</w:t>
      </w:r>
    </w:p>
    <w:p>
      <w:pPr>
        <w:spacing w:after="120" w:before="0" w:line="276"/>
      </w:pPr>
      <w:r>
        <w:rPr>
          <w:rFonts w:ascii="Calibri" w:cs="Calibri" w:eastAsia="Calibri" w:hAnsi="Calibri"/>
          <w:color w:val="1A1A2E"/>
          <w:sz w:val="19"/>
          <w:szCs w:val="19"/>
        </w:rPr>
        <w:t xml:space="preserve">The five-session sequence is classified as a </w:t>
      </w:r>
      <w:r>
        <w:rPr>
          <w:rFonts w:ascii="Calibri" w:cs="Calibri" w:eastAsia="Calibri" w:hAnsi="Calibri"/>
          <w:b/>
          <w:bCs/>
          <w:sz w:val="21"/>
          <w:szCs w:val="21"/>
        </w:rPr>
        <w:t xml:space="preserve">Continuation</w:t>
      </w:r>
      <w:r>
        <w:rPr>
          <w:rFonts w:ascii="Calibri" w:cs="Calibri" w:eastAsia="Calibri" w:hAnsi="Calibri"/>
          <w:color w:val="1A1A2E"/>
          <w:sz w:val="19"/>
          <w:szCs w:val="19"/>
        </w:rPr>
        <w:t xml:space="preserve"> — specifically a V-shaped recovery that has resumed the prior uptrend. The evidence: two bearish sessions were fully reversed by three bullish sessions; the net move over the week is +70 points (close-to-close 18→22 May); the last three closes travel decisively in one direction; and the closes migrate steadily toward the top of each session's range. The only counter-signal is the RSI(2)-100 overbought reading on the final two sessions, which warns that the immediate pace is unsustainable without a pause.</w:t>
      </w:r>
    </w:p>
    <w:p>
      <w:pPr>
        <w:pStyle w:val="Heading2"/>
        <w:spacing w:after="100" w:before="180"/>
      </w:pPr>
      <w:r>
        <w:rPr>
          <w:rFonts w:ascii="Calibri" w:cs="Calibri" w:eastAsia="Calibri" w:hAnsi="Calibri"/>
          <w:b/>
          <w:bCs/>
          <w:color w:val="1A1A2E"/>
          <w:sz w:val="22"/>
          <w:szCs w:val="22"/>
        </w:rPr>
        <w:t xml:space="preserve">Support and resistance (from the 5-day structure)</w:t>
      </w:r>
    </w:p>
    <w:p>
      <w:pPr>
        <w:pStyle w:val="ListParagraph"/>
        <w:numPr>
          <w:ilvl w:val="0"/>
          <w:numId w:val="2"/>
        </w:numPr>
        <w:spacing w:after="70" w:line="268"/>
      </w:pPr>
      <w:r>
        <w:rPr>
          <w:rFonts w:ascii="Calibri" w:cs="Calibri" w:eastAsia="Calibri" w:hAnsi="Calibri"/>
          <w:b/>
          <w:bCs/>
          <w:sz w:val="21"/>
          <w:szCs w:val="21"/>
        </w:rPr>
        <w:t xml:space="preserve">Nearest resistance: 7,506.32</w:t>
      </w:r>
      <w:r>
        <w:rPr>
          <w:rFonts w:ascii="Calibri" w:cs="Calibri" w:eastAsia="Calibri" w:hAnsi="Calibri"/>
          <w:color w:val="1A1A2E"/>
          <w:sz w:val="19"/>
          <w:szCs w:val="19"/>
        </w:rPr>
        <w:t xml:space="preserve"> — the 22 May intraday high, with the 7,517.12 all-time high just above as the structural ceiling.</w:t>
      </w:r>
    </w:p>
    <w:p>
      <w:pPr>
        <w:pStyle w:val="ListParagraph"/>
        <w:numPr>
          <w:ilvl w:val="0"/>
          <w:numId w:val="2"/>
        </w:numPr>
        <w:spacing w:after="70" w:line="268"/>
      </w:pPr>
      <w:r>
        <w:rPr>
          <w:rFonts w:ascii="Calibri" w:cs="Calibri" w:eastAsia="Calibri" w:hAnsi="Calibri"/>
          <w:b/>
          <w:bCs/>
          <w:sz w:val="21"/>
          <w:szCs w:val="21"/>
        </w:rPr>
        <w:t xml:space="preserve">Nearest support: 7,421.60</w:t>
      </w:r>
      <w:r>
        <w:rPr>
          <w:rFonts w:ascii="Calibri" w:cs="Calibri" w:eastAsia="Calibri" w:hAnsi="Calibri"/>
          <w:color w:val="1A1A2E"/>
          <w:sz w:val="19"/>
          <w:szCs w:val="19"/>
        </w:rPr>
        <w:t xml:space="preserve"> — the 21 May session low, below which the 7,353.61 weekly low is the deeper structural floor.</w:t>
      </w:r>
    </w:p>
    <w:p>
      <w:pPr>
        <w:spacing w:after="60"/>
      </w:pPr>
      <w:r>
        <w:rPr>
          <w:rFonts w:ascii="Calibri" w:cs="Calibri" w:eastAsia="Calibri" w:hAnsi="Calibri"/>
          <w:sz w:val="21"/>
          <w:szCs w:val="21"/>
        </w:rPr>
        <w:t xml:space="preserve"/>
      </w:r>
    </w:p>
    <w:tbl>
      <w:tblPr>
        <w:tblW w:type="dxa" w:w="9360"/>
        <w:tblBorders>
          <w:top w:val="single" w:color="C9D4E2" w:sz="2"/>
          <w:left w:val="single" w:color="C9D4E2" w:sz="2"/>
          <w:bottom w:val="single" w:color="C9D4E2" w:sz="2"/>
          <w:right w:val="single" w:color="C9D4E2" w:sz="2"/>
          <w:insideH w:val="single" w:color="C9D4E2" w:sz="2"/>
          <w:insideV w:val="single" w:color="C9D4E2" w:sz="2"/>
        </w:tblBorders>
      </w:tblPr>
      <w:tblGrid>
        <w:gridCol w:w="9360"/>
      </w:tblGrid>
      <w:tr>
        <w:tc>
          <w:tcPr>
            <w:tcW w:type="dxa" w:w="9360"/>
            <w:shd w:fill="1A7F5A" w:val="clear"/>
            <w:tcMar>
              <w:top w:type="dxa" w:w="70"/>
              <w:left w:type="dxa" w:w="90"/>
              <w:bottom w:type="dxa" w:w="70"/>
              <w:right w:type="dxa" w:w="90"/>
            </w:tcMar>
            <w:vAlign w:val="center"/>
          </w:tcPr>
          <w:p>
            <w:pPr>
              <w:spacing w:after="0" w:line="248"/>
              <w:jc w:val="left"/>
            </w:pPr>
            <w:r>
              <w:rPr>
                <w:rFonts w:ascii="Calibri" w:cs="Calibri" w:eastAsia="Calibri" w:hAnsi="Calibri"/>
                <w:b/>
                <w:bCs/>
                <w:color w:val="FFFFFF"/>
                <w:sz w:val="19"/>
                <w:szCs w:val="19"/>
              </w:rPr>
              <w:t xml:space="preserve">§8 JUDGEMENT LABEL — Bullish continuation</w:t>
            </w:r>
          </w:p>
        </w:tc>
      </w:tr>
      <w:tr>
        <w:tc>
          <w:tcPr>
            <w:tcW w:type="dxa" w:w="9360"/>
            <w:shd w:fill="F4F8FC" w:val="clear"/>
            <w:tcMar>
              <w:top w:type="dxa" w:w="70"/>
              <w:left w:type="dxa" w:w="90"/>
              <w:bottom w:type="dxa" w:w="70"/>
              <w:right w:type="dxa" w:w="90"/>
            </w:tcMar>
            <w:vAlign w:val="center"/>
          </w:tcPr>
          <w:p>
            <w:pPr>
              <w:spacing w:after="0" w:line="264"/>
            </w:pPr>
            <w:r>
              <w:rPr>
                <w:rFonts w:ascii="Calibri" w:cs="Calibri" w:eastAsia="Calibri" w:hAnsi="Calibri"/>
                <w:color w:val="1A1A2E"/>
                <w:sz w:val="19"/>
                <w:szCs w:val="19"/>
              </w:rPr>
              <w:t xml:space="preserve">The five-day structure is a </w:t>
            </w:r>
            <w:r>
              <w:rPr>
                <w:rFonts w:ascii="Calibri" w:cs="Calibri" w:eastAsia="Calibri" w:hAnsi="Calibri"/>
                <w:b/>
                <w:bCs/>
                <w:sz w:val="21"/>
                <w:szCs w:val="21"/>
              </w:rPr>
              <w:t xml:space="preserve">bullish continuation</w:t>
            </w:r>
            <w:r>
              <w:rPr>
                <w:rFonts w:ascii="Calibri" w:cs="Calibri" w:eastAsia="Calibri" w:hAnsi="Calibri"/>
                <w:color w:val="1A1A2E"/>
                <w:sz w:val="19"/>
                <w:szCs w:val="19"/>
              </w:rPr>
              <w:t xml:space="preserve">. This is consistent with the medium-term directional bias but sits against the </w:t>
            </w:r>
            <w:r>
              <w:rPr>
                <w:rFonts w:ascii="Calibri" w:cs="Calibri" w:eastAsia="Calibri" w:hAnsi="Calibri"/>
                <w:b/>
                <w:bCs/>
                <w:sz w:val="21"/>
                <w:szCs w:val="21"/>
              </w:rPr>
              <w:t xml:space="preserve">Transitional</w:t>
            </w:r>
            <w:r>
              <w:rPr>
                <w:rFonts w:ascii="Calibri" w:cs="Calibri" w:eastAsia="Calibri" w:hAnsi="Calibri"/>
                <w:color w:val="1A1A2E"/>
                <w:sz w:val="19"/>
                <w:szCs w:val="19"/>
              </w:rPr>
              <w:t xml:space="preserve"> medium-term regime classification in §9 — the conflict is stated explicitly there and is not resolved away.</w:t>
            </w:r>
          </w:p>
        </w:tc>
      </w:tr>
    </w:tbl>
    <w:p>
      <w:pPr>
        <w:pStyle w:val="Heading1"/>
        <w:pageBreakBefore/>
        <w:spacing w:after="140" w:before="280"/>
      </w:pPr>
      <w:r>
        <w:rPr>
          <w:rFonts w:ascii="Calibri" w:cs="Calibri" w:eastAsia="Calibri" w:hAnsi="Calibri"/>
          <w:b/>
          <w:bCs/>
          <w:color w:val="2C6FBB"/>
          <w:sz w:val="26"/>
          <w:szCs w:val="26"/>
        </w:rPr>
        <w:t xml:space="preserve">§9  </w:t>
      </w:r>
      <w:r>
        <w:rPr>
          <w:rFonts w:ascii="Calibri" w:cs="Calibri" w:eastAsia="Calibri" w:hAnsi="Calibri"/>
          <w:b/>
          <w:bCs/>
          <w:color w:val="1F3A5F"/>
          <w:sz w:val="26"/>
          <w:szCs w:val="26"/>
        </w:rPr>
        <w:t xml:space="preserve">Medium-Term Regime &amp; VOLator</w:t>
      </w:r>
    </w:p>
    <w:p>
      <w:pPr>
        <w:pStyle w:val="Heading2"/>
        <w:spacing w:after="100" w:before="180"/>
      </w:pPr>
      <w:r>
        <w:rPr>
          <w:rFonts w:ascii="Calibri" w:cs="Calibri" w:eastAsia="Calibri" w:hAnsi="Calibri"/>
          <w:b/>
          <w:bCs/>
          <w:color w:val="1A1A2E"/>
          <w:sz w:val="22"/>
          <w:szCs w:val="22"/>
        </w:rPr>
        <w:t xml:space="preserve">Regime classification — Transitional</w:t>
      </w:r>
    </w:p>
    <w:p>
      <w:pPr>
        <w:spacing w:after="120" w:before="0" w:line="276"/>
      </w:pPr>
      <w:r>
        <w:rPr>
          <w:rFonts w:ascii="Calibri" w:cs="Calibri" w:eastAsia="Calibri" w:hAnsi="Calibri"/>
          <w:color w:val="1A1A2E"/>
          <w:sz w:val="19"/>
          <w:szCs w:val="19"/>
        </w:rPr>
        <w:t xml:space="preserve">Across the 25-session regime block the S&amp;P 500 classifies as </w:t>
      </w:r>
      <w:r>
        <w:rPr>
          <w:rFonts w:ascii="Calibri" w:cs="Calibri" w:eastAsia="Calibri" w:hAnsi="Calibri"/>
          <w:b/>
          <w:bCs/>
          <w:sz w:val="21"/>
          <w:szCs w:val="21"/>
        </w:rPr>
        <w:t xml:space="preserve">Transitional</w:t>
      </w:r>
      <w:r>
        <w:rPr>
          <w:rFonts w:ascii="Calibri" w:cs="Calibri" w:eastAsia="Calibri" w:hAnsi="Calibri"/>
          <w:color w:val="1A1A2E"/>
          <w:sz w:val="19"/>
          <w:szCs w:val="19"/>
        </w:rPr>
        <w:t xml:space="preserve">, with a </w:t>
      </w:r>
      <w:r>
        <w:rPr>
          <w:rFonts w:ascii="Calibri" w:cs="Calibri" w:eastAsia="Calibri" w:hAnsi="Calibri"/>
          <w:b/>
          <w:bCs/>
          <w:sz w:val="21"/>
          <w:szCs w:val="21"/>
        </w:rPr>
        <w:t xml:space="preserve">Bullish</w:t>
      </w:r>
      <w:r>
        <w:rPr>
          <w:rFonts w:ascii="Calibri" w:cs="Calibri" w:eastAsia="Calibri" w:hAnsi="Calibri"/>
          <w:color w:val="1A1A2E"/>
          <w:sz w:val="19"/>
          <w:szCs w:val="19"/>
        </w:rPr>
        <w:t xml:space="preserve"> directional bias. The supporting metrics:</w:t>
      </w:r>
    </w:p>
    <w:p>
      <w:pPr>
        <w:spacing w:after="30"/>
      </w:pPr>
      <w:r>
        <w:rPr>
          <w:rFonts w:ascii="Calibri" w:cs="Calibri" w:eastAsia="Calibri" w:hAnsi="Calibri"/>
          <w:sz w:val="21"/>
          <w:szCs w:val="21"/>
        </w:rPr>
        <w:t xml:space="preserve"/>
      </w:r>
    </w:p>
    <w:tbl>
      <w:tblPr>
        <w:tblW w:type="dxa" w:w="9360"/>
        <w:tblBorders>
          <w:top w:val="single" w:color="C9D4E2" w:sz="2"/>
          <w:left w:val="single" w:color="C9D4E2" w:sz="2"/>
          <w:bottom w:val="single" w:color="C9D4E2" w:sz="2"/>
          <w:right w:val="single" w:color="C9D4E2" w:sz="2"/>
          <w:insideH w:val="single" w:color="C9D4E2" w:sz="2"/>
          <w:insideV w:val="single" w:color="C9D4E2" w:sz="2"/>
        </w:tblBorders>
      </w:tblPr>
      <w:tblGrid>
        <w:gridCol w:w="3120"/>
        <w:gridCol w:w="1560"/>
        <w:gridCol w:w="4680"/>
      </w:tblGrid>
      <w:tr>
        <w:trPr>
          <w:tblHeader/>
        </w:trPr>
        <w:tc>
          <w:tcPr>
            <w:tcW w:type="dxa" w:w="3120"/>
            <w:shd w:fill="1F3A5F" w:val="clear"/>
            <w:tcMar>
              <w:top w:type="dxa" w:w="70"/>
              <w:left w:type="dxa" w:w="90"/>
              <w:bottom w:type="dxa" w:w="70"/>
              <w:right w:type="dxa" w:w="90"/>
            </w:tcMar>
            <w:vAlign w:val="center"/>
          </w:tcPr>
          <w:p>
            <w:pPr>
              <w:spacing w:after="0" w:line="248"/>
              <w:jc w:val="left"/>
            </w:pPr>
            <w:r>
              <w:rPr>
                <w:rFonts w:ascii="Calibri" w:cs="Calibri" w:eastAsia="Calibri" w:hAnsi="Calibri"/>
                <w:b/>
                <w:bCs/>
                <w:color w:val="FFFFFF"/>
                <w:sz w:val="19"/>
                <w:szCs w:val="19"/>
              </w:rPr>
              <w:t xml:space="preserve">Metric</w:t>
            </w:r>
          </w:p>
        </w:tc>
        <w:tc>
          <w:tcPr>
            <w:tcW w:type="dxa" w:w="1560"/>
            <w:shd w:fill="1F3A5F" w:val="clear"/>
            <w:tcMar>
              <w:top w:type="dxa" w:w="70"/>
              <w:left w:type="dxa" w:w="90"/>
              <w:bottom w:type="dxa" w:w="70"/>
              <w:right w:type="dxa" w:w="90"/>
            </w:tcMar>
            <w:vAlign w:val="center"/>
          </w:tcPr>
          <w:p>
            <w:pPr>
              <w:spacing w:after="0" w:line="248"/>
              <w:jc w:val="center"/>
            </w:pPr>
            <w:r>
              <w:rPr>
                <w:rFonts w:ascii="Calibri" w:cs="Calibri" w:eastAsia="Calibri" w:hAnsi="Calibri"/>
                <w:b/>
                <w:bCs/>
                <w:color w:val="FFFFFF"/>
                <w:sz w:val="19"/>
                <w:szCs w:val="19"/>
              </w:rPr>
              <w:t xml:space="preserve">Value</w:t>
            </w:r>
          </w:p>
        </w:tc>
        <w:tc>
          <w:tcPr>
            <w:tcW w:type="dxa" w:w="4680"/>
            <w:shd w:fill="1F3A5F" w:val="clear"/>
            <w:tcMar>
              <w:top w:type="dxa" w:w="70"/>
              <w:left w:type="dxa" w:w="90"/>
              <w:bottom w:type="dxa" w:w="70"/>
              <w:right w:type="dxa" w:w="90"/>
            </w:tcMar>
            <w:vAlign w:val="center"/>
          </w:tcPr>
          <w:p>
            <w:pPr>
              <w:spacing w:after="0" w:line="248"/>
              <w:jc w:val="center"/>
            </w:pPr>
            <w:r>
              <w:rPr>
                <w:rFonts w:ascii="Calibri" w:cs="Calibri" w:eastAsia="Calibri" w:hAnsi="Calibri"/>
                <w:b/>
                <w:bCs/>
                <w:color w:val="FFFFFF"/>
                <w:sz w:val="19"/>
                <w:szCs w:val="19"/>
              </w:rPr>
              <w:t xml:space="preserve">Interpretation</w:t>
            </w:r>
          </w:p>
        </w:tc>
      </w:tr>
      <w:tr>
        <w:tc>
          <w:tcPr>
            <w:tcW w:type="dxa" w:w="3120"/>
            <w:shd w:fill="FFFFFF"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9"/>
                <w:szCs w:val="19"/>
              </w:rPr>
              <w:t xml:space="preserve">Overlap ratio</w:t>
            </w:r>
          </w:p>
        </w:tc>
        <w:tc>
          <w:tcPr>
            <w:tcW w:type="dxa" w:w="156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0.65</w:t>
            </w:r>
          </w:p>
        </w:tc>
        <w:tc>
          <w:tcPr>
            <w:tcW w:type="dxa" w:w="468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Elevated — sessions overlap heavily, a ranging characteristic</w:t>
            </w:r>
          </w:p>
        </w:tc>
      </w:tr>
      <w:tr>
        <w:tc>
          <w:tcPr>
            <w:tcW w:type="dxa" w:w="3120"/>
            <w:shd w:fill="F4F6FA"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9"/>
                <w:szCs w:val="19"/>
              </w:rPr>
              <w:t xml:space="preserve">Directional persistence</w:t>
            </w:r>
          </w:p>
        </w:tc>
        <w:tc>
          <w:tcPr>
            <w:tcW w:type="dxa" w:w="1560"/>
            <w:shd w:fill="F4F6FA"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0.92</w:t>
            </w:r>
          </w:p>
        </w:tc>
        <w:tc>
          <w:tcPr>
            <w:tcW w:type="dxa" w:w="4680"/>
            <w:shd w:fill="F4F6FA"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High — direction tends to repeat, a trending characteristic</w:t>
            </w:r>
          </w:p>
        </w:tc>
      </w:tr>
      <w:tr>
        <w:tc>
          <w:tcPr>
            <w:tcW w:type="dxa" w:w="3120"/>
            <w:shd w:fill="FFFFFF"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9"/>
                <w:szCs w:val="19"/>
              </w:rPr>
              <w:t xml:space="preserve">Range-position bias</w:t>
            </w:r>
          </w:p>
        </w:tc>
        <w:tc>
          <w:tcPr>
            <w:tcW w:type="dxa" w:w="156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0.88</w:t>
            </w:r>
          </w:p>
        </w:tc>
        <w:tc>
          <w:tcPr>
            <w:tcW w:type="dxa" w:w="468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Range Top Bias — close sits in the top decile of the 25-day range</w:t>
            </w:r>
          </w:p>
        </w:tc>
      </w:tr>
      <w:tr>
        <w:tc>
          <w:tcPr>
            <w:tcW w:type="dxa" w:w="3120"/>
            <w:shd w:fill="F4F6FA"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9"/>
                <w:szCs w:val="19"/>
              </w:rPr>
              <w:t xml:space="preserve">VOLator slope</w:t>
            </w:r>
          </w:p>
        </w:tc>
        <w:tc>
          <w:tcPr>
            <w:tcW w:type="dxa" w:w="1560"/>
            <w:shd w:fill="F4F6FA"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 0.00</w:t>
            </w:r>
          </w:p>
        </w:tc>
        <w:tc>
          <w:tcPr>
            <w:tcW w:type="dxa" w:w="4680"/>
            <w:shd w:fill="F4F6FA"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Flat — volatility neither clearly expanding nor contracting</w:t>
            </w:r>
          </w:p>
        </w:tc>
      </w:tr>
      <w:tr>
        <w:tc>
          <w:tcPr>
            <w:tcW w:type="dxa" w:w="3120"/>
            <w:shd w:fill="FFFFFF"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9"/>
                <w:szCs w:val="19"/>
              </w:rPr>
              <w:t xml:space="preserve">Median RSI(2)</w:t>
            </w:r>
          </w:p>
        </w:tc>
        <w:tc>
          <w:tcPr>
            <w:tcW w:type="dxa" w:w="156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Upper band</w:t>
            </w:r>
          </w:p>
        </w:tc>
        <w:tc>
          <w:tcPr>
            <w:tcW w:type="dxa" w:w="468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Momentum skewed to the upside over the recent block</w:t>
            </w:r>
          </w:p>
        </w:tc>
      </w:tr>
    </w:tbl>
    <w:p>
      <w:pPr>
        <w:spacing w:after="80"/>
      </w:pPr>
      <w:r>
        <w:rPr>
          <w:rFonts w:ascii="Calibri" w:cs="Calibri" w:eastAsia="Calibri" w:hAnsi="Calibri"/>
          <w:sz w:val="21"/>
          <w:szCs w:val="21"/>
        </w:rPr>
        <w:t xml:space="preserve"/>
      </w:r>
    </w:p>
    <w:p>
      <w:pPr>
        <w:spacing w:after="120" w:before="0" w:line="276"/>
      </w:pPr>
      <w:r>
        <w:rPr>
          <w:rFonts w:ascii="Calibri" w:cs="Calibri" w:eastAsia="Calibri" w:hAnsi="Calibri"/>
          <w:color w:val="1A1A2E"/>
          <w:sz w:val="19"/>
          <w:szCs w:val="19"/>
        </w:rPr>
        <w:t xml:space="preserve">The classification is genuinely mixed: high overlap argues for a range, high persistence argues for a trend, and the two cannot both be satisfied. Neither the clean Trending gate nor the clean Ranging gate is met, so the regime falls through to </w:t>
      </w:r>
      <w:r>
        <w:rPr>
          <w:rFonts w:ascii="Calibri" w:cs="Calibri" w:eastAsia="Calibri" w:hAnsi="Calibri"/>
          <w:b/>
          <w:bCs/>
          <w:sz w:val="21"/>
          <w:szCs w:val="21"/>
        </w:rPr>
        <w:t xml:space="preserve">Transitional</w:t>
      </w:r>
      <w:r>
        <w:rPr>
          <w:rFonts w:ascii="Calibri" w:cs="Calibri" w:eastAsia="Calibri" w:hAnsi="Calibri"/>
          <w:color w:val="1A1A2E"/>
          <w:sz w:val="19"/>
          <w:szCs w:val="19"/>
        </w:rPr>
        <w:t xml:space="preserve">. This is the honest read of a market that sold off hard for three sessions and then recovered all of it within the same 25-day window — directional, but with a violent two-way rotation embedded in it.</w:t>
      </w:r>
    </w:p>
    <w:p>
      <w:pPr>
        <w:pStyle w:val="Heading2"/>
        <w:spacing w:after="100" w:before="180"/>
      </w:pPr>
      <w:r>
        <w:rPr>
          <w:rFonts w:ascii="Calibri" w:cs="Calibri" w:eastAsia="Calibri" w:hAnsi="Calibri"/>
          <w:b/>
          <w:bCs/>
          <w:color w:val="1A1A2E"/>
          <w:sz w:val="22"/>
          <w:szCs w:val="22"/>
        </w:rPr>
        <w:t xml:space="preserve">VOLator readings</w:t>
      </w:r>
    </w:p>
    <w:p>
      <w:pPr>
        <w:pStyle w:val="ListParagraph"/>
        <w:numPr>
          <w:ilvl w:val="0"/>
          <w:numId w:val="2"/>
        </w:numPr>
        <w:spacing w:after="70" w:line="268"/>
      </w:pPr>
      <w:r>
        <w:rPr>
          <w:rFonts w:ascii="Calibri" w:cs="Calibri" w:eastAsia="Calibri" w:hAnsi="Calibri"/>
          <w:b/>
          <w:bCs/>
          <w:sz w:val="21"/>
          <w:szCs w:val="21"/>
        </w:rPr>
        <w:t xml:space="preserve">S&amp;P 500: </w:t>
      </w:r>
      <w:r>
        <w:rPr>
          <w:rFonts w:ascii="Calibri" w:cs="Calibri" w:eastAsia="Calibri" w:hAnsi="Calibri"/>
          <w:color w:val="1A1A2E"/>
          <w:sz w:val="19"/>
          <w:szCs w:val="19"/>
        </w:rPr>
        <w:t xml:space="preserve">scaled volatility near the zero midpoint, slope flat. Volatility neither expanding nor contracting decisively — consistent with the Transitional read.</w:t>
      </w:r>
    </w:p>
    <w:p>
      <w:pPr>
        <w:pStyle w:val="ListParagraph"/>
        <w:numPr>
          <w:ilvl w:val="0"/>
          <w:numId w:val="2"/>
        </w:numPr>
        <w:spacing w:after="70" w:line="268"/>
      </w:pPr>
      <w:r>
        <w:rPr>
          <w:rFonts w:ascii="Calibri" w:cs="Calibri" w:eastAsia="Calibri" w:hAnsi="Calibri"/>
          <w:b/>
          <w:bCs/>
          <w:sz w:val="21"/>
          <w:szCs w:val="21"/>
        </w:rPr>
        <w:t xml:space="preserve">USDX: </w:t>
      </w:r>
      <w:r>
        <w:rPr>
          <w:rFonts w:ascii="Calibri" w:cs="Calibri" w:eastAsia="Calibri" w:hAnsi="Calibri"/>
          <w:color w:val="1A1A2E"/>
          <w:sz w:val="19"/>
          <w:szCs w:val="19"/>
        </w:rPr>
        <w:t xml:space="preserve">modestly above midpoint — the dollar has been the steadier instrument of the four.</w:t>
      </w:r>
    </w:p>
    <w:p>
      <w:pPr>
        <w:pStyle w:val="ListParagraph"/>
        <w:numPr>
          <w:ilvl w:val="0"/>
          <w:numId w:val="2"/>
        </w:numPr>
        <w:spacing w:after="70" w:line="268"/>
      </w:pPr>
      <w:r>
        <w:rPr>
          <w:rFonts w:ascii="Calibri" w:cs="Calibri" w:eastAsia="Calibri" w:hAnsi="Calibri"/>
          <w:b/>
          <w:bCs/>
          <w:sz w:val="21"/>
          <w:szCs w:val="21"/>
        </w:rPr>
        <w:t xml:space="preserve">VIX: </w:t>
      </w:r>
      <w:r>
        <w:rPr>
          <w:rFonts w:ascii="Calibri" w:cs="Calibri" w:eastAsia="Calibri" w:hAnsi="Calibri"/>
          <w:color w:val="1A1A2E"/>
          <w:sz w:val="19"/>
          <w:szCs w:val="19"/>
        </w:rPr>
        <w:t xml:space="preserve">below midpoint and easing — the volatility complex itself is calming, supportive of the equity recovery.</w:t>
      </w:r>
    </w:p>
    <w:p>
      <w:pPr>
        <w:pStyle w:val="ListParagraph"/>
        <w:numPr>
          <w:ilvl w:val="0"/>
          <w:numId w:val="2"/>
        </w:numPr>
        <w:spacing w:after="70" w:line="268"/>
      </w:pPr>
      <w:r>
        <w:rPr>
          <w:rFonts w:ascii="Calibri" w:cs="Calibri" w:eastAsia="Calibri" w:hAnsi="Calibri"/>
          <w:b/>
          <w:bCs/>
          <w:sz w:val="21"/>
          <w:szCs w:val="21"/>
        </w:rPr>
        <w:t xml:space="preserve">DAX 40: </w:t>
      </w:r>
      <w:r>
        <w:rPr>
          <w:rFonts w:ascii="Calibri" w:cs="Calibri" w:eastAsia="Calibri" w:hAnsi="Calibri"/>
          <w:color w:val="1A1A2E"/>
          <w:sz w:val="19"/>
          <w:szCs w:val="19"/>
        </w:rPr>
        <w:t xml:space="preserve">near midpoint — broadly in line with the S&amp;P 500.</w:t>
      </w:r>
    </w:p>
    <w:p>
      <w:pPr>
        <w:pStyle w:val="Heading2"/>
        <w:spacing w:after="100" w:before="180"/>
      </w:pPr>
      <w:r>
        <w:rPr>
          <w:rFonts w:ascii="Calibri" w:cs="Calibri" w:eastAsia="Calibri" w:hAnsi="Calibri"/>
          <w:b/>
          <w:bCs/>
          <w:color w:val="1A1A2E"/>
          <w:sz w:val="22"/>
          <w:szCs w:val="22"/>
        </w:rPr>
        <w:t xml:space="preserve">Kaufman confirmation</w:t>
      </w:r>
    </w:p>
    <w:p>
      <w:pPr>
        <w:spacing w:after="120" w:before="0" w:line="276"/>
      </w:pPr>
      <w:r>
        <w:rPr>
          <w:rFonts w:ascii="Calibri" w:cs="Calibri" w:eastAsia="Calibri" w:hAnsi="Calibri"/>
          <w:b/>
          <w:bCs/>
          <w:color w:val="C0392B"/>
          <w:sz w:val="19"/>
          <w:szCs w:val="19"/>
        </w:rPr>
        <w:t xml:space="preserve">KER divergence — flagged.  </w:t>
      </w:r>
      <w:r>
        <w:rPr>
          <w:rFonts w:ascii="Calibri" w:cs="Calibri" w:eastAsia="Calibri" w:hAnsi="Calibri"/>
          <w:color w:val="1A1A2E"/>
          <w:sz w:val="19"/>
          <w:szCs w:val="19"/>
        </w:rPr>
        <w:t xml:space="preserve">The Kaufman Efficiency Ratio reads </w:t>
      </w:r>
      <w:r>
        <w:rPr>
          <w:rFonts w:ascii="Calibri" w:cs="Calibri" w:eastAsia="Calibri" w:hAnsi="Calibri"/>
          <w:b/>
          <w:bCs/>
          <w:sz w:val="21"/>
          <w:szCs w:val="21"/>
        </w:rPr>
        <w:t xml:space="preserve">+0.34 — Trending Up — Moderate</w:t>
      </w:r>
      <w:r>
        <w:rPr>
          <w:rFonts w:ascii="Calibri" w:cs="Calibri" w:eastAsia="Calibri" w:hAnsi="Calibri"/>
          <w:color w:val="1A1A2E"/>
          <w:sz w:val="19"/>
          <w:szCs w:val="19"/>
        </w:rPr>
        <w:t xml:space="preserve">, which </w:t>
      </w:r>
      <w:r>
        <w:rPr>
          <w:rFonts w:ascii="Calibri" w:cs="Calibri" w:eastAsia="Calibri" w:hAnsi="Calibri"/>
          <w:b/>
          <w:bCs/>
          <w:sz w:val="21"/>
          <w:szCs w:val="21"/>
        </w:rPr>
        <w:t xml:space="preserve">disagrees</w:t>
      </w:r>
      <w:r>
        <w:rPr>
          <w:rFonts w:ascii="Calibri" w:cs="Calibri" w:eastAsia="Calibri" w:hAnsi="Calibri"/>
          <w:color w:val="1A1A2E"/>
          <w:sz w:val="19"/>
          <w:szCs w:val="19"/>
        </w:rPr>
        <w:t xml:space="preserve"> with the Transitional regime classification. The KER measures path efficiency: a +0.34 reading says that, despite the mid-week sell-off, the net 25-day path has been efficiently upward. The regime classifier, by contrast, weighs the two-way overlap heavily and withholds a clean trend label. Where the two disagree, the preferred protocol is </w:t>
      </w:r>
      <w:r>
        <w:rPr>
          <w:rFonts w:ascii="Calibri" w:cs="Calibri" w:eastAsia="Calibri" w:hAnsi="Calibri"/>
          <w:b/>
          <w:bCs/>
          <w:sz w:val="21"/>
          <w:szCs w:val="21"/>
        </w:rPr>
        <w:t xml:space="preserve">reduced conviction</w:t>
      </w:r>
      <w:r>
        <w:rPr>
          <w:rFonts w:ascii="Calibri" w:cs="Calibri" w:eastAsia="Calibri" w:hAnsi="Calibri"/>
          <w:color w:val="1A1A2E"/>
          <w:sz w:val="19"/>
          <w:szCs w:val="19"/>
        </w:rPr>
        <w:t xml:space="preserve">: the medium-term picture is directionally up but not yet a clean, low-overlap trend. This divergence is carried explicitly into §16, §17, and the §21 strategy fork.</w:t>
      </w:r>
    </w:p>
    <w:p>
      <w:pPr>
        <w:pStyle w:val="Heading2"/>
        <w:spacing w:after="100" w:before="180"/>
      </w:pPr>
      <w:r>
        <w:rPr>
          <w:rFonts w:ascii="Calibri" w:cs="Calibri" w:eastAsia="Calibri" w:hAnsi="Calibri"/>
          <w:b/>
          <w:bCs/>
          <w:color w:val="1A1A2E"/>
          <w:sz w:val="22"/>
          <w:szCs w:val="22"/>
        </w:rPr>
        <w:t xml:space="preserve">Preferred trade protocol</w:t>
      </w:r>
    </w:p>
    <w:p>
      <w:pPr>
        <w:spacing w:after="120" w:before="0" w:line="276"/>
      </w:pPr>
      <w:r>
        <w:rPr>
          <w:rFonts w:ascii="Calibri" w:cs="Calibri" w:eastAsia="Calibri" w:hAnsi="Calibri"/>
          <w:color w:val="1A1A2E"/>
          <w:sz w:val="19"/>
          <w:szCs w:val="19"/>
        </w:rPr>
        <w:t xml:space="preserve">Combining the short-term (Bullish continuation, §8) and medium-term (Transitional) reads, the preferred protocol is </w:t>
      </w:r>
      <w:r>
        <w:rPr>
          <w:rFonts w:ascii="Calibri" w:cs="Calibri" w:eastAsia="Calibri" w:hAnsi="Calibri"/>
          <w:b/>
          <w:bCs/>
          <w:sz w:val="21"/>
          <w:szCs w:val="21"/>
        </w:rPr>
        <w:t xml:space="preserve">trade with the bullish bias but treat range edges with respect</w:t>
      </w:r>
      <w:r>
        <w:rPr>
          <w:rFonts w:ascii="Calibri" w:cs="Calibri" w:eastAsia="Calibri" w:hAnsi="Calibri"/>
          <w:color w:val="1A1A2E"/>
          <w:sz w:val="19"/>
          <w:szCs w:val="19"/>
        </w:rPr>
        <w:t xml:space="preserve">: favour long setups on pullbacks toward support, but size for the possibility that the index is rotating beneath the 7,517 all-time high rather than breaking cleanly through it.</w:t>
      </w:r>
    </w:p>
    <w:p>
      <w:pPr>
        <w:pStyle w:val="Heading1"/>
        <w:pageBreakBefore/>
        <w:spacing w:after="140" w:before="280"/>
      </w:pPr>
      <w:r>
        <w:rPr>
          <w:rFonts w:ascii="Calibri" w:cs="Calibri" w:eastAsia="Calibri" w:hAnsi="Calibri"/>
          <w:b/>
          <w:bCs/>
          <w:color w:val="2C6FBB"/>
          <w:sz w:val="26"/>
          <w:szCs w:val="26"/>
        </w:rPr>
        <w:t xml:space="preserve">§10  </w:t>
      </w:r>
      <w:r>
        <w:rPr>
          <w:rFonts w:ascii="Calibri" w:cs="Calibri" w:eastAsia="Calibri" w:hAnsi="Calibri"/>
          <w:b/>
          <w:bCs/>
          <w:color w:val="1F3A5F"/>
          <w:sz w:val="26"/>
          <w:szCs w:val="26"/>
        </w:rPr>
        <w:t xml:space="preserve">Cross-Asset Analysis</w:t>
      </w:r>
    </w:p>
    <w:p>
      <w:pPr>
        <w:spacing w:after="120" w:before="0" w:line="276"/>
      </w:pPr>
      <w:r>
        <w:rPr>
          <w:rFonts w:ascii="Calibri" w:cs="Calibri" w:eastAsia="Calibri" w:hAnsi="Calibri"/>
          <w:color w:val="1A1A2E"/>
          <w:sz w:val="19"/>
          <w:szCs w:val="19"/>
        </w:rPr>
        <w:t xml:space="preserve">Directional reads for the three active counters over the five validated sessions, each assessed against the §9 regime synthesis.</w:t>
      </w:r>
    </w:p>
    <w:p>
      <w:pPr>
        <w:spacing w:after="40"/>
      </w:pPr>
      <w:r>
        <w:rPr>
          <w:rFonts w:ascii="Calibri" w:cs="Calibri" w:eastAsia="Calibri" w:hAnsi="Calibri"/>
          <w:sz w:val="21"/>
          <w:szCs w:val="21"/>
        </w:rPr>
        <w:t xml:space="preserve"/>
      </w:r>
    </w:p>
    <w:tbl>
      <w:tblPr>
        <w:tblW w:type="dxa" w:w="9360"/>
        <w:tblBorders>
          <w:top w:val="single" w:color="C9D4E2" w:sz="2"/>
          <w:left w:val="single" w:color="C9D4E2" w:sz="2"/>
          <w:bottom w:val="single" w:color="C9D4E2" w:sz="2"/>
          <w:right w:val="single" w:color="C9D4E2" w:sz="2"/>
          <w:insideH w:val="single" w:color="C9D4E2" w:sz="2"/>
          <w:insideV w:val="single" w:color="C9D4E2" w:sz="2"/>
        </w:tblBorders>
      </w:tblPr>
      <w:tblGrid>
        <w:gridCol w:w="1280"/>
        <w:gridCol w:w="1240"/>
        <w:gridCol w:w="3520"/>
        <w:gridCol w:w="1240"/>
        <w:gridCol w:w="2080"/>
      </w:tblGrid>
      <w:tr>
        <w:trPr>
          <w:tblHeader/>
        </w:trPr>
        <w:tc>
          <w:tcPr>
            <w:tcW w:type="dxa" w:w="1280"/>
            <w:shd w:fill="1F3A5F" w:val="clear"/>
            <w:tcMar>
              <w:top w:type="dxa" w:w="70"/>
              <w:left w:type="dxa" w:w="90"/>
              <w:bottom w:type="dxa" w:w="70"/>
              <w:right w:type="dxa" w:w="90"/>
            </w:tcMar>
            <w:vAlign w:val="center"/>
          </w:tcPr>
          <w:p>
            <w:pPr>
              <w:spacing w:after="0" w:line="248"/>
              <w:jc w:val="left"/>
            </w:pPr>
            <w:r>
              <w:rPr>
                <w:rFonts w:ascii="Calibri" w:cs="Calibri" w:eastAsia="Calibri" w:hAnsi="Calibri"/>
                <w:b/>
                <w:bCs/>
                <w:color w:val="FFFFFF"/>
                <w:sz w:val="19"/>
                <w:szCs w:val="19"/>
              </w:rPr>
              <w:t xml:space="preserve">Counter</w:t>
            </w:r>
          </w:p>
        </w:tc>
        <w:tc>
          <w:tcPr>
            <w:tcW w:type="dxa" w:w="1240"/>
            <w:shd w:fill="1F3A5F" w:val="clear"/>
            <w:tcMar>
              <w:top w:type="dxa" w:w="70"/>
              <w:left w:type="dxa" w:w="90"/>
              <w:bottom w:type="dxa" w:w="70"/>
              <w:right w:type="dxa" w:w="90"/>
            </w:tcMar>
            <w:vAlign w:val="center"/>
          </w:tcPr>
          <w:p>
            <w:pPr>
              <w:spacing w:after="0" w:line="248"/>
              <w:jc w:val="center"/>
            </w:pPr>
            <w:r>
              <w:rPr>
                <w:rFonts w:ascii="Calibri" w:cs="Calibri" w:eastAsia="Calibri" w:hAnsi="Calibri"/>
                <w:b/>
                <w:bCs/>
                <w:color w:val="FFFFFF"/>
                <w:sz w:val="19"/>
                <w:szCs w:val="19"/>
              </w:rPr>
              <w:t xml:space="preserve">5-day</w:t>
            </w:r>
          </w:p>
        </w:tc>
        <w:tc>
          <w:tcPr>
            <w:tcW w:type="dxa" w:w="3520"/>
            <w:shd w:fill="1F3A5F" w:val="clear"/>
            <w:tcMar>
              <w:top w:type="dxa" w:w="70"/>
              <w:left w:type="dxa" w:w="90"/>
              <w:bottom w:type="dxa" w:w="70"/>
              <w:right w:type="dxa" w:w="90"/>
            </w:tcMar>
            <w:vAlign w:val="center"/>
          </w:tcPr>
          <w:p>
            <w:pPr>
              <w:spacing w:after="0" w:line="248"/>
              <w:jc w:val="center"/>
            </w:pPr>
            <w:r>
              <w:rPr>
                <w:rFonts w:ascii="Calibri" w:cs="Calibri" w:eastAsia="Calibri" w:hAnsi="Calibri"/>
                <w:b/>
                <w:bCs/>
                <w:color w:val="FFFFFF"/>
                <w:sz w:val="19"/>
                <w:szCs w:val="19"/>
              </w:rPr>
              <w:t xml:space="preserve">Mechanism</w:t>
            </w:r>
          </w:p>
        </w:tc>
        <w:tc>
          <w:tcPr>
            <w:tcW w:type="dxa" w:w="1240"/>
            <w:shd w:fill="1F3A5F" w:val="clear"/>
            <w:tcMar>
              <w:top w:type="dxa" w:w="70"/>
              <w:left w:type="dxa" w:w="90"/>
              <w:bottom w:type="dxa" w:w="70"/>
              <w:right w:type="dxa" w:w="90"/>
            </w:tcMar>
            <w:vAlign w:val="center"/>
          </w:tcPr>
          <w:p>
            <w:pPr>
              <w:spacing w:after="0" w:line="248"/>
              <w:jc w:val="center"/>
            </w:pPr>
            <w:r>
              <w:rPr>
                <w:rFonts w:ascii="Calibri" w:cs="Calibri" w:eastAsia="Calibri" w:hAnsi="Calibri"/>
                <w:b/>
                <w:bCs/>
                <w:color w:val="FFFFFF"/>
                <w:sz w:val="19"/>
                <w:szCs w:val="19"/>
              </w:rPr>
              <w:t xml:space="preserve">Status</w:t>
            </w:r>
          </w:p>
        </w:tc>
        <w:tc>
          <w:tcPr>
            <w:tcW w:type="dxa" w:w="2080"/>
            <w:shd w:fill="1F3A5F" w:val="clear"/>
            <w:tcMar>
              <w:top w:type="dxa" w:w="70"/>
              <w:left w:type="dxa" w:w="90"/>
              <w:bottom w:type="dxa" w:w="70"/>
              <w:right w:type="dxa" w:w="90"/>
            </w:tcMar>
            <w:vAlign w:val="center"/>
          </w:tcPr>
          <w:p>
            <w:pPr>
              <w:spacing w:after="0" w:line="248"/>
              <w:jc w:val="center"/>
            </w:pPr>
            <w:r>
              <w:rPr>
                <w:rFonts w:ascii="Calibri" w:cs="Calibri" w:eastAsia="Calibri" w:hAnsi="Calibri"/>
                <w:b/>
                <w:bCs/>
                <w:color w:val="FFFFFF"/>
                <w:sz w:val="19"/>
                <w:szCs w:val="19"/>
              </w:rPr>
              <w:t xml:space="preserve">Implication</w:t>
            </w:r>
          </w:p>
        </w:tc>
      </w:tr>
      <w:tr>
        <w:tc>
          <w:tcPr>
            <w:tcW w:type="dxa" w:w="1280"/>
            <w:shd w:fill="FFFFFF"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9"/>
                <w:szCs w:val="19"/>
              </w:rPr>
              <w:t xml:space="preserve">USDX</w:t>
            </w:r>
          </w:p>
        </w:tc>
        <w:tc>
          <w:tcPr>
            <w:tcW w:type="dxa" w:w="1240"/>
            <w:shd w:fill="FFFFFF" w:val="clear"/>
            <w:tcMar>
              <w:top w:type="dxa" w:w="70"/>
              <w:left w:type="dxa" w:w="90"/>
              <w:bottom w:type="dxa" w:w="70"/>
              <w:right w:type="dxa" w:w="90"/>
            </w:tcMar>
            <w:vAlign w:val="center"/>
          </w:tcPr>
          <w:p>
            <w:pPr>
              <w:spacing w:after="0" w:line="248"/>
              <w:jc w:val="center"/>
            </w:pPr>
            <w:r>
              <w:rPr>
                <w:rFonts w:ascii="Calibri" w:cs="Calibri" w:eastAsia="Calibri" w:hAnsi="Calibri"/>
                <w:b/>
                <w:bCs/>
                <w:color w:val="C0392B"/>
                <w:sz w:val="19"/>
                <w:szCs w:val="19"/>
              </w:rPr>
              <w:t xml:space="preserve">Rising</w:t>
            </w:r>
          </w:p>
        </w:tc>
        <w:tc>
          <w:tcPr>
            <w:tcW w:type="dxa" w:w="352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A firmer dollar tightens global financial conditions and trims the translated value of S&amp;P 500 multinationals' overseas earnings.</w:t>
            </w:r>
          </w:p>
        </w:tc>
        <w:tc>
          <w:tcPr>
            <w:tcW w:type="dxa" w:w="1240"/>
            <w:shd w:fill="FFFFFF" w:val="clear"/>
            <w:tcMar>
              <w:top w:type="dxa" w:w="70"/>
              <w:left w:type="dxa" w:w="90"/>
              <w:bottom w:type="dxa" w:w="70"/>
              <w:right w:type="dxa" w:w="90"/>
            </w:tcMar>
            <w:vAlign w:val="center"/>
          </w:tcPr>
          <w:p>
            <w:pPr>
              <w:spacing w:after="0" w:line="248"/>
              <w:jc w:val="center"/>
            </w:pPr>
            <w:r>
              <w:rPr>
                <w:rFonts w:ascii="Calibri" w:cs="Calibri" w:eastAsia="Calibri" w:hAnsi="Calibri"/>
                <w:b/>
                <w:bCs/>
                <w:color w:val="C0392B"/>
                <w:sz w:val="19"/>
                <w:szCs w:val="19"/>
              </w:rPr>
              <w:t xml:space="preserve">Contradicts</w:t>
            </w:r>
          </w:p>
        </w:tc>
        <w:tc>
          <w:tcPr>
            <w:tcW w:type="dxa" w:w="208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Mild headwind — the one counter pulling against the bullish read.</w:t>
            </w:r>
          </w:p>
        </w:tc>
      </w:tr>
      <w:tr>
        <w:tc>
          <w:tcPr>
            <w:tcW w:type="dxa" w:w="1280"/>
            <w:shd w:fill="F4F6FA"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9"/>
                <w:szCs w:val="19"/>
              </w:rPr>
              <w:t xml:space="preserve">VIX</w:t>
            </w:r>
          </w:p>
        </w:tc>
        <w:tc>
          <w:tcPr>
            <w:tcW w:type="dxa" w:w="1240"/>
            <w:shd w:fill="F4F6FA" w:val="clear"/>
            <w:tcMar>
              <w:top w:type="dxa" w:w="70"/>
              <w:left w:type="dxa" w:w="90"/>
              <w:bottom w:type="dxa" w:w="70"/>
              <w:right w:type="dxa" w:w="90"/>
            </w:tcMar>
            <w:vAlign w:val="center"/>
          </w:tcPr>
          <w:p>
            <w:pPr>
              <w:spacing w:after="0" w:line="248"/>
              <w:jc w:val="center"/>
            </w:pPr>
            <w:r>
              <w:rPr>
                <w:rFonts w:ascii="Calibri" w:cs="Calibri" w:eastAsia="Calibri" w:hAnsi="Calibri"/>
                <w:b/>
                <w:bCs/>
                <w:color w:val="1A7F5A"/>
                <w:sz w:val="19"/>
                <w:szCs w:val="19"/>
              </w:rPr>
              <w:t xml:space="preserve">Falling</w:t>
            </w:r>
          </w:p>
        </w:tc>
        <w:tc>
          <w:tcPr>
            <w:tcW w:type="dxa" w:w="3520"/>
            <w:shd w:fill="F4F6FA"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Falling implied volatility signals a risk-on regime; lower hedging demand typically accompanies rising equity prices.</w:t>
            </w:r>
          </w:p>
        </w:tc>
        <w:tc>
          <w:tcPr>
            <w:tcW w:type="dxa" w:w="1240"/>
            <w:shd w:fill="F4F6FA" w:val="clear"/>
            <w:tcMar>
              <w:top w:type="dxa" w:w="70"/>
              <w:left w:type="dxa" w:w="90"/>
              <w:bottom w:type="dxa" w:w="70"/>
              <w:right w:type="dxa" w:w="90"/>
            </w:tcMar>
            <w:vAlign w:val="center"/>
          </w:tcPr>
          <w:p>
            <w:pPr>
              <w:spacing w:after="0" w:line="248"/>
              <w:jc w:val="center"/>
            </w:pPr>
            <w:r>
              <w:rPr>
                <w:rFonts w:ascii="Calibri" w:cs="Calibri" w:eastAsia="Calibri" w:hAnsi="Calibri"/>
                <w:b/>
                <w:bCs/>
                <w:color w:val="1A7F5A"/>
                <w:sz w:val="19"/>
                <w:szCs w:val="19"/>
              </w:rPr>
              <w:t xml:space="preserve">Confirms</w:t>
            </w:r>
          </w:p>
        </w:tc>
        <w:tc>
          <w:tcPr>
            <w:tcW w:type="dxa" w:w="2080"/>
            <w:shd w:fill="F4F6FA"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Supportive — VIX eased from ~19 to 16.7, a clear risk-on signal.</w:t>
            </w:r>
          </w:p>
        </w:tc>
      </w:tr>
      <w:tr>
        <w:tc>
          <w:tcPr>
            <w:tcW w:type="dxa" w:w="1280"/>
            <w:shd w:fill="FFFFFF"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9"/>
                <w:szCs w:val="19"/>
              </w:rPr>
              <w:t xml:space="preserve">DAX 40</w:t>
            </w:r>
          </w:p>
        </w:tc>
        <w:tc>
          <w:tcPr>
            <w:tcW w:type="dxa" w:w="1240"/>
            <w:shd w:fill="FFFFFF" w:val="clear"/>
            <w:tcMar>
              <w:top w:type="dxa" w:w="70"/>
              <w:left w:type="dxa" w:w="90"/>
              <w:bottom w:type="dxa" w:w="70"/>
              <w:right w:type="dxa" w:w="90"/>
            </w:tcMar>
            <w:vAlign w:val="center"/>
          </w:tcPr>
          <w:p>
            <w:pPr>
              <w:spacing w:after="0" w:line="248"/>
              <w:jc w:val="center"/>
            </w:pPr>
            <w:r>
              <w:rPr>
                <w:rFonts w:ascii="Calibri" w:cs="Calibri" w:eastAsia="Calibri" w:hAnsi="Calibri"/>
                <w:b/>
                <w:bCs/>
                <w:color w:val="1A7F5A"/>
                <w:sz w:val="19"/>
                <w:szCs w:val="19"/>
              </w:rPr>
              <w:t xml:space="preserve">Rising</w:t>
            </w:r>
          </w:p>
        </w:tc>
        <w:tc>
          <w:tcPr>
            <w:tcW w:type="dxa" w:w="352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A rising European equity benchmark confirms the global risk-appetite factor that the S&amp;P 500 shares.</w:t>
            </w:r>
          </w:p>
        </w:tc>
        <w:tc>
          <w:tcPr>
            <w:tcW w:type="dxa" w:w="1240"/>
            <w:shd w:fill="FFFFFF" w:val="clear"/>
            <w:tcMar>
              <w:top w:type="dxa" w:w="70"/>
              <w:left w:type="dxa" w:w="90"/>
              <w:bottom w:type="dxa" w:w="70"/>
              <w:right w:type="dxa" w:w="90"/>
            </w:tcMar>
            <w:vAlign w:val="center"/>
          </w:tcPr>
          <w:p>
            <w:pPr>
              <w:spacing w:after="0" w:line="248"/>
              <w:jc w:val="center"/>
            </w:pPr>
            <w:r>
              <w:rPr>
                <w:rFonts w:ascii="Calibri" w:cs="Calibri" w:eastAsia="Calibri" w:hAnsi="Calibri"/>
                <w:b/>
                <w:bCs/>
                <w:color w:val="1A7F5A"/>
                <w:sz w:val="19"/>
                <w:szCs w:val="19"/>
              </w:rPr>
              <w:t xml:space="preserve">Confirms</w:t>
            </w:r>
          </w:p>
        </w:tc>
        <w:tc>
          <w:tcPr>
            <w:tcW w:type="dxa" w:w="208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Supportive — DAX surged ~4% on the week to 24,888.</w:t>
            </w:r>
          </w:p>
        </w:tc>
      </w:tr>
    </w:tbl>
    <w:p>
      <w:pPr>
        <w:spacing w:after="80"/>
      </w:pPr>
      <w:r>
        <w:rPr>
          <w:rFonts w:ascii="Calibri" w:cs="Calibri" w:eastAsia="Calibri" w:hAnsi="Calibri"/>
          <w:sz w:val="21"/>
          <w:szCs w:val="21"/>
        </w:rPr>
        <w:t xml:space="preserve"/>
      </w:r>
    </w:p>
    <w:p>
      <w:pPr>
        <w:spacing w:after="120" w:before="0" w:line="276"/>
      </w:pPr>
      <w:r>
        <w:rPr>
          <w:rFonts w:ascii="Calibri" w:cs="Calibri" w:eastAsia="Calibri" w:hAnsi="Calibri"/>
          <w:b/>
          <w:bCs/>
          <w:color w:val="B8860B"/>
          <w:sz w:val="19"/>
          <w:szCs w:val="19"/>
        </w:rPr>
        <w:t xml:space="preserve">Aggregate cross-asset signal: MIXED.  </w:t>
      </w:r>
      <w:r>
        <w:rPr>
          <w:rFonts w:ascii="Calibri" w:cs="Calibri" w:eastAsia="Calibri" w:hAnsi="Calibri"/>
          <w:color w:val="1A1A2E"/>
          <w:sz w:val="19"/>
          <w:szCs w:val="19"/>
        </w:rPr>
        <w:t xml:space="preserve">Two of three counters (VIX, DAX) confirm the bullish bias while one (USDX) contradicts it, so the aggregate is </w:t>
      </w:r>
      <w:r>
        <w:rPr>
          <w:rFonts w:ascii="Calibri" w:cs="Calibri" w:eastAsia="Calibri" w:hAnsi="Calibri"/>
          <w:b/>
          <w:bCs/>
          <w:sz w:val="21"/>
          <w:szCs w:val="21"/>
        </w:rPr>
        <w:t xml:space="preserve">MIXED</w:t>
      </w:r>
      <w:r>
        <w:rPr>
          <w:rFonts w:ascii="Calibri" w:cs="Calibri" w:eastAsia="Calibri" w:hAnsi="Calibri"/>
          <w:color w:val="1A1A2E"/>
          <w:sz w:val="19"/>
          <w:szCs w:val="19"/>
        </w:rPr>
        <w:t xml:space="preserve"> rather than a clean confirmation. </w:t>
      </w:r>
    </w:p>
    <w:p>
      <w:pPr>
        <w:spacing w:after="120" w:before="0" w:line="276"/>
      </w:pPr>
      <w:r>
        <w:rPr>
          <w:rFonts w:ascii="Calibri" w:cs="Calibri" w:eastAsia="Calibri" w:hAnsi="Calibri"/>
          <w:b/>
          <w:bCs/>
          <w:color w:val="C0392B"/>
          <w:sz w:val="19"/>
          <w:szCs w:val="19"/>
        </w:rPr>
        <w:t xml:space="preserve">Contradiction flag.  </w:t>
      </w:r>
      <w:r>
        <w:rPr>
          <w:rFonts w:ascii="Calibri" w:cs="Calibri" w:eastAsia="Calibri" w:hAnsi="Calibri"/>
          <w:color w:val="1A1A2E"/>
          <w:sz w:val="19"/>
          <w:szCs w:val="19"/>
        </w:rPr>
        <w:t xml:space="preserve">The rising dollar is the explicit dissenting signal and is </w:t>
      </w:r>
      <w:r>
        <w:rPr>
          <w:rFonts w:ascii="Calibri" w:cs="Calibri" w:eastAsia="Calibri" w:hAnsi="Calibri"/>
          <w:b/>
          <w:bCs/>
          <w:sz w:val="21"/>
          <w:szCs w:val="21"/>
        </w:rPr>
        <w:t xml:space="preserve">not resolved away</w:t>
      </w:r>
      <w:r>
        <w:rPr>
          <w:rFonts w:ascii="Calibri" w:cs="Calibri" w:eastAsia="Calibri" w:hAnsi="Calibri"/>
          <w:color w:val="1A1A2E"/>
          <w:sz w:val="19"/>
          <w:szCs w:val="19"/>
        </w:rPr>
        <w:t xml:space="preserve">. The USDX climbed to a six-week high as doubts over a US–Iran deal supported safe-haven demand. The mechanism that matters: a firmer dollar both crimps multinational earnings translation and reflects the same inflation/rate anxiety that drove the 18–19 May equity sell-off. This contradiction feeds directly into the Bull/Bear balance (§15) and the Forward View (§16).</w:t>
      </w:r>
    </w:p>
    <w:p>
      <w:pPr>
        <w:pStyle w:val="Heading1"/>
        <w:pageBreakBefore/>
        <w:spacing w:after="140" w:before="280"/>
      </w:pPr>
      <w:r>
        <w:rPr>
          <w:rFonts w:ascii="Calibri" w:cs="Calibri" w:eastAsia="Calibri" w:hAnsi="Calibri"/>
          <w:b/>
          <w:bCs/>
          <w:color w:val="2C6FBB"/>
          <w:sz w:val="26"/>
          <w:szCs w:val="26"/>
        </w:rPr>
        <w:t xml:space="preserve">§11  </w:t>
      </w:r>
      <w:r>
        <w:rPr>
          <w:rFonts w:ascii="Calibri" w:cs="Calibri" w:eastAsia="Calibri" w:hAnsi="Calibri"/>
          <w:b/>
          <w:bCs/>
          <w:color w:val="1F3A5F"/>
          <w:sz w:val="26"/>
          <w:szCs w:val="26"/>
        </w:rPr>
        <w:t xml:space="preserve">Floor Pivot Analysis</w:t>
      </w:r>
    </w:p>
    <w:p>
      <w:pPr>
        <w:spacing w:after="120" w:before="0" w:line="276"/>
      </w:pPr>
      <w:r>
        <w:rPr>
          <w:rFonts w:ascii="Calibri" w:cs="Calibri" w:eastAsia="Calibri" w:hAnsi="Calibri"/>
          <w:color w:val="1A1A2E"/>
          <w:sz w:val="19"/>
          <w:szCs w:val="19"/>
        </w:rPr>
        <w:t xml:space="preserve">Floor pivots are calculated for three timeframes. Daily pivots use the 21 May session High/Low/Close; weekly pivots use the prior completed week (11–15 May); monthly pivots use the prior completed month (April 2026). Resistance is listed top-to-bottom, support beneath.</w:t>
      </w:r>
    </w:p>
    <w:p>
      <w:pPr>
        <w:pStyle w:val="Heading2"/>
        <w:spacing w:after="100" w:before="180"/>
      </w:pPr>
      <w:r>
        <w:rPr>
          <w:rFonts w:ascii="Calibri" w:cs="Calibri" w:eastAsia="Calibri" w:hAnsi="Calibri"/>
          <w:b/>
          <w:bCs/>
          <w:color w:val="1A1A2E"/>
          <w:sz w:val="22"/>
          <w:szCs w:val="22"/>
        </w:rPr>
        <w:t xml:space="preserve">Pivot tables</w:t>
      </w:r>
    </w:p>
    <w:p>
      <w:pPr>
        <w:spacing w:after="30"/>
      </w:pPr>
      <w:r>
        <w:rPr>
          <w:rFonts w:ascii="Calibri" w:cs="Calibri" w:eastAsia="Calibri" w:hAnsi="Calibri"/>
          <w:sz w:val="21"/>
          <w:szCs w:val="21"/>
        </w:rPr>
        <w:t xml:space="preserve"/>
      </w:r>
    </w:p>
    <w:tbl>
      <w:tblPr>
        <w:tblW w:type="dxa" w:w="9360"/>
        <w:tblBorders>
          <w:top w:val="single" w:color="C9D4E2" w:sz="2"/>
          <w:left w:val="single" w:color="C9D4E2" w:sz="2"/>
          <w:bottom w:val="single" w:color="C9D4E2" w:sz="2"/>
          <w:right w:val="single" w:color="C9D4E2" w:sz="2"/>
          <w:insideH w:val="single" w:color="C9D4E2" w:sz="2"/>
          <w:insideV w:val="single" w:color="C9D4E2" w:sz="2"/>
        </w:tblBorders>
      </w:tblPr>
      <w:tblGrid>
        <w:gridCol w:w="1400"/>
        <w:gridCol w:w="2653"/>
        <w:gridCol w:w="2653"/>
        <w:gridCol w:w="2654"/>
      </w:tblGrid>
      <w:tr>
        <w:trPr>
          <w:tblHeader/>
        </w:trPr>
        <w:tc>
          <w:tcPr>
            <w:tcW w:type="dxa" w:w="1400"/>
            <w:shd w:fill="1F3A5F" w:val="clear"/>
            <w:tcMar>
              <w:top w:type="dxa" w:w="70"/>
              <w:left w:type="dxa" w:w="90"/>
              <w:bottom w:type="dxa" w:w="70"/>
              <w:right w:type="dxa" w:w="90"/>
            </w:tcMar>
            <w:vAlign w:val="center"/>
          </w:tcPr>
          <w:p>
            <w:pPr>
              <w:spacing w:after="0" w:line="248"/>
              <w:jc w:val="left"/>
            </w:pPr>
            <w:r>
              <w:rPr>
                <w:rFonts w:ascii="Calibri" w:cs="Calibri" w:eastAsia="Calibri" w:hAnsi="Calibri"/>
                <w:b/>
                <w:bCs/>
                <w:color w:val="FFFFFF"/>
                <w:sz w:val="19"/>
                <w:szCs w:val="19"/>
              </w:rPr>
              <w:t xml:space="preserve">Level</w:t>
            </w:r>
          </w:p>
        </w:tc>
        <w:tc>
          <w:tcPr>
            <w:tcW w:type="dxa" w:w="2653"/>
            <w:shd w:fill="1F3A5F" w:val="clear"/>
            <w:tcMar>
              <w:top w:type="dxa" w:w="70"/>
              <w:left w:type="dxa" w:w="90"/>
              <w:bottom w:type="dxa" w:w="70"/>
              <w:right w:type="dxa" w:w="90"/>
            </w:tcMar>
            <w:vAlign w:val="center"/>
          </w:tcPr>
          <w:p>
            <w:pPr>
              <w:spacing w:after="0" w:line="248"/>
              <w:jc w:val="center"/>
            </w:pPr>
            <w:r>
              <w:rPr>
                <w:rFonts w:ascii="Calibri" w:cs="Calibri" w:eastAsia="Calibri" w:hAnsi="Calibri"/>
                <w:b/>
                <w:bCs/>
                <w:color w:val="FFFFFF"/>
                <w:sz w:val="19"/>
                <w:szCs w:val="19"/>
              </w:rPr>
              <w:t xml:space="preserve">Daily</w:t>
            </w:r>
          </w:p>
        </w:tc>
        <w:tc>
          <w:tcPr>
            <w:tcW w:type="dxa" w:w="2653"/>
            <w:shd w:fill="1F3A5F" w:val="clear"/>
            <w:tcMar>
              <w:top w:type="dxa" w:w="70"/>
              <w:left w:type="dxa" w:w="90"/>
              <w:bottom w:type="dxa" w:w="70"/>
              <w:right w:type="dxa" w:w="90"/>
            </w:tcMar>
            <w:vAlign w:val="center"/>
          </w:tcPr>
          <w:p>
            <w:pPr>
              <w:spacing w:after="0" w:line="248"/>
              <w:jc w:val="center"/>
            </w:pPr>
            <w:r>
              <w:rPr>
                <w:rFonts w:ascii="Calibri" w:cs="Calibri" w:eastAsia="Calibri" w:hAnsi="Calibri"/>
                <w:b/>
                <w:bCs/>
                <w:color w:val="FFFFFF"/>
                <w:sz w:val="19"/>
                <w:szCs w:val="19"/>
              </w:rPr>
              <w:t xml:space="preserve">Weekly</w:t>
            </w:r>
          </w:p>
        </w:tc>
        <w:tc>
          <w:tcPr>
            <w:tcW w:type="dxa" w:w="2654"/>
            <w:shd w:fill="1F3A5F" w:val="clear"/>
            <w:tcMar>
              <w:top w:type="dxa" w:w="70"/>
              <w:left w:type="dxa" w:w="90"/>
              <w:bottom w:type="dxa" w:w="70"/>
              <w:right w:type="dxa" w:w="90"/>
            </w:tcMar>
            <w:vAlign w:val="center"/>
          </w:tcPr>
          <w:p>
            <w:pPr>
              <w:spacing w:after="0" w:line="248"/>
              <w:jc w:val="center"/>
            </w:pPr>
            <w:r>
              <w:rPr>
                <w:rFonts w:ascii="Calibri" w:cs="Calibri" w:eastAsia="Calibri" w:hAnsi="Calibri"/>
                <w:b/>
                <w:bCs/>
                <w:color w:val="FFFFFF"/>
                <w:sz w:val="19"/>
                <w:szCs w:val="19"/>
              </w:rPr>
              <w:t xml:space="preserve">Monthly</w:t>
            </w:r>
          </w:p>
        </w:tc>
      </w:tr>
      <w:tr>
        <w:tc>
          <w:tcPr>
            <w:tcW w:type="dxa" w:w="1400"/>
            <w:shd w:fill="FFFFFF"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9"/>
                <w:szCs w:val="19"/>
              </w:rPr>
              <w:t xml:space="preserve">R5</w:t>
            </w:r>
          </w:p>
        </w:tc>
        <w:tc>
          <w:tcPr>
            <w:tcW w:type="dxa" w:w="2653"/>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7,616.25</w:t>
            </w:r>
          </w:p>
        </w:tc>
        <w:tc>
          <w:tcPr>
            <w:tcW w:type="dxa" w:w="2653"/>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7,836.49</w:t>
            </w:r>
          </w:p>
        </w:tc>
        <w:tc>
          <w:tcPr>
            <w:tcW w:type="dxa" w:w="2654"/>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8,424.43</w:t>
            </w:r>
          </w:p>
        </w:tc>
      </w:tr>
      <w:tr>
        <w:tc>
          <w:tcPr>
            <w:tcW w:type="dxa" w:w="1400"/>
            <w:shd w:fill="F4F6FA"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9"/>
                <w:szCs w:val="19"/>
              </w:rPr>
              <w:t xml:space="preserve">R4</w:t>
            </w:r>
          </w:p>
        </w:tc>
        <w:tc>
          <w:tcPr>
            <w:tcW w:type="dxa" w:w="2653"/>
            <w:shd w:fill="F4F6FA"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7,567.55</w:t>
            </w:r>
          </w:p>
        </w:tc>
        <w:tc>
          <w:tcPr>
            <w:tcW w:type="dxa" w:w="2653"/>
            <w:shd w:fill="F4F6FA"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7,720.87</w:t>
            </w:r>
          </w:p>
        </w:tc>
        <w:tc>
          <w:tcPr>
            <w:tcW w:type="dxa" w:w="2654"/>
            <w:shd w:fill="F4F6FA"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8,070.33</w:t>
            </w:r>
          </w:p>
        </w:tc>
      </w:tr>
      <w:tr>
        <w:tc>
          <w:tcPr>
            <w:tcW w:type="dxa" w:w="1400"/>
            <w:shd w:fill="FFFFFF"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9"/>
                <w:szCs w:val="19"/>
              </w:rPr>
              <w:t xml:space="preserve">R3</w:t>
            </w:r>
          </w:p>
        </w:tc>
        <w:tc>
          <w:tcPr>
            <w:tcW w:type="dxa" w:w="2653"/>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7,518.85</w:t>
            </w:r>
          </w:p>
        </w:tc>
        <w:tc>
          <w:tcPr>
            <w:tcW w:type="dxa" w:w="2653"/>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7,605.25</w:t>
            </w:r>
          </w:p>
        </w:tc>
        <w:tc>
          <w:tcPr>
            <w:tcW w:type="dxa" w:w="2654"/>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7,716.23</w:t>
            </w:r>
          </w:p>
        </w:tc>
      </w:tr>
      <w:tr>
        <w:tc>
          <w:tcPr>
            <w:tcW w:type="dxa" w:w="1400"/>
            <w:shd w:fill="F4F6FA"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9"/>
                <w:szCs w:val="19"/>
              </w:rPr>
              <w:t xml:space="preserve">R2</w:t>
            </w:r>
          </w:p>
        </w:tc>
        <w:tc>
          <w:tcPr>
            <w:tcW w:type="dxa" w:w="2653"/>
            <w:shd w:fill="F4F6FA"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7,494.57</w:t>
            </w:r>
          </w:p>
        </w:tc>
        <w:tc>
          <w:tcPr>
            <w:tcW w:type="dxa" w:w="2653"/>
            <w:shd w:fill="F4F6FA"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7,561.18</w:t>
            </w:r>
          </w:p>
        </w:tc>
        <w:tc>
          <w:tcPr>
            <w:tcW w:type="dxa" w:w="2654"/>
            <w:shd w:fill="F4F6FA"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7,480.17</w:t>
            </w:r>
          </w:p>
        </w:tc>
      </w:tr>
      <w:tr>
        <w:tc>
          <w:tcPr>
            <w:tcW w:type="dxa" w:w="1400"/>
            <w:shd w:fill="FFFFFF"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9"/>
                <w:szCs w:val="19"/>
              </w:rPr>
              <w:t xml:space="preserve">R1</w:t>
            </w:r>
          </w:p>
        </w:tc>
        <w:tc>
          <w:tcPr>
            <w:tcW w:type="dxa" w:w="2653"/>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7,470.15</w:t>
            </w:r>
          </w:p>
        </w:tc>
        <w:tc>
          <w:tcPr>
            <w:tcW w:type="dxa" w:w="2653"/>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7,489.63</w:t>
            </w:r>
          </w:p>
        </w:tc>
        <w:tc>
          <w:tcPr>
            <w:tcW w:type="dxa" w:w="2654"/>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7,362.13</w:t>
            </w:r>
          </w:p>
        </w:tc>
      </w:tr>
      <w:tr>
        <w:tc>
          <w:tcPr>
            <w:tcW w:type="dxa" w:w="1400"/>
            <w:shd w:fill="E3EBF5" w:val="clear"/>
            <w:tcMar>
              <w:top w:type="dxa" w:w="70"/>
              <w:left w:type="dxa" w:w="90"/>
              <w:bottom w:type="dxa" w:w="70"/>
              <w:right w:type="dxa" w:w="90"/>
            </w:tcMar>
            <w:vAlign w:val="center"/>
          </w:tcPr>
          <w:p>
            <w:pPr>
              <w:spacing w:after="0" w:line="248"/>
              <w:jc w:val="left"/>
            </w:pPr>
            <w:r>
              <w:rPr>
                <w:rFonts w:ascii="Calibri" w:cs="Calibri" w:eastAsia="Calibri" w:hAnsi="Calibri"/>
                <w:b/>
                <w:bCs/>
                <w:color w:val="1A1A2E"/>
                <w:sz w:val="19"/>
                <w:szCs w:val="19"/>
              </w:rPr>
              <w:t xml:space="preserve">P</w:t>
            </w:r>
          </w:p>
        </w:tc>
        <w:tc>
          <w:tcPr>
            <w:tcW w:type="dxa" w:w="2653"/>
            <w:shd w:fill="E3EBF5" w:val="clear"/>
            <w:tcMar>
              <w:top w:type="dxa" w:w="70"/>
              <w:left w:type="dxa" w:w="90"/>
              <w:bottom w:type="dxa" w:w="70"/>
              <w:right w:type="dxa" w:w="90"/>
            </w:tcMar>
            <w:vAlign w:val="center"/>
          </w:tcPr>
          <w:p>
            <w:pPr>
              <w:spacing w:after="0" w:line="248"/>
              <w:jc w:val="center"/>
            </w:pPr>
            <w:r>
              <w:rPr>
                <w:rFonts w:ascii="Calibri" w:cs="Calibri" w:eastAsia="Calibri" w:hAnsi="Calibri"/>
                <w:b/>
                <w:bCs/>
                <w:color w:val="1A1A2E"/>
                <w:sz w:val="19"/>
                <w:szCs w:val="19"/>
              </w:rPr>
              <w:t xml:space="preserve">7,445.87</w:t>
            </w:r>
          </w:p>
        </w:tc>
        <w:tc>
          <w:tcPr>
            <w:tcW w:type="dxa" w:w="2653"/>
            <w:shd w:fill="E3EBF5" w:val="clear"/>
            <w:tcMar>
              <w:top w:type="dxa" w:w="70"/>
              <w:left w:type="dxa" w:w="90"/>
              <w:bottom w:type="dxa" w:w="70"/>
              <w:right w:type="dxa" w:w="90"/>
            </w:tcMar>
            <w:vAlign w:val="center"/>
          </w:tcPr>
          <w:p>
            <w:pPr>
              <w:spacing w:after="0" w:line="248"/>
              <w:jc w:val="center"/>
            </w:pPr>
            <w:r>
              <w:rPr>
                <w:rFonts w:ascii="Calibri" w:cs="Calibri" w:eastAsia="Calibri" w:hAnsi="Calibri"/>
                <w:b/>
                <w:bCs/>
                <w:color w:val="1A1A2E"/>
                <w:sz w:val="19"/>
                <w:szCs w:val="19"/>
              </w:rPr>
              <w:t xml:space="preserve">7,445.56</w:t>
            </w:r>
          </w:p>
        </w:tc>
        <w:tc>
          <w:tcPr>
            <w:tcW w:type="dxa" w:w="2654"/>
            <w:shd w:fill="E3EBF5" w:val="clear"/>
            <w:tcMar>
              <w:top w:type="dxa" w:w="70"/>
              <w:left w:type="dxa" w:w="90"/>
              <w:bottom w:type="dxa" w:w="70"/>
              <w:right w:type="dxa" w:w="90"/>
            </w:tcMar>
            <w:vAlign w:val="center"/>
          </w:tcPr>
          <w:p>
            <w:pPr>
              <w:spacing w:after="0" w:line="248"/>
              <w:jc w:val="center"/>
            </w:pPr>
            <w:r>
              <w:rPr>
                <w:rFonts w:ascii="Calibri" w:cs="Calibri" w:eastAsia="Calibri" w:hAnsi="Calibri"/>
                <w:b/>
                <w:bCs/>
                <w:color w:val="1A1A2E"/>
                <w:sz w:val="19"/>
                <w:szCs w:val="19"/>
              </w:rPr>
              <w:t xml:space="preserve">7,126.07</w:t>
            </w:r>
          </w:p>
        </w:tc>
      </w:tr>
      <w:tr>
        <w:tc>
          <w:tcPr>
            <w:tcW w:type="dxa" w:w="1400"/>
            <w:shd w:fill="FFFFFF"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9"/>
                <w:szCs w:val="19"/>
              </w:rPr>
              <w:t xml:space="preserve">S1</w:t>
            </w:r>
          </w:p>
        </w:tc>
        <w:tc>
          <w:tcPr>
            <w:tcW w:type="dxa" w:w="2653"/>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7,421.45</w:t>
            </w:r>
          </w:p>
        </w:tc>
        <w:tc>
          <w:tcPr>
            <w:tcW w:type="dxa" w:w="2653"/>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7,374.01</w:t>
            </w:r>
          </w:p>
        </w:tc>
        <w:tc>
          <w:tcPr>
            <w:tcW w:type="dxa" w:w="2654"/>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7,008.03</w:t>
            </w:r>
          </w:p>
        </w:tc>
      </w:tr>
      <w:tr>
        <w:tc>
          <w:tcPr>
            <w:tcW w:type="dxa" w:w="1400"/>
            <w:shd w:fill="F4F6FA"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9"/>
                <w:szCs w:val="19"/>
              </w:rPr>
              <w:t xml:space="preserve">S2</w:t>
            </w:r>
          </w:p>
        </w:tc>
        <w:tc>
          <w:tcPr>
            <w:tcW w:type="dxa" w:w="2653"/>
            <w:shd w:fill="F4F6FA"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7,397.17</w:t>
            </w:r>
          </w:p>
        </w:tc>
        <w:tc>
          <w:tcPr>
            <w:tcW w:type="dxa" w:w="2653"/>
            <w:shd w:fill="F4F6FA"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7,329.94</w:t>
            </w:r>
          </w:p>
        </w:tc>
        <w:tc>
          <w:tcPr>
            <w:tcW w:type="dxa" w:w="2654"/>
            <w:shd w:fill="F4F6FA"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6,771.97</w:t>
            </w:r>
          </w:p>
        </w:tc>
      </w:tr>
      <w:tr>
        <w:tc>
          <w:tcPr>
            <w:tcW w:type="dxa" w:w="1400"/>
            <w:shd w:fill="FFFFFF"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9"/>
                <w:szCs w:val="19"/>
              </w:rPr>
              <w:t xml:space="preserve">S3</w:t>
            </w:r>
          </w:p>
        </w:tc>
        <w:tc>
          <w:tcPr>
            <w:tcW w:type="dxa" w:w="2653"/>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7,372.75</w:t>
            </w:r>
          </w:p>
        </w:tc>
        <w:tc>
          <w:tcPr>
            <w:tcW w:type="dxa" w:w="2653"/>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7,258.39</w:t>
            </w:r>
          </w:p>
        </w:tc>
        <w:tc>
          <w:tcPr>
            <w:tcW w:type="dxa" w:w="2654"/>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6,653.93</w:t>
            </w:r>
          </w:p>
        </w:tc>
      </w:tr>
      <w:tr>
        <w:tc>
          <w:tcPr>
            <w:tcW w:type="dxa" w:w="1400"/>
            <w:shd w:fill="F4F6FA"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9"/>
                <w:szCs w:val="19"/>
              </w:rPr>
              <w:t xml:space="preserve">S4</w:t>
            </w:r>
          </w:p>
        </w:tc>
        <w:tc>
          <w:tcPr>
            <w:tcW w:type="dxa" w:w="2653"/>
            <w:shd w:fill="F4F6FA"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7,324.05</w:t>
            </w:r>
          </w:p>
        </w:tc>
        <w:tc>
          <w:tcPr>
            <w:tcW w:type="dxa" w:w="2653"/>
            <w:shd w:fill="F4F6FA"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7,142.77</w:t>
            </w:r>
          </w:p>
        </w:tc>
        <w:tc>
          <w:tcPr>
            <w:tcW w:type="dxa" w:w="2654"/>
            <w:shd w:fill="F4F6FA"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6,299.83</w:t>
            </w:r>
          </w:p>
        </w:tc>
      </w:tr>
      <w:tr>
        <w:tc>
          <w:tcPr>
            <w:tcW w:type="dxa" w:w="1400"/>
            <w:shd w:fill="FFFFFF"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9"/>
                <w:szCs w:val="19"/>
              </w:rPr>
              <w:t xml:space="preserve">S5</w:t>
            </w:r>
          </w:p>
        </w:tc>
        <w:tc>
          <w:tcPr>
            <w:tcW w:type="dxa" w:w="2653"/>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7,275.35</w:t>
            </w:r>
          </w:p>
        </w:tc>
        <w:tc>
          <w:tcPr>
            <w:tcW w:type="dxa" w:w="2653"/>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7,027.15</w:t>
            </w:r>
          </w:p>
        </w:tc>
        <w:tc>
          <w:tcPr>
            <w:tcW w:type="dxa" w:w="2654"/>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5,945.73</w:t>
            </w:r>
          </w:p>
        </w:tc>
      </w:tr>
    </w:tbl>
    <w:p>
      <w:pPr>
        <w:spacing w:after="80"/>
      </w:pPr>
      <w:r>
        <w:rPr>
          <w:rFonts w:ascii="Calibri" w:cs="Calibri" w:eastAsia="Calibri" w:hAnsi="Calibri"/>
          <w:sz w:val="21"/>
          <w:szCs w:val="21"/>
        </w:rPr>
        <w:t xml:space="preserve"/>
      </w:r>
    </w:p>
    <w:p>
      <w:pPr>
        <w:spacing w:after="120" w:before="0" w:line="276"/>
      </w:pPr>
      <w:r>
        <w:rPr>
          <w:rFonts w:ascii="Calibri" w:cs="Calibri" w:eastAsia="Calibri" w:hAnsi="Calibri"/>
          <w:b/>
          <w:bCs/>
          <w:i/>
          <w:iCs/>
          <w:color w:val="B8860B"/>
          <w:sz w:val="19"/>
          <w:szCs w:val="19"/>
        </w:rPr>
        <w:t xml:space="preserve">Source status.  </w:t>
      </w:r>
      <w:r>
        <w:rPr>
          <w:rFonts w:ascii="Calibri" w:cs="Calibri" w:eastAsia="Calibri" w:hAnsi="Calibri"/>
          <w:i/>
          <w:iCs/>
          <w:color w:val="5A6678"/>
          <w:sz w:val="19"/>
          <w:szCs w:val="19"/>
        </w:rPr>
        <w:t xml:space="preserve">The prior-period High/Low/Close inputs are derived from the engine's validated rolling window rather than from an independent multi-source pivot fetch. In line with the source-discipline rules, all pivot levels in this section carry a SINGLE-SOURCE-INDICATIVE flag. This flag is propagated to §19 and to the §21 strategy suppression logic; the user has instructed that strategies are not to be suppressed on corroboration grounds for this run, so the flag is carried as a documented caveat on the affected trade card rather than triggering suppression.</w:t>
      </w:r>
    </w:p>
    <w:p>
      <w:pPr>
        <w:pStyle w:val="Heading2"/>
        <w:spacing w:after="100" w:before="180"/>
      </w:pPr>
      <w:r>
        <w:rPr>
          <w:rFonts w:ascii="Calibri" w:cs="Calibri" w:eastAsia="Calibri" w:hAnsi="Calibri"/>
          <w:b/>
          <w:bCs/>
          <w:color w:val="1A1A2E"/>
          <w:sz w:val="22"/>
          <w:szCs w:val="22"/>
        </w:rPr>
        <w:t xml:space="preserve">Position narrative</w:t>
      </w:r>
    </w:p>
    <w:p>
      <w:pPr>
        <w:pStyle w:val="ListParagraph"/>
        <w:numPr>
          <w:ilvl w:val="0"/>
          <w:numId w:val="2"/>
        </w:numPr>
        <w:spacing w:after="70" w:line="268"/>
      </w:pPr>
      <w:r>
        <w:rPr>
          <w:rFonts w:ascii="Calibri" w:cs="Calibri" w:eastAsia="Calibri" w:hAnsi="Calibri"/>
          <w:b/>
          <w:bCs/>
          <w:sz w:val="21"/>
          <w:szCs w:val="21"/>
        </w:rPr>
        <w:t xml:space="preserve">Daily: </w:t>
      </w:r>
      <w:r>
        <w:rPr>
          <w:rFonts w:ascii="Calibri" w:cs="Calibri" w:eastAsia="Calibri" w:hAnsi="Calibri"/>
          <w:color w:val="1A1A2E"/>
          <w:sz w:val="19"/>
          <w:szCs w:val="19"/>
        </w:rPr>
        <w:t xml:space="preserve">the 22 May close of 7,473.47 sits above the daily pivot (7,445.87) and just above daily R1 (7,470.15), pressing toward daily R2 (7,494.57) — a constructive, mildly extended position.</w:t>
      </w:r>
    </w:p>
    <w:p>
      <w:pPr>
        <w:pStyle w:val="ListParagraph"/>
        <w:numPr>
          <w:ilvl w:val="0"/>
          <w:numId w:val="2"/>
        </w:numPr>
        <w:spacing w:after="70" w:line="268"/>
      </w:pPr>
      <w:r>
        <w:rPr>
          <w:rFonts w:ascii="Calibri" w:cs="Calibri" w:eastAsia="Calibri" w:hAnsi="Calibri"/>
          <w:b/>
          <w:bCs/>
          <w:sz w:val="21"/>
          <w:szCs w:val="21"/>
        </w:rPr>
        <w:t xml:space="preserve">Weekly: </w:t>
      </w:r>
      <w:r>
        <w:rPr>
          <w:rFonts w:ascii="Calibri" w:cs="Calibri" w:eastAsia="Calibri" w:hAnsi="Calibri"/>
          <w:color w:val="1A1A2E"/>
          <w:sz w:val="19"/>
          <w:szCs w:val="19"/>
        </w:rPr>
        <w:t xml:space="preserve">the close sits above the weekly pivot (7,445.56) and is approaching weekly R1 (7,489.63); a weekly close above 7,490 would open the path toward weekly R2 at 7,561.</w:t>
      </w:r>
    </w:p>
    <w:p>
      <w:pPr>
        <w:pStyle w:val="ListParagraph"/>
        <w:numPr>
          <w:ilvl w:val="0"/>
          <w:numId w:val="2"/>
        </w:numPr>
        <w:spacing w:after="70" w:line="268"/>
      </w:pPr>
      <w:r>
        <w:rPr>
          <w:rFonts w:ascii="Calibri" w:cs="Calibri" w:eastAsia="Calibri" w:hAnsi="Calibri"/>
          <w:b/>
          <w:bCs/>
          <w:sz w:val="21"/>
          <w:szCs w:val="21"/>
        </w:rPr>
        <w:t xml:space="preserve">Monthly: </w:t>
      </w:r>
      <w:r>
        <w:rPr>
          <w:rFonts w:ascii="Calibri" w:cs="Calibri" w:eastAsia="Calibri" w:hAnsi="Calibri"/>
          <w:color w:val="1A1A2E"/>
          <w:sz w:val="19"/>
          <w:szCs w:val="19"/>
        </w:rPr>
        <w:t xml:space="preserve">price is far above the monthly pivot (7,126.07) and has cleared monthly R2 (7,480.17) only marginally — confirming that, on the longest timeframe, the index remains in a strongly extended uptrend.</w:t>
      </w:r>
    </w:p>
    <w:p>
      <w:pPr>
        <w:pStyle w:val="ListParagraph"/>
        <w:numPr>
          <w:ilvl w:val="0"/>
          <w:numId w:val="2"/>
        </w:numPr>
        <w:spacing w:after="70" w:line="268"/>
      </w:pPr>
      <w:r>
        <w:rPr>
          <w:rFonts w:ascii="Calibri" w:cs="Calibri" w:eastAsia="Calibri" w:hAnsi="Calibri"/>
          <w:b/>
          <w:bCs/>
          <w:color w:val="2C6FBB"/>
          <w:sz w:val="19"/>
          <w:szCs w:val="19"/>
        </w:rPr>
        <w:t xml:space="preserve">Confluence zone: </w:t>
      </w:r>
      <w:r>
        <w:rPr>
          <w:rFonts w:ascii="Calibri" w:cs="Calibri" w:eastAsia="Calibri" w:hAnsi="Calibri"/>
          <w:color w:val="1A1A2E"/>
          <w:sz w:val="19"/>
          <w:szCs w:val="19"/>
        </w:rPr>
        <w:t xml:space="preserve">the daily pivot (7,445.87) and weekly pivot (7,445.56) sit within 0.31 points of each other — a tight pivot confluence at ~7,446 that becomes the key reference support for the strategy section.</w:t>
      </w:r>
    </w:p>
    <w:p>
      <w:pPr>
        <w:pStyle w:val="Heading1"/>
        <w:pageBreakBefore/>
        <w:spacing w:after="140" w:before="280"/>
      </w:pPr>
      <w:r>
        <w:rPr>
          <w:rFonts w:ascii="Calibri" w:cs="Calibri" w:eastAsia="Calibri" w:hAnsi="Calibri"/>
          <w:b/>
          <w:bCs/>
          <w:color w:val="2C6FBB"/>
          <w:sz w:val="26"/>
          <w:szCs w:val="26"/>
        </w:rPr>
        <w:t xml:space="preserve">§12  </w:t>
      </w:r>
      <w:r>
        <w:rPr>
          <w:rFonts w:ascii="Calibri" w:cs="Calibri" w:eastAsia="Calibri" w:hAnsi="Calibri"/>
          <w:b/>
          <w:bCs/>
          <w:color w:val="1F3A5F"/>
          <w:sz w:val="26"/>
          <w:szCs w:val="26"/>
        </w:rPr>
        <w:t xml:space="preserve">Key Market Considerations</w:t>
      </w:r>
    </w:p>
    <w:p>
      <w:pPr>
        <w:spacing w:after="120" w:before="0" w:line="276"/>
      </w:pPr>
      <w:r>
        <w:rPr>
          <w:rFonts w:ascii="Calibri" w:cs="Calibri" w:eastAsia="Calibri" w:hAnsi="Calibri"/>
          <w:color w:val="1A1A2E"/>
          <w:sz w:val="19"/>
          <w:szCs w:val="19"/>
        </w:rPr>
        <w:t xml:space="preserve">Structured fundamentals for the S&amp;P 500. Each factor is labelled price-supportive, price-negative, or neutral, and tagged structural (lasting 6+ months) or cyclical (event-driven, reversible within the five-day horizon).</w:t>
      </w:r>
    </w:p>
    <w:p>
      <w:pPr>
        <w:pStyle w:val="Heading2"/>
        <w:spacing w:after="100" w:before="180"/>
      </w:pPr>
      <w:r>
        <w:rPr>
          <w:rFonts w:ascii="Calibri" w:cs="Calibri" w:eastAsia="Calibri" w:hAnsi="Calibri"/>
          <w:b/>
          <w:bCs/>
          <w:color w:val="1A1A2E"/>
          <w:sz w:val="22"/>
          <w:szCs w:val="22"/>
        </w:rPr>
        <w:t xml:space="preserve">Earnings &amp; corporate fundamentals — price-supportive (structural)</w:t>
      </w:r>
    </w:p>
    <w:p>
      <w:pPr>
        <w:spacing w:after="120" w:before="0" w:line="276"/>
      </w:pPr>
      <w:r>
        <w:rPr>
          <w:rFonts w:ascii="Calibri" w:cs="Calibri" w:eastAsia="Calibri" w:hAnsi="Calibri"/>
          <w:color w:val="1A1A2E"/>
          <w:sz w:val="19"/>
          <w:szCs w:val="19"/>
        </w:rPr>
        <w:t xml:space="preserve">The Q1 2026 earnings season delivered a solid backdrop. Nvidia — the index's largest constituent — beat on revenue ($81.6bn vs $79.2bn expected) and adjusted EPS ($1.87 vs $1.77), issued a strong forward outlook, and raised its dividend. Retail bellwethers (Home Depot, Target, Lowe's) generally topped estimates. With mega-cap technology earnings the designated primary catalyst for this index, a clean Nvidia print removes a major source of downside risk. </w:t>
      </w:r>
      <w:r>
        <w:rPr>
          <w:rFonts w:ascii="Calibri" w:cs="Calibri" w:eastAsia="Calibri" w:hAnsi="Calibri"/>
          <w:b/>
          <w:bCs/>
          <w:color w:val="1A7F5A"/>
          <w:sz w:val="19"/>
          <w:szCs w:val="19"/>
        </w:rPr>
        <w:t xml:space="preserve">Structural, price-supportive.</w:t>
      </w:r>
    </w:p>
    <w:p>
      <w:pPr>
        <w:pStyle w:val="Heading2"/>
        <w:spacing w:after="100" w:before="180"/>
      </w:pPr>
      <w:r>
        <w:rPr>
          <w:rFonts w:ascii="Calibri" w:cs="Calibri" w:eastAsia="Calibri" w:hAnsi="Calibri"/>
          <w:b/>
          <w:bCs/>
          <w:color w:val="1A1A2E"/>
          <w:sz w:val="22"/>
          <w:szCs w:val="22"/>
        </w:rPr>
        <w:t xml:space="preserve">Rates &amp; monetary policy — price-negative (cyclical, the dominant risk)</w:t>
      </w:r>
    </w:p>
    <w:p>
      <w:pPr>
        <w:spacing w:after="120" w:before="0" w:line="276"/>
      </w:pPr>
      <w:r>
        <w:rPr>
          <w:rFonts w:ascii="Calibri" w:cs="Calibri" w:eastAsia="Calibri" w:hAnsi="Calibri"/>
          <w:color w:val="1A1A2E"/>
          <w:sz w:val="19"/>
          <w:szCs w:val="19"/>
        </w:rPr>
        <w:t xml:space="preserve">The 18–19 May sell-off was a bond-market event, not an equity-fundamentals event. Long-dated Treasury yields surged — the 30-year briefly topped 5.19%, its highest in nearly 19 years, and the 10-year reached a one-year high — as markets pushed back the expected timing of Federal Reserve rate cuts amid sticky inflation. A Bank of America survey reported 62% of fund managers expect the 30-year yield to reach 6%. Rising yields lift the discount rate applied to equity cash flows and compress valuation multiples, the mega-cap technology cohort most of all. Yields eased into the week's end, allowing the recovery, but this remains the single most important swing factor. </w:t>
      </w:r>
      <w:r>
        <w:rPr>
          <w:rFonts w:ascii="Calibri" w:cs="Calibri" w:eastAsia="Calibri" w:hAnsi="Calibri"/>
          <w:b/>
          <w:bCs/>
          <w:color w:val="C0392B"/>
          <w:sz w:val="19"/>
          <w:szCs w:val="19"/>
        </w:rPr>
        <w:t xml:space="preserve">Cyclical, price-negative.</w:t>
      </w:r>
    </w:p>
    <w:p>
      <w:pPr>
        <w:pStyle w:val="Heading2"/>
        <w:spacing w:after="100" w:before="180"/>
      </w:pPr>
      <w:r>
        <w:rPr>
          <w:rFonts w:ascii="Calibri" w:cs="Calibri" w:eastAsia="Calibri" w:hAnsi="Calibri"/>
          <w:b/>
          <w:bCs/>
          <w:color w:val="1A1A2E"/>
          <w:sz w:val="22"/>
          <w:szCs w:val="22"/>
        </w:rPr>
        <w:t xml:space="preserve">Geopolitics — neutral to mildly supportive (cyclical)</w:t>
      </w:r>
    </w:p>
    <w:p>
      <w:pPr>
        <w:spacing w:after="120" w:before="0" w:line="276"/>
      </w:pPr>
      <w:r>
        <w:rPr>
          <w:rFonts w:ascii="Calibri" w:cs="Calibri" w:eastAsia="Calibri" w:hAnsi="Calibri"/>
          <w:color w:val="1A1A2E"/>
          <w:sz w:val="19"/>
          <w:szCs w:val="19"/>
        </w:rPr>
        <w:t xml:space="preserve">The US–Iran conflict and the status of the Strait of Hormuz dominated the macro tape. Headlines oscillated between progress toward a deal and renewed escalation; by 22 May, cautiously constructive signals were supporting risk appetite while keeping oil — and therefore inflation expectations — elevated. A genuine de-escalation that reopens the Strait would be unambiguously supportive; a breakdown would re-ignite the oil-and-inflation channel. </w:t>
      </w:r>
      <w:r>
        <w:rPr>
          <w:rFonts w:ascii="Calibri" w:cs="Calibri" w:eastAsia="Calibri" w:hAnsi="Calibri"/>
          <w:b/>
          <w:bCs/>
          <w:color w:val="B8860B"/>
          <w:sz w:val="19"/>
          <w:szCs w:val="19"/>
        </w:rPr>
        <w:t xml:space="preserve">Cyclical, currently neutral-to-supportive.</w:t>
      </w:r>
    </w:p>
    <w:p>
      <w:pPr>
        <w:pStyle w:val="Heading2"/>
        <w:spacing w:after="100" w:before="180"/>
      </w:pPr>
      <w:r>
        <w:rPr>
          <w:rFonts w:ascii="Calibri" w:cs="Calibri" w:eastAsia="Calibri" w:hAnsi="Calibri"/>
          <w:b/>
          <w:bCs/>
          <w:color w:val="1A1A2E"/>
          <w:sz w:val="22"/>
          <w:szCs w:val="22"/>
        </w:rPr>
        <w:t xml:space="preserve">Macro &amp; FX — mildly price-negative (cyclical)</w:t>
      </w:r>
    </w:p>
    <w:p>
      <w:pPr>
        <w:spacing w:after="120" w:before="0" w:line="276"/>
      </w:pPr>
      <w:r>
        <w:rPr>
          <w:rFonts w:ascii="Calibri" w:cs="Calibri" w:eastAsia="Calibri" w:hAnsi="Calibri"/>
          <w:color w:val="1A1A2E"/>
          <w:sz w:val="19"/>
          <w:szCs w:val="19"/>
        </w:rPr>
        <w:t xml:space="preserve">The US dollar climbed to a six-week high (USDX ~99.3), a mild headwind for multinational earnings translation (see §10). The University of Michigan consumer-sentiment survey fell to a new low on gas-price and inflation worries — a soft-data warning that elevated energy costs are bleeding into the broader economy. Oil remains well above pre-conflict levels. </w:t>
      </w:r>
      <w:r>
        <w:rPr>
          <w:rFonts w:ascii="Calibri" w:cs="Calibri" w:eastAsia="Calibri" w:hAnsi="Calibri"/>
          <w:b/>
          <w:bCs/>
          <w:color w:val="C0392B"/>
          <w:sz w:val="19"/>
          <w:szCs w:val="19"/>
        </w:rPr>
        <w:t xml:space="preserve">Cyclical, mildly price-negative.</w:t>
      </w:r>
    </w:p>
    <w:p>
      <w:pPr>
        <w:pStyle w:val="Heading2"/>
        <w:spacing w:after="100" w:before="180"/>
      </w:pPr>
      <w:r>
        <w:rPr>
          <w:rFonts w:ascii="Calibri" w:cs="Calibri" w:eastAsia="Calibri" w:hAnsi="Calibri"/>
          <w:b/>
          <w:bCs/>
          <w:color w:val="1A1A2E"/>
          <w:sz w:val="22"/>
          <w:szCs w:val="22"/>
        </w:rPr>
        <w:t xml:space="preserve">Near-term catalysts — see §13d</w:t>
      </w:r>
    </w:p>
    <w:p>
      <w:pPr>
        <w:spacing w:after="120" w:before="0" w:line="276"/>
      </w:pPr>
      <w:r>
        <w:rPr>
          <w:rFonts w:ascii="Calibri" w:cs="Calibri" w:eastAsia="Calibri" w:hAnsi="Calibri"/>
          <w:color w:val="1A1A2E"/>
          <w:sz w:val="19"/>
          <w:szCs w:val="19"/>
        </w:rPr>
        <w:t xml:space="preserve">The five-day horizon contains a heavy macro calendar. The </w:t>
      </w:r>
      <w:r>
        <w:rPr>
          <w:rFonts w:ascii="Calibri" w:cs="Calibri" w:eastAsia="Calibri" w:hAnsi="Calibri"/>
          <w:b/>
          <w:bCs/>
          <w:sz w:val="21"/>
          <w:szCs w:val="21"/>
        </w:rPr>
        <w:t xml:space="preserve">PCE inflation release on Friday 29 May</w:t>
      </w:r>
      <w:r>
        <w:rPr>
          <w:rFonts w:ascii="Calibri" w:cs="Calibri" w:eastAsia="Calibri" w:hAnsi="Calibri"/>
          <w:color w:val="1A1A2E"/>
          <w:sz w:val="19"/>
          <w:szCs w:val="19"/>
        </w:rPr>
        <w:t xml:space="preserve"> is the dominant catalyst — the Federal Reserve's preferred inflation gauge, with a direct read-through to the rate-cut timing debate that drove the mid-week sell-off. Q1 GDP, jobless claims, and Treasury supply auctions also fall inside the window. All are carried as watch items in §13d and §15.</w:t>
      </w:r>
    </w:p>
    <w:p>
      <w:pPr>
        <w:pStyle w:val="Heading1"/>
        <w:pageBreakBefore/>
        <w:spacing w:after="140" w:before="280"/>
      </w:pPr>
      <w:r>
        <w:rPr>
          <w:rFonts w:ascii="Calibri" w:cs="Calibri" w:eastAsia="Calibri" w:hAnsi="Calibri"/>
          <w:b/>
          <w:bCs/>
          <w:color w:val="2C6FBB"/>
          <w:sz w:val="26"/>
          <w:szCs w:val="26"/>
        </w:rPr>
        <w:t xml:space="preserve">§13  </w:t>
      </w:r>
      <w:r>
        <w:rPr>
          <w:rFonts w:ascii="Calibri" w:cs="Calibri" w:eastAsia="Calibri" w:hAnsi="Calibri"/>
          <w:b/>
          <w:bCs/>
          <w:color w:val="1F3A5F"/>
          <w:sz w:val="26"/>
          <w:szCs w:val="26"/>
        </w:rPr>
        <w:t xml:space="preserve">Sentiment, News &amp; Calendar</w:t>
      </w:r>
    </w:p>
    <w:p>
      <w:pPr>
        <w:pStyle w:val="Heading2"/>
        <w:spacing w:after="100" w:before="180"/>
      </w:pPr>
      <w:r>
        <w:rPr>
          <w:rFonts w:ascii="Calibri" w:cs="Calibri" w:eastAsia="Calibri" w:hAnsi="Calibri"/>
          <w:b/>
          <w:bCs/>
          <w:color w:val="1A1A2E"/>
          <w:sz w:val="22"/>
          <w:szCs w:val="22"/>
        </w:rPr>
        <w:t xml:space="preserve">§13a  Per-Article Sentiment Table</w:t>
      </w:r>
    </w:p>
    <w:p>
      <w:pPr>
        <w:spacing w:after="120" w:before="0" w:line="276"/>
      </w:pPr>
      <w:r>
        <w:rPr>
          <w:rFonts w:ascii="Calibri" w:cs="Calibri" w:eastAsia="Calibri" w:hAnsi="Calibri"/>
          <w:color w:val="1A1A2E"/>
          <w:sz w:val="19"/>
          <w:szCs w:val="19"/>
        </w:rPr>
        <w:t xml:space="preserve">Six articles for the S&amp;P 500, all within the lookback window. Each classification carries a derivation quote of 15 words or fewer drawn from the article's analytical language.</w:t>
      </w:r>
    </w:p>
    <w:p>
      <w:pPr>
        <w:spacing w:after="40"/>
      </w:pPr>
      <w:r>
        <w:rPr>
          <w:rFonts w:ascii="Calibri" w:cs="Calibri" w:eastAsia="Calibri" w:hAnsi="Calibri"/>
          <w:sz w:val="21"/>
          <w:szCs w:val="21"/>
        </w:rPr>
        <w:t xml:space="preserve"/>
      </w:r>
    </w:p>
    <w:tbl>
      <w:tblPr>
        <w:tblW w:type="dxa" w:w="9360"/>
        <w:tblBorders>
          <w:top w:val="single" w:color="C9D4E2" w:sz="2"/>
          <w:left w:val="single" w:color="C9D4E2" w:sz="2"/>
          <w:bottom w:val="single" w:color="C9D4E2" w:sz="2"/>
          <w:right w:val="single" w:color="C9D4E2" w:sz="2"/>
          <w:insideH w:val="single" w:color="C9D4E2" w:sz="2"/>
          <w:insideV w:val="single" w:color="C9D4E2" w:sz="2"/>
        </w:tblBorders>
      </w:tblPr>
      <w:tblGrid>
        <w:gridCol w:w="1280"/>
        <w:gridCol w:w="1240"/>
        <w:gridCol w:w="2360"/>
        <w:gridCol w:w="1180"/>
        <w:gridCol w:w="1180"/>
        <w:gridCol w:w="2120"/>
      </w:tblGrid>
      <w:tr>
        <w:trPr>
          <w:tblHeader/>
        </w:trPr>
        <w:tc>
          <w:tcPr>
            <w:tcW w:type="dxa" w:w="1280"/>
            <w:shd w:fill="1F3A5F" w:val="clear"/>
            <w:tcMar>
              <w:top w:type="dxa" w:w="70"/>
              <w:left w:type="dxa" w:w="90"/>
              <w:bottom w:type="dxa" w:w="70"/>
              <w:right w:type="dxa" w:w="90"/>
            </w:tcMar>
            <w:vAlign w:val="center"/>
          </w:tcPr>
          <w:p>
            <w:pPr>
              <w:spacing w:after="0" w:line="248"/>
              <w:jc w:val="left"/>
            </w:pPr>
            <w:r>
              <w:rPr>
                <w:rFonts w:ascii="Calibri" w:cs="Calibri" w:eastAsia="Calibri" w:hAnsi="Calibri"/>
                <w:b/>
                <w:bCs/>
                <w:color w:val="FFFFFF"/>
                <w:sz w:val="19"/>
                <w:szCs w:val="19"/>
              </w:rPr>
              <w:t xml:space="preserve">Source</w:t>
            </w:r>
          </w:p>
        </w:tc>
        <w:tc>
          <w:tcPr>
            <w:tcW w:type="dxa" w:w="1240"/>
            <w:shd w:fill="1F3A5F" w:val="clear"/>
            <w:tcMar>
              <w:top w:type="dxa" w:w="70"/>
              <w:left w:type="dxa" w:w="90"/>
              <w:bottom w:type="dxa" w:w="70"/>
              <w:right w:type="dxa" w:w="90"/>
            </w:tcMar>
            <w:vAlign w:val="center"/>
          </w:tcPr>
          <w:p>
            <w:pPr>
              <w:spacing w:after="0" w:line="248"/>
              <w:jc w:val="center"/>
            </w:pPr>
            <w:r>
              <w:rPr>
                <w:rFonts w:ascii="Calibri" w:cs="Calibri" w:eastAsia="Calibri" w:hAnsi="Calibri"/>
                <w:b/>
                <w:bCs/>
                <w:color w:val="FFFFFF"/>
                <w:sz w:val="19"/>
                <w:szCs w:val="19"/>
              </w:rPr>
              <w:t xml:space="preserve">Date</w:t>
            </w:r>
          </w:p>
        </w:tc>
        <w:tc>
          <w:tcPr>
            <w:tcW w:type="dxa" w:w="2360"/>
            <w:shd w:fill="1F3A5F" w:val="clear"/>
            <w:tcMar>
              <w:top w:type="dxa" w:w="70"/>
              <w:left w:type="dxa" w:w="90"/>
              <w:bottom w:type="dxa" w:w="70"/>
              <w:right w:type="dxa" w:w="90"/>
            </w:tcMar>
            <w:vAlign w:val="center"/>
          </w:tcPr>
          <w:p>
            <w:pPr>
              <w:spacing w:after="0" w:line="248"/>
              <w:jc w:val="center"/>
            </w:pPr>
            <w:r>
              <w:rPr>
                <w:rFonts w:ascii="Calibri" w:cs="Calibri" w:eastAsia="Calibri" w:hAnsi="Calibri"/>
                <w:b/>
                <w:bCs/>
                <w:color w:val="FFFFFF"/>
                <w:sz w:val="19"/>
                <w:szCs w:val="19"/>
              </w:rPr>
              <w:t xml:space="preserve">Headline (abridged)</w:t>
            </w:r>
          </w:p>
        </w:tc>
        <w:tc>
          <w:tcPr>
            <w:tcW w:type="dxa" w:w="1180"/>
            <w:shd w:fill="1F3A5F" w:val="clear"/>
            <w:tcMar>
              <w:top w:type="dxa" w:w="70"/>
              <w:left w:type="dxa" w:w="90"/>
              <w:bottom w:type="dxa" w:w="70"/>
              <w:right w:type="dxa" w:w="90"/>
            </w:tcMar>
            <w:vAlign w:val="center"/>
          </w:tcPr>
          <w:p>
            <w:pPr>
              <w:spacing w:after="0" w:line="248"/>
              <w:jc w:val="center"/>
            </w:pPr>
            <w:r>
              <w:rPr>
                <w:rFonts w:ascii="Calibri" w:cs="Calibri" w:eastAsia="Calibri" w:hAnsi="Calibri"/>
                <w:b/>
                <w:bCs/>
                <w:color w:val="FFFFFF"/>
                <w:sz w:val="19"/>
                <w:szCs w:val="19"/>
              </w:rPr>
              <w:t xml:space="preserve">Class.</w:t>
            </w:r>
          </w:p>
        </w:tc>
        <w:tc>
          <w:tcPr>
            <w:tcW w:type="dxa" w:w="1180"/>
            <w:shd w:fill="1F3A5F" w:val="clear"/>
            <w:tcMar>
              <w:top w:type="dxa" w:w="70"/>
              <w:left w:type="dxa" w:w="90"/>
              <w:bottom w:type="dxa" w:w="70"/>
              <w:right w:type="dxa" w:w="90"/>
            </w:tcMar>
            <w:vAlign w:val="center"/>
          </w:tcPr>
          <w:p>
            <w:pPr>
              <w:spacing w:after="0" w:line="248"/>
              <w:jc w:val="center"/>
            </w:pPr>
            <w:r>
              <w:rPr>
                <w:rFonts w:ascii="Calibri" w:cs="Calibri" w:eastAsia="Calibri" w:hAnsi="Calibri"/>
                <w:b/>
                <w:bCs/>
                <w:color w:val="FFFFFF"/>
                <w:sz w:val="19"/>
                <w:szCs w:val="19"/>
              </w:rPr>
              <w:t xml:space="preserve">Sentiment</w:t>
            </w:r>
          </w:p>
        </w:tc>
        <w:tc>
          <w:tcPr>
            <w:tcW w:type="dxa" w:w="2120"/>
            <w:shd w:fill="1F3A5F" w:val="clear"/>
            <w:tcMar>
              <w:top w:type="dxa" w:w="70"/>
              <w:left w:type="dxa" w:w="90"/>
              <w:bottom w:type="dxa" w:w="70"/>
              <w:right w:type="dxa" w:w="90"/>
            </w:tcMar>
            <w:vAlign w:val="center"/>
          </w:tcPr>
          <w:p>
            <w:pPr>
              <w:spacing w:after="0" w:line="248"/>
              <w:jc w:val="center"/>
            </w:pPr>
            <w:r>
              <w:rPr>
                <w:rFonts w:ascii="Calibri" w:cs="Calibri" w:eastAsia="Calibri" w:hAnsi="Calibri"/>
                <w:b/>
                <w:bCs/>
                <w:color w:val="FFFFFF"/>
                <w:sz w:val="19"/>
                <w:szCs w:val="19"/>
              </w:rPr>
              <w:t xml:space="preserve">Derivation</w:t>
            </w:r>
          </w:p>
        </w:tc>
      </w:tr>
      <w:tr>
        <w:tc>
          <w:tcPr>
            <w:tcW w:type="dxa" w:w="1280"/>
            <w:shd w:fill="FFFFFF"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9"/>
                <w:szCs w:val="19"/>
              </w:rPr>
              <w:t xml:space="preserve">The Motley Fool</w:t>
            </w:r>
          </w:p>
        </w:tc>
        <w:tc>
          <w:tcPr>
            <w:tcW w:type="dxa" w:w="124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22 May</w:t>
            </w:r>
          </w:p>
        </w:tc>
        <w:tc>
          <w:tcPr>
            <w:tcW w:type="dxa" w:w="236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S&amp;P 500 posts eighth straight week of gains</w:t>
            </w:r>
          </w:p>
        </w:tc>
        <w:tc>
          <w:tcPr>
            <w:tcW w:type="dxa" w:w="118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Media</w:t>
            </w:r>
          </w:p>
        </w:tc>
        <w:tc>
          <w:tcPr>
            <w:tcW w:type="dxa" w:w="1180"/>
            <w:shd w:fill="FFFFFF" w:val="clear"/>
            <w:tcMar>
              <w:top w:type="dxa" w:w="70"/>
              <w:left w:type="dxa" w:w="90"/>
              <w:bottom w:type="dxa" w:w="70"/>
              <w:right w:type="dxa" w:w="90"/>
            </w:tcMar>
            <w:vAlign w:val="center"/>
          </w:tcPr>
          <w:p>
            <w:pPr>
              <w:spacing w:after="0" w:line="248"/>
              <w:jc w:val="center"/>
            </w:pPr>
            <w:r>
              <w:rPr>
                <w:rFonts w:ascii="Calibri" w:cs="Calibri" w:eastAsia="Calibri" w:hAnsi="Calibri"/>
                <w:b/>
                <w:bCs/>
                <w:color w:val="1A7F5A"/>
                <w:sz w:val="19"/>
                <w:szCs w:val="19"/>
              </w:rPr>
              <w:t xml:space="preserve">Bullish</w:t>
            </w:r>
          </w:p>
        </w:tc>
        <w:tc>
          <w:tcPr>
            <w:tcW w:type="dxa" w:w="212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“finished in the green for the eighth consecutive week”</w:t>
            </w:r>
          </w:p>
        </w:tc>
      </w:tr>
      <w:tr>
        <w:tc>
          <w:tcPr>
            <w:tcW w:type="dxa" w:w="1280"/>
            <w:shd w:fill="F4F6FA"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9"/>
                <w:szCs w:val="19"/>
              </w:rPr>
              <w:t xml:space="preserve">CNBC</w:t>
            </w:r>
          </w:p>
        </w:tc>
        <w:tc>
          <w:tcPr>
            <w:tcW w:type="dxa" w:w="1240"/>
            <w:shd w:fill="F4F6FA"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21 May</w:t>
            </w:r>
          </w:p>
        </w:tc>
        <w:tc>
          <w:tcPr>
            <w:tcW w:type="dxa" w:w="2360"/>
            <w:shd w:fill="F4F6FA"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S&amp;P 500 gains as Nvidia breezes past expectations</w:t>
            </w:r>
          </w:p>
        </w:tc>
        <w:tc>
          <w:tcPr>
            <w:tcW w:type="dxa" w:w="1180"/>
            <w:shd w:fill="F4F6FA"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Media</w:t>
            </w:r>
          </w:p>
        </w:tc>
        <w:tc>
          <w:tcPr>
            <w:tcW w:type="dxa" w:w="1180"/>
            <w:shd w:fill="F4F6FA" w:val="clear"/>
            <w:tcMar>
              <w:top w:type="dxa" w:w="70"/>
              <w:left w:type="dxa" w:w="90"/>
              <w:bottom w:type="dxa" w:w="70"/>
              <w:right w:type="dxa" w:w="90"/>
            </w:tcMar>
            <w:vAlign w:val="center"/>
          </w:tcPr>
          <w:p>
            <w:pPr>
              <w:spacing w:after="0" w:line="248"/>
              <w:jc w:val="center"/>
            </w:pPr>
            <w:r>
              <w:rPr>
                <w:rFonts w:ascii="Calibri" w:cs="Calibri" w:eastAsia="Calibri" w:hAnsi="Calibri"/>
                <w:b/>
                <w:bCs/>
                <w:color w:val="1A7F5A"/>
                <w:sz w:val="19"/>
                <w:szCs w:val="19"/>
              </w:rPr>
              <w:t xml:space="preserve">Bullish</w:t>
            </w:r>
          </w:p>
        </w:tc>
        <w:tc>
          <w:tcPr>
            <w:tcW w:type="dxa" w:w="2120"/>
            <w:shd w:fill="F4F6FA"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“Nvidia breezed past Wall Street’s expectations for earnings and guidance”</w:t>
            </w:r>
          </w:p>
        </w:tc>
      </w:tr>
      <w:tr>
        <w:tc>
          <w:tcPr>
            <w:tcW w:type="dxa" w:w="1280"/>
            <w:shd w:fill="FFFFFF"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9"/>
                <w:szCs w:val="19"/>
              </w:rPr>
              <w:t xml:space="preserve">Reuters survey</w:t>
            </w:r>
          </w:p>
        </w:tc>
        <w:tc>
          <w:tcPr>
            <w:tcW w:type="dxa" w:w="124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22 May</w:t>
            </w:r>
          </w:p>
        </w:tc>
        <w:tc>
          <w:tcPr>
            <w:tcW w:type="dxa" w:w="236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Strategists see S&amp;P 500 near 7,490 by end-2026</w:t>
            </w:r>
          </w:p>
        </w:tc>
        <w:tc>
          <w:tcPr>
            <w:tcW w:type="dxa" w:w="118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Institutional</w:t>
            </w:r>
          </w:p>
        </w:tc>
        <w:tc>
          <w:tcPr>
            <w:tcW w:type="dxa" w:w="1180"/>
            <w:shd w:fill="FFFFFF" w:val="clear"/>
            <w:tcMar>
              <w:top w:type="dxa" w:w="70"/>
              <w:left w:type="dxa" w:w="90"/>
              <w:bottom w:type="dxa" w:w="70"/>
              <w:right w:type="dxa" w:w="90"/>
            </w:tcMar>
            <w:vAlign w:val="center"/>
          </w:tcPr>
          <w:p>
            <w:pPr>
              <w:spacing w:after="0" w:line="248"/>
              <w:jc w:val="center"/>
            </w:pPr>
            <w:r>
              <w:rPr>
                <w:rFonts w:ascii="Calibri" w:cs="Calibri" w:eastAsia="Calibri" w:hAnsi="Calibri"/>
                <w:b/>
                <w:bCs/>
                <w:color w:val="1A7F5A"/>
                <w:sz w:val="19"/>
                <w:szCs w:val="19"/>
              </w:rPr>
              <w:t xml:space="preserve">Bullish</w:t>
            </w:r>
          </w:p>
        </w:tc>
        <w:tc>
          <w:tcPr>
            <w:tcW w:type="dxa" w:w="212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“expects the S&amp;P 500 to climb about 12% by end-2026”</w:t>
            </w:r>
          </w:p>
        </w:tc>
      </w:tr>
      <w:tr>
        <w:tc>
          <w:tcPr>
            <w:tcW w:type="dxa" w:w="1280"/>
            <w:shd w:fill="F4F6FA"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9"/>
                <w:szCs w:val="19"/>
              </w:rPr>
              <w:t xml:space="preserve">Goldman Sachs note</w:t>
            </w:r>
          </w:p>
        </w:tc>
        <w:tc>
          <w:tcPr>
            <w:tcW w:type="dxa" w:w="1240"/>
            <w:shd w:fill="F4F6FA"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22 May</w:t>
            </w:r>
          </w:p>
        </w:tc>
        <w:tc>
          <w:tcPr>
            <w:tcW w:type="dxa" w:w="2360"/>
            <w:shd w:fill="F4F6FA"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Goldman warns rising yields could trigger a correction</w:t>
            </w:r>
          </w:p>
        </w:tc>
        <w:tc>
          <w:tcPr>
            <w:tcW w:type="dxa" w:w="1180"/>
            <w:shd w:fill="F4F6FA"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Institutional</w:t>
            </w:r>
          </w:p>
        </w:tc>
        <w:tc>
          <w:tcPr>
            <w:tcW w:type="dxa" w:w="1180"/>
            <w:shd w:fill="F4F6FA" w:val="clear"/>
            <w:tcMar>
              <w:top w:type="dxa" w:w="70"/>
              <w:left w:type="dxa" w:w="90"/>
              <w:bottom w:type="dxa" w:w="70"/>
              <w:right w:type="dxa" w:w="90"/>
            </w:tcMar>
            <w:vAlign w:val="center"/>
          </w:tcPr>
          <w:p>
            <w:pPr>
              <w:spacing w:after="0" w:line="248"/>
              <w:jc w:val="center"/>
            </w:pPr>
            <w:r>
              <w:rPr>
                <w:rFonts w:ascii="Calibri" w:cs="Calibri" w:eastAsia="Calibri" w:hAnsi="Calibri"/>
                <w:b/>
                <w:bCs/>
                <w:color w:val="C0392B"/>
                <w:sz w:val="19"/>
                <w:szCs w:val="19"/>
              </w:rPr>
              <w:t xml:space="preserve">Bearish</w:t>
            </w:r>
          </w:p>
        </w:tc>
        <w:tc>
          <w:tcPr>
            <w:tcW w:type="dxa" w:w="2120"/>
            <w:shd w:fill="F4F6FA"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“warned of a growing risk… could trigger a stock market correction”</w:t>
            </w:r>
          </w:p>
        </w:tc>
      </w:tr>
      <w:tr>
        <w:tc>
          <w:tcPr>
            <w:tcW w:type="dxa" w:w="1280"/>
            <w:shd w:fill="FFFFFF"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9"/>
                <w:szCs w:val="19"/>
              </w:rPr>
              <w:t xml:space="preserve">CNBC</w:t>
            </w:r>
          </w:p>
        </w:tc>
        <w:tc>
          <w:tcPr>
            <w:tcW w:type="dxa" w:w="124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19 May</w:t>
            </w:r>
          </w:p>
        </w:tc>
        <w:tc>
          <w:tcPr>
            <w:tcW w:type="dxa" w:w="236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S&amp;P 500 posts third straight losing session on yields</w:t>
            </w:r>
          </w:p>
        </w:tc>
        <w:tc>
          <w:tcPr>
            <w:tcW w:type="dxa" w:w="118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Media</w:t>
            </w:r>
          </w:p>
        </w:tc>
        <w:tc>
          <w:tcPr>
            <w:tcW w:type="dxa" w:w="1180"/>
            <w:shd w:fill="FFFFFF" w:val="clear"/>
            <w:tcMar>
              <w:top w:type="dxa" w:w="70"/>
              <w:left w:type="dxa" w:w="90"/>
              <w:bottom w:type="dxa" w:w="70"/>
              <w:right w:type="dxa" w:w="90"/>
            </w:tcMar>
            <w:vAlign w:val="center"/>
          </w:tcPr>
          <w:p>
            <w:pPr>
              <w:spacing w:after="0" w:line="248"/>
              <w:jc w:val="center"/>
            </w:pPr>
            <w:r>
              <w:rPr>
                <w:rFonts w:ascii="Calibri" w:cs="Calibri" w:eastAsia="Calibri" w:hAnsi="Calibri"/>
                <w:b/>
                <w:bCs/>
                <w:color w:val="C0392B"/>
                <w:sz w:val="19"/>
                <w:szCs w:val="19"/>
              </w:rPr>
              <w:t xml:space="preserve">Bearish</w:t>
            </w:r>
          </w:p>
        </w:tc>
        <w:tc>
          <w:tcPr>
            <w:tcW w:type="dxa" w:w="212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“a jump in bond yields threatened the bull market”</w:t>
            </w:r>
          </w:p>
        </w:tc>
      </w:tr>
      <w:tr>
        <w:tc>
          <w:tcPr>
            <w:tcW w:type="dxa" w:w="1280"/>
            <w:shd w:fill="F4F6FA"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9"/>
                <w:szCs w:val="19"/>
              </w:rPr>
              <w:t xml:space="preserve">Morgan Stanley IM</w:t>
            </w:r>
          </w:p>
        </w:tc>
        <w:tc>
          <w:tcPr>
            <w:tcW w:type="dxa" w:w="1240"/>
            <w:shd w:fill="F4F6FA"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22 May</w:t>
            </w:r>
          </w:p>
        </w:tc>
        <w:tc>
          <w:tcPr>
            <w:tcW w:type="dxa" w:w="2360"/>
            <w:shd w:fill="F4F6FA"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Market is vulnerable to surprise, strategist says</w:t>
            </w:r>
          </w:p>
        </w:tc>
        <w:tc>
          <w:tcPr>
            <w:tcW w:type="dxa" w:w="1180"/>
            <w:shd w:fill="F4F6FA"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Institutional</w:t>
            </w:r>
          </w:p>
        </w:tc>
        <w:tc>
          <w:tcPr>
            <w:tcW w:type="dxa" w:w="1180"/>
            <w:shd w:fill="F4F6FA"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Mixed</w:t>
            </w:r>
          </w:p>
        </w:tc>
        <w:tc>
          <w:tcPr>
            <w:tcW w:type="dxa" w:w="2120"/>
            <w:shd w:fill="F4F6FA"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“Market is vulnerable to surprise” — caution without a directional call</w:t>
            </w:r>
          </w:p>
        </w:tc>
      </w:tr>
    </w:tbl>
    <w:p>
      <w:pPr>
        <w:spacing w:after="80"/>
      </w:pPr>
      <w:r>
        <w:rPr>
          <w:rFonts w:ascii="Calibri" w:cs="Calibri" w:eastAsia="Calibri" w:hAnsi="Calibri"/>
          <w:sz w:val="21"/>
          <w:szCs w:val="21"/>
        </w:rPr>
        <w:t xml:space="preserve"/>
      </w:r>
    </w:p>
    <w:p>
      <w:pPr>
        <w:pStyle w:val="Heading2"/>
        <w:spacing w:after="100" w:before="180"/>
      </w:pPr>
      <w:r>
        <w:rPr>
          <w:rFonts w:ascii="Calibri" w:cs="Calibri" w:eastAsia="Calibri" w:hAnsi="Calibri"/>
          <w:b/>
          <w:bCs/>
          <w:color w:val="1A1A2E"/>
          <w:sz w:val="22"/>
          <w:szCs w:val="22"/>
        </w:rPr>
        <w:t xml:space="preserve">§13b  Aggregate Sentiment Summary</w:t>
      </w:r>
    </w:p>
    <w:p>
      <w:pPr>
        <w:spacing w:after="120" w:before="0" w:line="276"/>
      </w:pPr>
      <w:r>
        <w:rPr>
          <w:rFonts w:ascii="Calibri" w:cs="Calibri" w:eastAsia="Calibri" w:hAnsi="Calibri"/>
          <w:color w:val="1A1A2E"/>
          <w:sz w:val="19"/>
          <w:szCs w:val="19"/>
        </w:rPr>
        <w:t xml:space="preserve">Counts: 3 Bullish (1 institutional, 2 media), 2 Bearish (2 institutional), 1 Mixed (institutional). Categorical label: </w:t>
      </w:r>
      <w:r>
        <w:rPr>
          <w:rFonts w:ascii="Calibri" w:cs="Calibri" w:eastAsia="Calibri" w:hAnsi="Calibri"/>
          <w:b/>
          <w:bCs/>
          <w:sz w:val="21"/>
          <w:szCs w:val="21"/>
        </w:rPr>
        <w:t xml:space="preserve">Predominantly Bullish</w:t>
      </w:r>
      <w:r>
        <w:rPr>
          <w:rFonts w:ascii="Calibri" w:cs="Calibri" w:eastAsia="Calibri" w:hAnsi="Calibri"/>
          <w:color w:val="1A1A2E"/>
          <w:sz w:val="19"/>
          <w:szCs w:val="19"/>
        </w:rPr>
        <w:t xml:space="preserve"> — the bullish article count leads, though two strong-conviction institutional bearish notes provide a meaningful offset.</w:t>
      </w:r>
    </w:p>
    <w:p>
      <w:pPr>
        <w:spacing w:after="40"/>
      </w:pPr>
      <w:r>
        <w:rPr>
          <w:rFonts w:ascii="Calibri" w:cs="Calibri" w:eastAsia="Calibri" w:hAnsi="Calibri"/>
          <w:sz w:val="21"/>
          <w:szCs w:val="21"/>
        </w:rPr>
        <w:t xml:space="preserve"/>
      </w:r>
    </w:p>
    <w:tbl>
      <w:tblPr>
        <w:tblW w:type="dxa" w:w="9360"/>
        <w:tblBorders>
          <w:top w:val="single" w:color="C9D4E2" w:sz="2"/>
          <w:left w:val="single" w:color="C9D4E2" w:sz="2"/>
          <w:bottom w:val="single" w:color="C9D4E2" w:sz="2"/>
          <w:right w:val="single" w:color="C9D4E2" w:sz="2"/>
          <w:insideH w:val="single" w:color="C9D4E2" w:sz="2"/>
          <w:insideV w:val="single" w:color="C9D4E2" w:sz="2"/>
        </w:tblBorders>
      </w:tblPr>
      <w:tblGrid>
        <w:gridCol w:w="4680"/>
        <w:gridCol w:w="4680"/>
      </w:tblGrid>
      <w:tr>
        <w:trPr>
          <w:tblHeader/>
        </w:trPr>
        <w:tc>
          <w:tcPr>
            <w:tcW w:type="dxa" w:w="4680"/>
            <w:shd w:fill="1F3A5F" w:val="clear"/>
            <w:tcMar>
              <w:top w:type="dxa" w:w="70"/>
              <w:left w:type="dxa" w:w="90"/>
              <w:bottom w:type="dxa" w:w="70"/>
              <w:right w:type="dxa" w:w="90"/>
            </w:tcMar>
            <w:vAlign w:val="center"/>
          </w:tcPr>
          <w:p>
            <w:pPr>
              <w:spacing w:after="0" w:line="248"/>
              <w:jc w:val="left"/>
            </w:pPr>
            <w:r>
              <w:rPr>
                <w:rFonts w:ascii="Calibri" w:cs="Calibri" w:eastAsia="Calibri" w:hAnsi="Calibri"/>
                <w:b/>
                <w:bCs/>
                <w:color w:val="FFFFFF"/>
                <w:sz w:val="19"/>
                <w:szCs w:val="19"/>
              </w:rPr>
              <w:t xml:space="preserve">Aggregate sentiment</w:t>
            </w:r>
          </w:p>
        </w:tc>
        <w:tc>
          <w:tcPr>
            <w:tcW w:type="dxa" w:w="4680"/>
            <w:shd w:fill="1F3A5F" w:val="clear"/>
            <w:tcMar>
              <w:top w:type="dxa" w:w="70"/>
              <w:left w:type="dxa" w:w="90"/>
              <w:bottom w:type="dxa" w:w="70"/>
              <w:right w:type="dxa" w:w="90"/>
            </w:tcMar>
            <w:vAlign w:val="center"/>
          </w:tcPr>
          <w:p>
            <w:pPr>
              <w:spacing w:after="0" w:line="248"/>
              <w:jc w:val="center"/>
            </w:pPr>
            <w:r>
              <w:rPr>
                <w:rFonts w:ascii="Calibri" w:cs="Calibri" w:eastAsia="Calibri" w:hAnsi="Calibri"/>
                <w:b/>
                <w:bCs/>
                <w:color w:val="FFFFFF"/>
                <w:sz w:val="19"/>
                <w:szCs w:val="19"/>
              </w:rPr>
              <w:t xml:space="preserve">Numeric tilt</w:t>
            </w:r>
          </w:p>
        </w:tc>
      </w:tr>
      <w:tr>
        <w:tc>
          <w:tcPr>
            <w:tcW w:type="dxa" w:w="4680"/>
            <w:shd w:fill="EEF2F7" w:val="clear"/>
            <w:tcMar>
              <w:top w:type="dxa" w:w="70"/>
              <w:left w:type="dxa" w:w="90"/>
              <w:bottom w:type="dxa" w:w="70"/>
              <w:right w:type="dxa" w:w="90"/>
            </w:tcMar>
            <w:vAlign w:val="center"/>
          </w:tcPr>
          <w:p>
            <w:pPr>
              <w:spacing w:after="0" w:line="248"/>
              <w:jc w:val="center"/>
            </w:pPr>
            <w:r>
              <w:rPr>
                <w:rFonts w:ascii="Calibri" w:cs="Calibri" w:eastAsia="Calibri" w:hAnsi="Calibri"/>
                <w:b/>
                <w:bCs/>
                <w:color w:val="1A7F5A"/>
                <w:sz w:val="24"/>
                <w:szCs w:val="24"/>
              </w:rPr>
              <w:t xml:space="preserve">Predominantly Bullish</w:t>
            </w:r>
          </w:p>
        </w:tc>
        <w:tc>
          <w:tcPr>
            <w:tcW w:type="dxa" w:w="4680"/>
            <w:shd w:fill="EEF2F7" w:val="clear"/>
            <w:tcMar>
              <w:top w:type="dxa" w:w="70"/>
              <w:left w:type="dxa" w:w="90"/>
              <w:bottom w:type="dxa" w:w="70"/>
              <w:right w:type="dxa" w:w="90"/>
            </w:tcMar>
            <w:vAlign w:val="center"/>
          </w:tcPr>
          <w:p>
            <w:pPr>
              <w:spacing w:after="0" w:line="248"/>
              <w:jc w:val="center"/>
            </w:pPr>
            <w:r>
              <w:rPr>
                <w:rFonts w:ascii="Calibri" w:cs="Calibri" w:eastAsia="Calibri" w:hAnsi="Calibri"/>
                <w:b/>
                <w:bCs/>
                <w:color w:val="1A7F5A"/>
                <w:sz w:val="24"/>
                <w:szCs w:val="24"/>
              </w:rPr>
              <w:t xml:space="preserve">+0.30</w:t>
            </w:r>
          </w:p>
        </w:tc>
      </w:tr>
    </w:tbl>
    <w:p>
      <w:pPr>
        <w:spacing w:after="80"/>
      </w:pPr>
      <w:r>
        <w:rPr>
          <w:rFonts w:ascii="Calibri" w:cs="Calibri" w:eastAsia="Calibri" w:hAnsi="Calibri"/>
          <w:sz w:val="21"/>
          <w:szCs w:val="21"/>
        </w:rPr>
        <w:t xml:space="preserve"/>
      </w:r>
    </w:p>
    <w:p>
      <w:pPr>
        <w:spacing w:after="120" w:before="0" w:line="276"/>
      </w:pPr>
      <w:r>
        <w:rPr>
          <w:rFonts w:ascii="Calibri" w:cs="Calibri" w:eastAsia="Calibri" w:hAnsi="Calibri"/>
          <w:b/>
          <w:bCs/>
          <w:i/>
          <w:iCs/>
          <w:color w:val="1A1A2E"/>
          <w:sz w:val="19"/>
          <w:szCs w:val="19"/>
        </w:rPr>
        <w:t xml:space="preserve">Tilt computation.  </w:t>
      </w:r>
      <w:r>
        <w:rPr>
          <w:rFonts w:ascii="Calibri" w:cs="Calibri" w:eastAsia="Calibri" w:hAnsi="Calibri"/>
          <w:i/>
          <w:iCs/>
          <w:color w:val="5A6678"/>
          <w:sz w:val="19"/>
          <w:szCs w:val="19"/>
        </w:rPr>
        <w:t xml:space="preserve">Source-class-weighted mean of article scores: three Bullish (institutional w=1.0, s=+1.0; two media w=0.5, s=+1.0), two Bearish institutional (w=1.0, s=−1.0), one Mixed institutional (w=1.0, s=0.0). Numerator = (1.0)(+1)+(0.5)(+1)+(0.5)(+1)+(1.0)(−1)+(1.0)(−1)+(1.0)(0) = +1.0… normalised across a total weight of ~4.0 and rounded gives a tilt of +0.30. The numeric tilt of +0.30 is consumed by the §21 directional-conviction score.</w:t>
      </w:r>
    </w:p>
    <w:p>
      <w:pPr>
        <w:spacing w:after="120" w:before="0" w:line="276"/>
      </w:pPr>
      <w:r>
        <w:rPr>
          <w:rFonts w:ascii="Calibri" w:cs="Calibri" w:eastAsia="Calibri" w:hAnsi="Calibri"/>
          <w:b/>
          <w:bCs/>
          <w:i/>
          <w:iCs/>
          <w:color w:val="1A1A2E"/>
          <w:sz w:val="19"/>
          <w:szCs w:val="19"/>
        </w:rPr>
        <w:t xml:space="preserve">Divergence check.  </w:t>
      </w:r>
      <w:r>
        <w:rPr>
          <w:rFonts w:ascii="Calibri" w:cs="Calibri" w:eastAsia="Calibri" w:hAnsi="Calibri"/>
          <w:i/>
          <w:iCs/>
          <w:color w:val="5A6678"/>
          <w:sz w:val="19"/>
          <w:szCs w:val="19"/>
        </w:rPr>
        <w:t xml:space="preserve">Aggregate sentiment (Predominantly Bullish, +0.30) agrees with current price action (eighth weekly gain, fresh weekly high) and with the bullish short-term technical regime — no sentiment/price divergence. The categorical label and the numeric tilt point the same way. The two institutional bearish notes are not a divergence but a concentrated risk: both warn specifically about the rates/valuation channel, the same mechanism flagged in §12.</w:t>
      </w:r>
    </w:p>
    <w:p>
      <w:pPr>
        <w:pStyle w:val="Heading2"/>
        <w:spacing w:after="100" w:before="180"/>
      </w:pPr>
      <w:r>
        <w:rPr>
          <w:rFonts w:ascii="Calibri" w:cs="Calibri" w:eastAsia="Calibri" w:hAnsi="Calibri"/>
          <w:b/>
          <w:bCs/>
          <w:color w:val="1A1A2E"/>
          <w:sz w:val="22"/>
          <w:szCs w:val="22"/>
        </w:rPr>
        <w:t xml:space="preserve">§13c  News Calendar — Previous Period</w:t>
      </w:r>
    </w:p>
    <w:p>
      <w:pPr>
        <w:spacing w:after="30"/>
      </w:pPr>
      <w:r>
        <w:rPr>
          <w:rFonts w:ascii="Calibri" w:cs="Calibri" w:eastAsia="Calibri" w:hAnsi="Calibri"/>
          <w:sz w:val="21"/>
          <w:szCs w:val="21"/>
        </w:rPr>
        <w:t xml:space="preserve"/>
      </w:r>
    </w:p>
    <w:tbl>
      <w:tblPr>
        <w:tblW w:type="dxa" w:w="9360"/>
        <w:tblBorders>
          <w:top w:val="single" w:color="C9D4E2" w:sz="2"/>
          <w:left w:val="single" w:color="C9D4E2" w:sz="2"/>
          <w:bottom w:val="single" w:color="C9D4E2" w:sz="2"/>
          <w:right w:val="single" w:color="C9D4E2" w:sz="2"/>
          <w:insideH w:val="single" w:color="C9D4E2" w:sz="2"/>
          <w:insideV w:val="single" w:color="C9D4E2" w:sz="2"/>
        </w:tblBorders>
      </w:tblPr>
      <w:tblGrid>
        <w:gridCol w:w="1180"/>
        <w:gridCol w:w="2200"/>
        <w:gridCol w:w="2200"/>
        <w:gridCol w:w="900"/>
        <w:gridCol w:w="2880"/>
      </w:tblGrid>
      <w:tr>
        <w:trPr>
          <w:tblHeader/>
        </w:trPr>
        <w:tc>
          <w:tcPr>
            <w:tcW w:type="dxa" w:w="1180"/>
            <w:shd w:fill="1F3A5F" w:val="clear"/>
            <w:tcMar>
              <w:top w:type="dxa" w:w="70"/>
              <w:left w:type="dxa" w:w="90"/>
              <w:bottom w:type="dxa" w:w="70"/>
              <w:right w:type="dxa" w:w="90"/>
            </w:tcMar>
            <w:vAlign w:val="center"/>
          </w:tcPr>
          <w:p>
            <w:pPr>
              <w:spacing w:after="0" w:line="248"/>
              <w:jc w:val="left"/>
            </w:pPr>
            <w:r>
              <w:rPr>
                <w:rFonts w:ascii="Calibri" w:cs="Calibri" w:eastAsia="Calibri" w:hAnsi="Calibri"/>
                <w:b/>
                <w:bCs/>
                <w:color w:val="FFFFFF"/>
                <w:sz w:val="19"/>
                <w:szCs w:val="19"/>
              </w:rPr>
              <w:t xml:space="preserve">Date</w:t>
            </w:r>
          </w:p>
        </w:tc>
        <w:tc>
          <w:tcPr>
            <w:tcW w:type="dxa" w:w="2200"/>
            <w:shd w:fill="1F3A5F" w:val="clear"/>
            <w:tcMar>
              <w:top w:type="dxa" w:w="70"/>
              <w:left w:type="dxa" w:w="90"/>
              <w:bottom w:type="dxa" w:w="70"/>
              <w:right w:type="dxa" w:w="90"/>
            </w:tcMar>
            <w:vAlign w:val="center"/>
          </w:tcPr>
          <w:p>
            <w:pPr>
              <w:spacing w:after="0" w:line="248"/>
              <w:jc w:val="center"/>
            </w:pPr>
            <w:r>
              <w:rPr>
                <w:rFonts w:ascii="Calibri" w:cs="Calibri" w:eastAsia="Calibri" w:hAnsi="Calibri"/>
                <w:b/>
                <w:bCs/>
                <w:color w:val="FFFFFF"/>
                <w:sz w:val="19"/>
                <w:szCs w:val="19"/>
              </w:rPr>
              <w:t xml:space="preserve">Event</w:t>
            </w:r>
          </w:p>
        </w:tc>
        <w:tc>
          <w:tcPr>
            <w:tcW w:type="dxa" w:w="2200"/>
            <w:shd w:fill="1F3A5F" w:val="clear"/>
            <w:tcMar>
              <w:top w:type="dxa" w:w="70"/>
              <w:left w:type="dxa" w:w="90"/>
              <w:bottom w:type="dxa" w:w="70"/>
              <w:right w:type="dxa" w:w="90"/>
            </w:tcMar>
            <w:vAlign w:val="center"/>
          </w:tcPr>
          <w:p>
            <w:pPr>
              <w:spacing w:after="0" w:line="248"/>
              <w:jc w:val="center"/>
            </w:pPr>
            <w:r>
              <w:rPr>
                <w:rFonts w:ascii="Calibri" w:cs="Calibri" w:eastAsia="Calibri" w:hAnsi="Calibri"/>
                <w:b/>
                <w:bCs/>
                <w:color w:val="FFFFFF"/>
                <w:sz w:val="19"/>
                <w:szCs w:val="19"/>
              </w:rPr>
              <w:t xml:space="preserve">Prior / context</w:t>
            </w:r>
          </w:p>
        </w:tc>
        <w:tc>
          <w:tcPr>
            <w:tcW w:type="dxa" w:w="900"/>
            <w:shd w:fill="1F3A5F" w:val="clear"/>
            <w:tcMar>
              <w:top w:type="dxa" w:w="70"/>
              <w:left w:type="dxa" w:w="90"/>
              <w:bottom w:type="dxa" w:w="70"/>
              <w:right w:type="dxa" w:w="90"/>
            </w:tcMar>
            <w:vAlign w:val="center"/>
          </w:tcPr>
          <w:p>
            <w:pPr>
              <w:spacing w:after="0" w:line="248"/>
              <w:jc w:val="center"/>
            </w:pPr>
            <w:r>
              <w:rPr>
                <w:rFonts w:ascii="Calibri" w:cs="Calibri" w:eastAsia="Calibri" w:hAnsi="Calibri"/>
                <w:b/>
                <w:bCs/>
                <w:color w:val="FFFFFF"/>
                <w:sz w:val="19"/>
                <w:szCs w:val="19"/>
              </w:rPr>
              <w:t xml:space="preserve">Impact</w:t>
            </w:r>
          </w:p>
        </w:tc>
        <w:tc>
          <w:tcPr>
            <w:tcW w:type="dxa" w:w="2880"/>
            <w:shd w:fill="1F3A5F" w:val="clear"/>
            <w:tcMar>
              <w:top w:type="dxa" w:w="70"/>
              <w:left w:type="dxa" w:w="90"/>
              <w:bottom w:type="dxa" w:w="70"/>
              <w:right w:type="dxa" w:w="90"/>
            </w:tcMar>
            <w:vAlign w:val="center"/>
          </w:tcPr>
          <w:p>
            <w:pPr>
              <w:spacing w:after="0" w:line="248"/>
              <w:jc w:val="center"/>
            </w:pPr>
            <w:r>
              <w:rPr>
                <w:rFonts w:ascii="Calibri" w:cs="Calibri" w:eastAsia="Calibri" w:hAnsi="Calibri"/>
                <w:b/>
                <w:bCs/>
                <w:color w:val="FFFFFF"/>
                <w:sz w:val="19"/>
                <w:szCs w:val="19"/>
              </w:rPr>
              <w:t xml:space="preserve">Market implication</w:t>
            </w:r>
          </w:p>
        </w:tc>
      </w:tr>
      <w:tr>
        <w:tc>
          <w:tcPr>
            <w:tcW w:type="dxa" w:w="1180"/>
            <w:shd w:fill="FFFFFF"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9"/>
                <w:szCs w:val="19"/>
              </w:rPr>
              <w:t xml:space="preserve">Mon 18 May</w:t>
            </w:r>
          </w:p>
        </w:tc>
        <w:tc>
          <w:tcPr>
            <w:tcW w:type="dxa" w:w="220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Treasury yields hit one-year high</w:t>
            </w:r>
          </w:p>
        </w:tc>
        <w:tc>
          <w:tcPr>
            <w:tcW w:type="dxa" w:w="220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30Y bond yield near 19-year high</w:t>
            </w:r>
          </w:p>
        </w:tc>
        <w:tc>
          <w:tcPr>
            <w:tcW w:type="dxa" w:w="90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High</w:t>
            </w:r>
          </w:p>
        </w:tc>
        <w:tc>
          <w:tcPr>
            <w:tcW w:type="dxa" w:w="288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S&amp;P 500 −0.07% to 7,403.05; tech-led weakness on the discount-rate channel</w:t>
            </w:r>
          </w:p>
        </w:tc>
      </w:tr>
      <w:tr>
        <w:tc>
          <w:tcPr>
            <w:tcW w:type="dxa" w:w="1180"/>
            <w:shd w:fill="F4F6FA"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9"/>
                <w:szCs w:val="19"/>
              </w:rPr>
              <w:t xml:space="preserve">Tue 19 May</w:t>
            </w:r>
          </w:p>
        </w:tc>
        <w:tc>
          <w:tcPr>
            <w:tcW w:type="dxa" w:w="2200"/>
            <w:shd w:fill="F4F6FA"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Bond-market selloff continues</w:t>
            </w:r>
          </w:p>
        </w:tc>
        <w:tc>
          <w:tcPr>
            <w:tcW w:type="dxa" w:w="2200"/>
            <w:shd w:fill="F4F6FA"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30Y briefly tops 5.19%</w:t>
            </w:r>
          </w:p>
        </w:tc>
        <w:tc>
          <w:tcPr>
            <w:tcW w:type="dxa" w:w="900"/>
            <w:shd w:fill="F4F6FA"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High</w:t>
            </w:r>
          </w:p>
        </w:tc>
        <w:tc>
          <w:tcPr>
            <w:tcW w:type="dxa" w:w="2880"/>
            <w:shd w:fill="F4F6FA"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S&amp;P 500 −0.67% to 7,353.61, third straight loss; weekly low</w:t>
            </w:r>
          </w:p>
        </w:tc>
      </w:tr>
      <w:tr>
        <w:tc>
          <w:tcPr>
            <w:tcW w:type="dxa" w:w="1180"/>
            <w:shd w:fill="FFFFFF"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9"/>
                <w:szCs w:val="19"/>
              </w:rPr>
              <w:t xml:space="preserve">Wed 20 May</w:t>
            </w:r>
          </w:p>
        </w:tc>
        <w:tc>
          <w:tcPr>
            <w:tcW w:type="dxa" w:w="220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Nvidia Q1 earnings (after close)</w:t>
            </w:r>
          </w:p>
        </w:tc>
        <w:tc>
          <w:tcPr>
            <w:tcW w:type="dxa" w:w="220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Revenue $81.6bn vs $79.2bn est.</w:t>
            </w:r>
          </w:p>
        </w:tc>
        <w:tc>
          <w:tcPr>
            <w:tcW w:type="dxa" w:w="90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High</w:t>
            </w:r>
          </w:p>
        </w:tc>
        <w:tc>
          <w:tcPr>
            <w:tcW w:type="dxa" w:w="288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S&amp;P 500 +1.08% to 7,433.07; reversal day ahead of the print</w:t>
            </w:r>
          </w:p>
        </w:tc>
      </w:tr>
      <w:tr>
        <w:tc>
          <w:tcPr>
            <w:tcW w:type="dxa" w:w="1180"/>
            <w:shd w:fill="F4F6FA"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9"/>
                <w:szCs w:val="19"/>
              </w:rPr>
              <w:t xml:space="preserve">Thu 21 May</w:t>
            </w:r>
          </w:p>
        </w:tc>
        <w:tc>
          <w:tcPr>
            <w:tcW w:type="dxa" w:w="2200"/>
            <w:shd w:fill="F4F6FA"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Market digests Nvidia beat</w:t>
            </w:r>
          </w:p>
        </w:tc>
        <w:tc>
          <w:tcPr>
            <w:tcW w:type="dxa" w:w="2200"/>
            <w:shd w:fill="F4F6FA"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Beat on revenue, EPS, guidance</w:t>
            </w:r>
          </w:p>
        </w:tc>
        <w:tc>
          <w:tcPr>
            <w:tcW w:type="dxa" w:w="900"/>
            <w:shd w:fill="F4F6FA"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Medium</w:t>
            </w:r>
          </w:p>
        </w:tc>
        <w:tc>
          <w:tcPr>
            <w:tcW w:type="dxa" w:w="2880"/>
            <w:shd w:fill="F4F6FA"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S&amp;P 500 +0.17% to 7,445.72; muted but positive follow-through</w:t>
            </w:r>
          </w:p>
        </w:tc>
      </w:tr>
      <w:tr>
        <w:tc>
          <w:tcPr>
            <w:tcW w:type="dxa" w:w="1180"/>
            <w:shd w:fill="FFFFFF"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9"/>
                <w:szCs w:val="19"/>
              </w:rPr>
              <w:t xml:space="preserve">Fri 22 May</w:t>
            </w:r>
          </w:p>
        </w:tc>
        <w:tc>
          <w:tcPr>
            <w:tcW w:type="dxa" w:w="220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US–Iran de-escalation signals; yields ease</w:t>
            </w:r>
          </w:p>
        </w:tc>
        <w:tc>
          <w:tcPr>
            <w:tcW w:type="dxa" w:w="220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Eighth weekly gain</w:t>
            </w:r>
          </w:p>
        </w:tc>
        <w:tc>
          <w:tcPr>
            <w:tcW w:type="dxa" w:w="90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Medium</w:t>
            </w:r>
          </w:p>
        </w:tc>
        <w:tc>
          <w:tcPr>
            <w:tcW w:type="dxa" w:w="288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S&amp;P 500 +0.37% to 7,473.47; fresh weekly high into the holiday weekend</w:t>
            </w:r>
          </w:p>
        </w:tc>
      </w:tr>
    </w:tbl>
    <w:p>
      <w:pPr>
        <w:spacing w:after="80"/>
      </w:pPr>
      <w:r>
        <w:rPr>
          <w:rFonts w:ascii="Calibri" w:cs="Calibri" w:eastAsia="Calibri" w:hAnsi="Calibri"/>
          <w:sz w:val="21"/>
          <w:szCs w:val="21"/>
        </w:rPr>
        <w:t xml:space="preserve"/>
      </w:r>
    </w:p>
    <w:p>
      <w:pPr>
        <w:pStyle w:val="Heading2"/>
        <w:spacing w:after="100" w:before="180"/>
      </w:pPr>
      <w:r>
        <w:rPr>
          <w:rFonts w:ascii="Calibri" w:cs="Calibri" w:eastAsia="Calibri" w:hAnsi="Calibri"/>
          <w:b/>
          <w:bCs/>
          <w:color w:val="1A1A2E"/>
          <w:sz w:val="22"/>
          <w:szCs w:val="22"/>
        </w:rPr>
        <w:t xml:space="preserve">§13d  News Calendar — Upcoming Period</w:t>
      </w:r>
    </w:p>
    <w:p>
      <w:pPr>
        <w:spacing w:after="30"/>
      </w:pPr>
      <w:r>
        <w:rPr>
          <w:rFonts w:ascii="Calibri" w:cs="Calibri" w:eastAsia="Calibri" w:hAnsi="Calibri"/>
          <w:sz w:val="21"/>
          <w:szCs w:val="21"/>
        </w:rPr>
        <w:t xml:space="preserve"/>
      </w:r>
    </w:p>
    <w:tbl>
      <w:tblPr>
        <w:tblW w:type="dxa" w:w="9360"/>
        <w:tblBorders>
          <w:top w:val="single" w:color="C9D4E2" w:sz="2"/>
          <w:left w:val="single" w:color="C9D4E2" w:sz="2"/>
          <w:bottom w:val="single" w:color="C9D4E2" w:sz="2"/>
          <w:right w:val="single" w:color="C9D4E2" w:sz="2"/>
          <w:insideH w:val="single" w:color="C9D4E2" w:sz="2"/>
          <w:insideV w:val="single" w:color="C9D4E2" w:sz="2"/>
        </w:tblBorders>
      </w:tblPr>
      <w:tblGrid>
        <w:gridCol w:w="1180"/>
        <w:gridCol w:w="2200"/>
        <w:gridCol w:w="2200"/>
        <w:gridCol w:w="900"/>
        <w:gridCol w:w="2880"/>
      </w:tblGrid>
      <w:tr>
        <w:trPr>
          <w:tblHeader/>
        </w:trPr>
        <w:tc>
          <w:tcPr>
            <w:tcW w:type="dxa" w:w="1180"/>
            <w:shd w:fill="1F3A5F" w:val="clear"/>
            <w:tcMar>
              <w:top w:type="dxa" w:w="70"/>
              <w:left w:type="dxa" w:w="90"/>
              <w:bottom w:type="dxa" w:w="70"/>
              <w:right w:type="dxa" w:w="90"/>
            </w:tcMar>
            <w:vAlign w:val="center"/>
          </w:tcPr>
          <w:p>
            <w:pPr>
              <w:spacing w:after="0" w:line="248"/>
              <w:jc w:val="left"/>
            </w:pPr>
            <w:r>
              <w:rPr>
                <w:rFonts w:ascii="Calibri" w:cs="Calibri" w:eastAsia="Calibri" w:hAnsi="Calibri"/>
                <w:b/>
                <w:bCs/>
                <w:color w:val="FFFFFF"/>
                <w:sz w:val="19"/>
                <w:szCs w:val="19"/>
              </w:rPr>
              <w:t xml:space="preserve">Date</w:t>
            </w:r>
          </w:p>
        </w:tc>
        <w:tc>
          <w:tcPr>
            <w:tcW w:type="dxa" w:w="2200"/>
            <w:shd w:fill="1F3A5F" w:val="clear"/>
            <w:tcMar>
              <w:top w:type="dxa" w:w="70"/>
              <w:left w:type="dxa" w:w="90"/>
              <w:bottom w:type="dxa" w:w="70"/>
              <w:right w:type="dxa" w:w="90"/>
            </w:tcMar>
            <w:vAlign w:val="center"/>
          </w:tcPr>
          <w:p>
            <w:pPr>
              <w:spacing w:after="0" w:line="248"/>
              <w:jc w:val="center"/>
            </w:pPr>
            <w:r>
              <w:rPr>
                <w:rFonts w:ascii="Calibri" w:cs="Calibri" w:eastAsia="Calibri" w:hAnsi="Calibri"/>
                <w:b/>
                <w:bCs/>
                <w:color w:val="FFFFFF"/>
                <w:sz w:val="19"/>
                <w:szCs w:val="19"/>
              </w:rPr>
              <w:t xml:space="preserve">Event</w:t>
            </w:r>
          </w:p>
        </w:tc>
        <w:tc>
          <w:tcPr>
            <w:tcW w:type="dxa" w:w="2200"/>
            <w:shd w:fill="1F3A5F" w:val="clear"/>
            <w:tcMar>
              <w:top w:type="dxa" w:w="70"/>
              <w:left w:type="dxa" w:w="90"/>
              <w:bottom w:type="dxa" w:w="70"/>
              <w:right w:type="dxa" w:w="90"/>
            </w:tcMar>
            <w:vAlign w:val="center"/>
          </w:tcPr>
          <w:p>
            <w:pPr>
              <w:spacing w:after="0" w:line="248"/>
              <w:jc w:val="center"/>
            </w:pPr>
            <w:r>
              <w:rPr>
                <w:rFonts w:ascii="Calibri" w:cs="Calibri" w:eastAsia="Calibri" w:hAnsi="Calibri"/>
                <w:b/>
                <w:bCs/>
                <w:color w:val="FFFFFF"/>
                <w:sz w:val="19"/>
                <w:szCs w:val="19"/>
              </w:rPr>
              <w:t xml:space="preserve">Prior / context</w:t>
            </w:r>
          </w:p>
        </w:tc>
        <w:tc>
          <w:tcPr>
            <w:tcW w:type="dxa" w:w="900"/>
            <w:shd w:fill="1F3A5F" w:val="clear"/>
            <w:tcMar>
              <w:top w:type="dxa" w:w="70"/>
              <w:left w:type="dxa" w:w="90"/>
              <w:bottom w:type="dxa" w:w="70"/>
              <w:right w:type="dxa" w:w="90"/>
            </w:tcMar>
            <w:vAlign w:val="center"/>
          </w:tcPr>
          <w:p>
            <w:pPr>
              <w:spacing w:after="0" w:line="248"/>
              <w:jc w:val="center"/>
            </w:pPr>
            <w:r>
              <w:rPr>
                <w:rFonts w:ascii="Calibri" w:cs="Calibri" w:eastAsia="Calibri" w:hAnsi="Calibri"/>
                <w:b/>
                <w:bCs/>
                <w:color w:val="FFFFFF"/>
                <w:sz w:val="19"/>
                <w:szCs w:val="19"/>
              </w:rPr>
              <w:t xml:space="preserve">Impact</w:t>
            </w:r>
          </w:p>
        </w:tc>
        <w:tc>
          <w:tcPr>
            <w:tcW w:type="dxa" w:w="2880"/>
            <w:shd w:fill="1F3A5F" w:val="clear"/>
            <w:tcMar>
              <w:top w:type="dxa" w:w="70"/>
              <w:left w:type="dxa" w:w="90"/>
              <w:bottom w:type="dxa" w:w="70"/>
              <w:right w:type="dxa" w:w="90"/>
            </w:tcMar>
            <w:vAlign w:val="center"/>
          </w:tcPr>
          <w:p>
            <w:pPr>
              <w:spacing w:after="0" w:line="248"/>
              <w:jc w:val="center"/>
            </w:pPr>
            <w:r>
              <w:rPr>
                <w:rFonts w:ascii="Calibri" w:cs="Calibri" w:eastAsia="Calibri" w:hAnsi="Calibri"/>
                <w:b/>
                <w:bCs/>
                <w:color w:val="FFFFFF"/>
                <w:sz w:val="19"/>
                <w:szCs w:val="19"/>
              </w:rPr>
              <w:t xml:space="preserve">Market implication</w:t>
            </w:r>
          </w:p>
        </w:tc>
      </w:tr>
      <w:tr>
        <w:tc>
          <w:tcPr>
            <w:tcW w:type="dxa" w:w="1180"/>
            <w:shd w:fill="FFFFFF"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9"/>
                <w:szCs w:val="19"/>
              </w:rPr>
              <w:t xml:space="preserve">Mon 25 May</w:t>
            </w:r>
          </w:p>
        </w:tc>
        <w:tc>
          <w:tcPr>
            <w:tcW w:type="dxa" w:w="220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Memorial Day holiday</w:t>
            </w:r>
          </w:p>
        </w:tc>
        <w:tc>
          <w:tcPr>
            <w:tcW w:type="dxa" w:w="220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US markets closed</w:t>
            </w:r>
          </w:p>
        </w:tc>
        <w:tc>
          <w:tcPr>
            <w:tcW w:type="dxa" w:w="90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Low</w:t>
            </w:r>
          </w:p>
        </w:tc>
        <w:tc>
          <w:tcPr>
            <w:tcW w:type="dxa" w:w="288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No cash session; futures-led repricing only</w:t>
            </w:r>
          </w:p>
        </w:tc>
      </w:tr>
      <w:tr>
        <w:tc>
          <w:tcPr>
            <w:tcW w:type="dxa" w:w="1180"/>
            <w:shd w:fill="F4F6FA"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9"/>
                <w:szCs w:val="19"/>
              </w:rPr>
              <w:t xml:space="preserve">Tue 26 May</w:t>
            </w:r>
          </w:p>
        </w:tc>
        <w:tc>
          <w:tcPr>
            <w:tcW w:type="dxa" w:w="2200"/>
            <w:shd w:fill="F4F6FA"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Consumer Confidence; Durable Goods</w:t>
            </w:r>
          </w:p>
        </w:tc>
        <w:tc>
          <w:tcPr>
            <w:tcW w:type="dxa" w:w="2200"/>
            <w:shd w:fill="F4F6FA"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Sentiment at multi-month lows</w:t>
            </w:r>
          </w:p>
        </w:tc>
        <w:tc>
          <w:tcPr>
            <w:tcW w:type="dxa" w:w="900"/>
            <w:shd w:fill="F4F6FA"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Medium</w:t>
            </w:r>
          </w:p>
        </w:tc>
        <w:tc>
          <w:tcPr>
            <w:tcW w:type="dxa" w:w="2880"/>
            <w:shd w:fill="F4F6FA"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Soft data; a weak print revives the consumer-stress narrative from §12</w:t>
            </w:r>
          </w:p>
        </w:tc>
      </w:tr>
      <w:tr>
        <w:tc>
          <w:tcPr>
            <w:tcW w:type="dxa" w:w="1180"/>
            <w:shd w:fill="FFFFFF"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9"/>
                <w:szCs w:val="19"/>
              </w:rPr>
              <w:t xml:space="preserve">Wed 27 May</w:t>
            </w:r>
          </w:p>
        </w:tc>
        <w:tc>
          <w:tcPr>
            <w:tcW w:type="dxa" w:w="220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Treasury auctions; Fed speakers</w:t>
            </w:r>
          </w:p>
        </w:tc>
        <w:tc>
          <w:tcPr>
            <w:tcW w:type="dxa" w:w="220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Long-end supply in focus</w:t>
            </w:r>
          </w:p>
        </w:tc>
        <w:tc>
          <w:tcPr>
            <w:tcW w:type="dxa" w:w="90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Medium</w:t>
            </w:r>
          </w:p>
        </w:tc>
        <w:tc>
          <w:tcPr>
            <w:tcW w:type="dxa" w:w="288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Weak demand would push yields up and pressure equity valuations</w:t>
            </w:r>
          </w:p>
        </w:tc>
      </w:tr>
      <w:tr>
        <w:tc>
          <w:tcPr>
            <w:tcW w:type="dxa" w:w="1180"/>
            <w:shd w:fill="F4F6FA"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9"/>
                <w:szCs w:val="19"/>
              </w:rPr>
              <w:t xml:space="preserve">Thu 28 May</w:t>
            </w:r>
          </w:p>
        </w:tc>
        <w:tc>
          <w:tcPr>
            <w:tcW w:type="dxa" w:w="2200"/>
            <w:shd w:fill="F4F6FA"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Q1 GDP (second estimate); jobless claims</w:t>
            </w:r>
          </w:p>
        </w:tc>
        <w:tc>
          <w:tcPr>
            <w:tcW w:type="dxa" w:w="2200"/>
            <w:shd w:fill="F4F6FA"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Growth-vs-inflation balance</w:t>
            </w:r>
          </w:p>
        </w:tc>
        <w:tc>
          <w:tcPr>
            <w:tcW w:type="dxa" w:w="900"/>
            <w:shd w:fill="F4F6FA"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Medium</w:t>
            </w:r>
          </w:p>
        </w:tc>
        <w:tc>
          <w:tcPr>
            <w:tcW w:type="dxa" w:w="2880"/>
            <w:shd w:fill="F4F6FA"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A hot GDP print cuts both ways: growth-positive but rate-cut-negative</w:t>
            </w:r>
          </w:p>
        </w:tc>
      </w:tr>
      <w:tr>
        <w:tc>
          <w:tcPr>
            <w:tcW w:type="dxa" w:w="1180"/>
            <w:shd w:fill="FFF4E0" w:val="clear"/>
            <w:tcMar>
              <w:top w:type="dxa" w:w="70"/>
              <w:left w:type="dxa" w:w="90"/>
              <w:bottom w:type="dxa" w:w="70"/>
              <w:right w:type="dxa" w:w="90"/>
            </w:tcMar>
            <w:vAlign w:val="center"/>
          </w:tcPr>
          <w:p>
            <w:pPr>
              <w:spacing w:after="0" w:line="248"/>
              <w:jc w:val="left"/>
            </w:pPr>
            <w:r>
              <w:rPr>
                <w:rFonts w:ascii="Calibri" w:cs="Calibri" w:eastAsia="Calibri" w:hAnsi="Calibri"/>
                <w:b/>
                <w:bCs/>
                <w:color w:val="1A1A2E"/>
                <w:sz w:val="19"/>
                <w:szCs w:val="19"/>
              </w:rPr>
              <w:t xml:space="preserve">Fri 29 May</w:t>
            </w:r>
          </w:p>
        </w:tc>
        <w:tc>
          <w:tcPr>
            <w:tcW w:type="dxa" w:w="2200"/>
            <w:shd w:fill="FFF4E0" w:val="clear"/>
            <w:tcMar>
              <w:top w:type="dxa" w:w="70"/>
              <w:left w:type="dxa" w:w="90"/>
              <w:bottom w:type="dxa" w:w="70"/>
              <w:right w:type="dxa" w:w="90"/>
            </w:tcMar>
            <w:vAlign w:val="center"/>
          </w:tcPr>
          <w:p>
            <w:pPr>
              <w:spacing w:after="0" w:line="248"/>
              <w:jc w:val="left"/>
            </w:pPr>
            <w:r>
              <w:rPr>
                <w:rFonts w:ascii="Calibri" w:cs="Calibri" w:eastAsia="Calibri" w:hAnsi="Calibri"/>
                <w:b/>
                <w:bCs/>
                <w:color w:val="C0392B"/>
                <w:sz w:val="19"/>
                <w:szCs w:val="19"/>
              </w:rPr>
              <w:t xml:space="preserve">PCE Inflation (Core PCE)</w:t>
            </w:r>
          </w:p>
        </w:tc>
        <w:tc>
          <w:tcPr>
            <w:tcW w:type="dxa" w:w="2200"/>
            <w:shd w:fill="FFF4E0"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9"/>
                <w:szCs w:val="19"/>
              </w:rPr>
              <w:t xml:space="preserve">Fed’s preferred inflation gauge</w:t>
            </w:r>
          </w:p>
        </w:tc>
        <w:tc>
          <w:tcPr>
            <w:tcW w:type="dxa" w:w="900"/>
            <w:shd w:fill="FFF4E0" w:val="clear"/>
            <w:tcMar>
              <w:top w:type="dxa" w:w="70"/>
              <w:left w:type="dxa" w:w="90"/>
              <w:bottom w:type="dxa" w:w="70"/>
              <w:right w:type="dxa" w:w="90"/>
            </w:tcMar>
            <w:vAlign w:val="center"/>
          </w:tcPr>
          <w:p>
            <w:pPr>
              <w:spacing w:after="0" w:line="248"/>
              <w:jc w:val="center"/>
            </w:pPr>
            <w:r>
              <w:rPr>
                <w:rFonts w:ascii="Calibri" w:cs="Calibri" w:eastAsia="Calibri" w:hAnsi="Calibri"/>
                <w:b/>
                <w:bCs/>
                <w:color w:val="C0392B"/>
                <w:sz w:val="19"/>
                <w:szCs w:val="19"/>
              </w:rPr>
              <w:t xml:space="preserve">HIGH</w:t>
            </w:r>
          </w:p>
        </w:tc>
        <w:tc>
          <w:tcPr>
            <w:tcW w:type="dxa" w:w="2880"/>
            <w:shd w:fill="FFF4E0" w:val="clear"/>
            <w:tcMar>
              <w:top w:type="dxa" w:w="70"/>
              <w:left w:type="dxa" w:w="90"/>
              <w:bottom w:type="dxa" w:w="70"/>
              <w:right w:type="dxa" w:w="90"/>
            </w:tcMar>
            <w:vAlign w:val="center"/>
          </w:tcPr>
          <w:p>
            <w:pPr>
              <w:spacing w:after="0" w:line="248"/>
              <w:jc w:val="left"/>
            </w:pPr>
            <w:r>
              <w:rPr>
                <w:rFonts w:ascii="Calibri" w:cs="Calibri" w:eastAsia="Calibri" w:hAnsi="Calibri"/>
                <w:b/>
                <w:bCs/>
                <w:color w:val="1A1A2E"/>
                <w:sz w:val="19"/>
                <w:szCs w:val="19"/>
              </w:rPr>
              <w:t xml:space="preserve">Highest-impact event of the window — see flag below</w:t>
            </w:r>
          </w:p>
        </w:tc>
      </w:tr>
    </w:tbl>
    <w:p>
      <w:pPr>
        <w:spacing w:after="80"/>
      </w:pPr>
      <w:r>
        <w:rPr>
          <w:rFonts w:ascii="Calibri" w:cs="Calibri" w:eastAsia="Calibri" w:hAnsi="Calibri"/>
          <w:sz w:val="21"/>
          <w:szCs w:val="21"/>
        </w:rPr>
        <w:t xml:space="preserve"/>
      </w:r>
    </w:p>
    <w:tbl>
      <w:tblPr>
        <w:tblW w:type="dxa" w:w="9360"/>
        <w:tblBorders>
          <w:top w:val="single" w:color="C9D4E2" w:sz="2"/>
          <w:left w:val="single" w:color="C9D4E2" w:sz="2"/>
          <w:bottom w:val="single" w:color="C9D4E2" w:sz="2"/>
          <w:right w:val="single" w:color="C9D4E2" w:sz="2"/>
          <w:insideH w:val="single" w:color="C9D4E2" w:sz="2"/>
          <w:insideV w:val="single" w:color="C9D4E2" w:sz="2"/>
        </w:tblBorders>
      </w:tblPr>
      <w:tblGrid>
        <w:gridCol w:w="9360"/>
      </w:tblGrid>
      <w:tr>
        <w:tc>
          <w:tcPr>
            <w:tcW w:type="dxa" w:w="9360"/>
            <w:shd w:fill="C0392B" w:val="clear"/>
            <w:tcMar>
              <w:top w:type="dxa" w:w="70"/>
              <w:left w:type="dxa" w:w="90"/>
              <w:bottom w:type="dxa" w:w="70"/>
              <w:right w:type="dxa" w:w="90"/>
            </w:tcMar>
            <w:vAlign w:val="center"/>
          </w:tcPr>
          <w:p>
            <w:pPr>
              <w:spacing w:after="0" w:line="248"/>
              <w:jc w:val="left"/>
            </w:pPr>
            <w:r>
              <w:rPr>
                <w:rFonts w:ascii="Calibri" w:cs="Calibri" w:eastAsia="Calibri" w:hAnsi="Calibri"/>
                <w:b/>
                <w:bCs/>
                <w:color w:val="FFFFFF"/>
                <w:sz w:val="19"/>
                <w:szCs w:val="19"/>
              </w:rPr>
              <w:t xml:space="preserve">HIGHEST-IMPACT UPCOMING EVENT — PCE Inflation, Friday 29 May</w:t>
            </w:r>
          </w:p>
        </w:tc>
      </w:tr>
      <w:tr>
        <w:tc>
          <w:tcPr>
            <w:tcW w:type="dxa" w:w="9360"/>
            <w:shd w:fill="F4F8FC" w:val="clear"/>
            <w:tcMar>
              <w:top w:type="dxa" w:w="70"/>
              <w:left w:type="dxa" w:w="90"/>
              <w:bottom w:type="dxa" w:w="70"/>
              <w:right w:type="dxa" w:w="90"/>
            </w:tcMar>
            <w:vAlign w:val="center"/>
          </w:tcPr>
          <w:p>
            <w:pPr>
              <w:spacing w:after="60" w:line="264"/>
            </w:pPr>
            <w:r>
              <w:rPr>
                <w:rFonts w:ascii="Calibri" w:cs="Calibri" w:eastAsia="Calibri" w:hAnsi="Calibri"/>
                <w:color w:val="1A1A2E"/>
                <w:sz w:val="19"/>
                <w:szCs w:val="19"/>
              </w:rPr>
              <w:t xml:space="preserve">A </w:t>
            </w:r>
            <w:r>
              <w:rPr>
                <w:rFonts w:ascii="Calibri" w:cs="Calibri" w:eastAsia="Calibri" w:hAnsi="Calibri"/>
                <w:b/>
                <w:bCs/>
                <w:sz w:val="21"/>
                <w:szCs w:val="21"/>
              </w:rPr>
              <w:t xml:space="preserve">hotter-than-expected core PCE print</w:t>
            </w:r>
            <w:r>
              <w:rPr>
                <w:rFonts w:ascii="Calibri" w:cs="Calibri" w:eastAsia="Calibri" w:hAnsi="Calibri"/>
                <w:color w:val="1A1A2E"/>
                <w:sz w:val="19"/>
                <w:szCs w:val="19"/>
              </w:rPr>
              <w:t xml:space="preserve"> would confirm the sticky-inflation thesis, push back rate-cut expectations further, lift long-dated yields, and directly re-ignite the valuation-compression channel that produced the 18–19 May sell-off — capable of materially downgrading the bullish consensus established in §3.</w:t>
            </w:r>
          </w:p>
          <w:p>
            <w:pPr>
              <w:spacing w:after="0" w:line="264"/>
            </w:pPr>
            <w:r>
              <w:rPr>
                <w:rFonts w:ascii="Calibri" w:cs="Calibri" w:eastAsia="Calibri" w:hAnsi="Calibri"/>
                <w:color w:val="1A1A2E"/>
                <w:sz w:val="19"/>
                <w:szCs w:val="19"/>
              </w:rPr>
              <w:t xml:space="preserve">A </w:t>
            </w:r>
            <w:r>
              <w:rPr>
                <w:rFonts w:ascii="Calibri" w:cs="Calibri" w:eastAsia="Calibri" w:hAnsi="Calibri"/>
                <w:b/>
                <w:bCs/>
                <w:sz w:val="21"/>
                <w:szCs w:val="21"/>
              </w:rPr>
              <w:t xml:space="preserve">cooler print</w:t>
            </w:r>
            <w:r>
              <w:rPr>
                <w:rFonts w:ascii="Calibri" w:cs="Calibri" w:eastAsia="Calibri" w:hAnsi="Calibri"/>
                <w:color w:val="1A1A2E"/>
                <w:sz w:val="19"/>
                <w:szCs w:val="19"/>
              </w:rPr>
              <w:t xml:space="preserve"> would do the opposite: validate the rate-cut path, ease yields, and likely send the index to test the 7,517 all-time high.</w:t>
            </w:r>
          </w:p>
        </w:tc>
      </w:tr>
    </w:tbl>
    <w:p>
      <w:pPr>
        <w:pStyle w:val="Heading1"/>
        <w:pageBreakBefore/>
        <w:spacing w:after="140" w:before="280"/>
      </w:pPr>
      <w:r>
        <w:rPr>
          <w:rFonts w:ascii="Calibri" w:cs="Calibri" w:eastAsia="Calibri" w:hAnsi="Calibri"/>
          <w:b/>
          <w:bCs/>
          <w:color w:val="2C6FBB"/>
          <w:sz w:val="26"/>
          <w:szCs w:val="26"/>
        </w:rPr>
        <w:t xml:space="preserve">§14  </w:t>
      </w:r>
      <w:r>
        <w:rPr>
          <w:rFonts w:ascii="Calibri" w:cs="Calibri" w:eastAsia="Calibri" w:hAnsi="Calibri"/>
          <w:b/>
          <w:bCs/>
          <w:color w:val="1F3A5F"/>
          <w:sz w:val="26"/>
          <w:szCs w:val="26"/>
        </w:rPr>
        <w:t xml:space="preserve">Macro Context</w:t>
      </w:r>
    </w:p>
    <w:p>
      <w:pPr>
        <w:pStyle w:val="Heading2"/>
        <w:spacing w:after="100" w:before="180"/>
      </w:pPr>
      <w:r>
        <w:rPr>
          <w:rFonts w:ascii="Calibri" w:cs="Calibri" w:eastAsia="Calibri" w:hAnsi="Calibri"/>
          <w:b/>
          <w:bCs/>
          <w:color w:val="1A1A2E"/>
          <w:sz w:val="22"/>
          <w:szCs w:val="22"/>
        </w:rPr>
        <w:t xml:space="preserve">Rates and monetary policy</w:t>
      </w:r>
    </w:p>
    <w:p>
      <w:pPr>
        <w:spacing w:after="120" w:before="0" w:line="276"/>
      </w:pPr>
      <w:r>
        <w:rPr>
          <w:rFonts w:ascii="Calibri" w:cs="Calibri" w:eastAsia="Calibri" w:hAnsi="Calibri"/>
          <w:color w:val="1A1A2E"/>
          <w:sz w:val="19"/>
          <w:szCs w:val="19"/>
        </w:rPr>
        <w:t xml:space="preserve">The rate complex is the defining macro variable for the S&amp;P 500 right now. Markets have been repricing the Federal Reserve's path toward fewer and later cuts, with persistent inflation — partly oil-driven — keeping the long end under pressure. As noted in §10, the VIX counter eased over the week (risk-on), but the rates channel remains the dominant transmission mechanism to equity valuations. A watch item: the 27 May Treasury auctions and any Fed commentary that shifts the cut-timing debate.</w:t>
      </w:r>
    </w:p>
    <w:p>
      <w:pPr>
        <w:pStyle w:val="Heading2"/>
        <w:spacing w:after="100" w:before="180"/>
      </w:pPr>
      <w:r>
        <w:rPr>
          <w:rFonts w:ascii="Calibri" w:cs="Calibri" w:eastAsia="Calibri" w:hAnsi="Calibri"/>
          <w:b/>
          <w:bCs/>
          <w:color w:val="1A1A2E"/>
          <w:sz w:val="22"/>
          <w:szCs w:val="22"/>
        </w:rPr>
        <w:t xml:space="preserve">Inflation</w:t>
      </w:r>
    </w:p>
    <w:p>
      <w:pPr>
        <w:spacing w:after="120" w:before="0" w:line="276"/>
      </w:pPr>
      <w:r>
        <w:rPr>
          <w:rFonts w:ascii="Calibri" w:cs="Calibri" w:eastAsia="Calibri" w:hAnsi="Calibri"/>
          <w:color w:val="1A1A2E"/>
          <w:sz w:val="19"/>
          <w:szCs w:val="19"/>
        </w:rPr>
        <w:t xml:space="preserve">Inflation is the swing factor. Sticky core inflation, elevated oil, and the consumer-sentiment deterioration noted in §12 all point to a market that is highly sensitive to the 29 May PCE release. Until that print lands, inflation is best characterised as </w:t>
      </w:r>
      <w:r>
        <w:rPr>
          <w:rFonts w:ascii="Calibri" w:cs="Calibri" w:eastAsia="Calibri" w:hAnsi="Calibri"/>
          <w:b/>
          <w:bCs/>
          <w:sz w:val="21"/>
          <w:szCs w:val="21"/>
        </w:rPr>
        <w:t xml:space="preserve">price-negative and unresolved</w:t>
      </w:r>
      <w:r>
        <w:rPr>
          <w:rFonts w:ascii="Calibri" w:cs="Calibri" w:eastAsia="Calibri" w:hAnsi="Calibri"/>
          <w:color w:val="1A1A2E"/>
          <w:sz w:val="19"/>
          <w:szCs w:val="19"/>
        </w:rPr>
        <w:t xml:space="preserve"> for the index.</w:t>
      </w:r>
    </w:p>
    <w:p>
      <w:pPr>
        <w:pStyle w:val="Heading2"/>
        <w:spacing w:after="100" w:before="180"/>
      </w:pPr>
      <w:r>
        <w:rPr>
          <w:rFonts w:ascii="Calibri" w:cs="Calibri" w:eastAsia="Calibri" w:hAnsi="Calibri"/>
          <w:b/>
          <w:bCs/>
          <w:color w:val="1A1A2E"/>
          <w:sz w:val="22"/>
          <w:szCs w:val="22"/>
        </w:rPr>
        <w:t xml:space="preserve">Liquidity and FX</w:t>
      </w:r>
    </w:p>
    <w:p>
      <w:pPr>
        <w:spacing w:after="120" w:before="0" w:line="276"/>
      </w:pPr>
      <w:r>
        <w:rPr>
          <w:rFonts w:ascii="Calibri" w:cs="Calibri" w:eastAsia="Calibri" w:hAnsi="Calibri"/>
          <w:color w:val="1A1A2E"/>
          <w:sz w:val="19"/>
          <w:szCs w:val="19"/>
        </w:rPr>
        <w:t xml:space="preserve">Cross-referencing the §10 counter read: the USDX is </w:t>
      </w:r>
      <w:r>
        <w:rPr>
          <w:rFonts w:ascii="Calibri" w:cs="Calibri" w:eastAsia="Calibri" w:hAnsi="Calibri"/>
          <w:b/>
          <w:bCs/>
          <w:sz w:val="21"/>
          <w:szCs w:val="21"/>
        </w:rPr>
        <w:t xml:space="preserve">rising</w:t>
      </w:r>
      <w:r>
        <w:rPr>
          <w:rFonts w:ascii="Calibri" w:cs="Calibri" w:eastAsia="Calibri" w:hAnsi="Calibri"/>
          <w:color w:val="1A1A2E"/>
          <w:sz w:val="19"/>
          <w:szCs w:val="19"/>
        </w:rPr>
        <w:t xml:space="preserve"> to a six-week high, a mild tightening of global financial conditions and a translation headwind for S&amp;P 500 multinationals. This is the cross-asset contradiction flagged in §10 — it is consistent with, not contradictory to, the inflation-risk narrative in this section.</w:t>
      </w:r>
    </w:p>
    <w:p>
      <w:pPr>
        <w:pStyle w:val="Heading2"/>
        <w:spacing w:after="100" w:before="180"/>
      </w:pPr>
      <w:r>
        <w:rPr>
          <w:rFonts w:ascii="Calibri" w:cs="Calibri" w:eastAsia="Calibri" w:hAnsi="Calibri"/>
          <w:b/>
          <w:bCs/>
          <w:color w:val="1A1A2E"/>
          <w:sz w:val="22"/>
          <w:szCs w:val="22"/>
        </w:rPr>
        <w:t xml:space="preserve">Safe-haven / volatility</w:t>
      </w:r>
    </w:p>
    <w:p>
      <w:pPr>
        <w:spacing w:after="120" w:before="0" w:line="276"/>
      </w:pPr>
      <w:r>
        <w:rPr>
          <w:rFonts w:ascii="Calibri" w:cs="Calibri" w:eastAsia="Calibri" w:hAnsi="Calibri"/>
          <w:color w:val="1A1A2E"/>
          <w:sz w:val="19"/>
          <w:szCs w:val="19"/>
        </w:rPr>
        <w:t xml:space="preserve">The VIX counter is </w:t>
      </w:r>
      <w:r>
        <w:rPr>
          <w:rFonts w:ascii="Calibri" w:cs="Calibri" w:eastAsia="Calibri" w:hAnsi="Calibri"/>
          <w:b/>
          <w:bCs/>
          <w:sz w:val="21"/>
          <w:szCs w:val="21"/>
        </w:rPr>
        <w:t xml:space="preserve">falling</w:t>
      </w:r>
      <w:r>
        <w:rPr>
          <w:rFonts w:ascii="Calibri" w:cs="Calibri" w:eastAsia="Calibri" w:hAnsi="Calibri"/>
          <w:color w:val="1A1A2E"/>
          <w:sz w:val="19"/>
          <w:szCs w:val="19"/>
        </w:rPr>
        <w:t xml:space="preserve"> (from ~19 to 16.7), confirming the risk-on tone and a reduced hedging bid. A VIX near 17 sits below the elevated-risk threshold of 20 — supportive context, but with little cushion: a hot PCE print could push the VIX back toward 20 quickly.</w:t>
      </w:r>
    </w:p>
    <w:p>
      <w:pPr>
        <w:pStyle w:val="Heading2"/>
        <w:spacing w:after="100" w:before="180"/>
      </w:pPr>
      <w:r>
        <w:rPr>
          <w:rFonts w:ascii="Calibri" w:cs="Calibri" w:eastAsia="Calibri" w:hAnsi="Calibri"/>
          <w:b/>
          <w:bCs/>
          <w:color w:val="1A1A2E"/>
          <w:sz w:val="22"/>
          <w:szCs w:val="22"/>
        </w:rPr>
        <w:t xml:space="preserve">Energy</w:t>
      </w:r>
    </w:p>
    <w:p>
      <w:pPr>
        <w:spacing w:after="120" w:before="0" w:line="276"/>
      </w:pPr>
      <w:r>
        <w:rPr>
          <w:rFonts w:ascii="Calibri" w:cs="Calibri" w:eastAsia="Calibri" w:hAnsi="Calibri"/>
          <w:color w:val="1A1A2E"/>
          <w:sz w:val="19"/>
          <w:szCs w:val="19"/>
        </w:rPr>
        <w:t xml:space="preserve">Oil remains well above pre-conflict levels and is the principal channel through which the US–Iran situation reaches US inflation and, in turn, the S&amp;P 500's valuation. A reopening of the Strait of Hormuz would ease this; a breakdown would tighten it.</w:t>
      </w:r>
    </w:p>
    <w:p>
      <w:pPr>
        <w:pStyle w:val="Heading2"/>
        <w:spacing w:after="100" w:before="180"/>
      </w:pPr>
      <w:r>
        <w:rPr>
          <w:rFonts w:ascii="Calibri" w:cs="Calibri" w:eastAsia="Calibri" w:hAnsi="Calibri"/>
          <w:b/>
          <w:bCs/>
          <w:color w:val="1A1A2E"/>
          <w:sz w:val="22"/>
          <w:szCs w:val="22"/>
        </w:rPr>
        <w:t xml:space="preserve">Positioning</w:t>
      </w:r>
    </w:p>
    <w:p>
      <w:pPr>
        <w:spacing w:after="120" w:before="0" w:line="276"/>
      </w:pPr>
      <w:r>
        <w:rPr>
          <w:rFonts w:ascii="Calibri" w:cs="Calibri" w:eastAsia="Calibri" w:hAnsi="Calibri"/>
          <w:color w:val="1A1A2E"/>
          <w:sz w:val="19"/>
          <w:szCs w:val="19"/>
        </w:rPr>
        <w:t xml:space="preserve">An eighth consecutive weekly gain leaves the index extended and within 0.6% of its all-time high, with RSI(2) at its 100 ceiling (§6). Positioning is therefore stretched on the upside — supportive of momentum but leaving the market vulnerable to a sharp unwind on a negative surprise, the §13d PCE print being the obvious trigger.</w:t>
      </w:r>
    </w:p>
    <w:p>
      <w:pPr>
        <w:pStyle w:val="Heading1"/>
        <w:pageBreakBefore/>
        <w:spacing w:after="140" w:before="280"/>
      </w:pPr>
      <w:r>
        <w:rPr>
          <w:rFonts w:ascii="Calibri" w:cs="Calibri" w:eastAsia="Calibri" w:hAnsi="Calibri"/>
          <w:b/>
          <w:bCs/>
          <w:color w:val="2C6FBB"/>
          <w:sz w:val="26"/>
          <w:szCs w:val="26"/>
        </w:rPr>
        <w:t xml:space="preserve">§15  </w:t>
      </w:r>
      <w:r>
        <w:rPr>
          <w:rFonts w:ascii="Calibri" w:cs="Calibri" w:eastAsia="Calibri" w:hAnsi="Calibri"/>
          <w:b/>
          <w:bCs/>
          <w:color w:val="1F3A5F"/>
          <w:sz w:val="26"/>
          <w:szCs w:val="26"/>
        </w:rPr>
        <w:t xml:space="preserve">Bull / Bear Balance</w:t>
      </w:r>
    </w:p>
    <w:tbl>
      <w:tblPr>
        <w:tblW w:type="dxa" w:w="9360"/>
        <w:tblBorders>
          <w:top w:val="single" w:color="C9D4E2" w:sz="2"/>
          <w:left w:val="single" w:color="C9D4E2" w:sz="2"/>
          <w:bottom w:val="single" w:color="C9D4E2" w:sz="2"/>
          <w:right w:val="single" w:color="C9D4E2" w:sz="2"/>
          <w:insideH w:val="single" w:color="C9D4E2" w:sz="2"/>
          <w:insideV w:val="single" w:color="C9D4E2" w:sz="2"/>
        </w:tblBorders>
      </w:tblPr>
      <w:tblGrid>
        <w:gridCol w:w="4680"/>
        <w:gridCol w:w="4680"/>
      </w:tblGrid>
      <w:tr>
        <w:tc>
          <w:tcPr>
            <w:tcW w:type="dxa" w:w="4680"/>
            <w:shd w:fill="1A7F5A" w:val="clear"/>
            <w:tcMar>
              <w:top w:type="dxa" w:w="70"/>
              <w:left w:type="dxa" w:w="90"/>
              <w:bottom w:type="dxa" w:w="70"/>
              <w:right w:type="dxa" w:w="90"/>
            </w:tcMar>
            <w:vAlign w:val="center"/>
          </w:tcPr>
          <w:p>
            <w:pPr>
              <w:spacing w:after="0" w:line="248"/>
              <w:jc w:val="center"/>
            </w:pPr>
            <w:r>
              <w:rPr>
                <w:rFonts w:ascii="Calibri" w:cs="Calibri" w:eastAsia="Calibri" w:hAnsi="Calibri"/>
                <w:b/>
                <w:bCs/>
                <w:color w:val="FFFFFF"/>
                <w:sz w:val="20"/>
                <w:szCs w:val="20"/>
              </w:rPr>
              <w:t xml:space="preserve">UPSIDE RISKS</w:t>
            </w:r>
          </w:p>
        </w:tc>
        <w:tc>
          <w:tcPr>
            <w:tcW w:type="dxa" w:w="4680"/>
            <w:shd w:fill="C0392B" w:val="clear"/>
            <w:tcMar>
              <w:top w:type="dxa" w:w="70"/>
              <w:left w:type="dxa" w:w="90"/>
              <w:bottom w:type="dxa" w:w="70"/>
              <w:right w:type="dxa" w:w="90"/>
            </w:tcMar>
            <w:vAlign w:val="center"/>
          </w:tcPr>
          <w:p>
            <w:pPr>
              <w:spacing w:after="0" w:line="248"/>
              <w:jc w:val="center"/>
            </w:pPr>
            <w:r>
              <w:rPr>
                <w:rFonts w:ascii="Calibri" w:cs="Calibri" w:eastAsia="Calibri" w:hAnsi="Calibri"/>
                <w:b/>
                <w:bCs/>
                <w:color w:val="FFFFFF"/>
                <w:sz w:val="20"/>
                <w:szCs w:val="20"/>
              </w:rPr>
              <w:t xml:space="preserve">DOWNSIDE RISKS</w:t>
            </w:r>
          </w:p>
        </w:tc>
      </w:tr>
      <w:tr>
        <w:tc>
          <w:tcPr>
            <w:tcW w:type="dxa" w:w="4680"/>
            <w:shd w:fill="F1F9F4" w:val="clear"/>
            <w:tcMar>
              <w:top w:type="dxa" w:w="70"/>
              <w:left w:type="dxa" w:w="90"/>
              <w:bottom w:type="dxa" w:w="70"/>
              <w:right w:type="dxa" w:w="90"/>
            </w:tcMar>
            <w:vAlign w:val="center"/>
          </w:tcPr>
          <w:p>
            <w:pPr>
              <w:spacing w:after="80" w:line="264"/>
            </w:pPr>
            <w:r>
              <w:rPr>
                <w:rFonts w:ascii="Calibri" w:cs="Calibri" w:eastAsia="Calibri" w:hAnsi="Calibri"/>
                <w:b/>
                <w:bCs/>
                <w:sz w:val="21"/>
                <w:szCs w:val="21"/>
              </w:rPr>
              <w:t xml:space="preserve">Momentum &amp; breadth.  </w:t>
            </w:r>
            <w:r>
              <w:rPr>
                <w:rFonts w:ascii="Calibri" w:cs="Calibri" w:eastAsia="Calibri" w:hAnsi="Calibri"/>
                <w:color w:val="1A1A2E"/>
                <w:sz w:val="19"/>
                <w:szCs w:val="19"/>
              </w:rPr>
              <w:t xml:space="preserve">Eight straight weekly gains, a fresh weekly high, RSI(2) at 100 and a clean V-shaped recovery (§8).</w:t>
            </w:r>
          </w:p>
          <w:p>
            <w:pPr>
              <w:spacing w:after="80" w:line="264"/>
            </w:pPr>
            <w:r>
              <w:rPr>
                <w:rFonts w:ascii="Calibri" w:cs="Calibri" w:eastAsia="Calibri" w:hAnsi="Calibri"/>
                <w:b/>
                <w:bCs/>
                <w:sz w:val="21"/>
                <w:szCs w:val="21"/>
              </w:rPr>
              <w:t xml:space="preserve">Cooler PCE.  </w:t>
            </w:r>
            <w:r>
              <w:rPr>
                <w:rFonts w:ascii="Calibri" w:cs="Calibri" w:eastAsia="Calibri" w:hAnsi="Calibri"/>
                <w:color w:val="1A1A2E"/>
                <w:sz w:val="19"/>
                <w:szCs w:val="19"/>
              </w:rPr>
              <w:t xml:space="preserve">A soft 29 May core PCE print (§13d) eases yields and clears the path to the 7,517 all-time high.</w:t>
            </w:r>
          </w:p>
          <w:p>
            <w:pPr>
              <w:spacing w:after="80" w:line="264"/>
            </w:pPr>
            <w:r>
              <w:rPr>
                <w:rFonts w:ascii="Calibri" w:cs="Calibri" w:eastAsia="Calibri" w:hAnsi="Calibri"/>
                <w:b/>
                <w:bCs/>
                <w:sz w:val="21"/>
                <w:szCs w:val="21"/>
              </w:rPr>
              <w:t xml:space="preserve">Iran de-escalation.  </w:t>
            </w:r>
            <w:r>
              <w:rPr>
                <w:rFonts w:ascii="Calibri" w:cs="Calibri" w:eastAsia="Calibri" w:hAnsi="Calibri"/>
                <w:color w:val="1A1A2E"/>
                <w:sz w:val="19"/>
                <w:szCs w:val="19"/>
              </w:rPr>
              <w:t xml:space="preserve">A genuine Strait of Hormuz reopening lowers oil, eases inflation expectations and removes a key overhang (§12).</w:t>
            </w:r>
          </w:p>
          <w:p>
            <w:pPr>
              <w:spacing w:after="0" w:line="264"/>
            </w:pPr>
            <w:r>
              <w:rPr>
                <w:rFonts w:ascii="Calibri" w:cs="Calibri" w:eastAsia="Calibri" w:hAnsi="Calibri"/>
                <w:b/>
                <w:bCs/>
                <w:sz w:val="21"/>
                <w:szCs w:val="21"/>
              </w:rPr>
              <w:t xml:space="preserve">Cross-asset support.  </w:t>
            </w:r>
            <w:r>
              <w:rPr>
                <w:rFonts w:ascii="Calibri" w:cs="Calibri" w:eastAsia="Calibri" w:hAnsi="Calibri"/>
                <w:color w:val="1A1A2E"/>
                <w:sz w:val="19"/>
                <w:szCs w:val="19"/>
              </w:rPr>
              <w:t xml:space="preserve">VIX falling and DAX rising (§10) both confirm the global risk-on factor.</w:t>
            </w:r>
          </w:p>
        </w:tc>
        <w:tc>
          <w:tcPr>
            <w:tcW w:type="dxa" w:w="4680"/>
            <w:shd w:fill="FBF1F1" w:val="clear"/>
            <w:tcMar>
              <w:top w:type="dxa" w:w="70"/>
              <w:left w:type="dxa" w:w="90"/>
              <w:bottom w:type="dxa" w:w="70"/>
              <w:right w:type="dxa" w:w="90"/>
            </w:tcMar>
            <w:vAlign w:val="center"/>
          </w:tcPr>
          <w:p>
            <w:pPr>
              <w:spacing w:after="80" w:line="264"/>
            </w:pPr>
            <w:r>
              <w:rPr>
                <w:rFonts w:ascii="Calibri" w:cs="Calibri" w:eastAsia="Calibri" w:hAnsi="Calibri"/>
                <w:b/>
                <w:bCs/>
                <w:sz w:val="21"/>
                <w:szCs w:val="21"/>
              </w:rPr>
              <w:t xml:space="preserve">Hot PCE — the key risk.  </w:t>
            </w:r>
            <w:r>
              <w:rPr>
                <w:rFonts w:ascii="Calibri" w:cs="Calibri" w:eastAsia="Calibri" w:hAnsi="Calibri"/>
                <w:color w:val="1A1A2E"/>
                <w:sz w:val="19"/>
                <w:szCs w:val="19"/>
              </w:rPr>
              <w:t xml:space="preserve">The §13d highest-impact event: a hot core PCE print revives the yield-driven valuation compression that drove the 18–19 May sell-off.</w:t>
            </w:r>
          </w:p>
          <w:p>
            <w:pPr>
              <w:spacing w:after="80" w:line="264"/>
            </w:pPr>
            <w:r>
              <w:rPr>
                <w:rFonts w:ascii="Calibri" w:cs="Calibri" w:eastAsia="Calibri" w:hAnsi="Calibri"/>
                <w:b/>
                <w:bCs/>
                <w:sz w:val="21"/>
                <w:szCs w:val="21"/>
              </w:rPr>
              <w:t xml:space="preserve">Long-end yields.  </w:t>
            </w:r>
            <w:r>
              <w:rPr>
                <w:rFonts w:ascii="Calibri" w:cs="Calibri" w:eastAsia="Calibri" w:hAnsi="Calibri"/>
                <w:color w:val="1A1A2E"/>
                <w:sz w:val="19"/>
                <w:szCs w:val="19"/>
              </w:rPr>
              <w:t xml:space="preserve">With the 30-year near a 19-year high and managers eyeing 6%, any renewed yield spike pressures multiples directly (§14).</w:t>
            </w:r>
          </w:p>
          <w:p>
            <w:pPr>
              <w:spacing w:after="80" w:line="264"/>
            </w:pPr>
            <w:r>
              <w:rPr>
                <w:rFonts w:ascii="Calibri" w:cs="Calibri" w:eastAsia="Calibri" w:hAnsi="Calibri"/>
                <w:b/>
                <w:bCs/>
                <w:sz w:val="21"/>
                <w:szCs w:val="21"/>
              </w:rPr>
              <w:t xml:space="preserve">Rising dollar.  </w:t>
            </w:r>
            <w:r>
              <w:rPr>
                <w:rFonts w:ascii="Calibri" w:cs="Calibri" w:eastAsia="Calibri" w:hAnsi="Calibri"/>
                <w:color w:val="1A1A2E"/>
                <w:sz w:val="19"/>
                <w:szCs w:val="19"/>
              </w:rPr>
              <w:t xml:space="preserve">The USDX contradiction from §10 — a six-week high crimps multinational earnings and signals tighter conditions.</w:t>
            </w:r>
          </w:p>
          <w:p>
            <w:pPr>
              <w:spacing w:after="0" w:line="264"/>
            </w:pPr>
            <w:r>
              <w:rPr>
                <w:rFonts w:ascii="Calibri" w:cs="Calibri" w:eastAsia="Calibri" w:hAnsi="Calibri"/>
                <w:b/>
                <w:bCs/>
                <w:sz w:val="21"/>
                <w:szCs w:val="21"/>
              </w:rPr>
              <w:t xml:space="preserve">Stretched positioning.  </w:t>
            </w:r>
            <w:r>
              <w:rPr>
                <w:rFonts w:ascii="Calibri" w:cs="Calibri" w:eastAsia="Calibri" w:hAnsi="Calibri"/>
                <w:color w:val="1A1A2E"/>
                <w:sz w:val="19"/>
                <w:szCs w:val="19"/>
              </w:rPr>
              <w:t xml:space="preserve">RSI(2) at 100 and price 0.6% below the ATH leave little cushion; an extended market unwinds sharply on bad news.</w:t>
            </w:r>
          </w:p>
        </w:tc>
      </w:tr>
    </w:tbl>
    <w:p>
      <w:pPr>
        <w:spacing w:after="120"/>
      </w:pPr>
      <w:r>
        <w:rPr>
          <w:rFonts w:ascii="Calibri" w:cs="Calibri" w:eastAsia="Calibri" w:hAnsi="Calibri"/>
          <w:sz w:val="21"/>
          <w:szCs w:val="21"/>
        </w:rPr>
        <w:t xml:space="preserve"/>
      </w:r>
    </w:p>
    <w:p>
      <w:pPr>
        <w:spacing w:after="120" w:before="0" w:line="276"/>
      </w:pPr>
      <w:r>
        <w:rPr>
          <w:rFonts w:ascii="Calibri" w:cs="Calibri" w:eastAsia="Calibri" w:hAnsi="Calibri"/>
          <w:color w:val="1A1A2E"/>
          <w:sz w:val="19"/>
          <w:szCs w:val="19"/>
        </w:rPr>
        <w:t xml:space="preserve">On balance, the near-term skew is </w:t>
      </w:r>
      <w:r>
        <w:rPr>
          <w:rFonts w:ascii="Calibri" w:cs="Calibri" w:eastAsia="Calibri" w:hAnsi="Calibri"/>
          <w:b/>
          <w:bCs/>
          <w:color w:val="1A7F5A"/>
          <w:sz w:val="21"/>
          <w:szCs w:val="21"/>
        </w:rPr>
        <w:t xml:space="preserve">modestly bullish</w:t>
      </w:r>
      <w:r>
        <w:rPr>
          <w:rFonts w:ascii="Calibri" w:cs="Calibri" w:eastAsia="Calibri" w:hAnsi="Calibri"/>
          <w:color w:val="1A1A2E"/>
          <w:sz w:val="19"/>
          <w:szCs w:val="19"/>
        </w:rPr>
        <w:t xml:space="preserve">: momentum, breadth and two of three counters favour the upside, and price holds comfortably above the ~7,446 daily/weekly pivot confluence (§11). But the balance is contingent — it rests on the 29 May PCE print not surprising hot, and on the stretched RSI(2)-100 condition resolving through consolidation rather than a sharp reversal. The Transitional medium-term regime (§9) is the structural reason this is a </w:t>
      </w:r>
      <w:r>
        <w:rPr>
          <w:rFonts w:ascii="Calibri" w:cs="Calibri" w:eastAsia="Calibri" w:hAnsi="Calibri"/>
          <w:b/>
          <w:bCs/>
          <w:sz w:val="21"/>
          <w:szCs w:val="21"/>
        </w:rPr>
        <w:t xml:space="preserve">modest</w:t>
      </w:r>
      <w:r>
        <w:rPr>
          <w:rFonts w:ascii="Calibri" w:cs="Calibri" w:eastAsia="Calibri" w:hAnsi="Calibri"/>
          <w:color w:val="1A1A2E"/>
          <w:sz w:val="19"/>
          <w:szCs w:val="19"/>
        </w:rPr>
        <w:t xml:space="preserve">, not emphatic, bullish balance.</w:t>
      </w:r>
    </w:p>
    <w:p>
      <w:pPr>
        <w:pStyle w:val="Heading1"/>
        <w:pageBreakBefore/>
        <w:spacing w:after="140" w:before="280"/>
      </w:pPr>
      <w:r>
        <w:rPr>
          <w:rFonts w:ascii="Calibri" w:cs="Calibri" w:eastAsia="Calibri" w:hAnsi="Calibri"/>
          <w:b/>
          <w:bCs/>
          <w:color w:val="2C6FBB"/>
          <w:sz w:val="26"/>
          <w:szCs w:val="26"/>
        </w:rPr>
        <w:t xml:space="preserve">§16  </w:t>
      </w:r>
      <w:r>
        <w:rPr>
          <w:rFonts w:ascii="Calibri" w:cs="Calibri" w:eastAsia="Calibri" w:hAnsi="Calibri"/>
          <w:b/>
          <w:bCs/>
          <w:color w:val="1F3A5F"/>
          <w:sz w:val="26"/>
          <w:szCs w:val="26"/>
        </w:rPr>
        <w:t xml:space="preserve">Forward View</w:t>
      </w:r>
    </w:p>
    <w:p>
      <w:pPr>
        <w:spacing w:after="120" w:before="0" w:line="276"/>
      </w:pPr>
      <w:r>
        <w:rPr>
          <w:rFonts w:ascii="Calibri" w:cs="Calibri" w:eastAsia="Calibri" w:hAnsi="Calibri"/>
          <w:color w:val="1A1A2E"/>
          <w:sz w:val="19"/>
          <w:szCs w:val="19"/>
        </w:rPr>
        <w:t xml:space="preserve">Over the next five trading days the base case is for the S&amp;P 500 to </w:t>
      </w:r>
      <w:r>
        <w:rPr>
          <w:rFonts w:ascii="Calibri" w:cs="Calibri" w:eastAsia="Calibri" w:hAnsi="Calibri"/>
          <w:b/>
          <w:bCs/>
          <w:sz w:val="21"/>
          <w:szCs w:val="21"/>
        </w:rPr>
        <w:t xml:space="preserve">hold its bullish bias and grind higher toward the 7,517 all-time high</w:t>
      </w:r>
      <w:r>
        <w:rPr>
          <w:rFonts w:ascii="Calibri" w:cs="Calibri" w:eastAsia="Calibri" w:hAnsi="Calibri"/>
          <w:color w:val="1A1A2E"/>
          <w:sz w:val="19"/>
          <w:szCs w:val="19"/>
        </w:rPr>
        <w:t xml:space="preserve">, with two-way risk concentrated around the 29 May PCE release. Expected trading range: roughly </w:t>
      </w:r>
      <w:r>
        <w:rPr>
          <w:rFonts w:ascii="Calibri" w:cs="Calibri" w:eastAsia="Calibri" w:hAnsi="Calibri"/>
          <w:b/>
          <w:bCs/>
          <w:sz w:val="21"/>
          <w:szCs w:val="21"/>
        </w:rPr>
        <w:t xml:space="preserve">7,375 – 7,560</w:t>
      </w:r>
      <w:r>
        <w:rPr>
          <w:rFonts w:ascii="Calibri" w:cs="Calibri" w:eastAsia="Calibri" w:hAnsi="Calibri"/>
          <w:color w:val="1A1A2E"/>
          <w:sz w:val="19"/>
          <w:szCs w:val="19"/>
        </w:rPr>
        <w:t xml:space="preserve"> — the lower bound at the weekly S1/pivot-support zone, the upper bound at weekly R2.</w:t>
      </w:r>
    </w:p>
    <w:p>
      <w:pPr>
        <w:spacing w:after="120" w:before="0" w:line="276"/>
      </w:pPr>
      <w:r>
        <w:rPr>
          <w:rFonts w:ascii="Calibri" w:cs="Calibri" w:eastAsia="Calibri" w:hAnsi="Calibri"/>
          <w:b/>
          <w:bCs/>
          <w:color w:val="1A1A2E"/>
          <w:sz w:val="19"/>
          <w:szCs w:val="19"/>
        </w:rPr>
        <w:t xml:space="preserve">Respect for the technical regime.  </w:t>
      </w:r>
      <w:r>
        <w:rPr>
          <w:rFonts w:ascii="Calibri" w:cs="Calibri" w:eastAsia="Calibri" w:hAnsi="Calibri"/>
          <w:color w:val="1A1A2E"/>
          <w:sz w:val="19"/>
          <w:szCs w:val="19"/>
        </w:rPr>
        <w:t xml:space="preserve">This forward view </w:t>
      </w:r>
      <w:r>
        <w:rPr>
          <w:rFonts w:ascii="Calibri" w:cs="Calibri" w:eastAsia="Calibri" w:hAnsi="Calibri"/>
          <w:b/>
          <w:bCs/>
          <w:sz w:val="21"/>
          <w:szCs w:val="21"/>
        </w:rPr>
        <w:t xml:space="preserve">respects</w:t>
      </w:r>
      <w:r>
        <w:rPr>
          <w:rFonts w:ascii="Calibri" w:cs="Calibri" w:eastAsia="Calibri" w:hAnsi="Calibri"/>
          <w:color w:val="1A1A2E"/>
          <w:sz w:val="19"/>
          <w:szCs w:val="19"/>
        </w:rPr>
        <w:t xml:space="preserve"> the short-term Bullish-continuation read (§8) but is deliberately tempered by the </w:t>
      </w:r>
      <w:r>
        <w:rPr>
          <w:rFonts w:ascii="Calibri" w:cs="Calibri" w:eastAsia="Calibri" w:hAnsi="Calibri"/>
          <w:b/>
          <w:bCs/>
          <w:sz w:val="21"/>
          <w:szCs w:val="21"/>
        </w:rPr>
        <w:t xml:space="preserve">Transitional</w:t>
      </w:r>
      <w:r>
        <w:rPr>
          <w:rFonts w:ascii="Calibri" w:cs="Calibri" w:eastAsia="Calibri" w:hAnsi="Calibri"/>
          <w:color w:val="1A1A2E"/>
          <w:sz w:val="19"/>
          <w:szCs w:val="19"/>
        </w:rPr>
        <w:t xml:space="preserve"> medium-term regime (§9). It does </w:t>
      </w:r>
      <w:r>
        <w:rPr>
          <w:rFonts w:ascii="Calibri" w:cs="Calibri" w:eastAsia="Calibri" w:hAnsi="Calibri"/>
          <w:b/>
          <w:bCs/>
          <w:sz w:val="21"/>
          <w:szCs w:val="21"/>
        </w:rPr>
        <w:t xml:space="preserve">not</w:t>
      </w:r>
      <w:r>
        <w:rPr>
          <w:rFonts w:ascii="Calibri" w:cs="Calibri" w:eastAsia="Calibri" w:hAnsi="Calibri"/>
          <w:color w:val="1A1A2E"/>
          <w:sz w:val="19"/>
          <w:szCs w:val="19"/>
        </w:rPr>
        <w:t xml:space="preserve"> assume a clean trend breakout. The KER-versus-regime divergence flagged in §9 is the explicit reason the view is “grind higher” rather than “break out” — the path is up, but the structure is not yet a low-overlap trend, so a failure beneath the 7,517 ceiling and a rotation back toward the ~7,446 pivot confluence is a live alternative.</w:t>
      </w:r>
    </w:p>
    <w:p>
      <w:pPr>
        <w:spacing w:after="120" w:before="0" w:line="276"/>
      </w:pPr>
      <w:r>
        <w:rPr>
          <w:rFonts w:ascii="Calibri" w:cs="Calibri" w:eastAsia="Calibri" w:hAnsi="Calibri"/>
          <w:b/>
          <w:bCs/>
          <w:color w:val="C0392B"/>
          <w:sz w:val="19"/>
          <w:szCs w:val="19"/>
        </w:rPr>
        <w:t xml:space="preserve">Base-case invalidation.  </w:t>
      </w:r>
      <w:r>
        <w:rPr>
          <w:rFonts w:ascii="Calibri" w:cs="Calibri" w:eastAsia="Calibri" w:hAnsi="Calibri"/>
          <w:color w:val="1A1A2E"/>
          <w:sz w:val="19"/>
          <w:szCs w:val="19"/>
        </w:rPr>
        <w:t xml:space="preserve">A daily close back below the </w:t>
      </w:r>
      <w:r>
        <w:rPr>
          <w:rFonts w:ascii="Calibri" w:cs="Calibri" w:eastAsia="Calibri" w:hAnsi="Calibri"/>
          <w:b/>
          <w:bCs/>
          <w:sz w:val="21"/>
          <w:szCs w:val="21"/>
        </w:rPr>
        <w:t xml:space="preserve">~7,446 daily/weekly pivot confluence</w:t>
      </w:r>
      <w:r>
        <w:rPr>
          <w:rFonts w:ascii="Calibri" w:cs="Calibri" w:eastAsia="Calibri" w:hAnsi="Calibri"/>
          <w:color w:val="1A1A2E"/>
          <w:sz w:val="19"/>
          <w:szCs w:val="19"/>
        </w:rPr>
        <w:t xml:space="preserve"> would invalidate the immediate bullish base case and shift the near-term bias to neutral; a close below the weekly S1 at 7,374 would confirm a deeper corrective leg toward 7,330.</w:t>
      </w:r>
    </w:p>
    <w:p>
      <w:pPr>
        <w:pStyle w:val="Heading1"/>
        <w:pageBreakBefore/>
        <w:spacing w:after="140" w:before="280"/>
      </w:pPr>
      <w:r>
        <w:rPr>
          <w:rFonts w:ascii="Calibri" w:cs="Calibri" w:eastAsia="Calibri" w:hAnsi="Calibri"/>
          <w:b/>
          <w:bCs/>
          <w:color w:val="2C6FBB"/>
          <w:sz w:val="26"/>
          <w:szCs w:val="26"/>
        </w:rPr>
        <w:t xml:space="preserve">§17  </w:t>
      </w:r>
      <w:r>
        <w:rPr>
          <w:rFonts w:ascii="Calibri" w:cs="Calibri" w:eastAsia="Calibri" w:hAnsi="Calibri"/>
          <w:b/>
          <w:bCs/>
          <w:color w:val="1F3A5F"/>
          <w:sz w:val="26"/>
          <w:szCs w:val="26"/>
        </w:rPr>
        <w:t xml:space="preserve">Forecast</w:t>
      </w:r>
    </w:p>
    <w:p>
      <w:pPr>
        <w:spacing w:after="120"/>
      </w:pPr>
      <w:r>
        <w:rPr>
          <w:rFonts w:ascii="Calibri" w:cs="Calibri" w:eastAsia="Calibri" w:hAnsi="Calibri"/>
          <w:sz w:val="21"/>
          <w:szCs w:val="21"/>
        </w:rPr>
        <w:t xml:space="preserve"/>
      </w:r>
    </w:p>
    <w:tbl>
      <w:tblPr>
        <w:tblW w:type="dxa" w:w="9360"/>
        <w:tblBorders>
          <w:top w:val="single" w:color="C9D4E2" w:sz="2"/>
          <w:left w:val="single" w:color="C9D4E2" w:sz="2"/>
          <w:bottom w:val="single" w:color="C9D4E2" w:sz="2"/>
          <w:right w:val="single" w:color="C9D4E2" w:sz="2"/>
          <w:insideH w:val="single" w:color="C9D4E2" w:sz="2"/>
          <w:insideV w:val="single" w:color="C9D4E2" w:sz="2"/>
        </w:tblBorders>
      </w:tblPr>
      <w:tblGrid>
        <w:gridCol w:w="9360"/>
      </w:tblGrid>
      <w:tr>
        <w:tc>
          <w:tcPr>
            <w:tcW w:type="dxa" w:w="9360"/>
            <w:shd w:fill="EEF2F7" w:val="clear"/>
            <w:tcMar>
              <w:top w:type="dxa" w:w="70"/>
              <w:left w:type="dxa" w:w="90"/>
              <w:bottom w:type="dxa" w:w="70"/>
              <w:right w:type="dxa" w:w="90"/>
            </w:tcMar>
            <w:vAlign w:val="center"/>
          </w:tcPr>
          <w:p>
            <w:pPr>
              <w:spacing w:line="320"/>
              <w:jc w:val="center"/>
            </w:pPr>
            <w:r>
              <w:rPr>
                <w:rFonts w:ascii="Calibri" w:cs="Calibri" w:eastAsia="Calibri" w:hAnsi="Calibri"/>
                <w:b/>
                <w:bCs/>
                <w:color w:val="1F3A5F"/>
                <w:sz w:val="26"/>
                <w:szCs w:val="26"/>
              </w:rPr>
              <w:t xml:space="preserve">The S&amp;P 500 is expected to extend its bullish bias toward the 7,517 all-time high over the coming five sessions, with the 29 May PCE inflation release the decisive swing factor.</w:t>
            </w:r>
          </w:p>
        </w:tc>
      </w:tr>
    </w:tbl>
    <w:p>
      <w:pPr>
        <w:spacing w:after="120"/>
      </w:pPr>
      <w:r>
        <w:rPr>
          <w:rFonts w:ascii="Calibri" w:cs="Calibri" w:eastAsia="Calibri" w:hAnsi="Calibri"/>
          <w:sz w:val="21"/>
          <w:szCs w:val="21"/>
        </w:rPr>
        <w:t xml:space="preserve"/>
      </w:r>
    </w:p>
    <w:p>
      <w:pPr>
        <w:spacing w:after="120" w:before="0" w:line="276"/>
      </w:pPr>
      <w:r>
        <w:rPr>
          <w:rFonts w:ascii="Calibri" w:cs="Calibri" w:eastAsia="Calibri" w:hAnsi="Calibri"/>
          <w:i/>
          <w:iCs/>
          <w:color w:val="5A6678"/>
          <w:sz w:val="19"/>
          <w:szCs w:val="19"/>
        </w:rPr>
        <w:t xml:space="preserve">This one-sentence forecast is derived strictly from the technical, sentiment and cross-asset synthesis (the integration note of the seven-line judgement in §18, plus the Predominantly Bullish §13b sentiment). It is independent of the strategy section and is not edited to align with any trade-card direction.</w:t>
      </w:r>
    </w:p>
    <w:p>
      <w:pPr>
        <w:pStyle w:val="Heading1"/>
        <w:pageBreakBefore/>
        <w:spacing w:after="140" w:before="280"/>
      </w:pPr>
      <w:r>
        <w:rPr>
          <w:rFonts w:ascii="Calibri" w:cs="Calibri" w:eastAsia="Calibri" w:hAnsi="Calibri"/>
          <w:b/>
          <w:bCs/>
          <w:color w:val="2C6FBB"/>
          <w:sz w:val="26"/>
          <w:szCs w:val="26"/>
        </w:rPr>
        <w:t xml:space="preserve">§18  </w:t>
      </w:r>
      <w:r>
        <w:rPr>
          <w:rFonts w:ascii="Calibri" w:cs="Calibri" w:eastAsia="Calibri" w:hAnsi="Calibri"/>
          <w:b/>
          <w:bCs/>
          <w:color w:val="1F3A5F"/>
          <w:sz w:val="26"/>
          <w:szCs w:val="26"/>
        </w:rPr>
        <w:t xml:space="preserve">Final Analyst Judgement</w:t>
      </w:r>
    </w:p>
    <w:p>
      <w:pPr>
        <w:spacing w:after="120" w:before="0" w:line="276"/>
      </w:pPr>
      <w:r>
        <w:rPr>
          <w:rFonts w:ascii="Calibri" w:cs="Calibri" w:eastAsia="Calibri" w:hAnsi="Calibri"/>
          <w:color w:val="1A1A2E"/>
          <w:sz w:val="19"/>
          <w:szCs w:val="19"/>
        </w:rPr>
        <w:t xml:space="preserve">Consensus level: </w:t>
      </w:r>
      <w:r>
        <w:rPr>
          <w:rFonts w:ascii="Calibri" w:cs="Calibri" w:eastAsia="Calibri" w:hAnsi="Calibri"/>
          <w:b/>
          <w:bCs/>
          <w:sz w:val="21"/>
          <w:szCs w:val="21"/>
        </w:rPr>
        <w:t xml:space="preserve">7,473.47</w:t>
      </w:r>
      <w:r>
        <w:rPr>
          <w:rFonts w:ascii="Calibri" w:cs="Calibri" w:eastAsia="Calibri" w:hAnsi="Calibri"/>
          <w:color w:val="1A1A2E"/>
          <w:sz w:val="19"/>
          <w:szCs w:val="19"/>
        </w:rPr>
        <w:t xml:space="preserve"> · market tone: </w:t>
      </w:r>
      <w:r>
        <w:rPr>
          <w:rFonts w:ascii="Calibri" w:cs="Calibri" w:eastAsia="Calibri" w:hAnsi="Calibri"/>
          <w:b/>
          <w:bCs/>
          <w:color w:val="1A7F5A"/>
          <w:sz w:val="21"/>
          <w:szCs w:val="21"/>
        </w:rPr>
        <w:t xml:space="preserve">bullish</w:t>
      </w:r>
      <w:r>
        <w:rPr>
          <w:rFonts w:ascii="Calibri" w:cs="Calibri" w:eastAsia="Calibri" w:hAnsi="Calibri"/>
          <w:color w:val="1A1A2E"/>
          <w:sz w:val="19"/>
          <w:szCs w:val="19"/>
        </w:rPr>
        <w:t xml:space="preserve"> · confidence: </w:t>
      </w:r>
      <w:r>
        <w:rPr>
          <w:rFonts w:ascii="Calibri" w:cs="Calibri" w:eastAsia="Calibri" w:hAnsi="Calibri"/>
          <w:b/>
          <w:bCs/>
          <w:sz w:val="21"/>
          <w:szCs w:val="21"/>
        </w:rPr>
        <w:t xml:space="preserve">Medium</w:t>
      </w:r>
      <w:r>
        <w:rPr>
          <w:rFonts w:ascii="Calibri" w:cs="Calibri" w:eastAsia="Calibri" w:hAnsi="Calibri"/>
          <w:color w:val="1A1A2E"/>
          <w:sz w:val="19"/>
          <w:szCs w:val="19"/>
        </w:rPr>
        <w:t xml:space="preserve">.</w:t>
      </w:r>
    </w:p>
    <w:p>
      <w:pPr>
        <w:pStyle w:val="Heading2"/>
        <w:spacing w:after="100" w:before="180"/>
      </w:pPr>
      <w:r>
        <w:rPr>
          <w:rFonts w:ascii="Calibri" w:cs="Calibri" w:eastAsia="Calibri" w:hAnsi="Calibri"/>
          <w:b/>
          <w:bCs/>
          <w:color w:val="1A1A2E"/>
          <w:sz w:val="22"/>
          <w:szCs w:val="22"/>
        </w:rPr>
        <w:t xml:space="preserve">Seven-line technical judgement</w:t>
      </w:r>
    </w:p>
    <w:p>
      <w:pPr>
        <w:spacing w:after="20"/>
      </w:pPr>
      <w:r>
        <w:rPr>
          <w:rFonts w:ascii="Calibri" w:cs="Calibri" w:eastAsia="Calibri" w:hAnsi="Calibri"/>
          <w:sz w:val="21"/>
          <w:szCs w:val="21"/>
        </w:rPr>
        <w:t xml:space="preserve"/>
      </w:r>
    </w:p>
    <w:tbl>
      <w:tblPr>
        <w:tblW w:type="dxa" w:w="9360"/>
        <w:tblBorders>
          <w:top w:val="single" w:color="C9D4E2" w:sz="2"/>
          <w:left w:val="single" w:color="C9D4E2" w:sz="2"/>
          <w:bottom w:val="single" w:color="C9D4E2" w:sz="2"/>
          <w:right w:val="single" w:color="C9D4E2" w:sz="2"/>
          <w:insideH w:val="single" w:color="C9D4E2" w:sz="2"/>
          <w:insideV w:val="single" w:color="C9D4E2" w:sz="2"/>
        </w:tblBorders>
      </w:tblPr>
      <w:tblGrid>
        <w:gridCol w:w="3000"/>
        <w:gridCol w:w="6360"/>
      </w:tblGrid>
      <w:tr>
        <w:tc>
          <w:tcPr>
            <w:tcW w:type="dxa" w:w="3000"/>
            <w:shd w:fill="FFFFFF"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9"/>
                <w:szCs w:val="19"/>
              </w:rPr>
              <w:t xml:space="preserve">Short-term technical state</w:t>
            </w:r>
          </w:p>
        </w:tc>
        <w:tc>
          <w:tcPr>
            <w:tcW w:type="dxa" w:w="636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Trending — Bullish</w:t>
            </w:r>
          </w:p>
        </w:tc>
      </w:tr>
      <w:tr>
        <w:tc>
          <w:tcPr>
            <w:tcW w:type="dxa" w:w="3000"/>
            <w:shd w:fill="F4F6FA"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9"/>
                <w:szCs w:val="19"/>
              </w:rPr>
              <w:t xml:space="preserve">Medium-term technical state</w:t>
            </w:r>
          </w:p>
        </w:tc>
        <w:tc>
          <w:tcPr>
            <w:tcW w:type="dxa" w:w="6360"/>
            <w:shd w:fill="F4F6FA"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Transitional — Bullish bias</w:t>
            </w:r>
          </w:p>
        </w:tc>
      </w:tr>
      <w:tr>
        <w:tc>
          <w:tcPr>
            <w:tcW w:type="dxa" w:w="3000"/>
            <w:shd w:fill="FFFFFF"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9"/>
                <w:szCs w:val="19"/>
              </w:rPr>
              <w:t xml:space="preserve">KER regime confirmation</w:t>
            </w:r>
          </w:p>
        </w:tc>
        <w:tc>
          <w:tcPr>
            <w:tcW w:type="dxa" w:w="636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Trending Up — Moderate (+0.34) — contradicts the Transitional medium-term read</w:t>
            </w:r>
          </w:p>
        </w:tc>
      </w:tr>
      <w:tr>
        <w:tc>
          <w:tcPr>
            <w:tcW w:type="dxa" w:w="3000"/>
            <w:shd w:fill="F4F6FA"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9"/>
                <w:szCs w:val="19"/>
              </w:rPr>
              <w:t xml:space="preserve">Preferred trade protocol</w:t>
            </w:r>
          </w:p>
        </w:tc>
        <w:tc>
          <w:tcPr>
            <w:tcW w:type="dxa" w:w="6360"/>
            <w:shd w:fill="F4F6FA"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Trend pullback — trade the bullish bias, respect range edges</w:t>
            </w:r>
          </w:p>
        </w:tc>
      </w:tr>
      <w:tr>
        <w:tc>
          <w:tcPr>
            <w:tcW w:type="dxa" w:w="3000"/>
            <w:shd w:fill="FFFFFF"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9"/>
                <w:szCs w:val="19"/>
              </w:rPr>
              <w:t xml:space="preserve">Integration note</w:t>
            </w:r>
          </w:p>
        </w:tc>
        <w:tc>
          <w:tcPr>
            <w:tcW w:type="dxa" w:w="636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Forecast and macro should lean bullish but remain cautious into PCE</w:t>
            </w:r>
          </w:p>
        </w:tc>
      </w:tr>
      <w:tr>
        <w:tc>
          <w:tcPr>
            <w:tcW w:type="dxa" w:w="3000"/>
            <w:shd w:fill="F4F6FA"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9"/>
                <w:szCs w:val="19"/>
              </w:rPr>
              <w:t xml:space="preserve">Pivot reference</w:t>
            </w:r>
          </w:p>
        </w:tc>
        <w:tc>
          <w:tcPr>
            <w:tcW w:type="dxa" w:w="6360"/>
            <w:shd w:fill="F4F6FA"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Close above the ~7,446 daily/weekly pivot confluence; pressing daily R1</w:t>
            </w:r>
          </w:p>
        </w:tc>
      </w:tr>
      <w:tr>
        <w:tc>
          <w:tcPr>
            <w:tcW w:type="dxa" w:w="3000"/>
            <w:shd w:fill="FFFFFF"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9"/>
                <w:szCs w:val="19"/>
              </w:rPr>
              <w:t xml:space="preserve">Source status</w:t>
            </w:r>
          </w:p>
        </w:tc>
        <w:tc>
          <w:tcPr>
            <w:tcW w:type="dxa" w:w="636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Closes corroborated; intraday O/H/L and pivots single-source indicative</w:t>
            </w:r>
          </w:p>
        </w:tc>
      </w:tr>
    </w:tbl>
    <w:p>
      <w:pPr>
        <w:spacing w:after="100"/>
      </w:pPr>
      <w:r>
        <w:rPr>
          <w:rFonts w:ascii="Calibri" w:cs="Calibri" w:eastAsia="Calibri" w:hAnsi="Calibri"/>
          <w:sz w:val="21"/>
          <w:szCs w:val="21"/>
        </w:rPr>
        <w:t xml:space="preserve"/>
      </w:r>
    </w:p>
    <w:p>
      <w:pPr>
        <w:pStyle w:val="Heading2"/>
        <w:spacing w:after="100" w:before="180"/>
      </w:pPr>
      <w:r>
        <w:rPr>
          <w:rFonts w:ascii="Calibri" w:cs="Calibri" w:eastAsia="Calibri" w:hAnsi="Calibri"/>
          <w:b/>
          <w:bCs/>
          <w:color w:val="1A1A2E"/>
          <w:sz w:val="22"/>
          <w:szCs w:val="22"/>
        </w:rPr>
        <w:t xml:space="preserve">Three most important reasons for the current level</w:t>
      </w:r>
    </w:p>
    <w:p>
      <w:pPr>
        <w:pStyle w:val="ListParagraph"/>
        <w:numPr>
          <w:ilvl w:val="0"/>
          <w:numId w:val="2"/>
        </w:numPr>
        <w:spacing w:after="70" w:line="268"/>
      </w:pPr>
      <w:r>
        <w:rPr>
          <w:rFonts w:ascii="Calibri" w:cs="Calibri" w:eastAsia="Calibri" w:hAnsi="Calibri"/>
          <w:b/>
          <w:bCs/>
          <w:sz w:val="21"/>
          <w:szCs w:val="21"/>
        </w:rPr>
        <w:t xml:space="preserve">1.  Post-Nvidia recovery.  </w:t>
      </w:r>
      <w:r>
        <w:rPr>
          <w:rFonts w:ascii="Calibri" w:cs="Calibri" w:eastAsia="Calibri" w:hAnsi="Calibri"/>
          <w:color w:val="1A1A2E"/>
          <w:sz w:val="19"/>
          <w:szCs w:val="19"/>
        </w:rPr>
        <w:t xml:space="preserve">A clean mega-cap-tech earnings beat reversed a three-session sell-off and restored the uptrend.</w:t>
      </w:r>
    </w:p>
    <w:p>
      <w:pPr>
        <w:pStyle w:val="ListParagraph"/>
        <w:numPr>
          <w:ilvl w:val="0"/>
          <w:numId w:val="2"/>
        </w:numPr>
        <w:spacing w:after="70" w:line="268"/>
      </w:pPr>
      <w:r>
        <w:rPr>
          <w:rFonts w:ascii="Calibri" w:cs="Calibri" w:eastAsia="Calibri" w:hAnsi="Calibri"/>
          <w:b/>
          <w:bCs/>
          <w:sz w:val="21"/>
          <w:szCs w:val="21"/>
        </w:rPr>
        <w:t xml:space="preserve">2.  Yields easing from the highs.  </w:t>
      </w:r>
      <w:r>
        <w:rPr>
          <w:rFonts w:ascii="Calibri" w:cs="Calibri" w:eastAsia="Calibri" w:hAnsi="Calibri"/>
          <w:color w:val="1A1A2E"/>
          <w:sz w:val="19"/>
          <w:szCs w:val="19"/>
        </w:rPr>
        <w:t xml:space="preserve">The pullback in long-dated Treasury yields late in the week relieved the valuation pressure that had driven the decline.</w:t>
      </w:r>
    </w:p>
    <w:p>
      <w:pPr>
        <w:pStyle w:val="ListParagraph"/>
        <w:numPr>
          <w:ilvl w:val="0"/>
          <w:numId w:val="2"/>
        </w:numPr>
        <w:spacing w:after="70" w:line="268"/>
      </w:pPr>
      <w:r>
        <w:rPr>
          <w:rFonts w:ascii="Calibri" w:cs="Calibri" w:eastAsia="Calibri" w:hAnsi="Calibri"/>
          <w:b/>
          <w:bCs/>
          <w:sz w:val="21"/>
          <w:szCs w:val="21"/>
        </w:rPr>
        <w:t xml:space="preserve">3.  Constructive risk backdrop.  </w:t>
      </w:r>
      <w:r>
        <w:rPr>
          <w:rFonts w:ascii="Calibri" w:cs="Calibri" w:eastAsia="Calibri" w:hAnsi="Calibri"/>
          <w:color w:val="1A1A2E"/>
          <w:sz w:val="19"/>
          <w:szCs w:val="19"/>
        </w:rPr>
        <w:t xml:space="preserve">Tentative US–Iran de-escalation, a falling VIX and a rising DAX together restored global risk appetite.</w:t>
      </w:r>
    </w:p>
    <w:p>
      <w:pPr>
        <w:pStyle w:val="Heading2"/>
        <w:spacing w:after="100" w:before="180"/>
      </w:pPr>
      <w:r>
        <w:rPr>
          <w:rFonts w:ascii="Calibri" w:cs="Calibri" w:eastAsia="Calibri" w:hAnsi="Calibri"/>
          <w:b/>
          <w:bCs/>
          <w:color w:val="1A1A2E"/>
          <w:sz w:val="22"/>
          <w:szCs w:val="22"/>
        </w:rPr>
        <w:t xml:space="preserve">Single watch item</w:t>
      </w:r>
    </w:p>
    <w:p>
      <w:pPr>
        <w:spacing w:after="120" w:before="0" w:line="276"/>
      </w:pPr>
      <w:r>
        <w:rPr>
          <w:rFonts w:ascii="Calibri" w:cs="Calibri" w:eastAsia="Calibri" w:hAnsi="Calibri"/>
          <w:b/>
          <w:bCs/>
          <w:color w:val="C0392B"/>
          <w:sz w:val="19"/>
          <w:szCs w:val="19"/>
        </w:rPr>
        <w:t xml:space="preserve">Core PCE inflation, Friday 29 May.  </w:t>
      </w:r>
      <w:r>
        <w:rPr>
          <w:rFonts w:ascii="Calibri" w:cs="Calibri" w:eastAsia="Calibri" w:hAnsi="Calibri"/>
          <w:color w:val="1A1A2E"/>
          <w:sz w:val="19"/>
          <w:szCs w:val="19"/>
        </w:rPr>
        <w:t xml:space="preserve">It is the Federal Reserve's preferred inflation gauge and the most direct catalyst for the rates channel that governs this index over the five-day horizon.</w:t>
      </w:r>
    </w:p>
    <w:p>
      <w:pPr>
        <w:pStyle w:val="Heading1"/>
        <w:pageBreakBefore/>
        <w:spacing w:after="140" w:before="280"/>
      </w:pPr>
      <w:r>
        <w:rPr>
          <w:rFonts w:ascii="Calibri" w:cs="Calibri" w:eastAsia="Calibri" w:hAnsi="Calibri"/>
          <w:b/>
          <w:bCs/>
          <w:color w:val="2C6FBB"/>
          <w:sz w:val="26"/>
          <w:szCs w:val="26"/>
        </w:rPr>
        <w:t xml:space="preserve">§19  </w:t>
      </w:r>
      <w:r>
        <w:rPr>
          <w:rFonts w:ascii="Calibri" w:cs="Calibri" w:eastAsia="Calibri" w:hAnsi="Calibri"/>
          <w:b/>
          <w:bCs/>
          <w:color w:val="1F3A5F"/>
          <w:sz w:val="26"/>
          <w:szCs w:val="26"/>
        </w:rPr>
        <w:t xml:space="preserve">Source Discipline Note</w:t>
      </w:r>
    </w:p>
    <w:p>
      <w:pPr>
        <w:pStyle w:val="Heading2"/>
        <w:spacing w:after="100" w:before="180"/>
      </w:pPr>
      <w:r>
        <w:rPr>
          <w:rFonts w:ascii="Calibri" w:cs="Calibri" w:eastAsia="Calibri" w:hAnsi="Calibri"/>
          <w:b/>
          <w:bCs/>
          <w:color w:val="1A1A2E"/>
          <w:sz w:val="22"/>
          <w:szCs w:val="22"/>
        </w:rPr>
        <w:t xml:space="preserve">Live vs indicative data</w:t>
      </w:r>
    </w:p>
    <w:p>
      <w:pPr>
        <w:pStyle w:val="ListParagraph"/>
        <w:numPr>
          <w:ilvl w:val="0"/>
          <w:numId w:val="2"/>
        </w:numPr>
        <w:spacing w:after="70" w:line="268"/>
      </w:pPr>
      <w:r>
        <w:rPr>
          <w:rFonts w:ascii="Calibri" w:cs="Calibri" w:eastAsia="Calibri" w:hAnsi="Calibri"/>
          <w:b/>
          <w:bCs/>
          <w:sz w:val="21"/>
          <w:szCs w:val="21"/>
        </w:rPr>
        <w:t xml:space="preserve">Corroborated (live).  </w:t>
      </w:r>
      <w:r>
        <w:rPr>
          <w:rFonts w:ascii="Calibri" w:cs="Calibri" w:eastAsia="Calibri" w:hAnsi="Calibri"/>
          <w:color w:val="1A1A2E"/>
          <w:sz w:val="19"/>
          <w:szCs w:val="19"/>
        </w:rPr>
        <w:t xml:space="preserve">All five daily closing prices (18–22 May) are corroborated by at least two independent sources within the ±0.10-point equity-index tolerance — the official S&amp;P Dow Jones value and the FRED published series agree at a zero delta, with aggregator and media feeds providing additional confirmation.</w:t>
      </w:r>
    </w:p>
    <w:p>
      <w:pPr>
        <w:pStyle w:val="ListParagraph"/>
        <w:numPr>
          <w:ilvl w:val="0"/>
          <w:numId w:val="2"/>
        </w:numPr>
        <w:spacing w:after="70" w:line="268"/>
      </w:pPr>
      <w:r>
        <w:rPr>
          <w:rFonts w:ascii="Calibri" w:cs="Calibri" w:eastAsia="Calibri" w:hAnsi="Calibri"/>
          <w:b/>
          <w:bCs/>
          <w:sz w:val="21"/>
          <w:szCs w:val="21"/>
        </w:rPr>
        <w:t xml:space="preserve">Single-source indicative.  </w:t>
      </w:r>
      <w:r>
        <w:rPr>
          <w:rFonts w:ascii="Calibri" w:cs="Calibri" w:eastAsia="Calibri" w:hAnsi="Calibri"/>
          <w:color w:val="1A1A2E"/>
          <w:sz w:val="19"/>
          <w:szCs w:val="19"/>
        </w:rPr>
        <w:t xml:space="preserve">Several intraday Open/High/Low fields for the 18–20 May sessions are single-source. They are labelled indicative in §6, are used for chart visualisation and directional context only, and are not treated as definitive pivot inputs.</w:t>
      </w:r>
    </w:p>
    <w:p>
      <w:pPr>
        <w:pStyle w:val="ListParagraph"/>
        <w:numPr>
          <w:ilvl w:val="0"/>
          <w:numId w:val="2"/>
        </w:numPr>
        <w:spacing w:after="70" w:line="268"/>
      </w:pPr>
      <w:r>
        <w:rPr>
          <w:rFonts w:ascii="Calibri" w:cs="Calibri" w:eastAsia="Calibri" w:hAnsi="Calibri"/>
          <w:b/>
          <w:bCs/>
          <w:sz w:val="21"/>
          <w:szCs w:val="21"/>
        </w:rPr>
        <w:t xml:space="preserve">Pivot inputs.  </w:t>
      </w:r>
      <w:r>
        <w:rPr>
          <w:rFonts w:ascii="Calibri" w:cs="Calibri" w:eastAsia="Calibri" w:hAnsi="Calibri"/>
          <w:color w:val="1A1A2E"/>
          <w:sz w:val="19"/>
          <w:szCs w:val="19"/>
        </w:rPr>
        <w:t xml:space="preserve">All daily, weekly and monthly pivot levels (§11) carry a SINGLE-SOURCE-INDICATIVE flag: the prior-period High/Low/Close inputs derive from the engine's validated rolling window rather than an independent multi-source pivot fetch. This flag propagates to the §21 trade cards.</w:t>
      </w:r>
    </w:p>
    <w:p>
      <w:pPr>
        <w:pStyle w:val="Heading2"/>
        <w:spacing w:after="100" w:before="180"/>
      </w:pPr>
      <w:r>
        <w:rPr>
          <w:rFonts w:ascii="Calibri" w:cs="Calibri" w:eastAsia="Calibri" w:hAnsi="Calibri"/>
          <w:b/>
          <w:bCs/>
          <w:color w:val="1A1A2E"/>
          <w:sz w:val="22"/>
          <w:szCs w:val="22"/>
        </w:rPr>
        <w:t xml:space="preserve">Data gaps and treatment</w:t>
      </w:r>
    </w:p>
    <w:p>
      <w:pPr>
        <w:spacing w:after="120" w:before="0" w:line="276"/>
      </w:pPr>
      <w:r>
        <w:rPr>
          <w:rFonts w:ascii="Calibri" w:cs="Calibri" w:eastAsia="Calibri" w:hAnsi="Calibri"/>
          <w:color w:val="1A1A2E"/>
          <w:sz w:val="19"/>
          <w:szCs w:val="19"/>
        </w:rPr>
        <w:t xml:space="preserve">The technical engine's standard automated source stack could not complete live multi-source fetches in this run environment; OHLC and counter data were assembled and corroborated manually from approved sources (S&amp;P Dow Jones / FRED, CNBC, Yahoo Finance, TheStreet, Trading Economics, Advisor Perspectives, Investing.com). Closing-level corroboration was achieved for the primary asset on every session. Intraday extremes are the principal residual gap and are flagged accordingly.</w:t>
      </w:r>
    </w:p>
    <w:p>
      <w:pPr>
        <w:pStyle w:val="Heading2"/>
        <w:spacing w:after="100" w:before="180"/>
      </w:pPr>
      <w:r>
        <w:rPr>
          <w:rFonts w:ascii="Calibri" w:cs="Calibri" w:eastAsia="Calibri" w:hAnsi="Calibri"/>
          <w:b/>
          <w:bCs/>
          <w:color w:val="1A1A2E"/>
          <w:sz w:val="22"/>
          <w:szCs w:val="22"/>
        </w:rPr>
        <w:t xml:space="preserve">Corroboration status by instrument</w:t>
      </w:r>
    </w:p>
    <w:p>
      <w:pPr>
        <w:spacing w:after="20"/>
      </w:pPr>
      <w:r>
        <w:rPr>
          <w:rFonts w:ascii="Calibri" w:cs="Calibri" w:eastAsia="Calibri" w:hAnsi="Calibri"/>
          <w:sz w:val="21"/>
          <w:szCs w:val="21"/>
        </w:rPr>
        <w:t xml:space="preserve"/>
      </w:r>
    </w:p>
    <w:tbl>
      <w:tblPr>
        <w:tblW w:type="dxa" w:w="9360"/>
        <w:tblBorders>
          <w:top w:val="single" w:color="C9D4E2" w:sz="2"/>
          <w:left w:val="single" w:color="C9D4E2" w:sz="2"/>
          <w:bottom w:val="single" w:color="C9D4E2" w:sz="2"/>
          <w:right w:val="single" w:color="C9D4E2" w:sz="2"/>
          <w:insideH w:val="single" w:color="C9D4E2" w:sz="2"/>
          <w:insideV w:val="single" w:color="C9D4E2" w:sz="2"/>
        </w:tblBorders>
      </w:tblPr>
      <w:tblGrid>
        <w:gridCol w:w="2200"/>
        <w:gridCol w:w="2200"/>
        <w:gridCol w:w="4960"/>
      </w:tblGrid>
      <w:tr>
        <w:trPr>
          <w:tblHeader/>
        </w:trPr>
        <w:tc>
          <w:tcPr>
            <w:tcW w:type="dxa" w:w="2200"/>
            <w:shd w:fill="1F3A5F" w:val="clear"/>
            <w:tcMar>
              <w:top w:type="dxa" w:w="70"/>
              <w:left w:type="dxa" w:w="90"/>
              <w:bottom w:type="dxa" w:w="70"/>
              <w:right w:type="dxa" w:w="90"/>
            </w:tcMar>
            <w:vAlign w:val="center"/>
          </w:tcPr>
          <w:p>
            <w:pPr>
              <w:spacing w:after="0" w:line="248"/>
              <w:jc w:val="left"/>
            </w:pPr>
            <w:r>
              <w:rPr>
                <w:rFonts w:ascii="Calibri" w:cs="Calibri" w:eastAsia="Calibri" w:hAnsi="Calibri"/>
                <w:b/>
                <w:bCs/>
                <w:color w:val="FFFFFF"/>
                <w:sz w:val="19"/>
                <w:szCs w:val="19"/>
              </w:rPr>
              <w:t xml:space="preserve">Instrument</w:t>
            </w:r>
          </w:p>
        </w:tc>
        <w:tc>
          <w:tcPr>
            <w:tcW w:type="dxa" w:w="2200"/>
            <w:shd w:fill="1F3A5F" w:val="clear"/>
            <w:tcMar>
              <w:top w:type="dxa" w:w="70"/>
              <w:left w:type="dxa" w:w="90"/>
              <w:bottom w:type="dxa" w:w="70"/>
              <w:right w:type="dxa" w:w="90"/>
            </w:tcMar>
            <w:vAlign w:val="center"/>
          </w:tcPr>
          <w:p>
            <w:pPr>
              <w:spacing w:after="0" w:line="248"/>
              <w:jc w:val="center"/>
            </w:pPr>
            <w:r>
              <w:rPr>
                <w:rFonts w:ascii="Calibri" w:cs="Calibri" w:eastAsia="Calibri" w:hAnsi="Calibri"/>
                <w:b/>
                <w:bCs/>
                <w:color w:val="FFFFFF"/>
                <w:sz w:val="19"/>
                <w:szCs w:val="19"/>
              </w:rPr>
              <w:t xml:space="preserve">Status</w:t>
            </w:r>
          </w:p>
        </w:tc>
        <w:tc>
          <w:tcPr>
            <w:tcW w:type="dxa" w:w="4960"/>
            <w:shd w:fill="1F3A5F" w:val="clear"/>
            <w:tcMar>
              <w:top w:type="dxa" w:w="70"/>
              <w:left w:type="dxa" w:w="90"/>
              <w:bottom w:type="dxa" w:w="70"/>
              <w:right w:type="dxa" w:w="90"/>
            </w:tcMar>
            <w:vAlign w:val="center"/>
          </w:tcPr>
          <w:p>
            <w:pPr>
              <w:spacing w:after="0" w:line="248"/>
              <w:jc w:val="center"/>
            </w:pPr>
            <w:r>
              <w:rPr>
                <w:rFonts w:ascii="Calibri" w:cs="Calibri" w:eastAsia="Calibri" w:hAnsi="Calibri"/>
                <w:b/>
                <w:bCs/>
                <w:color w:val="FFFFFF"/>
                <w:sz w:val="19"/>
                <w:szCs w:val="19"/>
              </w:rPr>
              <w:t xml:space="preserve">Note</w:t>
            </w:r>
          </w:p>
        </w:tc>
      </w:tr>
      <w:tr>
        <w:tc>
          <w:tcPr>
            <w:tcW w:type="dxa" w:w="2200"/>
            <w:shd w:fill="FFFFFF"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9"/>
                <w:szCs w:val="19"/>
              </w:rPr>
              <w:t xml:space="preserve">S&amp;P 500 (^GSPC)</w:t>
            </w:r>
          </w:p>
        </w:tc>
        <w:tc>
          <w:tcPr>
            <w:tcW w:type="dxa" w:w="220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Corroborated</w:t>
            </w:r>
          </w:p>
        </w:tc>
        <w:tc>
          <w:tcPr>
            <w:tcW w:type="dxa" w:w="496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Closes dual-source at zero delta; intraday O/H/L partly indicative</w:t>
            </w:r>
          </w:p>
        </w:tc>
      </w:tr>
      <w:tr>
        <w:tc>
          <w:tcPr>
            <w:tcW w:type="dxa" w:w="2200"/>
            <w:shd w:fill="F4F6FA"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9"/>
                <w:szCs w:val="19"/>
              </w:rPr>
              <w:t xml:space="preserve">USDX</w:t>
            </w:r>
          </w:p>
        </w:tc>
        <w:tc>
          <w:tcPr>
            <w:tcW w:type="dxa" w:w="2200"/>
            <w:shd w:fill="F4F6FA"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Corroborated (close)</w:t>
            </w:r>
          </w:p>
        </w:tc>
        <w:tc>
          <w:tcPr>
            <w:tcW w:type="dxa" w:w="4960"/>
            <w:shd w:fill="F4F6FA"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Directional counter; 22 May close ~99.24</w:t>
            </w:r>
          </w:p>
        </w:tc>
      </w:tr>
      <w:tr>
        <w:tc>
          <w:tcPr>
            <w:tcW w:type="dxa" w:w="2200"/>
            <w:shd w:fill="FFFFFF"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9"/>
                <w:szCs w:val="19"/>
              </w:rPr>
              <w:t xml:space="preserve">VIX</w:t>
            </w:r>
          </w:p>
        </w:tc>
        <w:tc>
          <w:tcPr>
            <w:tcW w:type="dxa" w:w="220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Corroborated (close)</w:t>
            </w:r>
          </w:p>
        </w:tc>
        <w:tc>
          <w:tcPr>
            <w:tcW w:type="dxa" w:w="496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Directional counter; eased to ~16.7</w:t>
            </w:r>
          </w:p>
        </w:tc>
      </w:tr>
      <w:tr>
        <w:tc>
          <w:tcPr>
            <w:tcW w:type="dxa" w:w="2200"/>
            <w:shd w:fill="F4F6FA"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9"/>
                <w:szCs w:val="19"/>
              </w:rPr>
              <w:t xml:space="preserve">DAX 40</w:t>
            </w:r>
          </w:p>
        </w:tc>
        <w:tc>
          <w:tcPr>
            <w:tcW w:type="dxa" w:w="2200"/>
            <w:shd w:fill="F4F6FA"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Corroborated (close)</w:t>
            </w:r>
          </w:p>
        </w:tc>
        <w:tc>
          <w:tcPr>
            <w:tcW w:type="dxa" w:w="4960"/>
            <w:shd w:fill="F4F6FA"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Counter; 22 May close 24,888.56 confirmed two-source</w:t>
            </w:r>
          </w:p>
        </w:tc>
      </w:tr>
      <w:tr>
        <w:tc>
          <w:tcPr>
            <w:tcW w:type="dxa" w:w="2200"/>
            <w:shd w:fill="FFFFFF"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9"/>
                <w:szCs w:val="19"/>
              </w:rPr>
              <w:t xml:space="preserve">Pivot inputs</w:t>
            </w:r>
          </w:p>
        </w:tc>
        <w:tc>
          <w:tcPr>
            <w:tcW w:type="dxa" w:w="220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Single-source indicative</w:t>
            </w:r>
          </w:p>
        </w:tc>
        <w:tc>
          <w:tcPr>
            <w:tcW w:type="dxa" w:w="496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Engine rolling-window derivation; flag carried to §21</w:t>
            </w:r>
          </w:p>
        </w:tc>
      </w:tr>
    </w:tbl>
    <w:p>
      <w:pPr>
        <w:spacing w:after="120" w:before="0" w:line="276"/>
      </w:pPr>
      <w:r>
        <w:rPr>
          <w:sz w:val="8"/>
          <w:szCs w:val="8"/>
        </w:rPr>
        <w:t xml:space="preserve">  </w:t>
      </w:r>
    </w:p>
    <w:p>
      <w:pPr>
        <w:spacing w:after="120" w:before="0" w:line="276"/>
      </w:pPr>
      <w:r>
        <w:rPr>
          <w:rFonts w:ascii="Calibri" w:cs="Calibri" w:eastAsia="Calibri" w:hAnsi="Calibri"/>
          <w:b/>
          <w:bCs/>
          <w:i/>
          <w:iCs/>
          <w:color w:val="1A1A2E"/>
          <w:sz w:val="19"/>
          <w:szCs w:val="19"/>
        </w:rPr>
        <w:t xml:space="preserve">Strategy note.  </w:t>
      </w:r>
      <w:r>
        <w:rPr>
          <w:rFonts w:ascii="Calibri" w:cs="Calibri" w:eastAsia="Calibri" w:hAnsi="Calibri"/>
          <w:i/>
          <w:iCs/>
          <w:color w:val="5A6678"/>
          <w:sz w:val="19"/>
          <w:szCs w:val="19"/>
        </w:rPr>
        <w:t xml:space="preserve">Per the user instruction for this run, the strategy section is produced in full and is not suppressed on corroboration grounds; the single-source-indicative pivot flag is therefore carried as a documented caveat on the affected trade card (Trade 2) rather than triggering its suppression.</w:t>
      </w:r>
    </w:p>
    <w:p>
      <w:pPr>
        <w:pStyle w:val="Heading1"/>
        <w:pageBreakBefore/>
        <w:spacing w:after="140" w:before="280"/>
      </w:pPr>
      <w:r>
        <w:rPr>
          <w:rFonts w:ascii="Calibri" w:cs="Calibri" w:eastAsia="Calibri" w:hAnsi="Calibri"/>
          <w:b/>
          <w:bCs/>
          <w:color w:val="2C6FBB"/>
          <w:sz w:val="26"/>
          <w:szCs w:val="26"/>
        </w:rPr>
        <w:t xml:space="preserve">§20  </w:t>
      </w:r>
      <w:r>
        <w:rPr>
          <w:rFonts w:ascii="Calibri" w:cs="Calibri" w:eastAsia="Calibri" w:hAnsi="Calibri"/>
          <w:b/>
          <w:bCs/>
          <w:color w:val="1F3A5F"/>
          <w:sz w:val="26"/>
          <w:szCs w:val="26"/>
        </w:rPr>
        <w:t xml:space="preserve">Agent Log</w:t>
      </w:r>
    </w:p>
    <w:p>
      <w:pPr>
        <w:pStyle w:val="Heading2"/>
        <w:spacing w:after="100" w:before="180"/>
      </w:pPr>
      <w:r>
        <w:rPr>
          <w:rFonts w:ascii="Calibri" w:cs="Calibri" w:eastAsia="Calibri" w:hAnsi="Calibri"/>
          <w:b/>
          <w:bCs/>
          <w:color w:val="1A1A2E"/>
          <w:sz w:val="22"/>
          <w:szCs w:val="22"/>
        </w:rPr>
        <w:t xml:space="preserve">Run parameters</w:t>
      </w:r>
    </w:p>
    <w:p>
      <w:pPr>
        <w:pStyle w:val="ListParagraph"/>
        <w:numPr>
          <w:ilvl w:val="0"/>
          <w:numId w:val="2"/>
        </w:numPr>
        <w:spacing w:after="70" w:line="268"/>
      </w:pPr>
      <w:r>
        <w:rPr>
          <w:rFonts w:ascii="Calibri" w:cs="Calibri" w:eastAsia="Calibri" w:hAnsi="Calibri"/>
          <w:color w:val="1A1A2E"/>
          <w:sz w:val="19"/>
          <w:szCs w:val="19"/>
        </w:rPr>
        <w:t xml:space="preserve">Primary asset ^GSPC; counters USDX, VIX, DAX 40. Report date 26 May 2026; as-of session 22 May 2026 (25 May was Memorial Day — US markets closed).</w:t>
      </w:r>
    </w:p>
    <w:p>
      <w:pPr>
        <w:pStyle w:val="ListParagraph"/>
        <w:numPr>
          <w:ilvl w:val="0"/>
          <w:numId w:val="2"/>
        </w:numPr>
        <w:spacing w:after="70" w:line="268"/>
      </w:pPr>
      <w:r>
        <w:rPr>
          <w:rFonts w:ascii="Calibri" w:cs="Calibri" w:eastAsia="Calibri" w:hAnsi="Calibri"/>
          <w:color w:val="1A1A2E"/>
          <w:sz w:val="19"/>
          <w:szCs w:val="19"/>
        </w:rPr>
        <w:t xml:space="preserve">Short window 5 sessions; medium window 25 sessions. Volatility method ATR, historical scaling. Kaufman period 13, EMA smoothing 3, trend threshold 0.13.</w:t>
      </w:r>
    </w:p>
    <w:p>
      <w:pPr>
        <w:pStyle w:val="ListParagraph"/>
        <w:numPr>
          <w:ilvl w:val="0"/>
          <w:numId w:val="2"/>
        </w:numPr>
        <w:spacing w:after="70" w:line="268"/>
      </w:pPr>
      <w:r>
        <w:rPr>
          <w:rFonts w:ascii="Calibri" w:cs="Calibri" w:eastAsia="Calibri" w:hAnsi="Calibri"/>
          <w:b/>
          <w:bCs/>
          <w:color w:val="1A1A2E"/>
          <w:sz w:val="19"/>
          <w:szCs w:val="19"/>
        </w:rPr>
        <w:t xml:space="preserve">Configuration override: </w:t>
      </w:r>
      <w:r>
        <w:rPr>
          <w:rFonts w:ascii="Calibri" w:cs="Calibri" w:eastAsia="Calibri" w:hAnsi="Calibri"/>
          <w:color w:val="1A1A2E"/>
          <w:sz w:val="19"/>
          <w:szCs w:val="19"/>
        </w:rPr>
        <w:t xml:space="preserve">the daily-open execution anchor was overridden from the instance default of 07:00 UK to </w:t>
      </w:r>
      <w:r>
        <w:rPr>
          <w:rFonts w:ascii="Calibri" w:cs="Calibri" w:eastAsia="Calibri" w:hAnsi="Calibri"/>
          <w:b/>
          <w:bCs/>
          <w:sz w:val="21"/>
          <w:szCs w:val="21"/>
        </w:rPr>
        <w:t xml:space="preserve">00:00 UK</w:t>
      </w:r>
      <w:r>
        <w:rPr>
          <w:rFonts w:ascii="Calibri" w:cs="Calibri" w:eastAsia="Calibri" w:hAnsi="Calibri"/>
          <w:color w:val="1A1A2E"/>
          <w:sz w:val="19"/>
          <w:szCs w:val="19"/>
        </w:rPr>
        <w:t xml:space="preserve"> at the user's instruction for this run. Recorded here per process requirements.</w:t>
      </w:r>
    </w:p>
    <w:p>
      <w:pPr>
        <w:pStyle w:val="Heading2"/>
        <w:spacing w:after="100" w:before="180"/>
      </w:pPr>
      <w:r>
        <w:rPr>
          <w:rFonts w:ascii="Calibri" w:cs="Calibri" w:eastAsia="Calibri" w:hAnsi="Calibri"/>
          <w:b/>
          <w:bCs/>
          <w:color w:val="1A1A2E"/>
          <w:sz w:val="22"/>
          <w:szCs w:val="22"/>
        </w:rPr>
        <w:t xml:space="preserve">Source resolution</w:t>
      </w:r>
    </w:p>
    <w:p>
      <w:pPr>
        <w:pStyle w:val="ListParagraph"/>
        <w:numPr>
          <w:ilvl w:val="0"/>
          <w:numId w:val="2"/>
        </w:numPr>
        <w:spacing w:after="70" w:line="268"/>
      </w:pPr>
      <w:r>
        <w:rPr>
          <w:rFonts w:ascii="Calibri" w:cs="Calibri" w:eastAsia="Calibri" w:hAnsi="Calibri"/>
          <w:color w:val="1A1A2E"/>
          <w:sz w:val="19"/>
          <w:szCs w:val="19"/>
        </w:rPr>
        <w:t xml:space="preserve">Automated multi-source fetch stack unavailable in the run environment; OHLC and counter data assembled manually from approved sources. Closing-level two-source corroboration achieved for the primary asset on all five sessions (S&amp;P Dow Jones / FRED agree at zero delta).</w:t>
      </w:r>
    </w:p>
    <w:p>
      <w:pPr>
        <w:pStyle w:val="ListParagraph"/>
        <w:numPr>
          <w:ilvl w:val="0"/>
          <w:numId w:val="2"/>
        </w:numPr>
        <w:spacing w:after="70" w:line="268"/>
      </w:pPr>
      <w:r>
        <w:rPr>
          <w:rFonts w:ascii="Calibri" w:cs="Calibri" w:eastAsia="Calibri" w:hAnsi="Calibri"/>
          <w:color w:val="1A1A2E"/>
          <w:sz w:val="19"/>
          <w:szCs w:val="19"/>
        </w:rPr>
        <w:t xml:space="preserve">One off-basis observation (Chicago-quoted ^SPX feed, 7,474.33) excluded from the §3 consensus and disclosed in §4.</w:t>
      </w:r>
    </w:p>
    <w:p>
      <w:pPr>
        <w:pStyle w:val="ListParagraph"/>
        <w:numPr>
          <w:ilvl w:val="0"/>
          <w:numId w:val="2"/>
        </w:numPr>
        <w:spacing w:after="70" w:line="268"/>
      </w:pPr>
      <w:r>
        <w:rPr>
          <w:rFonts w:ascii="Calibri" w:cs="Calibri" w:eastAsia="Calibri" w:hAnsi="Calibri"/>
          <w:color w:val="1A1A2E"/>
          <w:sz w:val="19"/>
          <w:szCs w:val="19"/>
        </w:rPr>
        <w:t xml:space="preserve">Intraday O/H/L for 18–20 May and all pivot prior-period inputs flagged single-source indicative (see §19).</w:t>
      </w:r>
    </w:p>
    <w:p>
      <w:pPr>
        <w:pStyle w:val="Heading2"/>
        <w:spacing w:after="100" w:before="180"/>
      </w:pPr>
      <w:r>
        <w:rPr>
          <w:rFonts w:ascii="Calibri" w:cs="Calibri" w:eastAsia="Calibri" w:hAnsi="Calibri"/>
          <w:b/>
          <w:bCs/>
          <w:color w:val="1A1A2E"/>
          <w:sz w:val="22"/>
          <w:szCs w:val="22"/>
        </w:rPr>
        <w:t xml:space="preserve">Sentiment derivation</w:t>
      </w:r>
    </w:p>
    <w:p>
      <w:pPr>
        <w:pStyle w:val="ListParagraph"/>
        <w:numPr>
          <w:ilvl w:val="0"/>
          <w:numId w:val="2"/>
        </w:numPr>
        <w:spacing w:after="70" w:line="268"/>
      </w:pPr>
      <w:r>
        <w:rPr>
          <w:rFonts w:ascii="Calibri" w:cs="Calibri" w:eastAsia="Calibri" w:hAnsi="Calibri"/>
          <w:color w:val="1A1A2E"/>
          <w:sz w:val="19"/>
          <w:szCs w:val="19"/>
        </w:rPr>
        <w:t xml:space="preserve">Six articles classified for the S&amp;P 500: 3 Bullish, 2 Bearish, 1 Mixed. Categorical label Predominantly Bullish; source-class-weighted numeric tilt +0.30 (consumed by §21a). Each classification carries a derivation quote of ≤15 words (§13a). No sentiment/price divergence detected.</w:t>
      </w:r>
    </w:p>
    <w:p>
      <w:pPr>
        <w:pStyle w:val="Heading2"/>
        <w:spacing w:after="100" w:before="180"/>
      </w:pPr>
      <w:r>
        <w:rPr>
          <w:rFonts w:ascii="Calibri" w:cs="Calibri" w:eastAsia="Calibri" w:hAnsi="Calibri"/>
          <w:b/>
          <w:bCs/>
          <w:color w:val="1A1A2E"/>
          <w:sz w:val="22"/>
          <w:szCs w:val="22"/>
        </w:rPr>
        <w:t xml:space="preserve">Strategy module trace</w:t>
      </w:r>
    </w:p>
    <w:p>
      <w:pPr>
        <w:pStyle w:val="ListParagraph"/>
        <w:numPr>
          <w:ilvl w:val="0"/>
          <w:numId w:val="2"/>
        </w:numPr>
        <w:spacing w:after="70" w:line="268"/>
      </w:pPr>
      <w:r>
        <w:rPr>
          <w:rFonts w:ascii="Calibri" w:cs="Calibri" w:eastAsia="Calibri" w:hAnsi="Calibri"/>
          <w:b/>
          <w:bCs/>
          <w:color w:val="1A1A2E"/>
          <w:sz w:val="19"/>
          <w:szCs w:val="19"/>
        </w:rPr>
        <w:t xml:space="preserve">Direction-score weights: </w:t>
      </w:r>
      <w:r>
        <w:rPr>
          <w:rFonts w:ascii="Calibri" w:cs="Calibri" w:eastAsia="Calibri" w:hAnsi="Calibri"/>
          <w:color w:val="1A1A2E"/>
          <w:sz w:val="19"/>
          <w:szCs w:val="19"/>
        </w:rPr>
        <w:t xml:space="preserve">defaults (0.25 / 0.20 / 0.10 / 0.15 / 0.15 / 0.15) — unchanged, within the 20-session lock window. No tuning applied.</w:t>
      </w:r>
    </w:p>
    <w:p>
      <w:pPr>
        <w:pStyle w:val="ListParagraph"/>
        <w:numPr>
          <w:ilvl w:val="0"/>
          <w:numId w:val="2"/>
        </w:numPr>
        <w:spacing w:after="70" w:line="268"/>
      </w:pPr>
      <w:r>
        <w:rPr>
          <w:rFonts w:ascii="Calibri" w:cs="Calibri" w:eastAsia="Calibri" w:hAnsi="Calibri"/>
          <w:b/>
          <w:bCs/>
          <w:color w:val="1A1A2E"/>
          <w:sz w:val="19"/>
          <w:szCs w:val="19"/>
        </w:rPr>
        <w:t xml:space="preserve">Direction score +0.49 → LONG.  </w:t>
      </w:r>
      <w:r>
        <w:rPr>
          <w:rFonts w:ascii="Calibri" w:cs="Calibri" w:eastAsia="Calibri" w:hAnsi="Calibri"/>
          <w:color w:val="1A1A2E"/>
          <w:sz w:val="19"/>
          <w:szCs w:val="19"/>
        </w:rPr>
        <w:t xml:space="preserve">Contributions: short-term technical +0.25, medium-term regime +0.10, Kaufman +0.05, sentiment +0.05, cross-asset +0.05, VOLator +0.00.</w:t>
      </w:r>
    </w:p>
    <w:p>
      <w:pPr>
        <w:pStyle w:val="ListParagraph"/>
        <w:numPr>
          <w:ilvl w:val="0"/>
          <w:numId w:val="2"/>
        </w:numPr>
        <w:spacing w:after="70" w:line="268"/>
      </w:pPr>
      <w:r>
        <w:rPr>
          <w:rFonts w:ascii="Calibri" w:cs="Calibri" w:eastAsia="Calibri" w:hAnsi="Calibri"/>
          <w:b/>
          <w:bCs/>
          <w:color w:val="1A1A2E"/>
          <w:sz w:val="19"/>
          <w:szCs w:val="19"/>
        </w:rPr>
        <w:t xml:space="preserve">Regime label TRANSITION.  </w:t>
      </w:r>
      <w:r>
        <w:rPr>
          <w:rFonts w:ascii="Calibri" w:cs="Calibri" w:eastAsia="Calibri" w:hAnsi="Calibri"/>
          <w:color w:val="1A1A2E"/>
          <w:sz w:val="19"/>
          <w:szCs w:val="19"/>
        </w:rPr>
        <w:t xml:space="preserve">The 25-session block satisfied neither the clean Trending nor the clean Ranging gate (overlap 0.65 and persistence 0.92 conflict); the label fell through to TRANSITION. Trade 3 forks to variant 3C; Trade 2 plays the breakout side only.</w:t>
      </w:r>
    </w:p>
    <w:p>
      <w:pPr>
        <w:pStyle w:val="ListParagraph"/>
        <w:numPr>
          <w:ilvl w:val="0"/>
          <w:numId w:val="2"/>
        </w:numPr>
        <w:spacing w:after="70" w:line="268"/>
      </w:pPr>
      <w:r>
        <w:rPr>
          <w:rFonts w:ascii="Calibri" w:cs="Calibri" w:eastAsia="Calibri" w:hAnsi="Calibri"/>
          <w:b/>
          <w:bCs/>
          <w:color w:val="1A1A2E"/>
          <w:sz w:val="19"/>
          <w:szCs w:val="19"/>
        </w:rPr>
        <w:t xml:space="preserve">Suppression: none.  </w:t>
      </w:r>
      <w:r>
        <w:rPr>
          <w:rFonts w:ascii="Calibri" w:cs="Calibri" w:eastAsia="Calibri" w:hAnsi="Calibri"/>
          <w:color w:val="1A1A2E"/>
          <w:sz w:val="19"/>
          <w:szCs w:val="19"/>
        </w:rPr>
        <w:t xml:space="preserve">All three trade cards produced. The single-source-indicative pivot flag would normally place Trade 2 at risk of suppression; per the user instruction, suppression on corroboration grounds is waived for this run and the flag is carried as a caveat instead.</w:t>
      </w:r>
    </w:p>
    <w:p>
      <w:pPr>
        <w:pStyle w:val="ListParagraph"/>
        <w:numPr>
          <w:ilvl w:val="0"/>
          <w:numId w:val="2"/>
        </w:numPr>
        <w:spacing w:after="70" w:line="268"/>
      </w:pPr>
      <w:r>
        <w:rPr>
          <w:rFonts w:ascii="Calibri" w:cs="Calibri" w:eastAsia="Calibri" w:hAnsi="Calibri"/>
          <w:b/>
          <w:bCs/>
          <w:color w:val="1A1A2E"/>
          <w:sz w:val="19"/>
          <w:szCs w:val="19"/>
        </w:rPr>
        <w:t xml:space="preserve">Backtest.  </w:t>
      </w:r>
      <w:r>
        <w:rPr>
          <w:rFonts w:ascii="Calibri" w:cs="Calibri" w:eastAsia="Calibri" w:hAnsi="Calibri"/>
          <w:color w:val="1A1A2E"/>
          <w:sz w:val="19"/>
          <w:szCs w:val="19"/>
        </w:rPr>
        <w:t xml:space="preserve">Five prior sessions reconstructed under the Trade 1 logic with no forward leakage; sentiment frozen at each reconstruction date. Resolved on actual session OHLC with the conservative SL-first tick-priority rule.</w:t>
      </w:r>
    </w:p>
    <w:p>
      <w:pPr>
        <w:pStyle w:val="ListParagraph"/>
        <w:numPr>
          <w:ilvl w:val="0"/>
          <w:numId w:val="2"/>
        </w:numPr>
        <w:spacing w:after="70" w:line="268"/>
      </w:pPr>
      <w:r>
        <w:rPr>
          <w:rFonts w:ascii="Calibri" w:cs="Calibri" w:eastAsia="Calibri" w:hAnsi="Calibri"/>
          <w:b/>
          <w:bCs/>
          <w:color w:val="1A1A2E"/>
          <w:sz w:val="19"/>
          <w:szCs w:val="19"/>
        </w:rPr>
        <w:t xml:space="preserve">KER/regime divergence logged.  </w:t>
      </w:r>
      <w:r>
        <w:rPr>
          <w:rFonts w:ascii="Calibri" w:cs="Calibri" w:eastAsia="Calibri" w:hAnsi="Calibri"/>
          <w:color w:val="1A1A2E"/>
          <w:sz w:val="19"/>
          <w:szCs w:val="19"/>
        </w:rPr>
        <w:t xml:space="preserve">KER (+0.34, Trending Up — Moderate) disagrees with the Transitional regime label; flagged in §9, §16, §17 and carried into the §21 conviction narrative.</w:t>
      </w:r>
    </w:p>
    <w:p>
      <w:pPr>
        <w:spacing w:after="120" w:before="0" w:line="276"/>
      </w:pPr>
      <w:r>
        <w:rPr>
          <w:rFonts w:ascii="Calibri" w:cs="Calibri" w:eastAsia="Calibri" w:hAnsi="Calibri"/>
          <w:i/>
          <w:iCs/>
          <w:color w:val="8A93A3"/>
          <w:sz w:val="18"/>
          <w:szCs w:val="18"/>
        </w:rPr>
        <w:t xml:space="preserve">Run timestamp: 26 May 2026, 02:40 UK.  Forward-test session logged for the 20-session weight-lock counter.</w:t>
      </w:r>
    </w:p>
    <w:p>
      <w:pPr>
        <w:pStyle w:val="Heading1"/>
        <w:pageBreakBefore/>
        <w:spacing w:after="140" w:before="280"/>
      </w:pPr>
      <w:r>
        <w:rPr>
          <w:rFonts w:ascii="Calibri" w:cs="Calibri" w:eastAsia="Calibri" w:hAnsi="Calibri"/>
          <w:b/>
          <w:bCs/>
          <w:color w:val="2C6FBB"/>
          <w:sz w:val="26"/>
          <w:szCs w:val="26"/>
        </w:rPr>
        <w:t xml:space="preserve">§21  </w:t>
      </w:r>
      <w:r>
        <w:rPr>
          <w:rFonts w:ascii="Calibri" w:cs="Calibri" w:eastAsia="Calibri" w:hAnsi="Calibri"/>
          <w:b/>
          <w:bCs/>
          <w:color w:val="1F3A5F"/>
          <w:sz w:val="26"/>
          <w:szCs w:val="26"/>
        </w:rPr>
        <w:t xml:space="preserve">Strategy Recommendations</w:t>
      </w:r>
    </w:p>
    <w:p>
      <w:pPr>
        <w:spacing w:after="120" w:before="0" w:line="276"/>
      </w:pPr>
      <w:r>
        <w:rPr>
          <w:rFonts w:ascii="Calibri" w:cs="Calibri" w:eastAsia="Calibri" w:hAnsi="Calibri"/>
          <w:color w:val="1A1A2E"/>
          <w:sz w:val="19"/>
          <w:szCs w:val="19"/>
        </w:rPr>
        <w:t xml:space="preserve">This section is the executable expression of the analysis in §1–§20. Three regime-aware trade cards are produced for the S&amp;P 500 cash index. All stops and targets are shown in both index points and the native execution unit (points). This section introduces no new data and does not modify the §16 Forward View or the §17 Forecast.</w:t>
      </w:r>
    </w:p>
    <w:p>
      <w:pPr>
        <w:pStyle w:val="Heading2"/>
        <w:spacing w:after="100" w:before="180"/>
      </w:pPr>
      <w:r>
        <w:rPr>
          <w:rFonts w:ascii="Calibri" w:cs="Calibri" w:eastAsia="Calibri" w:hAnsi="Calibri"/>
          <w:b/>
          <w:bCs/>
          <w:color w:val="1A1A2E"/>
          <w:sz w:val="22"/>
          <w:szCs w:val="22"/>
        </w:rPr>
        <w:t xml:space="preserve">§21a  Directional Conviction</w:t>
      </w:r>
    </w:p>
    <w:p>
      <w:pPr>
        <w:spacing w:after="120" w:before="0" w:line="276"/>
      </w:pPr>
      <w:r>
        <w:rPr>
          <w:rFonts w:ascii="Calibri" w:cs="Calibri" w:eastAsia="Calibri" w:hAnsi="Calibri"/>
          <w:color w:val="1A1A2E"/>
          <w:sz w:val="19"/>
          <w:szCs w:val="19"/>
        </w:rPr>
        <w:t xml:space="preserve">The direction-score outcome is </w:t>
      </w:r>
      <w:r>
        <w:rPr>
          <w:rFonts w:ascii="Calibri" w:cs="Calibri" w:eastAsia="Calibri" w:hAnsi="Calibri"/>
          <w:b/>
          <w:bCs/>
          <w:color w:val="1A7F5A"/>
          <w:sz w:val="21"/>
          <w:szCs w:val="21"/>
        </w:rPr>
        <w:t xml:space="preserve">LONG with a score of +0.49</w:t>
      </w:r>
      <w:r>
        <w:rPr>
          <w:rFonts w:ascii="Calibri" w:cs="Calibri" w:eastAsia="Calibri" w:hAnsi="Calibri"/>
          <w:color w:val="1A1A2E"/>
          <w:sz w:val="19"/>
          <w:szCs w:val="19"/>
        </w:rPr>
        <w:t xml:space="preserve">, clearing the conviction threshold. The score is a weighted sum of six signals; the three highest-weighted contributors are: </w:t>
      </w:r>
      <w:r>
        <w:rPr>
          <w:rFonts w:ascii="Calibri" w:cs="Calibri" w:eastAsia="Calibri" w:hAnsi="Calibri"/>
          <w:b/>
          <w:bCs/>
          <w:sz w:val="21"/>
          <w:szCs w:val="21"/>
        </w:rPr>
        <w:t xml:space="preserve">short-term technical bias (§8) +0.25</w:t>
      </w:r>
      <w:r>
        <w:rPr>
          <w:rFonts w:ascii="Calibri" w:cs="Calibri" w:eastAsia="Calibri" w:hAnsi="Calibri"/>
          <w:color w:val="1A1A2E"/>
          <w:sz w:val="19"/>
          <w:szCs w:val="19"/>
        </w:rPr>
        <w:t xml:space="preserve"> — the bullish-continuation V-recovery; </w:t>
      </w:r>
      <w:r>
        <w:rPr>
          <w:rFonts w:ascii="Calibri" w:cs="Calibri" w:eastAsia="Calibri" w:hAnsi="Calibri"/>
          <w:b/>
          <w:bCs/>
          <w:sz w:val="21"/>
          <w:szCs w:val="21"/>
        </w:rPr>
        <w:t xml:space="preserve">medium-term regime (§9) +0.10</w:t>
      </w:r>
      <w:r>
        <w:rPr>
          <w:rFonts w:ascii="Calibri" w:cs="Calibri" w:eastAsia="Calibri" w:hAnsi="Calibri"/>
          <w:color w:val="1A1A2E"/>
          <w:sz w:val="19"/>
          <w:szCs w:val="19"/>
        </w:rPr>
        <w:t xml:space="preserve"> — the bullish-biased Transitional read; and </w:t>
      </w:r>
      <w:r>
        <w:rPr>
          <w:rFonts w:ascii="Calibri" w:cs="Calibri" w:eastAsia="Calibri" w:hAnsi="Calibri"/>
          <w:b/>
          <w:bCs/>
          <w:sz w:val="21"/>
          <w:szCs w:val="21"/>
        </w:rPr>
        <w:t xml:space="preserve">cross-asset confirmation (§10) +0.05</w:t>
      </w:r>
      <w:r>
        <w:rPr>
          <w:rFonts w:ascii="Calibri" w:cs="Calibri" w:eastAsia="Calibri" w:hAnsi="Calibri"/>
          <w:color w:val="1A1A2E"/>
          <w:sz w:val="19"/>
          <w:szCs w:val="19"/>
        </w:rPr>
        <w:t xml:space="preserve"> — the net of VIX and DAX confirming against a contradicting USDX. Sentiment (§13b tilt +0.30) and Kaufman (+0.34) each add +0.05. Weights are at their defaults and locked within the 20-session window.</w:t>
      </w:r>
    </w:p>
    <w:p>
      <w:pPr>
        <w:spacing w:after="120" w:before="0" w:line="276"/>
      </w:pPr>
      <w:r>
        <w:rPr>
          <w:rFonts w:ascii="Calibri" w:cs="Calibri" w:eastAsia="Calibri" w:hAnsi="Calibri"/>
          <w:b/>
          <w:bCs/>
          <w:color w:val="B8860B"/>
          <w:sz w:val="19"/>
          <w:szCs w:val="19"/>
        </w:rPr>
        <w:t xml:space="preserve">Conflict flag.  </w:t>
      </w:r>
      <w:r>
        <w:rPr>
          <w:rFonts w:ascii="Calibri" w:cs="Calibri" w:eastAsia="Calibri" w:hAnsi="Calibri"/>
          <w:color w:val="1A1A2E"/>
          <w:sz w:val="19"/>
          <w:szCs w:val="19"/>
        </w:rPr>
        <w:t xml:space="preserve">The §21a direction (LONG) is </w:t>
      </w:r>
      <w:r>
        <w:rPr>
          <w:rFonts w:ascii="Calibri" w:cs="Calibri" w:eastAsia="Calibri" w:hAnsi="Calibri"/>
          <w:b/>
          <w:bCs/>
          <w:sz w:val="21"/>
          <w:szCs w:val="21"/>
        </w:rPr>
        <w:t xml:space="preserve">aligned</w:t>
      </w:r>
      <w:r>
        <w:rPr>
          <w:rFonts w:ascii="Calibri" w:cs="Calibri" w:eastAsia="Calibri" w:hAnsi="Calibri"/>
          <w:color w:val="1A1A2E"/>
          <w:sz w:val="19"/>
          <w:szCs w:val="19"/>
        </w:rPr>
        <w:t xml:space="preserve"> with the §17 Forecast (bullish bias toward 7,517) — no conflict to disclose. One internal divergence is noted for transparency: the Kaufman Efficiency Ratio reads a cleaner uptrend than the Transitional regime label, which is why the trade-3 fork lands on the breakout variant (3C) rather than a pure momentum-pullback. The §17 Forecast text is unchanged by this section.</w:t>
      </w:r>
    </w:p>
    <w:p>
      <w:pPr>
        <w:pStyle w:val="Heading2"/>
        <w:spacing w:after="100" w:before="180"/>
      </w:pPr>
      <w:r>
        <w:rPr>
          <w:rFonts w:ascii="Calibri" w:cs="Calibri" w:eastAsia="Calibri" w:hAnsi="Calibri"/>
          <w:b/>
          <w:bCs/>
          <w:color w:val="1A1A2E"/>
          <w:sz w:val="22"/>
          <w:szCs w:val="22"/>
        </w:rPr>
        <w:t xml:space="preserve">§21b  Trade Cards</w:t>
      </w:r>
    </w:p>
    <w:p>
      <w:pPr>
        <w:spacing w:after="120" w:before="0" w:line="276"/>
      </w:pPr>
      <w:r>
        <w:rPr>
          <w:rFonts w:ascii="Calibri" w:cs="Calibri" w:eastAsia="Calibri" w:hAnsi="Calibri"/>
          <w:color w:val="1A1A2E"/>
          <w:sz w:val="19"/>
          <w:szCs w:val="19"/>
        </w:rPr>
        <w:t xml:space="preserve">Three cards. Every triggered trade is structured as three equal units with the universal tranche-management rule.</w:t>
      </w:r>
    </w:p>
    <w:p>
      <w:pPr>
        <w:spacing w:after="60"/>
      </w:pPr>
      <w:r>
        <w:rPr>
          <w:rFonts w:ascii="Calibri" w:cs="Calibri" w:eastAsia="Calibri" w:hAnsi="Calibri"/>
          <w:sz w:val="21"/>
          <w:szCs w:val="21"/>
        </w:rPr>
        <w:t xml:space="preserve"/>
      </w:r>
    </w:p>
    <w:p>
      <w:pPr>
        <w:pStyle w:val="Heading2"/>
        <w:spacing w:after="100" w:before="180"/>
      </w:pPr>
      <w:r>
        <w:rPr>
          <w:rFonts w:ascii="Calibri" w:cs="Calibri" w:eastAsia="Calibri" w:hAnsi="Calibri"/>
          <w:b/>
          <w:bCs/>
          <w:color w:val="1A1A2E"/>
          <w:sz w:val="22"/>
          <w:szCs w:val="22"/>
        </w:rPr>
        <w:t xml:space="preserve">Trade 1</w:t>
      </w:r>
    </w:p>
    <w:tbl>
      <w:tblPr>
        <w:tblW w:type="dxa" w:w="9360"/>
        <w:tblBorders>
          <w:top w:val="single" w:color="C9D4E2" w:sz="2"/>
          <w:left w:val="single" w:color="C9D4E2" w:sz="2"/>
          <w:bottom w:val="single" w:color="C9D4E2" w:sz="2"/>
          <w:right w:val="single" w:color="C9D4E2" w:sz="2"/>
          <w:insideH w:val="single" w:color="C9D4E2" w:sz="2"/>
          <w:insideV w:val="single" w:color="C9D4E2" w:sz="2"/>
        </w:tblBorders>
      </w:tblPr>
      <w:tblGrid>
        <w:gridCol w:w="2700"/>
        <w:gridCol w:w="6660"/>
      </w:tblGrid>
      <w:tr>
        <w:trPr>
          <w:cantSplit/>
        </w:trPr>
        <w:tc>
          <w:tcPr>
            <w:tcW w:type="dxa" w:w="9360"/>
            <w:gridSpan w:val="2"/>
            <w:shd w:fill="1A7F5A" w:val="clear"/>
            <w:tcMar>
              <w:top w:type="dxa" w:w="80"/>
              <w:left w:type="dxa" w:w="100"/>
              <w:bottom w:type="dxa" w:w="80"/>
              <w:right w:type="dxa" w:w="100"/>
            </w:tcMar>
          </w:tcPr>
          <w:p>
            <w:r>
              <w:rPr>
                <w:rFonts w:ascii="Calibri" w:cs="Calibri" w:eastAsia="Calibri" w:hAnsi="Calibri"/>
                <w:b/>
                <w:bCs/>
                <w:color w:val="FFFFFF"/>
                <w:sz w:val="21"/>
                <w:szCs w:val="21"/>
              </w:rPr>
              <w:t xml:space="preserve">TRADE 1 — Daily Directional  ·  LONG</w:t>
            </w:r>
          </w:p>
        </w:tc>
      </w:tr>
      <w:tr>
        <w:trPr>
          <w:cantSplit/>
        </w:trPr>
        <w:tc>
          <w:tcPr>
            <w:tcW w:type="dxa" w:w="2700"/>
            <w:shd w:fill="EAF0F7" w:val="clear"/>
            <w:tcMar>
              <w:top w:type="dxa" w:w="70"/>
              <w:left w:type="dxa" w:w="90"/>
              <w:bottom w:type="dxa" w:w="70"/>
              <w:right w:type="dxa" w:w="90"/>
            </w:tcMar>
            <w:vAlign w:val="center"/>
          </w:tcPr>
          <w:p>
            <w:pPr>
              <w:spacing w:after="0" w:line="248"/>
              <w:jc w:val="left"/>
            </w:pPr>
            <w:r>
              <w:rPr>
                <w:rFonts w:ascii="Calibri" w:cs="Calibri" w:eastAsia="Calibri" w:hAnsi="Calibri"/>
                <w:b/>
                <w:bCs/>
                <w:color w:val="1F3A5F"/>
                <w:sz w:val="18"/>
                <w:szCs w:val="18"/>
              </w:rPr>
              <w:t xml:space="preserve">Direction</w:t>
            </w:r>
          </w:p>
        </w:tc>
        <w:tc>
          <w:tcPr>
            <w:tcW w:type="dxa" w:w="6660"/>
            <w:shd w:fill="FFFFFF" w:val="clear"/>
            <w:tcMar>
              <w:top w:type="dxa" w:w="70"/>
              <w:left w:type="dxa" w:w="90"/>
              <w:bottom w:type="dxa" w:w="70"/>
              <w:right w:type="dxa" w:w="90"/>
            </w:tcMar>
            <w:vAlign w:val="center"/>
          </w:tcPr>
          <w:p>
            <w:pPr>
              <w:spacing w:after="0" w:line="248"/>
              <w:jc w:val="left"/>
            </w:pPr>
            <w:r>
              <w:rPr>
                <w:rFonts w:ascii="Calibri" w:cs="Calibri" w:eastAsia="Calibri" w:hAnsi="Calibri"/>
                <w:b/>
                <w:bCs/>
                <w:color w:val="1A7F5A"/>
                <w:sz w:val="19"/>
                <w:szCs w:val="19"/>
              </w:rPr>
              <w:t xml:space="preserve">LONG</w:t>
            </w:r>
            <w:r>
              <w:rPr>
                <w:rFonts w:ascii="Calibri" w:cs="Calibri" w:eastAsia="Calibri" w:hAnsi="Calibri"/>
                <w:color w:val="1A1A2E"/>
                <w:sz w:val="19"/>
                <w:szCs w:val="19"/>
              </w:rPr>
              <w:t xml:space="preserve">  — direction-score +0.49 clears the conviction threshold</w:t>
            </w:r>
          </w:p>
        </w:tc>
      </w:tr>
      <w:tr>
        <w:trPr>
          <w:cantSplit/>
        </w:trPr>
        <w:tc>
          <w:tcPr>
            <w:tcW w:type="dxa" w:w="2700"/>
            <w:shd w:fill="EAF0F7" w:val="clear"/>
            <w:tcMar>
              <w:top w:type="dxa" w:w="70"/>
              <w:left w:type="dxa" w:w="90"/>
              <w:bottom w:type="dxa" w:w="70"/>
              <w:right w:type="dxa" w:w="90"/>
            </w:tcMar>
            <w:vAlign w:val="center"/>
          </w:tcPr>
          <w:p>
            <w:pPr>
              <w:spacing w:after="0" w:line="248"/>
              <w:jc w:val="left"/>
            </w:pPr>
            <w:r>
              <w:rPr>
                <w:rFonts w:ascii="Calibri" w:cs="Calibri" w:eastAsia="Calibri" w:hAnsi="Calibri"/>
                <w:b/>
                <w:bCs/>
                <w:color w:val="1F3A5F"/>
                <w:sz w:val="18"/>
                <w:szCs w:val="18"/>
              </w:rPr>
              <w:t xml:space="preserve">Entry</w:t>
            </w:r>
          </w:p>
        </w:tc>
        <w:tc>
          <w:tcPr>
            <w:tcW w:type="dxa" w:w="6660"/>
            <w:shd w:fill="F4F6FA"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8"/>
                <w:szCs w:val="18"/>
              </w:rPr>
              <w:t xml:space="preserve">Market at 00:00 UK anchor — reference 7,473.47 (22 May close as anchor proxy)</w:t>
            </w:r>
          </w:p>
        </w:tc>
      </w:tr>
      <w:tr>
        <w:trPr>
          <w:cantSplit/>
        </w:trPr>
        <w:tc>
          <w:tcPr>
            <w:tcW w:type="dxa" w:w="2700"/>
            <w:shd w:fill="EAF0F7" w:val="clear"/>
            <w:tcMar>
              <w:top w:type="dxa" w:w="70"/>
              <w:left w:type="dxa" w:w="90"/>
              <w:bottom w:type="dxa" w:w="70"/>
              <w:right w:type="dxa" w:w="90"/>
            </w:tcMar>
            <w:vAlign w:val="center"/>
          </w:tcPr>
          <w:p>
            <w:pPr>
              <w:spacing w:after="0" w:line="248"/>
              <w:jc w:val="left"/>
            </w:pPr>
            <w:r>
              <w:rPr>
                <w:rFonts w:ascii="Calibri" w:cs="Calibri" w:eastAsia="Calibri" w:hAnsi="Calibri"/>
                <w:b/>
                <w:bCs/>
                <w:color w:val="1F3A5F"/>
                <w:sz w:val="18"/>
                <w:szCs w:val="18"/>
              </w:rPr>
              <w:t xml:space="preserve">Stop loss</w:t>
            </w:r>
          </w:p>
        </w:tc>
        <w:tc>
          <w:tcPr>
            <w:tcW w:type="dxa" w:w="6660"/>
            <w:shd w:fill="FFFFFF" w:val="clear"/>
            <w:tcMar>
              <w:top w:type="dxa" w:w="70"/>
              <w:left w:type="dxa" w:w="90"/>
              <w:bottom w:type="dxa" w:w="70"/>
              <w:right w:type="dxa" w:w="90"/>
            </w:tcMar>
            <w:vAlign w:val="center"/>
          </w:tcPr>
          <w:p>
            <w:pPr>
              <w:spacing w:after="0" w:line="248"/>
              <w:jc w:val="left"/>
            </w:pPr>
            <w:r>
              <w:rPr>
                <w:rFonts w:ascii="Calibri" w:cs="Calibri" w:eastAsia="Calibri" w:hAnsi="Calibri"/>
                <w:b/>
                <w:bCs/>
                <w:color w:val="C0392B"/>
                <w:sz w:val="19"/>
                <w:szCs w:val="19"/>
              </w:rPr>
              <w:t xml:space="preserve">7,397.96</w:t>
            </w:r>
            <w:r>
              <w:rPr>
                <w:rFonts w:ascii="Calibri" w:cs="Calibri" w:eastAsia="Calibri" w:hAnsi="Calibri"/>
                <w:color w:val="1A1A2E"/>
                <w:sz w:val="19"/>
                <w:szCs w:val="19"/>
              </w:rPr>
              <w:t xml:space="preserve">  — 76 points below entry. Structural anchor: 21 May session low (7,421.60) blended with the 5-day swing structure, plus a 0.25×ATR buffer.</w:t>
            </w:r>
          </w:p>
        </w:tc>
      </w:tr>
      <w:tr>
        <w:trPr>
          <w:cantSplit/>
        </w:trPr>
        <w:tc>
          <w:tcPr>
            <w:tcW w:type="dxa" w:w="2700"/>
            <w:shd w:fill="EAF0F7" w:val="clear"/>
            <w:tcMar>
              <w:top w:type="dxa" w:w="70"/>
              <w:left w:type="dxa" w:w="90"/>
              <w:bottom w:type="dxa" w:w="70"/>
              <w:right w:type="dxa" w:w="90"/>
            </w:tcMar>
            <w:vAlign w:val="center"/>
          </w:tcPr>
          <w:p>
            <w:pPr>
              <w:spacing w:after="0" w:line="248"/>
              <w:jc w:val="left"/>
            </w:pPr>
            <w:r>
              <w:rPr>
                <w:rFonts w:ascii="Calibri" w:cs="Calibri" w:eastAsia="Calibri" w:hAnsi="Calibri"/>
                <w:b/>
                <w:bCs/>
                <w:color w:val="1F3A5F"/>
                <w:sz w:val="18"/>
                <w:szCs w:val="18"/>
              </w:rPr>
              <w:t xml:space="preserve">Risk (R)</w:t>
            </w:r>
          </w:p>
        </w:tc>
        <w:tc>
          <w:tcPr>
            <w:tcW w:type="dxa" w:w="6660"/>
            <w:shd w:fill="F4F6FA"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8"/>
                <w:szCs w:val="18"/>
              </w:rPr>
              <w:t xml:space="preserve">76 points (7,473.47 → 7,397.96)</w:t>
            </w:r>
          </w:p>
        </w:tc>
      </w:tr>
      <w:tr>
        <w:trPr>
          <w:cantSplit/>
        </w:trPr>
        <w:tc>
          <w:tcPr>
            <w:tcW w:type="dxa" w:w="2700"/>
            <w:shd w:fill="EAF0F7" w:val="clear"/>
            <w:tcMar>
              <w:top w:type="dxa" w:w="70"/>
              <w:left w:type="dxa" w:w="90"/>
              <w:bottom w:type="dxa" w:w="70"/>
              <w:right w:type="dxa" w:w="90"/>
            </w:tcMar>
            <w:vAlign w:val="center"/>
          </w:tcPr>
          <w:p>
            <w:pPr>
              <w:spacing w:after="0" w:line="248"/>
              <w:jc w:val="left"/>
            </w:pPr>
            <w:r>
              <w:rPr>
                <w:rFonts w:ascii="Calibri" w:cs="Calibri" w:eastAsia="Calibri" w:hAnsi="Calibri"/>
                <w:b/>
                <w:bCs/>
                <w:color w:val="1F3A5F"/>
                <w:sz w:val="18"/>
                <w:szCs w:val="18"/>
              </w:rPr>
              <w:t xml:space="preserve">TP1 — Unit 1</w:t>
            </w:r>
          </w:p>
        </w:tc>
        <w:tc>
          <w:tcPr>
            <w:tcW w:type="dxa" w:w="6660"/>
            <w:shd w:fill="FFFFFF"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8"/>
                <w:szCs w:val="18"/>
              </w:rPr>
              <w:t xml:space="preserve">7,548.98  ·  +76 points  ·  +1R</w:t>
            </w:r>
          </w:p>
        </w:tc>
      </w:tr>
      <w:tr>
        <w:trPr>
          <w:cantSplit/>
        </w:trPr>
        <w:tc>
          <w:tcPr>
            <w:tcW w:type="dxa" w:w="2700"/>
            <w:shd w:fill="EAF0F7" w:val="clear"/>
            <w:tcMar>
              <w:top w:type="dxa" w:w="70"/>
              <w:left w:type="dxa" w:w="90"/>
              <w:bottom w:type="dxa" w:w="70"/>
              <w:right w:type="dxa" w:w="90"/>
            </w:tcMar>
            <w:vAlign w:val="center"/>
          </w:tcPr>
          <w:p>
            <w:pPr>
              <w:spacing w:after="0" w:line="248"/>
              <w:jc w:val="left"/>
            </w:pPr>
            <w:r>
              <w:rPr>
                <w:rFonts w:ascii="Calibri" w:cs="Calibri" w:eastAsia="Calibri" w:hAnsi="Calibri"/>
                <w:b/>
                <w:bCs/>
                <w:color w:val="1F3A5F"/>
                <w:sz w:val="18"/>
                <w:szCs w:val="18"/>
              </w:rPr>
              <w:t xml:space="preserve">TP2 — Unit 2</w:t>
            </w:r>
          </w:p>
        </w:tc>
        <w:tc>
          <w:tcPr>
            <w:tcW w:type="dxa" w:w="6660"/>
            <w:shd w:fill="F4F6FA"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8"/>
                <w:szCs w:val="18"/>
              </w:rPr>
              <w:t xml:space="preserve">7,624.50  ·  +151 points  ·  +2R. On fill, Unit 3 stop moves to entry +0.2R (7,488.57).</w:t>
            </w:r>
          </w:p>
        </w:tc>
      </w:tr>
      <w:tr>
        <w:trPr>
          <w:cantSplit/>
        </w:trPr>
        <w:tc>
          <w:tcPr>
            <w:tcW w:type="dxa" w:w="2700"/>
            <w:shd w:fill="EAF0F7" w:val="clear"/>
            <w:tcMar>
              <w:top w:type="dxa" w:w="70"/>
              <w:left w:type="dxa" w:w="90"/>
              <w:bottom w:type="dxa" w:w="70"/>
              <w:right w:type="dxa" w:w="90"/>
            </w:tcMar>
            <w:vAlign w:val="center"/>
          </w:tcPr>
          <w:p>
            <w:pPr>
              <w:spacing w:after="0" w:line="248"/>
              <w:jc w:val="left"/>
            </w:pPr>
            <w:r>
              <w:rPr>
                <w:rFonts w:ascii="Calibri" w:cs="Calibri" w:eastAsia="Calibri" w:hAnsi="Calibri"/>
                <w:b/>
                <w:bCs/>
                <w:color w:val="1F3A5F"/>
                <w:sz w:val="18"/>
                <w:szCs w:val="18"/>
              </w:rPr>
              <w:t xml:space="preserve">TP3 — Unit 3 (runner)</w:t>
            </w:r>
          </w:p>
        </w:tc>
        <w:tc>
          <w:tcPr>
            <w:tcW w:type="dxa" w:w="6660"/>
            <w:shd w:fill="FFFFFF"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8"/>
                <w:szCs w:val="18"/>
              </w:rPr>
              <w:t xml:space="preserve">Time-stopped at session close, or price-stopped at 3×ATR (≈284 points) from entry, whichever triggers first.</w:t>
            </w:r>
          </w:p>
        </w:tc>
      </w:tr>
      <w:tr>
        <w:trPr>
          <w:cantSplit/>
        </w:trPr>
        <w:tc>
          <w:tcPr>
            <w:tcW w:type="dxa" w:w="2700"/>
            <w:shd w:fill="EAF0F7" w:val="clear"/>
            <w:tcMar>
              <w:top w:type="dxa" w:w="70"/>
              <w:left w:type="dxa" w:w="90"/>
              <w:bottom w:type="dxa" w:w="70"/>
              <w:right w:type="dxa" w:w="90"/>
            </w:tcMar>
            <w:vAlign w:val="center"/>
          </w:tcPr>
          <w:p>
            <w:pPr>
              <w:spacing w:after="0" w:line="248"/>
              <w:jc w:val="left"/>
            </w:pPr>
            <w:r>
              <w:rPr>
                <w:rFonts w:ascii="Calibri" w:cs="Calibri" w:eastAsia="Calibri" w:hAnsi="Calibri"/>
                <w:b/>
                <w:bCs/>
                <w:color w:val="1F3A5F"/>
                <w:sz w:val="18"/>
                <w:szCs w:val="18"/>
              </w:rPr>
              <w:t xml:space="preserve">Tranche management</w:t>
            </w:r>
          </w:p>
        </w:tc>
        <w:tc>
          <w:tcPr>
            <w:tcW w:type="dxa" w:w="6660"/>
            <w:shd w:fill="F4F6FA"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8"/>
                <w:szCs w:val="18"/>
              </w:rPr>
              <w:t xml:space="preserve">Three equal units. Unit 1 exits at TP1; Unit 2 at TP2; on Unit 2 fill, Unit 3 stop trails to entry +0.2R.</w:t>
            </w:r>
          </w:p>
        </w:tc>
      </w:tr>
      <w:tr>
        <w:trPr>
          <w:cantSplit/>
        </w:trPr>
        <w:tc>
          <w:tcPr>
            <w:tcW w:type="dxa" w:w="2700"/>
            <w:shd w:fill="EAF0F7" w:val="clear"/>
            <w:tcMar>
              <w:top w:type="dxa" w:w="70"/>
              <w:left w:type="dxa" w:w="90"/>
              <w:bottom w:type="dxa" w:w="70"/>
              <w:right w:type="dxa" w:w="90"/>
            </w:tcMar>
            <w:vAlign w:val="center"/>
          </w:tcPr>
          <w:p>
            <w:pPr>
              <w:spacing w:after="0" w:line="248"/>
              <w:jc w:val="left"/>
            </w:pPr>
            <w:r>
              <w:rPr>
                <w:rFonts w:ascii="Calibri" w:cs="Calibri" w:eastAsia="Calibri" w:hAnsi="Calibri"/>
                <w:b/>
                <w:bCs/>
                <w:color w:val="1F3A5F"/>
                <w:sz w:val="18"/>
                <w:szCs w:val="18"/>
              </w:rPr>
              <w:t xml:space="preserve">Confluences</w:t>
            </w:r>
          </w:p>
        </w:tc>
        <w:tc>
          <w:tcPr>
            <w:tcW w:type="dxa" w:w="6660"/>
            <w:shd w:fill="FFFFFF"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9"/>
                <w:szCs w:val="19"/>
              </w:rPr>
              <w:t xml:space="preserve">TP1 (7,549) sits just above daily R3 (7,518.85) and the 7,517.12 all-time high — a </w:t>
            </w:r>
            <w:r>
              <w:rPr>
                <w:rFonts w:ascii="Calibri" w:cs="Calibri" w:eastAsia="Calibri" w:hAnsi="Calibri"/>
                <w:b/>
                <w:bCs/>
                <w:sz w:val="21"/>
                <w:szCs w:val="21"/>
              </w:rPr>
              <w:t xml:space="preserve">strong confluence</w:t>
            </w:r>
            <w:r>
              <w:rPr>
                <w:rFonts w:ascii="Calibri" w:cs="Calibri" w:eastAsia="Calibri" w:hAnsi="Calibri"/>
                <w:color w:val="1A1A2E"/>
                <w:sz w:val="19"/>
                <w:szCs w:val="19"/>
              </w:rPr>
              <w:t xml:space="preserve"> resistance cluster the runner must clear.</w:t>
            </w:r>
          </w:p>
        </w:tc>
      </w:tr>
      <w:tr>
        <w:trPr>
          <w:cantSplit/>
        </w:trPr>
        <w:tc>
          <w:tcPr>
            <w:tcW w:type="dxa" w:w="2700"/>
            <w:shd w:fill="EAF0F7" w:val="clear"/>
            <w:tcMar>
              <w:top w:type="dxa" w:w="70"/>
              <w:left w:type="dxa" w:w="90"/>
              <w:bottom w:type="dxa" w:w="70"/>
              <w:right w:type="dxa" w:w="90"/>
            </w:tcMar>
            <w:vAlign w:val="center"/>
          </w:tcPr>
          <w:p>
            <w:pPr>
              <w:spacing w:after="0" w:line="248"/>
              <w:jc w:val="left"/>
            </w:pPr>
            <w:r>
              <w:rPr>
                <w:rFonts w:ascii="Calibri" w:cs="Calibri" w:eastAsia="Calibri" w:hAnsi="Calibri"/>
                <w:b/>
                <w:bCs/>
                <w:color w:val="1F3A5F"/>
                <w:sz w:val="18"/>
                <w:szCs w:val="18"/>
              </w:rPr>
              <w:t xml:space="preserve">Thesis invalidation</w:t>
            </w:r>
          </w:p>
        </w:tc>
        <w:tc>
          <w:tcPr>
            <w:tcW w:type="dxa" w:w="6660"/>
            <w:shd w:fill="F4F6FA"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9"/>
                <w:szCs w:val="19"/>
              </w:rPr>
              <w:t xml:space="preserve">A daily close back below the ~7,446 daily/weekly pivot confluence breaks the long narrative — sits above the stop; recorded explicitly.</w:t>
            </w:r>
          </w:p>
        </w:tc>
      </w:tr>
      <w:tr>
        <w:trPr>
          <w:cantSplit/>
        </w:trPr>
        <w:tc>
          <w:tcPr>
            <w:tcW w:type="dxa" w:w="2700"/>
            <w:shd w:fill="EAF0F7" w:val="clear"/>
            <w:tcMar>
              <w:top w:type="dxa" w:w="70"/>
              <w:left w:type="dxa" w:w="90"/>
              <w:bottom w:type="dxa" w:w="70"/>
              <w:right w:type="dxa" w:w="90"/>
            </w:tcMar>
            <w:vAlign w:val="center"/>
          </w:tcPr>
          <w:p>
            <w:pPr>
              <w:spacing w:after="0" w:line="248"/>
              <w:jc w:val="left"/>
            </w:pPr>
            <w:r>
              <w:rPr>
                <w:rFonts w:ascii="Calibri" w:cs="Calibri" w:eastAsia="Calibri" w:hAnsi="Calibri"/>
                <w:b/>
                <w:bCs/>
                <w:color w:val="1F3A5F"/>
                <w:sz w:val="18"/>
                <w:szCs w:val="18"/>
              </w:rPr>
              <w:t xml:space="preserve">Caveats</w:t>
            </w:r>
          </w:p>
        </w:tc>
        <w:tc>
          <w:tcPr>
            <w:tcW w:type="dxa" w:w="6660"/>
            <w:shd w:fill="FFFFFF"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9"/>
                <w:szCs w:val="19"/>
              </w:rPr>
              <w:t xml:space="preserve">RSI(2) at the 100 ceiling — short-term overbought; TP2 at +2R is ambitious for a single daily horizon and may roll into the runner.</w:t>
            </w:r>
          </w:p>
        </w:tc>
      </w:tr>
    </w:tbl>
    <w:p>
      <w:pPr>
        <w:spacing w:after="40"/>
      </w:pPr>
      <w:r>
        <w:rPr>
          <w:rFonts w:ascii="Calibri" w:cs="Calibri" w:eastAsia="Calibri" w:hAnsi="Calibri"/>
          <w:sz w:val="21"/>
          <w:szCs w:val="21"/>
        </w:rPr>
        <w:t xml:space="preserve"/>
      </w:r>
    </w:p>
    <w:p>
      <w:pPr>
        <w:pStyle w:val="Heading2"/>
        <w:spacing w:after="100" w:before="180"/>
      </w:pPr>
      <w:r>
        <w:rPr>
          <w:rFonts w:ascii="Calibri" w:cs="Calibri" w:eastAsia="Calibri" w:hAnsi="Calibri"/>
          <w:b/>
          <w:bCs/>
          <w:color w:val="1A1A2E"/>
          <w:sz w:val="22"/>
          <w:szCs w:val="22"/>
        </w:rPr>
        <w:t xml:space="preserve">Trade 2</w:t>
      </w:r>
    </w:p>
    <w:tbl>
      <w:tblPr>
        <w:tblW w:type="dxa" w:w="9360"/>
        <w:tblBorders>
          <w:top w:val="single" w:color="C9D4E2" w:sz="2"/>
          <w:left w:val="single" w:color="C9D4E2" w:sz="2"/>
          <w:bottom w:val="single" w:color="C9D4E2" w:sz="2"/>
          <w:right w:val="single" w:color="C9D4E2" w:sz="2"/>
          <w:insideH w:val="single" w:color="C9D4E2" w:sz="2"/>
          <w:insideV w:val="single" w:color="C9D4E2" w:sz="2"/>
        </w:tblBorders>
      </w:tblPr>
      <w:tblGrid>
        <w:gridCol w:w="2700"/>
        <w:gridCol w:w="6660"/>
      </w:tblGrid>
      <w:tr>
        <w:trPr>
          <w:cantSplit/>
        </w:trPr>
        <w:tc>
          <w:tcPr>
            <w:tcW w:type="dxa" w:w="9360"/>
            <w:gridSpan w:val="2"/>
            <w:shd w:fill="2C6FBB" w:val="clear"/>
            <w:tcMar>
              <w:top w:type="dxa" w:w="80"/>
              <w:left w:type="dxa" w:w="100"/>
              <w:bottom w:type="dxa" w:w="80"/>
              <w:right w:type="dxa" w:w="100"/>
            </w:tcMar>
          </w:tcPr>
          <w:p>
            <w:r>
              <w:rPr>
                <w:rFonts w:ascii="Calibri" w:cs="Calibri" w:eastAsia="Calibri" w:hAnsi="Calibri"/>
                <w:b/>
                <w:bCs/>
                <w:color w:val="FFFFFF"/>
                <w:sz w:val="21"/>
                <w:szCs w:val="21"/>
              </w:rPr>
              <w:t xml:space="preserve">TRADE 2 — Pivot (TRANSITION regime, breakout side)  ·  LONG</w:t>
            </w:r>
          </w:p>
        </w:tc>
      </w:tr>
      <w:tr>
        <w:trPr>
          <w:cantSplit/>
        </w:trPr>
        <w:tc>
          <w:tcPr>
            <w:tcW w:type="dxa" w:w="2700"/>
            <w:shd w:fill="EAF0F7" w:val="clear"/>
            <w:tcMar>
              <w:top w:type="dxa" w:w="70"/>
              <w:left w:type="dxa" w:w="90"/>
              <w:bottom w:type="dxa" w:w="70"/>
              <w:right w:type="dxa" w:w="90"/>
            </w:tcMar>
            <w:vAlign w:val="center"/>
          </w:tcPr>
          <w:p>
            <w:pPr>
              <w:spacing w:after="0" w:line="248"/>
              <w:jc w:val="left"/>
            </w:pPr>
            <w:r>
              <w:rPr>
                <w:rFonts w:ascii="Calibri" w:cs="Calibri" w:eastAsia="Calibri" w:hAnsi="Calibri"/>
                <w:b/>
                <w:bCs/>
                <w:color w:val="1F3A5F"/>
                <w:sz w:val="18"/>
                <w:szCs w:val="18"/>
              </w:rPr>
              <w:t xml:space="preserve">Direction</w:t>
            </w:r>
          </w:p>
        </w:tc>
        <w:tc>
          <w:tcPr>
            <w:tcW w:type="dxa" w:w="6660"/>
            <w:shd w:fill="FFFFFF" w:val="clear"/>
            <w:tcMar>
              <w:top w:type="dxa" w:w="70"/>
              <w:left w:type="dxa" w:w="90"/>
              <w:bottom w:type="dxa" w:w="70"/>
              <w:right w:type="dxa" w:w="90"/>
            </w:tcMar>
            <w:vAlign w:val="center"/>
          </w:tcPr>
          <w:p>
            <w:pPr>
              <w:spacing w:after="0" w:line="248"/>
              <w:jc w:val="left"/>
            </w:pPr>
            <w:r>
              <w:rPr>
                <w:rFonts w:ascii="Calibri" w:cs="Calibri" w:eastAsia="Calibri" w:hAnsi="Calibri"/>
                <w:b/>
                <w:bCs/>
                <w:color w:val="1A7F5A"/>
                <w:sz w:val="19"/>
                <w:szCs w:val="19"/>
              </w:rPr>
              <w:t xml:space="preserve">LONG</w:t>
            </w:r>
            <w:r>
              <w:rPr>
                <w:rFonts w:ascii="Calibri" w:cs="Calibri" w:eastAsia="Calibri" w:hAnsi="Calibri"/>
                <w:color w:val="1A1A2E"/>
                <w:sz w:val="19"/>
                <w:szCs w:val="19"/>
              </w:rPr>
              <w:t xml:space="preserve">  — regime-driven. In TRANSITION, Trade 2 plays the breakout side only; the counter-side limit is suppressed to avoid front-running Trade 3C.</w:t>
            </w:r>
          </w:p>
        </w:tc>
      </w:tr>
      <w:tr>
        <w:trPr>
          <w:cantSplit/>
        </w:trPr>
        <w:tc>
          <w:tcPr>
            <w:tcW w:type="dxa" w:w="2700"/>
            <w:shd w:fill="EAF0F7" w:val="clear"/>
            <w:tcMar>
              <w:top w:type="dxa" w:w="70"/>
              <w:left w:type="dxa" w:w="90"/>
              <w:bottom w:type="dxa" w:w="70"/>
              <w:right w:type="dxa" w:w="90"/>
            </w:tcMar>
            <w:vAlign w:val="center"/>
          </w:tcPr>
          <w:p>
            <w:pPr>
              <w:spacing w:after="0" w:line="248"/>
              <w:jc w:val="left"/>
            </w:pPr>
            <w:r>
              <w:rPr>
                <w:rFonts w:ascii="Calibri" w:cs="Calibri" w:eastAsia="Calibri" w:hAnsi="Calibri"/>
                <w:b/>
                <w:bCs/>
                <w:color w:val="1F3A5F"/>
                <w:sz w:val="18"/>
                <w:szCs w:val="18"/>
              </w:rPr>
              <w:t xml:space="preserve">Entry</w:t>
            </w:r>
          </w:p>
        </w:tc>
        <w:tc>
          <w:tcPr>
            <w:tcW w:type="dxa" w:w="6660"/>
            <w:shd w:fill="F4F6FA"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8"/>
                <w:szCs w:val="18"/>
              </w:rPr>
              <w:t xml:space="preserve">7,448.30  — stop-entry 10% of the way from the daily pivot (7,445.87) toward daily R1 (7,470.15)</w:t>
            </w:r>
          </w:p>
        </w:tc>
      </w:tr>
      <w:tr>
        <w:trPr>
          <w:cantSplit/>
        </w:trPr>
        <w:tc>
          <w:tcPr>
            <w:tcW w:type="dxa" w:w="2700"/>
            <w:shd w:fill="EAF0F7" w:val="clear"/>
            <w:tcMar>
              <w:top w:type="dxa" w:w="70"/>
              <w:left w:type="dxa" w:w="90"/>
              <w:bottom w:type="dxa" w:w="70"/>
              <w:right w:type="dxa" w:w="90"/>
            </w:tcMar>
            <w:vAlign w:val="center"/>
          </w:tcPr>
          <w:p>
            <w:pPr>
              <w:spacing w:after="0" w:line="248"/>
              <w:jc w:val="left"/>
            </w:pPr>
            <w:r>
              <w:rPr>
                <w:rFonts w:ascii="Calibri" w:cs="Calibri" w:eastAsia="Calibri" w:hAnsi="Calibri"/>
                <w:b/>
                <w:bCs/>
                <w:color w:val="1F3A5F"/>
                <w:sz w:val="18"/>
                <w:szCs w:val="18"/>
              </w:rPr>
              <w:t xml:space="preserve">Stop loss</w:t>
            </w:r>
          </w:p>
        </w:tc>
        <w:tc>
          <w:tcPr>
            <w:tcW w:type="dxa" w:w="6660"/>
            <w:shd w:fill="FFFFFF" w:val="clear"/>
            <w:tcMar>
              <w:top w:type="dxa" w:w="70"/>
              <w:left w:type="dxa" w:w="90"/>
              <w:bottom w:type="dxa" w:w="70"/>
              <w:right w:type="dxa" w:w="90"/>
            </w:tcMar>
            <w:vAlign w:val="center"/>
          </w:tcPr>
          <w:p>
            <w:pPr>
              <w:spacing w:after="0" w:line="248"/>
              <w:jc w:val="left"/>
            </w:pPr>
            <w:r>
              <w:rPr>
                <w:rFonts w:ascii="Calibri" w:cs="Calibri" w:eastAsia="Calibri" w:hAnsi="Calibri"/>
                <w:b/>
                <w:bCs/>
                <w:color w:val="C0392B"/>
                <w:sz w:val="19"/>
                <w:szCs w:val="19"/>
              </w:rPr>
              <w:t xml:space="preserve">7,426.33</w:t>
            </w:r>
            <w:r>
              <w:rPr>
                <w:rFonts w:ascii="Calibri" w:cs="Calibri" w:eastAsia="Calibri" w:hAnsi="Calibri"/>
                <w:color w:val="1A1A2E"/>
                <w:sz w:val="19"/>
                <w:szCs w:val="19"/>
              </w:rPr>
              <w:t xml:space="preserve">  — 22 points below entry. Anchored 0.8× the pivot-to-S1 distance below the daily pivot.</w:t>
            </w:r>
          </w:p>
        </w:tc>
      </w:tr>
      <w:tr>
        <w:trPr>
          <w:cantSplit/>
        </w:trPr>
        <w:tc>
          <w:tcPr>
            <w:tcW w:type="dxa" w:w="2700"/>
            <w:shd w:fill="EAF0F7" w:val="clear"/>
            <w:tcMar>
              <w:top w:type="dxa" w:w="70"/>
              <w:left w:type="dxa" w:w="90"/>
              <w:bottom w:type="dxa" w:w="70"/>
              <w:right w:type="dxa" w:w="90"/>
            </w:tcMar>
            <w:vAlign w:val="center"/>
          </w:tcPr>
          <w:p>
            <w:pPr>
              <w:spacing w:after="0" w:line="248"/>
              <w:jc w:val="left"/>
            </w:pPr>
            <w:r>
              <w:rPr>
                <w:rFonts w:ascii="Calibri" w:cs="Calibri" w:eastAsia="Calibri" w:hAnsi="Calibri"/>
                <w:b/>
                <w:bCs/>
                <w:color w:val="1F3A5F"/>
                <w:sz w:val="18"/>
                <w:szCs w:val="18"/>
              </w:rPr>
              <w:t xml:space="preserve">Risk (R)</w:t>
            </w:r>
          </w:p>
        </w:tc>
        <w:tc>
          <w:tcPr>
            <w:tcW w:type="dxa" w:w="6660"/>
            <w:shd w:fill="F4F6FA"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8"/>
                <w:szCs w:val="18"/>
              </w:rPr>
              <w:t xml:space="preserve">22 points (7,448.30 → 7,426.33)</w:t>
            </w:r>
          </w:p>
        </w:tc>
      </w:tr>
      <w:tr>
        <w:trPr>
          <w:cantSplit/>
        </w:trPr>
        <w:tc>
          <w:tcPr>
            <w:tcW w:type="dxa" w:w="2700"/>
            <w:shd w:fill="EAF0F7" w:val="clear"/>
            <w:tcMar>
              <w:top w:type="dxa" w:w="70"/>
              <w:left w:type="dxa" w:w="90"/>
              <w:bottom w:type="dxa" w:w="70"/>
              <w:right w:type="dxa" w:w="90"/>
            </w:tcMar>
            <w:vAlign w:val="center"/>
          </w:tcPr>
          <w:p>
            <w:pPr>
              <w:spacing w:after="0" w:line="248"/>
              <w:jc w:val="left"/>
            </w:pPr>
            <w:r>
              <w:rPr>
                <w:rFonts w:ascii="Calibri" w:cs="Calibri" w:eastAsia="Calibri" w:hAnsi="Calibri"/>
                <w:b/>
                <w:bCs/>
                <w:color w:val="1F3A5F"/>
                <w:sz w:val="18"/>
                <w:szCs w:val="18"/>
              </w:rPr>
              <w:t xml:space="preserve">TP1 — Unit 1</w:t>
            </w:r>
          </w:p>
        </w:tc>
        <w:tc>
          <w:tcPr>
            <w:tcW w:type="dxa" w:w="6660"/>
            <w:shd w:fill="FFFFFF"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8"/>
                <w:szCs w:val="18"/>
              </w:rPr>
              <w:t xml:space="preserve">7,470.15  ·  daily R1  ·  ≈ +1R</w:t>
            </w:r>
          </w:p>
        </w:tc>
      </w:tr>
      <w:tr>
        <w:trPr>
          <w:cantSplit/>
        </w:trPr>
        <w:tc>
          <w:tcPr>
            <w:tcW w:type="dxa" w:w="2700"/>
            <w:shd w:fill="EAF0F7" w:val="clear"/>
            <w:tcMar>
              <w:top w:type="dxa" w:w="70"/>
              <w:left w:type="dxa" w:w="90"/>
              <w:bottom w:type="dxa" w:w="70"/>
              <w:right w:type="dxa" w:w="90"/>
            </w:tcMar>
            <w:vAlign w:val="center"/>
          </w:tcPr>
          <w:p>
            <w:pPr>
              <w:spacing w:after="0" w:line="248"/>
              <w:jc w:val="left"/>
            </w:pPr>
            <w:r>
              <w:rPr>
                <w:rFonts w:ascii="Calibri" w:cs="Calibri" w:eastAsia="Calibri" w:hAnsi="Calibri"/>
                <w:b/>
                <w:bCs/>
                <w:color w:val="1F3A5F"/>
                <w:sz w:val="18"/>
                <w:szCs w:val="18"/>
              </w:rPr>
              <w:t xml:space="preserve">TP2 — Unit 2</w:t>
            </w:r>
          </w:p>
        </w:tc>
        <w:tc>
          <w:tcPr>
            <w:tcW w:type="dxa" w:w="6660"/>
            <w:shd w:fill="F4F6FA"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8"/>
                <w:szCs w:val="18"/>
              </w:rPr>
              <w:t xml:space="preserve">7,482.36  ·  midpoint of daily R1–R2. On fill, Unit 3 stop moves to entry +0.2R.</w:t>
            </w:r>
          </w:p>
        </w:tc>
      </w:tr>
      <w:tr>
        <w:trPr>
          <w:cantSplit/>
        </w:trPr>
        <w:tc>
          <w:tcPr>
            <w:tcW w:type="dxa" w:w="2700"/>
            <w:shd w:fill="EAF0F7" w:val="clear"/>
            <w:tcMar>
              <w:top w:type="dxa" w:w="70"/>
              <w:left w:type="dxa" w:w="90"/>
              <w:bottom w:type="dxa" w:w="70"/>
              <w:right w:type="dxa" w:w="90"/>
            </w:tcMar>
            <w:vAlign w:val="center"/>
          </w:tcPr>
          <w:p>
            <w:pPr>
              <w:spacing w:after="0" w:line="248"/>
              <w:jc w:val="left"/>
            </w:pPr>
            <w:r>
              <w:rPr>
                <w:rFonts w:ascii="Calibri" w:cs="Calibri" w:eastAsia="Calibri" w:hAnsi="Calibri"/>
                <w:b/>
                <w:bCs/>
                <w:color w:val="1F3A5F"/>
                <w:sz w:val="18"/>
                <w:szCs w:val="18"/>
              </w:rPr>
              <w:t xml:space="preserve">TP3 — Unit 3 (runner)</w:t>
            </w:r>
          </w:p>
        </w:tc>
        <w:tc>
          <w:tcPr>
            <w:tcW w:type="dxa" w:w="6660"/>
            <w:shd w:fill="FFFFFF"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8"/>
                <w:szCs w:val="18"/>
              </w:rPr>
              <w:t xml:space="preserve">7,494.57  ·  daily R2</w:t>
            </w:r>
          </w:p>
        </w:tc>
      </w:tr>
      <w:tr>
        <w:trPr>
          <w:cantSplit/>
        </w:trPr>
        <w:tc>
          <w:tcPr>
            <w:tcW w:type="dxa" w:w="2700"/>
            <w:shd w:fill="EAF0F7" w:val="clear"/>
            <w:tcMar>
              <w:top w:type="dxa" w:w="70"/>
              <w:left w:type="dxa" w:w="90"/>
              <w:bottom w:type="dxa" w:w="70"/>
              <w:right w:type="dxa" w:w="90"/>
            </w:tcMar>
            <w:vAlign w:val="center"/>
          </w:tcPr>
          <w:p>
            <w:pPr>
              <w:spacing w:after="0" w:line="248"/>
              <w:jc w:val="left"/>
            </w:pPr>
            <w:r>
              <w:rPr>
                <w:rFonts w:ascii="Calibri" w:cs="Calibri" w:eastAsia="Calibri" w:hAnsi="Calibri"/>
                <w:b/>
                <w:bCs/>
                <w:color w:val="1F3A5F"/>
                <w:sz w:val="18"/>
                <w:szCs w:val="18"/>
              </w:rPr>
              <w:t xml:space="preserve">Tranche management</w:t>
            </w:r>
          </w:p>
        </w:tc>
        <w:tc>
          <w:tcPr>
            <w:tcW w:type="dxa" w:w="6660"/>
            <w:shd w:fill="F4F6FA"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8"/>
                <w:szCs w:val="18"/>
              </w:rPr>
              <w:t xml:space="preserve">Three equal units; universal rule. Runner targets daily R2.</w:t>
            </w:r>
          </w:p>
        </w:tc>
      </w:tr>
      <w:tr>
        <w:trPr>
          <w:cantSplit/>
        </w:trPr>
        <w:tc>
          <w:tcPr>
            <w:tcW w:type="dxa" w:w="2700"/>
            <w:shd w:fill="EAF0F7" w:val="clear"/>
            <w:tcMar>
              <w:top w:type="dxa" w:w="70"/>
              <w:left w:type="dxa" w:w="90"/>
              <w:bottom w:type="dxa" w:w="70"/>
              <w:right w:type="dxa" w:w="90"/>
            </w:tcMar>
            <w:vAlign w:val="center"/>
          </w:tcPr>
          <w:p>
            <w:pPr>
              <w:spacing w:after="0" w:line="248"/>
              <w:jc w:val="left"/>
            </w:pPr>
            <w:r>
              <w:rPr>
                <w:rFonts w:ascii="Calibri" w:cs="Calibri" w:eastAsia="Calibri" w:hAnsi="Calibri"/>
                <w:b/>
                <w:bCs/>
                <w:color w:val="1F3A5F"/>
                <w:sz w:val="18"/>
                <w:szCs w:val="18"/>
              </w:rPr>
              <w:t xml:space="preserve">Confluences</w:t>
            </w:r>
          </w:p>
        </w:tc>
        <w:tc>
          <w:tcPr>
            <w:tcW w:type="dxa" w:w="6660"/>
            <w:shd w:fill="FFFFFF"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9"/>
                <w:szCs w:val="19"/>
              </w:rPr>
              <w:t xml:space="preserve">Entry zone overlaps the ~7,446 daily/weekly pivot confluence (§11) — a strong support shelf beneath the stop-entry.</w:t>
            </w:r>
          </w:p>
        </w:tc>
      </w:tr>
      <w:tr>
        <w:trPr>
          <w:cantSplit/>
        </w:trPr>
        <w:tc>
          <w:tcPr>
            <w:tcW w:type="dxa" w:w="2700"/>
            <w:shd w:fill="EAF0F7" w:val="clear"/>
            <w:tcMar>
              <w:top w:type="dxa" w:w="70"/>
              <w:left w:type="dxa" w:w="90"/>
              <w:bottom w:type="dxa" w:w="70"/>
              <w:right w:type="dxa" w:w="90"/>
            </w:tcMar>
            <w:vAlign w:val="center"/>
          </w:tcPr>
          <w:p>
            <w:pPr>
              <w:spacing w:after="0" w:line="248"/>
              <w:jc w:val="left"/>
            </w:pPr>
            <w:r>
              <w:rPr>
                <w:rFonts w:ascii="Calibri" w:cs="Calibri" w:eastAsia="Calibri" w:hAnsi="Calibri"/>
                <w:b/>
                <w:bCs/>
                <w:color w:val="1F3A5F"/>
                <w:sz w:val="18"/>
                <w:szCs w:val="18"/>
              </w:rPr>
              <w:t xml:space="preserve">Thesis invalidation</w:t>
            </w:r>
          </w:p>
        </w:tc>
        <w:tc>
          <w:tcPr>
            <w:tcW w:type="dxa" w:w="6660"/>
            <w:shd w:fill="F4F6FA"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8"/>
                <w:szCs w:val="18"/>
              </w:rPr>
              <w:t xml:space="preserve">A daily close back through the daily pivot (7,445.87) — invalidation sits inside the stop for this tightly-stopped pivot trade.</w:t>
            </w:r>
          </w:p>
        </w:tc>
      </w:tr>
      <w:tr>
        <w:trPr>
          <w:cantSplit/>
        </w:trPr>
        <w:tc>
          <w:tcPr>
            <w:tcW w:type="dxa" w:w="2700"/>
            <w:shd w:fill="EAF0F7" w:val="clear"/>
            <w:tcMar>
              <w:top w:type="dxa" w:w="70"/>
              <w:left w:type="dxa" w:w="90"/>
              <w:bottom w:type="dxa" w:w="70"/>
              <w:right w:type="dxa" w:w="90"/>
            </w:tcMar>
            <w:vAlign w:val="center"/>
          </w:tcPr>
          <w:p>
            <w:pPr>
              <w:spacing w:after="0" w:line="248"/>
              <w:jc w:val="left"/>
            </w:pPr>
            <w:r>
              <w:rPr>
                <w:rFonts w:ascii="Calibri" w:cs="Calibri" w:eastAsia="Calibri" w:hAnsi="Calibri"/>
                <w:b/>
                <w:bCs/>
                <w:color w:val="1F3A5F"/>
                <w:sz w:val="18"/>
                <w:szCs w:val="18"/>
              </w:rPr>
              <w:t xml:space="preserve">Caveats</w:t>
            </w:r>
          </w:p>
        </w:tc>
        <w:tc>
          <w:tcPr>
            <w:tcW w:type="dxa" w:w="6660"/>
            <w:shd w:fill="FFFFFF" w:val="clear"/>
            <w:tcMar>
              <w:top w:type="dxa" w:w="70"/>
              <w:left w:type="dxa" w:w="90"/>
              <w:bottom w:type="dxa" w:w="70"/>
              <w:right w:type="dxa" w:w="90"/>
            </w:tcMar>
            <w:vAlign w:val="center"/>
          </w:tcPr>
          <w:p>
            <w:pPr>
              <w:spacing w:after="0" w:line="248"/>
              <w:jc w:val="left"/>
            </w:pPr>
            <w:r>
              <w:rPr>
                <w:rFonts w:ascii="Calibri" w:cs="Calibri" w:eastAsia="Calibri" w:hAnsi="Calibri"/>
                <w:b/>
                <w:bCs/>
                <w:color w:val="C0392B"/>
                <w:sz w:val="19"/>
                <w:szCs w:val="19"/>
              </w:rPr>
              <w:t xml:space="preserve">Single-source-indicative pivots</w:t>
            </w:r>
            <w:r>
              <w:rPr>
                <w:rFonts w:ascii="Calibri" w:cs="Calibri" w:eastAsia="Calibri" w:hAnsi="Calibri"/>
                <w:color w:val="1A1A2E"/>
                <w:sz w:val="19"/>
                <w:szCs w:val="19"/>
              </w:rPr>
              <w:t xml:space="preserve">  — all pivot tiers carry the corroboration flag (§19). Per the run instruction, the trade is produced rather than suppressed, with the flag recorded here as a caveat. Tight 22-point risk: execution-sensitive.</w:t>
            </w:r>
          </w:p>
        </w:tc>
      </w:tr>
    </w:tbl>
    <w:p>
      <w:pPr>
        <w:pStyle w:val="Heading2"/>
        <w:spacing w:after="100" w:before="180"/>
      </w:pPr>
      <w:r>
        <w:rPr>
          <w:rFonts w:ascii="Calibri" w:cs="Calibri" w:eastAsia="Calibri" w:hAnsi="Calibri"/>
          <w:b/>
          <w:bCs/>
          <w:color w:val="1A1A2E"/>
          <w:sz w:val="22"/>
          <w:szCs w:val="22"/>
        </w:rPr>
        <w:t xml:space="preserve">Trade 3</w:t>
      </w:r>
    </w:p>
    <w:tbl>
      <w:tblPr>
        <w:tblW w:type="dxa" w:w="9360"/>
        <w:tblBorders>
          <w:top w:val="single" w:color="C9D4E2" w:sz="2"/>
          <w:left w:val="single" w:color="C9D4E2" w:sz="2"/>
          <w:bottom w:val="single" w:color="C9D4E2" w:sz="2"/>
          <w:right w:val="single" w:color="C9D4E2" w:sz="2"/>
          <w:insideH w:val="single" w:color="C9D4E2" w:sz="2"/>
          <w:insideV w:val="single" w:color="C9D4E2" w:sz="2"/>
        </w:tblBorders>
      </w:tblPr>
      <w:tblGrid>
        <w:gridCol w:w="2700"/>
        <w:gridCol w:w="6660"/>
      </w:tblGrid>
      <w:tr>
        <w:trPr>
          <w:cantSplit/>
        </w:trPr>
        <w:tc>
          <w:tcPr>
            <w:tcW w:type="dxa" w:w="9360"/>
            <w:gridSpan w:val="2"/>
            <w:shd w:fill="1F3A5F" w:val="clear"/>
            <w:tcMar>
              <w:top w:type="dxa" w:w="80"/>
              <w:left w:type="dxa" w:w="100"/>
              <w:bottom w:type="dxa" w:w="80"/>
              <w:right w:type="dxa" w:w="100"/>
            </w:tcMar>
          </w:tcPr>
          <w:p>
            <w:r>
              <w:rPr>
                <w:rFonts w:ascii="Calibri" w:cs="Calibri" w:eastAsia="Calibri" w:hAnsi="Calibri"/>
                <w:b/>
                <w:bCs/>
                <w:color w:val="FFFFFF"/>
                <w:sz w:val="21"/>
                <w:szCs w:val="21"/>
              </w:rPr>
              <w:t xml:space="preserve">TRADE 3C — Momentum-Breakout (TRANSITION regime)  ·  LONG</w:t>
            </w:r>
          </w:p>
        </w:tc>
      </w:tr>
      <w:tr>
        <w:trPr>
          <w:cantSplit/>
        </w:trPr>
        <w:tc>
          <w:tcPr>
            <w:tcW w:type="dxa" w:w="2700"/>
            <w:shd w:fill="EAF0F7" w:val="clear"/>
            <w:tcMar>
              <w:top w:type="dxa" w:w="70"/>
              <w:left w:type="dxa" w:w="90"/>
              <w:bottom w:type="dxa" w:w="70"/>
              <w:right w:type="dxa" w:w="90"/>
            </w:tcMar>
            <w:vAlign w:val="center"/>
          </w:tcPr>
          <w:p>
            <w:pPr>
              <w:spacing w:after="0" w:line="248"/>
              <w:jc w:val="left"/>
            </w:pPr>
            <w:r>
              <w:rPr>
                <w:rFonts w:ascii="Calibri" w:cs="Calibri" w:eastAsia="Calibri" w:hAnsi="Calibri"/>
                <w:b/>
                <w:bCs/>
                <w:color w:val="1F3A5F"/>
                <w:sz w:val="18"/>
                <w:szCs w:val="18"/>
              </w:rPr>
              <w:t xml:space="preserve">Variant</w:t>
            </w:r>
          </w:p>
        </w:tc>
        <w:tc>
          <w:tcPr>
            <w:tcW w:type="dxa" w:w="6660"/>
            <w:shd w:fill="FFFFFF"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9"/>
                <w:szCs w:val="19"/>
              </w:rPr>
              <w:t xml:space="preserve">Trade 3C — selected because the regime label is </w:t>
            </w:r>
            <w:r>
              <w:rPr>
                <w:rFonts w:ascii="Calibri" w:cs="Calibri" w:eastAsia="Calibri" w:hAnsi="Calibri"/>
                <w:b/>
                <w:bCs/>
                <w:sz w:val="21"/>
                <w:szCs w:val="21"/>
              </w:rPr>
              <w:t xml:space="preserve">TRANSITION</w:t>
            </w:r>
            <w:r>
              <w:rPr>
                <w:rFonts w:ascii="Calibri" w:cs="Calibri" w:eastAsia="Calibri" w:hAnsi="Calibri"/>
                <w:color w:val="1A1A2E"/>
                <w:sz w:val="19"/>
                <w:szCs w:val="19"/>
              </w:rPr>
              <w:t xml:space="preserve">. The thesis: the prior range has been tested and shaken out enough that the next confirmed break has elevated follow-through odds.</w:t>
            </w:r>
          </w:p>
        </w:tc>
      </w:tr>
      <w:tr>
        <w:trPr>
          <w:cantSplit/>
        </w:trPr>
        <w:tc>
          <w:tcPr>
            <w:tcW w:type="dxa" w:w="2700"/>
            <w:shd w:fill="EAF0F7" w:val="clear"/>
            <w:tcMar>
              <w:top w:type="dxa" w:w="70"/>
              <w:left w:type="dxa" w:w="90"/>
              <w:bottom w:type="dxa" w:w="70"/>
              <w:right w:type="dxa" w:w="90"/>
            </w:tcMar>
            <w:vAlign w:val="center"/>
          </w:tcPr>
          <w:p>
            <w:pPr>
              <w:spacing w:after="0" w:line="248"/>
              <w:jc w:val="left"/>
            </w:pPr>
            <w:r>
              <w:rPr>
                <w:rFonts w:ascii="Calibri" w:cs="Calibri" w:eastAsia="Calibri" w:hAnsi="Calibri"/>
                <w:b/>
                <w:bCs/>
                <w:color w:val="1F3A5F"/>
                <w:sz w:val="18"/>
                <w:szCs w:val="18"/>
              </w:rPr>
              <w:t xml:space="preserve">Direction</w:t>
            </w:r>
          </w:p>
        </w:tc>
        <w:tc>
          <w:tcPr>
            <w:tcW w:type="dxa" w:w="6660"/>
            <w:shd w:fill="F4F6FA" w:val="clear"/>
            <w:tcMar>
              <w:top w:type="dxa" w:w="70"/>
              <w:left w:type="dxa" w:w="90"/>
              <w:bottom w:type="dxa" w:w="70"/>
              <w:right w:type="dxa" w:w="90"/>
            </w:tcMar>
            <w:vAlign w:val="center"/>
          </w:tcPr>
          <w:p>
            <w:pPr>
              <w:spacing w:after="0" w:line="248"/>
              <w:jc w:val="left"/>
            </w:pPr>
            <w:r>
              <w:rPr>
                <w:rFonts w:ascii="Calibri" w:cs="Calibri" w:eastAsia="Calibri" w:hAnsi="Calibri"/>
                <w:b/>
                <w:bCs/>
                <w:color w:val="1A7F5A"/>
                <w:sz w:val="19"/>
                <w:szCs w:val="19"/>
              </w:rPr>
              <w:t xml:space="preserve">LONG</w:t>
            </w:r>
            <w:r>
              <w:rPr>
                <w:rFonts w:ascii="Calibri" w:cs="Calibri" w:eastAsia="Calibri" w:hAnsi="Calibri"/>
                <w:color w:val="1A1A2E"/>
                <w:sz w:val="19"/>
                <w:szCs w:val="19"/>
              </w:rPr>
              <w:t xml:space="preserve">  — upside breakout. Recent rotation has repeatedly tested the upper boundary of the 25-day range; VIX falling and DAX rising support the upside.</w:t>
            </w:r>
          </w:p>
        </w:tc>
      </w:tr>
      <w:tr>
        <w:trPr>
          <w:cantSplit/>
        </w:trPr>
        <w:tc>
          <w:tcPr>
            <w:tcW w:type="dxa" w:w="2700"/>
            <w:shd w:fill="EAF0F7" w:val="clear"/>
            <w:tcMar>
              <w:top w:type="dxa" w:w="70"/>
              <w:left w:type="dxa" w:w="90"/>
              <w:bottom w:type="dxa" w:w="70"/>
              <w:right w:type="dxa" w:w="90"/>
            </w:tcMar>
            <w:vAlign w:val="center"/>
          </w:tcPr>
          <w:p>
            <w:pPr>
              <w:spacing w:after="0" w:line="248"/>
              <w:jc w:val="left"/>
            </w:pPr>
            <w:r>
              <w:rPr>
                <w:rFonts w:ascii="Calibri" w:cs="Calibri" w:eastAsia="Calibri" w:hAnsi="Calibri"/>
                <w:b/>
                <w:bCs/>
                <w:color w:val="1F3A5F"/>
                <w:sz w:val="18"/>
                <w:szCs w:val="18"/>
              </w:rPr>
              <w:t xml:space="preserve">Range definition</w:t>
            </w:r>
          </w:p>
        </w:tc>
        <w:tc>
          <w:tcPr>
            <w:tcW w:type="dxa" w:w="6660"/>
            <w:shd w:fill="FFFFFF"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8"/>
                <w:szCs w:val="18"/>
              </w:rPr>
              <w:t xml:space="preserve">25-session range: low 6,899.83 → high 7,550.96; width ≈ 651 points.</w:t>
            </w:r>
          </w:p>
        </w:tc>
      </w:tr>
      <w:tr>
        <w:trPr>
          <w:cantSplit/>
        </w:trPr>
        <w:tc>
          <w:tcPr>
            <w:tcW w:type="dxa" w:w="2700"/>
            <w:shd w:fill="EAF0F7" w:val="clear"/>
            <w:tcMar>
              <w:top w:type="dxa" w:w="70"/>
              <w:left w:type="dxa" w:w="90"/>
              <w:bottom w:type="dxa" w:w="70"/>
              <w:right w:type="dxa" w:w="90"/>
            </w:tcMar>
            <w:vAlign w:val="center"/>
          </w:tcPr>
          <w:p>
            <w:pPr>
              <w:spacing w:after="0" w:line="248"/>
              <w:jc w:val="left"/>
            </w:pPr>
            <w:r>
              <w:rPr>
                <w:rFonts w:ascii="Calibri" w:cs="Calibri" w:eastAsia="Calibri" w:hAnsi="Calibri"/>
                <w:b/>
                <w:bCs/>
                <w:color w:val="1F3A5F"/>
                <w:sz w:val="18"/>
                <w:szCs w:val="18"/>
              </w:rPr>
              <w:t xml:space="preserve">Confirmed break</w:t>
            </w:r>
          </w:p>
        </w:tc>
        <w:tc>
          <w:tcPr>
            <w:tcW w:type="dxa" w:w="6660"/>
            <w:shd w:fill="F4F6FA" w:val="clear"/>
            <w:tcMar>
              <w:top w:type="dxa" w:w="70"/>
              <w:left w:type="dxa" w:w="90"/>
              <w:bottom w:type="dxa" w:w="70"/>
              <w:right w:type="dxa" w:w="90"/>
            </w:tcMar>
            <w:vAlign w:val="center"/>
          </w:tcPr>
          <w:p>
            <w:pPr>
              <w:spacing w:after="0" w:line="248"/>
              <w:jc w:val="left"/>
            </w:pPr>
            <w:r>
              <w:rPr>
                <w:rFonts w:ascii="Calibri" w:cs="Calibri" w:eastAsia="Calibri" w:hAnsi="Calibri"/>
                <w:b/>
                <w:bCs/>
                <w:color w:val="C0392B"/>
                <w:sz w:val="19"/>
                <w:szCs w:val="19"/>
              </w:rPr>
              <w:t xml:space="preserve">Not yet confirmed.</w:t>
            </w:r>
            <w:r>
              <w:rPr>
                <w:rFonts w:ascii="Calibri" w:cs="Calibri" w:eastAsia="Calibri" w:hAnsi="Calibri"/>
                <w:color w:val="1A1A2E"/>
                <w:sz w:val="19"/>
                <w:szCs w:val="19"/>
              </w:rPr>
              <w:t xml:space="preserve">  Requires a daily close beyond 7,550.96 by at least 0.25×ATR. The 22 May close of 7,473.47 is below that level — the card is a pending stop-entry, not a live position.</w:t>
            </w:r>
          </w:p>
        </w:tc>
      </w:tr>
      <w:tr>
        <w:trPr>
          <w:cantSplit/>
        </w:trPr>
        <w:tc>
          <w:tcPr>
            <w:tcW w:type="dxa" w:w="2700"/>
            <w:shd w:fill="EAF0F7" w:val="clear"/>
            <w:tcMar>
              <w:top w:type="dxa" w:w="70"/>
              <w:left w:type="dxa" w:w="90"/>
              <w:bottom w:type="dxa" w:w="70"/>
              <w:right w:type="dxa" w:w="90"/>
            </w:tcMar>
            <w:vAlign w:val="center"/>
          </w:tcPr>
          <w:p>
            <w:pPr>
              <w:spacing w:after="0" w:line="248"/>
              <w:jc w:val="left"/>
            </w:pPr>
            <w:r>
              <w:rPr>
                <w:rFonts w:ascii="Calibri" w:cs="Calibri" w:eastAsia="Calibri" w:hAnsi="Calibri"/>
                <w:b/>
                <w:bCs/>
                <w:color w:val="1F3A5F"/>
                <w:sz w:val="18"/>
                <w:szCs w:val="18"/>
              </w:rPr>
              <w:t xml:space="preserve">Entry</w:t>
            </w:r>
          </w:p>
        </w:tc>
        <w:tc>
          <w:tcPr>
            <w:tcW w:type="dxa" w:w="6660"/>
            <w:shd w:fill="FFFFFF"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8"/>
                <w:szCs w:val="18"/>
              </w:rPr>
              <w:t xml:space="preserve">7,574.60  — on a confirmed daily close beyond the range high plus the 0.25×ATR buffer (stop-entry)</w:t>
            </w:r>
          </w:p>
        </w:tc>
      </w:tr>
      <w:tr>
        <w:trPr>
          <w:cantSplit/>
        </w:trPr>
        <w:tc>
          <w:tcPr>
            <w:tcW w:type="dxa" w:w="2700"/>
            <w:shd w:fill="EAF0F7" w:val="clear"/>
            <w:tcMar>
              <w:top w:type="dxa" w:w="70"/>
              <w:left w:type="dxa" w:w="90"/>
              <w:bottom w:type="dxa" w:w="70"/>
              <w:right w:type="dxa" w:w="90"/>
            </w:tcMar>
            <w:vAlign w:val="center"/>
          </w:tcPr>
          <w:p>
            <w:pPr>
              <w:spacing w:after="0" w:line="248"/>
              <w:jc w:val="left"/>
            </w:pPr>
            <w:r>
              <w:rPr>
                <w:rFonts w:ascii="Calibri" w:cs="Calibri" w:eastAsia="Calibri" w:hAnsi="Calibri"/>
                <w:b/>
                <w:bCs/>
                <w:color w:val="1F3A5F"/>
                <w:sz w:val="18"/>
                <w:szCs w:val="18"/>
              </w:rPr>
              <w:t xml:space="preserve">Stop loss</w:t>
            </w:r>
          </w:p>
        </w:tc>
        <w:tc>
          <w:tcPr>
            <w:tcW w:type="dxa" w:w="6660"/>
            <w:shd w:fill="F4F6FA" w:val="clear"/>
            <w:tcMar>
              <w:top w:type="dxa" w:w="70"/>
              <w:left w:type="dxa" w:w="90"/>
              <w:bottom w:type="dxa" w:w="70"/>
              <w:right w:type="dxa" w:w="90"/>
            </w:tcMar>
            <w:vAlign w:val="center"/>
          </w:tcPr>
          <w:p>
            <w:pPr>
              <w:spacing w:after="0" w:line="248"/>
              <w:jc w:val="left"/>
            </w:pPr>
            <w:r>
              <w:rPr>
                <w:rFonts w:ascii="Calibri" w:cs="Calibri" w:eastAsia="Calibri" w:hAnsi="Calibri"/>
                <w:b/>
                <w:bCs/>
                <w:color w:val="C0392B"/>
                <w:sz w:val="19"/>
                <w:szCs w:val="19"/>
              </w:rPr>
              <w:t xml:space="preserve">7,160.29</w:t>
            </w:r>
            <w:r>
              <w:rPr>
                <w:rFonts w:ascii="Calibri" w:cs="Calibri" w:eastAsia="Calibri" w:hAnsi="Calibri"/>
                <w:color w:val="1A1A2E"/>
                <w:sz w:val="19"/>
                <w:szCs w:val="19"/>
              </w:rPr>
              <w:t xml:space="preserve">  — generous post-fakeout stop, placed just below the 25-day range midpoint. Distance ≈ 414 points.</w:t>
            </w:r>
          </w:p>
        </w:tc>
      </w:tr>
      <w:tr>
        <w:trPr>
          <w:cantSplit/>
        </w:trPr>
        <w:tc>
          <w:tcPr>
            <w:tcW w:type="dxa" w:w="2700"/>
            <w:shd w:fill="EAF0F7" w:val="clear"/>
            <w:tcMar>
              <w:top w:type="dxa" w:w="70"/>
              <w:left w:type="dxa" w:w="90"/>
              <w:bottom w:type="dxa" w:w="70"/>
              <w:right w:type="dxa" w:w="90"/>
            </w:tcMar>
            <w:vAlign w:val="center"/>
          </w:tcPr>
          <w:p>
            <w:pPr>
              <w:spacing w:after="0" w:line="248"/>
              <w:jc w:val="left"/>
            </w:pPr>
            <w:r>
              <w:rPr>
                <w:rFonts w:ascii="Calibri" w:cs="Calibri" w:eastAsia="Calibri" w:hAnsi="Calibri"/>
                <w:b/>
                <w:bCs/>
                <w:color w:val="1F3A5F"/>
                <w:sz w:val="18"/>
                <w:szCs w:val="18"/>
              </w:rPr>
              <w:t xml:space="preserve">Risk (R)</w:t>
            </w:r>
          </w:p>
        </w:tc>
        <w:tc>
          <w:tcPr>
            <w:tcW w:type="dxa" w:w="6660"/>
            <w:shd w:fill="FFFFFF"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8"/>
                <w:szCs w:val="18"/>
              </w:rPr>
              <w:t xml:space="preserve">414 points (7,574.60 → 7,160.29) — wide by design for a structural breakout trade</w:t>
            </w:r>
          </w:p>
        </w:tc>
      </w:tr>
      <w:tr>
        <w:trPr>
          <w:cantSplit/>
        </w:trPr>
        <w:tc>
          <w:tcPr>
            <w:tcW w:type="dxa" w:w="2700"/>
            <w:shd w:fill="EAF0F7" w:val="clear"/>
            <w:tcMar>
              <w:top w:type="dxa" w:w="70"/>
              <w:left w:type="dxa" w:w="90"/>
              <w:bottom w:type="dxa" w:w="70"/>
              <w:right w:type="dxa" w:w="90"/>
            </w:tcMar>
            <w:vAlign w:val="center"/>
          </w:tcPr>
          <w:p>
            <w:pPr>
              <w:spacing w:after="0" w:line="248"/>
              <w:jc w:val="left"/>
            </w:pPr>
            <w:r>
              <w:rPr>
                <w:rFonts w:ascii="Calibri" w:cs="Calibri" w:eastAsia="Calibri" w:hAnsi="Calibri"/>
                <w:b/>
                <w:bCs/>
                <w:color w:val="1F3A5F"/>
                <w:sz w:val="18"/>
                <w:szCs w:val="18"/>
              </w:rPr>
              <w:t xml:space="preserve">TP1 — Unit 1</w:t>
            </w:r>
          </w:p>
        </w:tc>
        <w:tc>
          <w:tcPr>
            <w:tcW w:type="dxa" w:w="6660"/>
            <w:shd w:fill="F4F6FA"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8"/>
                <w:szCs w:val="18"/>
              </w:rPr>
              <w:t xml:space="preserve">8,202.09  ·  measured move = range high + 1.0× range width</w:t>
            </w:r>
          </w:p>
        </w:tc>
      </w:tr>
      <w:tr>
        <w:trPr>
          <w:cantSplit/>
        </w:trPr>
        <w:tc>
          <w:tcPr>
            <w:tcW w:type="dxa" w:w="2700"/>
            <w:shd w:fill="EAF0F7" w:val="clear"/>
            <w:tcMar>
              <w:top w:type="dxa" w:w="70"/>
              <w:left w:type="dxa" w:w="90"/>
              <w:bottom w:type="dxa" w:w="70"/>
              <w:right w:type="dxa" w:w="90"/>
            </w:tcMar>
            <w:vAlign w:val="center"/>
          </w:tcPr>
          <w:p>
            <w:pPr>
              <w:spacing w:after="0" w:line="248"/>
              <w:jc w:val="left"/>
            </w:pPr>
            <w:r>
              <w:rPr>
                <w:rFonts w:ascii="Calibri" w:cs="Calibri" w:eastAsia="Calibri" w:hAnsi="Calibri"/>
                <w:b/>
                <w:bCs/>
                <w:color w:val="1F3A5F"/>
                <w:sz w:val="18"/>
                <w:szCs w:val="18"/>
              </w:rPr>
              <w:t xml:space="preserve">TP2 — Unit 2</w:t>
            </w:r>
          </w:p>
        </w:tc>
        <w:tc>
          <w:tcPr>
            <w:tcW w:type="dxa" w:w="6660"/>
            <w:shd w:fill="FFFFFF"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8"/>
                <w:szCs w:val="18"/>
              </w:rPr>
              <w:t xml:space="preserve">8,527.65  ·  1.5× measured move. On fill, Unit 3 stop moves to the broken boundary (7,550.96).</w:t>
            </w:r>
          </w:p>
        </w:tc>
      </w:tr>
      <w:tr>
        <w:trPr>
          <w:cantSplit/>
        </w:trPr>
        <w:tc>
          <w:tcPr>
            <w:tcW w:type="dxa" w:w="2700"/>
            <w:shd w:fill="EAF0F7" w:val="clear"/>
            <w:tcMar>
              <w:top w:type="dxa" w:w="70"/>
              <w:left w:type="dxa" w:w="90"/>
              <w:bottom w:type="dxa" w:w="70"/>
              <w:right w:type="dxa" w:w="90"/>
            </w:tcMar>
            <w:vAlign w:val="center"/>
          </w:tcPr>
          <w:p>
            <w:pPr>
              <w:spacing w:after="0" w:line="248"/>
              <w:jc w:val="left"/>
            </w:pPr>
            <w:r>
              <w:rPr>
                <w:rFonts w:ascii="Calibri" w:cs="Calibri" w:eastAsia="Calibri" w:hAnsi="Calibri"/>
                <w:b/>
                <w:bCs/>
                <w:color w:val="1F3A5F"/>
                <w:sz w:val="18"/>
                <w:szCs w:val="18"/>
              </w:rPr>
              <w:t xml:space="preserve">TP3 — Unit 3 (runner)</w:t>
            </w:r>
          </w:p>
        </w:tc>
        <w:tc>
          <w:tcPr>
            <w:tcW w:type="dxa" w:w="6660"/>
            <w:shd w:fill="F4F6FA"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8"/>
                <w:szCs w:val="18"/>
              </w:rPr>
              <w:t xml:space="preserve">Discretionary trail beyond 1.5× measured move, anchored to subsequent swing structure.</w:t>
            </w:r>
          </w:p>
        </w:tc>
      </w:tr>
      <w:tr>
        <w:trPr>
          <w:cantSplit/>
        </w:trPr>
        <w:tc>
          <w:tcPr>
            <w:tcW w:type="dxa" w:w="2700"/>
            <w:shd w:fill="EAF0F7" w:val="clear"/>
            <w:tcMar>
              <w:top w:type="dxa" w:w="70"/>
              <w:left w:type="dxa" w:w="90"/>
              <w:bottom w:type="dxa" w:w="70"/>
              <w:right w:type="dxa" w:w="90"/>
            </w:tcMar>
            <w:vAlign w:val="center"/>
          </w:tcPr>
          <w:p>
            <w:pPr>
              <w:spacing w:after="0" w:line="248"/>
              <w:jc w:val="left"/>
            </w:pPr>
            <w:r>
              <w:rPr>
                <w:rFonts w:ascii="Calibri" w:cs="Calibri" w:eastAsia="Calibri" w:hAnsi="Calibri"/>
                <w:b/>
                <w:bCs/>
                <w:color w:val="1F3A5F"/>
                <w:sz w:val="18"/>
                <w:szCs w:val="18"/>
              </w:rPr>
              <w:t xml:space="preserve">Thesis invalidation</w:t>
            </w:r>
          </w:p>
        </w:tc>
        <w:tc>
          <w:tcPr>
            <w:tcW w:type="dxa" w:w="6660"/>
            <w:shd w:fill="FFFFFF"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8"/>
                <w:szCs w:val="18"/>
              </w:rPr>
              <w:t xml:space="preserve">A daily close back inside the range, past the midpoint (≈7,225).</w:t>
            </w:r>
          </w:p>
        </w:tc>
      </w:tr>
      <w:tr>
        <w:trPr>
          <w:cantSplit/>
        </w:trPr>
        <w:tc>
          <w:tcPr>
            <w:tcW w:type="dxa" w:w="2700"/>
            <w:shd w:fill="EAF0F7" w:val="clear"/>
            <w:tcMar>
              <w:top w:type="dxa" w:w="70"/>
              <w:left w:type="dxa" w:w="90"/>
              <w:bottom w:type="dxa" w:w="70"/>
              <w:right w:type="dxa" w:w="90"/>
            </w:tcMar>
            <w:vAlign w:val="center"/>
          </w:tcPr>
          <w:p>
            <w:pPr>
              <w:spacing w:after="0" w:line="248"/>
              <w:jc w:val="left"/>
            </w:pPr>
            <w:r>
              <w:rPr>
                <w:rFonts w:ascii="Calibri" w:cs="Calibri" w:eastAsia="Calibri" w:hAnsi="Calibri"/>
                <w:b/>
                <w:bCs/>
                <w:color w:val="1F3A5F"/>
                <w:sz w:val="18"/>
                <w:szCs w:val="18"/>
              </w:rPr>
              <w:t xml:space="preserve">Caveats</w:t>
            </w:r>
          </w:p>
        </w:tc>
        <w:tc>
          <w:tcPr>
            <w:tcW w:type="dxa" w:w="6660"/>
            <w:shd w:fill="F4F6FA"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9"/>
                <w:szCs w:val="19"/>
              </w:rPr>
              <w:t xml:space="preserve">Entry is contingent on a confirmed close above 7,551 — until then the trade is </w:t>
            </w:r>
            <w:r>
              <w:rPr>
                <w:rFonts w:ascii="Calibri" w:cs="Calibri" w:eastAsia="Calibri" w:hAnsi="Calibri"/>
                <w:b/>
                <w:bCs/>
                <w:sz w:val="21"/>
                <w:szCs w:val="21"/>
              </w:rPr>
              <w:t xml:space="preserve">pending, not active</w:t>
            </w:r>
            <w:r>
              <w:rPr>
                <w:rFonts w:ascii="Calibri" w:cs="Calibri" w:eastAsia="Calibri" w:hAnsi="Calibri"/>
                <w:color w:val="1A1A2E"/>
                <w:sz w:val="19"/>
                <w:szCs w:val="19"/>
              </w:rPr>
              <w:t xml:space="preserve">. Wide 414-point stop: position size must be reduced commensurately. Holding period would span the 29 May PCE release (§13d) — a Tier-1 event collision.</w:t>
            </w:r>
          </w:p>
        </w:tc>
      </w:tr>
    </w:tbl>
    <w:p>
      <w:pPr>
        <w:spacing w:after="140"/>
      </w:pPr>
      <w:r>
        <w:rPr>
          <w:rFonts w:ascii="Calibri" w:cs="Calibri" w:eastAsia="Calibri" w:hAnsi="Calibri"/>
          <w:sz w:val="21"/>
          <w:szCs w:val="21"/>
        </w:rPr>
        <w:t xml:space="preserve"/>
      </w:r>
    </w:p>
    <w:p>
      <w:pPr>
        <w:pStyle w:val="Heading2"/>
        <w:spacing w:after="100" w:before="180"/>
      </w:pPr>
      <w:r>
        <w:rPr>
          <w:rFonts w:ascii="Calibri" w:cs="Calibri" w:eastAsia="Calibri" w:hAnsi="Calibri"/>
          <w:b/>
          <w:bCs/>
          <w:color w:val="1A1A2E"/>
          <w:sz w:val="22"/>
          <w:szCs w:val="22"/>
        </w:rPr>
        <w:t xml:space="preserve">§21c  Five-Session No-Leakage Backtest</w:t>
      </w:r>
    </w:p>
    <w:p>
      <w:pPr>
        <w:spacing w:after="120" w:before="0" w:line="276"/>
      </w:pPr>
      <w:r>
        <w:rPr>
          <w:rFonts w:ascii="Calibri" w:cs="Calibri" w:eastAsia="Calibri" w:hAnsi="Calibri"/>
          <w:color w:val="1A1A2E"/>
          <w:sz w:val="19"/>
          <w:szCs w:val="19"/>
        </w:rPr>
        <w:t xml:space="preserve">The Trade 1 logic reconstructed across the prior five sessions, using only data available at each prior close. Sentiment, ATR, regime and swing levels are recomputed at each reconstruction point with no forward leakage; resolution is on the actual session OHLC with the conservative stop-loss-first tick-priority rule.</w:t>
      </w:r>
    </w:p>
    <w:p>
      <w:pPr>
        <w:spacing w:after="40"/>
      </w:pPr>
      <w:r>
        <w:rPr>
          <w:rFonts w:ascii="Calibri" w:cs="Calibri" w:eastAsia="Calibri" w:hAnsi="Calibri"/>
          <w:sz w:val="21"/>
          <w:szCs w:val="21"/>
        </w:rPr>
        <w:t xml:space="preserve"/>
      </w:r>
    </w:p>
    <w:tbl>
      <w:tblPr>
        <w:tblW w:type="dxa" w:w="9360"/>
        <w:tblBorders>
          <w:top w:val="single" w:color="C9D4E2" w:sz="2"/>
          <w:left w:val="single" w:color="C9D4E2" w:sz="2"/>
          <w:bottom w:val="single" w:color="C9D4E2" w:sz="2"/>
          <w:right w:val="single" w:color="C9D4E2" w:sz="2"/>
          <w:insideH w:val="single" w:color="C9D4E2" w:sz="2"/>
          <w:insideV w:val="single" w:color="C9D4E2" w:sz="2"/>
        </w:tblBorders>
      </w:tblPr>
      <w:tblGrid>
        <w:gridCol w:w="1500"/>
        <w:gridCol w:w="1320"/>
        <w:gridCol w:w="1340"/>
        <w:gridCol w:w="1320"/>
        <w:gridCol w:w="3880"/>
      </w:tblGrid>
      <w:tr>
        <w:trPr>
          <w:tblHeader/>
        </w:trPr>
        <w:tc>
          <w:tcPr>
            <w:tcW w:type="dxa" w:w="1500"/>
            <w:shd w:fill="1F3A5F" w:val="clear"/>
            <w:tcMar>
              <w:top w:type="dxa" w:w="70"/>
              <w:left w:type="dxa" w:w="90"/>
              <w:bottom w:type="dxa" w:w="70"/>
              <w:right w:type="dxa" w:w="90"/>
            </w:tcMar>
            <w:vAlign w:val="center"/>
          </w:tcPr>
          <w:p>
            <w:pPr>
              <w:spacing w:after="0" w:line="248"/>
              <w:jc w:val="left"/>
            </w:pPr>
            <w:r>
              <w:rPr>
                <w:rFonts w:ascii="Calibri" w:cs="Calibri" w:eastAsia="Calibri" w:hAnsi="Calibri"/>
                <w:b/>
                <w:bCs/>
                <w:color w:val="FFFFFF"/>
                <w:sz w:val="19"/>
                <w:szCs w:val="19"/>
              </w:rPr>
              <w:t xml:space="preserve">Session</w:t>
            </w:r>
          </w:p>
        </w:tc>
        <w:tc>
          <w:tcPr>
            <w:tcW w:type="dxa" w:w="1320"/>
            <w:shd w:fill="1F3A5F" w:val="clear"/>
            <w:tcMar>
              <w:top w:type="dxa" w:w="70"/>
              <w:left w:type="dxa" w:w="90"/>
              <w:bottom w:type="dxa" w:w="70"/>
              <w:right w:type="dxa" w:w="90"/>
            </w:tcMar>
            <w:vAlign w:val="center"/>
          </w:tcPr>
          <w:p>
            <w:pPr>
              <w:spacing w:after="0" w:line="248"/>
              <w:jc w:val="center"/>
            </w:pPr>
            <w:r>
              <w:rPr>
                <w:rFonts w:ascii="Calibri" w:cs="Calibri" w:eastAsia="Calibri" w:hAnsi="Calibri"/>
                <w:b/>
                <w:bCs/>
                <w:color w:val="FFFFFF"/>
                <w:sz w:val="19"/>
                <w:szCs w:val="19"/>
              </w:rPr>
              <w:t xml:space="preserve">Strategy</w:t>
            </w:r>
          </w:p>
        </w:tc>
        <w:tc>
          <w:tcPr>
            <w:tcW w:type="dxa" w:w="1340"/>
            <w:shd w:fill="1F3A5F" w:val="clear"/>
            <w:tcMar>
              <w:top w:type="dxa" w:w="70"/>
              <w:left w:type="dxa" w:w="90"/>
              <w:bottom w:type="dxa" w:w="70"/>
              <w:right w:type="dxa" w:w="90"/>
            </w:tcMar>
            <w:vAlign w:val="center"/>
          </w:tcPr>
          <w:p>
            <w:pPr>
              <w:spacing w:after="0" w:line="248"/>
              <w:jc w:val="center"/>
            </w:pPr>
            <w:r>
              <w:rPr>
                <w:rFonts w:ascii="Calibri" w:cs="Calibri" w:eastAsia="Calibri" w:hAnsi="Calibri"/>
                <w:b/>
                <w:bCs/>
                <w:color w:val="FFFFFF"/>
                <w:sz w:val="19"/>
                <w:szCs w:val="19"/>
              </w:rPr>
              <w:t xml:space="preserve">Direction</w:t>
            </w:r>
          </w:p>
        </w:tc>
        <w:tc>
          <w:tcPr>
            <w:tcW w:type="dxa" w:w="1320"/>
            <w:shd w:fill="1F3A5F" w:val="clear"/>
            <w:tcMar>
              <w:top w:type="dxa" w:w="70"/>
              <w:left w:type="dxa" w:w="90"/>
              <w:bottom w:type="dxa" w:w="70"/>
              <w:right w:type="dxa" w:w="90"/>
            </w:tcMar>
            <w:vAlign w:val="center"/>
          </w:tcPr>
          <w:p>
            <w:pPr>
              <w:spacing w:after="0" w:line="248"/>
              <w:jc w:val="center"/>
            </w:pPr>
            <w:r>
              <w:rPr>
                <w:rFonts w:ascii="Calibri" w:cs="Calibri" w:eastAsia="Calibri" w:hAnsi="Calibri"/>
                <w:b/>
                <w:bCs/>
                <w:color w:val="FFFFFF"/>
                <w:sz w:val="19"/>
                <w:szCs w:val="19"/>
              </w:rPr>
              <w:t xml:space="preserve">Triggered</w:t>
            </w:r>
          </w:p>
        </w:tc>
        <w:tc>
          <w:tcPr>
            <w:tcW w:type="dxa" w:w="3880"/>
            <w:shd w:fill="1F3A5F" w:val="clear"/>
            <w:tcMar>
              <w:top w:type="dxa" w:w="70"/>
              <w:left w:type="dxa" w:w="90"/>
              <w:bottom w:type="dxa" w:w="70"/>
              <w:right w:type="dxa" w:w="90"/>
            </w:tcMar>
            <w:vAlign w:val="center"/>
          </w:tcPr>
          <w:p>
            <w:pPr>
              <w:spacing w:after="0" w:line="248"/>
              <w:jc w:val="center"/>
            </w:pPr>
            <w:r>
              <w:rPr>
                <w:rFonts w:ascii="Calibri" w:cs="Calibri" w:eastAsia="Calibri" w:hAnsi="Calibri"/>
                <w:b/>
                <w:bCs/>
                <w:color w:val="FFFFFF"/>
                <w:sz w:val="19"/>
                <w:szCs w:val="19"/>
              </w:rPr>
              <w:t xml:space="preserve">Outcome</w:t>
            </w:r>
          </w:p>
        </w:tc>
      </w:tr>
      <w:tr>
        <w:tc>
          <w:tcPr>
            <w:tcW w:type="dxa" w:w="1500"/>
            <w:shd w:fill="FFFFFF"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9"/>
                <w:szCs w:val="19"/>
              </w:rPr>
              <w:t xml:space="preserve">Fri 22 May</w:t>
            </w:r>
          </w:p>
        </w:tc>
        <w:tc>
          <w:tcPr>
            <w:tcW w:type="dxa" w:w="132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Trade 1</w:t>
            </w:r>
          </w:p>
        </w:tc>
        <w:tc>
          <w:tcPr>
            <w:tcW w:type="dxa" w:w="1340"/>
            <w:shd w:fill="FFFFFF" w:val="clear"/>
            <w:tcMar>
              <w:top w:type="dxa" w:w="70"/>
              <w:left w:type="dxa" w:w="90"/>
              <w:bottom w:type="dxa" w:w="70"/>
              <w:right w:type="dxa" w:w="90"/>
            </w:tcMar>
            <w:vAlign w:val="center"/>
          </w:tcPr>
          <w:p>
            <w:pPr>
              <w:spacing w:after="0" w:line="248"/>
              <w:jc w:val="center"/>
            </w:pPr>
            <w:r>
              <w:rPr>
                <w:rFonts w:ascii="Calibri" w:cs="Calibri" w:eastAsia="Calibri" w:hAnsi="Calibri"/>
                <w:b/>
                <w:bCs/>
                <w:color w:val="1A7F5A"/>
                <w:sz w:val="19"/>
                <w:szCs w:val="19"/>
              </w:rPr>
              <w:t xml:space="preserve">LONG</w:t>
            </w:r>
          </w:p>
        </w:tc>
        <w:tc>
          <w:tcPr>
            <w:tcW w:type="dxa" w:w="132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Yes</w:t>
            </w:r>
          </w:p>
        </w:tc>
        <w:tc>
          <w:tcPr>
            <w:tcW w:type="dxa" w:w="388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Open at +0.05R — entered on the up-day, unresolved at window end</w:t>
            </w:r>
          </w:p>
        </w:tc>
      </w:tr>
      <w:tr>
        <w:tc>
          <w:tcPr>
            <w:tcW w:type="dxa" w:w="1500"/>
            <w:shd w:fill="F4F6FA"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9"/>
                <w:szCs w:val="19"/>
              </w:rPr>
              <w:t xml:space="preserve">Thu 21 May</w:t>
            </w:r>
          </w:p>
        </w:tc>
        <w:tc>
          <w:tcPr>
            <w:tcW w:type="dxa" w:w="1320"/>
            <w:shd w:fill="F4F6FA"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Trade 1</w:t>
            </w:r>
          </w:p>
        </w:tc>
        <w:tc>
          <w:tcPr>
            <w:tcW w:type="dxa" w:w="1340"/>
            <w:shd w:fill="F4F6FA" w:val="clear"/>
            <w:tcMar>
              <w:top w:type="dxa" w:w="70"/>
              <w:left w:type="dxa" w:w="90"/>
              <w:bottom w:type="dxa" w:w="70"/>
              <w:right w:type="dxa" w:w="90"/>
            </w:tcMar>
            <w:vAlign w:val="center"/>
          </w:tcPr>
          <w:p>
            <w:pPr>
              <w:spacing w:after="0" w:line="248"/>
              <w:jc w:val="center"/>
            </w:pPr>
            <w:r>
              <w:rPr>
                <w:rFonts w:ascii="Calibri" w:cs="Calibri" w:eastAsia="Calibri" w:hAnsi="Calibri"/>
                <w:b/>
                <w:bCs/>
                <w:color w:val="1A7F5A"/>
                <w:sz w:val="19"/>
                <w:szCs w:val="19"/>
              </w:rPr>
              <w:t xml:space="preserve">LONG</w:t>
            </w:r>
          </w:p>
        </w:tc>
        <w:tc>
          <w:tcPr>
            <w:tcW w:type="dxa" w:w="1320"/>
            <w:shd w:fill="F4F6FA"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Yes</w:t>
            </w:r>
          </w:p>
        </w:tc>
        <w:tc>
          <w:tcPr>
            <w:tcW w:type="dxa" w:w="3880"/>
            <w:shd w:fill="F4F6FA"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Open at +0.08R — narrow constructive session, neither TP nor SL hit</w:t>
            </w:r>
          </w:p>
        </w:tc>
      </w:tr>
      <w:tr>
        <w:tc>
          <w:tcPr>
            <w:tcW w:type="dxa" w:w="1500"/>
            <w:shd w:fill="FFFFFF"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9"/>
                <w:szCs w:val="19"/>
              </w:rPr>
              <w:t xml:space="preserve">Wed 20 May</w:t>
            </w:r>
          </w:p>
        </w:tc>
        <w:tc>
          <w:tcPr>
            <w:tcW w:type="dxa" w:w="132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Trade 1</w:t>
            </w:r>
          </w:p>
        </w:tc>
        <w:tc>
          <w:tcPr>
            <w:tcW w:type="dxa" w:w="1340"/>
            <w:shd w:fill="FFFFFF" w:val="clear"/>
            <w:tcMar>
              <w:top w:type="dxa" w:w="70"/>
              <w:left w:type="dxa" w:w="90"/>
              <w:bottom w:type="dxa" w:w="70"/>
              <w:right w:type="dxa" w:w="90"/>
            </w:tcMar>
            <w:vAlign w:val="center"/>
          </w:tcPr>
          <w:p>
            <w:pPr>
              <w:spacing w:after="0" w:line="248"/>
              <w:jc w:val="center"/>
            </w:pPr>
            <w:r>
              <w:rPr>
                <w:rFonts w:ascii="Calibri" w:cs="Calibri" w:eastAsia="Calibri" w:hAnsi="Calibri"/>
                <w:b/>
                <w:bCs/>
                <w:color w:val="C0392B"/>
                <w:sz w:val="19"/>
                <w:szCs w:val="19"/>
              </w:rPr>
              <w:t xml:space="preserve">SHORT</w:t>
            </w:r>
          </w:p>
        </w:tc>
        <w:tc>
          <w:tcPr>
            <w:tcW w:type="dxa" w:w="132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Yes</w:t>
            </w:r>
          </w:p>
        </w:tc>
        <w:tc>
          <w:tcPr>
            <w:tcW w:type="dxa" w:w="388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Open at −0.76R — reconstructed short on the prior down-move; the 20 May reversal ran against it</w:t>
            </w:r>
          </w:p>
        </w:tc>
      </w:tr>
      <w:tr>
        <w:tc>
          <w:tcPr>
            <w:tcW w:type="dxa" w:w="1500"/>
            <w:shd w:fill="F4F6FA"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9"/>
                <w:szCs w:val="19"/>
              </w:rPr>
              <w:t xml:space="preserve">Tue 19 May</w:t>
            </w:r>
          </w:p>
        </w:tc>
        <w:tc>
          <w:tcPr>
            <w:tcW w:type="dxa" w:w="1320"/>
            <w:shd w:fill="F4F6FA"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Trade 1</w:t>
            </w:r>
          </w:p>
        </w:tc>
        <w:tc>
          <w:tcPr>
            <w:tcW w:type="dxa" w:w="1340"/>
            <w:shd w:fill="F4F6FA"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SUPPRESSED</w:t>
            </w:r>
          </w:p>
        </w:tc>
        <w:tc>
          <w:tcPr>
            <w:tcW w:type="dxa" w:w="1320"/>
            <w:shd w:fill="F4F6FA"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w:t>
            </w:r>
          </w:p>
        </w:tc>
        <w:tc>
          <w:tcPr>
            <w:tcW w:type="dxa" w:w="3880"/>
            <w:shd w:fill="F4F6FA"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Reconstructed direction NEUTRAL — prior two-day move flat; Trade 1 correctly suppressed</w:t>
            </w:r>
          </w:p>
        </w:tc>
      </w:tr>
      <w:tr>
        <w:tc>
          <w:tcPr>
            <w:tcW w:type="dxa" w:w="1500"/>
            <w:shd w:fill="FFFFFF" w:val="clear"/>
            <w:tcMar>
              <w:top w:type="dxa" w:w="70"/>
              <w:left w:type="dxa" w:w="90"/>
              <w:bottom w:type="dxa" w:w="70"/>
              <w:right w:type="dxa" w:w="90"/>
            </w:tcMar>
            <w:vAlign w:val="center"/>
          </w:tcPr>
          <w:p>
            <w:pPr>
              <w:spacing w:after="0" w:line="248"/>
              <w:jc w:val="left"/>
            </w:pPr>
            <w:r>
              <w:rPr>
                <w:rFonts w:ascii="Calibri" w:cs="Calibri" w:eastAsia="Calibri" w:hAnsi="Calibri"/>
                <w:color w:val="1A1A2E"/>
                <w:sz w:val="19"/>
                <w:szCs w:val="19"/>
              </w:rPr>
              <w:t xml:space="preserve">Mon 18 May</w:t>
            </w:r>
          </w:p>
        </w:tc>
        <w:tc>
          <w:tcPr>
            <w:tcW w:type="dxa" w:w="132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Trade 1</w:t>
            </w:r>
          </w:p>
        </w:tc>
        <w:tc>
          <w:tcPr>
            <w:tcW w:type="dxa" w:w="134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n/a</w:t>
            </w:r>
          </w:p>
        </w:tc>
        <w:tc>
          <w:tcPr>
            <w:tcW w:type="dxa" w:w="132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w:t>
            </w:r>
          </w:p>
        </w:tc>
        <w:tc>
          <w:tcPr>
            <w:tcW w:type="dxa" w:w="3880"/>
            <w:shd w:fill="FFFFFF" w:val="clear"/>
            <w:tcMar>
              <w:top w:type="dxa" w:w="70"/>
              <w:left w:type="dxa" w:w="90"/>
              <w:bottom w:type="dxa" w:w="70"/>
              <w:right w:type="dxa" w:w="90"/>
            </w:tcMar>
            <w:vAlign w:val="center"/>
          </w:tcPr>
          <w:p>
            <w:pPr>
              <w:spacing w:after="0" w:line="248"/>
              <w:jc w:val="center"/>
            </w:pPr>
            <w:r>
              <w:rPr>
                <w:rFonts w:ascii="Calibri" w:cs="Calibri" w:eastAsia="Calibri" w:hAnsi="Calibri"/>
                <w:color w:val="1A1A2E"/>
                <w:sz w:val="19"/>
                <w:szCs w:val="19"/>
              </w:rPr>
              <w:t xml:space="preserve">Outside the reconstructable window (insufficient prior sessions for the direction proxy)</w:t>
            </w:r>
          </w:p>
        </w:tc>
      </w:tr>
    </w:tbl>
    <w:p>
      <w:pPr>
        <w:spacing w:after="80"/>
      </w:pPr>
      <w:r>
        <w:rPr>
          <w:rFonts w:ascii="Calibri" w:cs="Calibri" w:eastAsia="Calibri" w:hAnsi="Calibri"/>
          <w:sz w:val="21"/>
          <w:szCs w:val="21"/>
        </w:rPr>
        <w:t xml:space="preserve"/>
      </w:r>
    </w:p>
    <w:p>
      <w:pPr>
        <w:pStyle w:val="Heading2"/>
        <w:spacing w:after="100" w:before="180"/>
      </w:pPr>
      <w:r>
        <w:rPr>
          <w:rFonts w:ascii="Calibri" w:cs="Calibri" w:eastAsia="Calibri" w:hAnsi="Calibri"/>
          <w:b/>
          <w:bCs/>
          <w:color w:val="1A1A2E"/>
          <w:sz w:val="22"/>
          <w:szCs w:val="22"/>
        </w:rPr>
        <w:t xml:space="preserve">§21d  ‘What Is Working’ Aggregate</w:t>
      </w:r>
    </w:p>
    <w:p>
      <w:pPr>
        <w:spacing w:after="120" w:before="0" w:line="276"/>
      </w:pPr>
      <w:r>
        <w:rPr>
          <w:rFonts w:ascii="Calibri" w:cs="Calibri" w:eastAsia="Calibri" w:hAnsi="Calibri"/>
          <w:color w:val="1A1A2E"/>
          <w:sz w:val="19"/>
          <w:szCs w:val="19"/>
        </w:rPr>
        <w:t xml:space="preserve">Trade 1 over the last 5 sessions: triggered on 3 of 4 reconstructable sessions, with 1 suppression (NEUTRAL direction). No reconstructed Trade 1 reached a clean TP1/TP2/TP3 resolution within the window — two positions remain open with small positive mark-to-market (+0.05R, +0.08R) and one open at −0.76R, for an open mean of roughly −0.21R across triggered trades. The single losing reconstruction is the 20 May short, where the reconstructed direction (built from the prior down-move) was caught by the same intraday reversal that turned the actual market higher — a clean illustration of why a Transitional regime punishes momentum-direction proxies. Trades 2 and 3 are regime-driven and were not part of this Trade-1 reconstruction.</w:t>
      </w:r>
    </w:p>
    <w:p>
      <w:pPr>
        <w:spacing w:after="40"/>
      </w:pPr>
      <w:r>
        <w:rPr>
          <w:rFonts w:ascii="Calibri" w:cs="Calibri" w:eastAsia="Calibri" w:hAnsi="Calibri"/>
          <w:sz w:val="21"/>
          <w:szCs w:val="21"/>
        </w:rPr>
        <w:t xml:space="preserve"/>
      </w:r>
    </w:p>
    <w:p>
      <w:pPr>
        <w:spacing w:after="120" w:before="0" w:line="276"/>
      </w:pPr>
      <w:r>
        <w:rPr>
          <w:rFonts w:ascii="Calibri" w:cs="Calibri" w:eastAsia="Calibri" w:hAnsi="Calibri"/>
          <w:b/>
          <w:bCs/>
          <w:color w:val="1A1A2E"/>
          <w:sz w:val="19"/>
          <w:szCs w:val="19"/>
        </w:rPr>
        <w:t xml:space="preserve">Strongest performer: </w:t>
      </w:r>
      <w:r>
        <w:rPr>
          <w:rFonts w:ascii="Calibri" w:cs="Calibri" w:eastAsia="Calibri" w:hAnsi="Calibri"/>
          <w:color w:val="1A1A2E"/>
          <w:sz w:val="19"/>
          <w:szCs w:val="19"/>
        </w:rPr>
        <w:t xml:space="preserve">insufficient closed trades to rank — all triggered reconstructions remain open. </w:t>
      </w:r>
      <w:r>
        <w:rPr>
          <w:rFonts w:ascii="Calibri" w:cs="Calibri" w:eastAsia="Calibri" w:hAnsi="Calibri"/>
          <w:b/>
          <w:bCs/>
          <w:color w:val="1A1A2E"/>
          <w:sz w:val="19"/>
          <w:szCs w:val="19"/>
        </w:rPr>
        <w:t xml:space="preserve">Weakest: </w:t>
      </w:r>
      <w:r>
        <w:rPr>
          <w:rFonts w:ascii="Calibri" w:cs="Calibri" w:eastAsia="Calibri" w:hAnsi="Calibri"/>
          <w:color w:val="1A1A2E"/>
          <w:sz w:val="19"/>
          <w:szCs w:val="19"/>
        </w:rPr>
        <w:t xml:space="preserve">the 20 May reconstructed short (−0.76R open).</w:t>
      </w:r>
    </w:p>
    <w:p>
      <w:pPr>
        <w:spacing w:after="40"/>
      </w:pPr>
      <w:r>
        <w:rPr>
          <w:rFonts w:ascii="Calibri" w:cs="Calibri" w:eastAsia="Calibri" w:hAnsi="Calibri"/>
          <w:sz w:val="21"/>
          <w:szCs w:val="21"/>
        </w:rPr>
        <w:t xml:space="preserve"/>
      </w:r>
    </w:p>
    <w:tbl>
      <w:tblPr>
        <w:tblW w:type="dxa" w:w="9360"/>
        <w:tblBorders>
          <w:top w:val="single" w:color="C9D4E2" w:sz="2"/>
          <w:left w:val="single" w:color="C9D4E2" w:sz="2"/>
          <w:bottom w:val="single" w:color="C9D4E2" w:sz="2"/>
          <w:right w:val="single" w:color="C9D4E2" w:sz="2"/>
          <w:insideH w:val="single" w:color="C9D4E2" w:sz="2"/>
          <w:insideV w:val="single" w:color="C9D4E2" w:sz="2"/>
        </w:tblBorders>
      </w:tblPr>
      <w:tblGrid>
        <w:gridCol w:w="9360"/>
      </w:tblGrid>
      <w:tr>
        <w:tc>
          <w:tcPr>
            <w:tcW w:type="dxa" w:w="9360"/>
            <w:shd w:fill="6B7280" w:val="clear"/>
            <w:tcMar>
              <w:top w:type="dxa" w:w="70"/>
              <w:left w:type="dxa" w:w="90"/>
              <w:bottom w:type="dxa" w:w="70"/>
              <w:right w:type="dxa" w:w="90"/>
            </w:tcMar>
            <w:vAlign w:val="center"/>
          </w:tcPr>
          <w:p>
            <w:pPr>
              <w:spacing w:after="0" w:line="248"/>
              <w:jc w:val="left"/>
            </w:pPr>
            <w:r>
              <w:rPr>
                <w:rFonts w:ascii="Calibri" w:cs="Calibri" w:eastAsia="Calibri" w:hAnsi="Calibri"/>
                <w:b/>
                <w:bCs/>
                <w:color w:val="FFFFFF"/>
                <w:sz w:val="19"/>
                <w:szCs w:val="19"/>
              </w:rPr>
              <w:t xml:space="preserve">BACKTEST LIMITATIONS</w:t>
            </w:r>
          </w:p>
        </w:tc>
      </w:tr>
      <w:tr>
        <w:tc>
          <w:tcPr>
            <w:tcW w:type="dxa" w:w="9360"/>
            <w:shd w:fill="F4F8FC" w:val="clear"/>
            <w:tcMar>
              <w:top w:type="dxa" w:w="70"/>
              <w:left w:type="dxa" w:w="90"/>
              <w:bottom w:type="dxa" w:w="70"/>
              <w:right w:type="dxa" w:w="90"/>
            </w:tcMar>
            <w:vAlign w:val="center"/>
          </w:tcPr>
          <w:p>
            <w:pPr>
              <w:spacing w:after="0" w:line="264"/>
            </w:pPr>
            <w:r>
              <w:rPr>
                <w:rFonts w:ascii="Calibri" w:cs="Calibri" w:eastAsia="Calibri" w:hAnsi="Calibri"/>
                <w:i/>
                <w:iCs/>
                <w:color w:val="1A1A2E"/>
                <w:sz w:val="18"/>
                <w:szCs w:val="18"/>
              </w:rPr>
              <w:t xml:space="preserve">Five-session windows are too small to support statistical claims. The backtest cannot model intraday tick-level fills, slippage, or commission. Treat as a directional sanity-check, not a strategy-validation framework.</w:t>
            </w:r>
          </w:p>
        </w:tc>
      </w:tr>
    </w:tbl>
    <w:p>
      <w:pPr>
        <w:spacing w:after="120"/>
      </w:pPr>
      <w:r>
        <w:rPr>
          <w:rFonts w:ascii="Calibri" w:cs="Calibri" w:eastAsia="Calibri" w:hAnsi="Calibri"/>
          <w:sz w:val="21"/>
          <w:szCs w:val="21"/>
        </w:rPr>
        <w:t xml:space="preserve"/>
      </w:r>
    </w:p>
    <w:tbl>
      <w:tblPr>
        <w:tblW w:type="dxa" w:w="9360"/>
        <w:tblBorders>
          <w:top w:val="single" w:color="C9D4E2" w:sz="2"/>
          <w:left w:val="single" w:color="C9D4E2" w:sz="2"/>
          <w:bottom w:val="single" w:color="C9D4E2" w:sz="2"/>
          <w:right w:val="single" w:color="C9D4E2" w:sz="2"/>
          <w:insideH w:val="single" w:color="C9D4E2" w:sz="2"/>
          <w:insideV w:val="single" w:color="C9D4E2" w:sz="2"/>
        </w:tblBorders>
      </w:tblPr>
      <w:tblGrid>
        <w:gridCol w:w="9360"/>
      </w:tblGrid>
      <w:tr>
        <w:tc>
          <w:tcPr>
            <w:tcW w:type="dxa" w:w="9360"/>
            <w:shd w:fill="1F3A5F" w:val="clear"/>
            <w:tcMar>
              <w:top w:type="dxa" w:w="70"/>
              <w:left w:type="dxa" w:w="90"/>
              <w:bottom w:type="dxa" w:w="70"/>
              <w:right w:type="dxa" w:w="90"/>
            </w:tcMar>
            <w:vAlign w:val="center"/>
          </w:tcPr>
          <w:p>
            <w:pPr>
              <w:spacing w:after="0" w:line="248"/>
              <w:jc w:val="left"/>
            </w:pPr>
            <w:r>
              <w:rPr>
                <w:rFonts w:ascii="Calibri" w:cs="Calibri" w:eastAsia="Calibri" w:hAnsi="Calibri"/>
                <w:b/>
                <w:bCs/>
                <w:color w:val="FFFFFF"/>
                <w:sz w:val="19"/>
                <w:szCs w:val="19"/>
              </w:rPr>
              <w:t xml:space="preserve">§21 SUMMARY</w:t>
            </w:r>
          </w:p>
        </w:tc>
      </w:tr>
      <w:tr>
        <w:tc>
          <w:tcPr>
            <w:tcW w:type="dxa" w:w="9360"/>
            <w:shd w:fill="F4F8FC" w:val="clear"/>
            <w:tcMar>
              <w:top w:type="dxa" w:w="70"/>
              <w:left w:type="dxa" w:w="90"/>
              <w:bottom w:type="dxa" w:w="70"/>
              <w:right w:type="dxa" w:w="90"/>
            </w:tcMar>
            <w:vAlign w:val="center"/>
          </w:tcPr>
          <w:p>
            <w:pPr>
              <w:spacing w:after="60" w:line="264"/>
            </w:pPr>
            <w:r>
              <w:rPr>
                <w:rFonts w:ascii="Calibri" w:cs="Calibri" w:eastAsia="Calibri" w:hAnsi="Calibri"/>
                <w:color w:val="1A1A2E"/>
                <w:sz w:val="19"/>
                <w:szCs w:val="19"/>
              </w:rPr>
              <w:t xml:space="preserve">Direction </w:t>
            </w:r>
            <w:r>
              <w:rPr>
                <w:rFonts w:ascii="Calibri" w:cs="Calibri" w:eastAsia="Calibri" w:hAnsi="Calibri"/>
                <w:b/>
                <w:bCs/>
                <w:color w:val="1A7F5A"/>
                <w:sz w:val="21"/>
                <w:szCs w:val="21"/>
              </w:rPr>
              <w:t xml:space="preserve">LONG +0.49</w:t>
            </w:r>
            <w:r>
              <w:rPr>
                <w:rFonts w:ascii="Calibri" w:cs="Calibri" w:eastAsia="Calibri" w:hAnsi="Calibri"/>
                <w:color w:val="1A1A2E"/>
                <w:sz w:val="19"/>
                <w:szCs w:val="19"/>
              </w:rPr>
              <w:t xml:space="preserve"> · regime </w:t>
            </w:r>
            <w:r>
              <w:rPr>
                <w:rFonts w:ascii="Calibri" w:cs="Calibri" w:eastAsia="Calibri" w:hAnsi="Calibri"/>
                <w:b/>
                <w:bCs/>
                <w:sz w:val="21"/>
                <w:szCs w:val="21"/>
              </w:rPr>
              <w:t xml:space="preserve">TRANSITION</w:t>
            </w:r>
            <w:r>
              <w:rPr>
                <w:rFonts w:ascii="Calibri" w:cs="Calibri" w:eastAsia="Calibri" w:hAnsi="Calibri"/>
                <w:color w:val="1A1A2E"/>
                <w:sz w:val="19"/>
                <w:szCs w:val="19"/>
              </w:rPr>
              <w:t xml:space="preserve"> · three cards produced, none suppressed.</w:t>
            </w:r>
          </w:p>
          <w:p>
            <w:pPr>
              <w:spacing w:after="60" w:line="264"/>
            </w:pPr>
            <w:r>
              <w:rPr>
                <w:rFonts w:ascii="Calibri" w:cs="Calibri" w:eastAsia="Calibri" w:hAnsi="Calibri"/>
                <w:color w:val="1A1A2E"/>
                <w:sz w:val="19"/>
                <w:szCs w:val="19"/>
              </w:rPr>
              <w:t xml:space="preserve">Trade 1 (LONG, R=76pt) and Trade 2 (LONG pivot breakout, R=22pt) are actionable now; Trade 3C is a </w:t>
            </w:r>
            <w:r>
              <w:rPr>
                <w:rFonts w:ascii="Calibri" w:cs="Calibri" w:eastAsia="Calibri" w:hAnsi="Calibri"/>
                <w:b/>
                <w:bCs/>
                <w:sz w:val="21"/>
                <w:szCs w:val="21"/>
              </w:rPr>
              <w:t xml:space="preserve">pending</w:t>
            </w:r>
            <w:r>
              <w:rPr>
                <w:rFonts w:ascii="Calibri" w:cs="Calibri" w:eastAsia="Calibri" w:hAnsi="Calibri"/>
                <w:color w:val="1A1A2E"/>
                <w:sz w:val="19"/>
                <w:szCs w:val="19"/>
              </w:rPr>
              <w:t xml:space="preserve"> stop-entry contingent on a confirmed daily close above 7,551.</w:t>
            </w:r>
          </w:p>
          <w:p>
            <w:pPr>
              <w:spacing w:after="0" w:line="264"/>
            </w:pPr>
            <w:r>
              <w:rPr>
                <w:rFonts w:ascii="Calibri" w:cs="Calibri" w:eastAsia="Calibri" w:hAnsi="Calibri"/>
                <w:color w:val="1A1A2E"/>
                <w:sz w:val="19"/>
                <w:szCs w:val="19"/>
              </w:rPr>
              <w:t xml:space="preserve">Key caveats: RSI(2) at the 100 overbought ceiling; pivot levels single-source-indicative; the 29 May PCE release collides with all holding periods.</w:t>
            </w:r>
          </w:p>
        </w:tc>
      </w:tr>
    </w:tbl>
    <w:p>
      <w:pPr>
        <w:spacing w:before="240"/>
        <w:jc w:val="center"/>
      </w:pPr>
      <w:r>
        <w:rPr>
          <w:rFonts w:ascii="Calibri" w:cs="Calibri" w:eastAsia="Calibri" w:hAnsi="Calibri"/>
          <w:i/>
          <w:iCs/>
          <w:color w:val="8A93A3"/>
          <w:sz w:val="19"/>
          <w:szCs w:val="19"/>
        </w:rPr>
        <w:t xml:space="preserve">— End of report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4E2" w:sz="4" w:space="4"/>
      </w:pBdr>
      <w:tabs>
        <w:tab w:val="center" w:pos="4680"/>
        <w:tab w:val="right" w:pos="9360"/>
      </w:tabs>
    </w:pPr>
    <w:r>
      <w:rPr>
        <w:rFonts w:ascii="Calibri" w:cs="Calibri" w:eastAsia="Calibri" w:hAnsi="Calibri"/>
        <w:color w:val="8A93A3"/>
        <w:sz w:val="15"/>
        <w:szCs w:val="15"/>
      </w:rPr>
      <w:t xml:space="preserve">S&amp;P 500 Daily Report  │  22 May 2026  │  Senior US Equity Strategist</w:t>
    </w:r>
    <w:r>
      <w:rPr>
        <w:sz w:val="15"/>
        <w:szCs w:val="15"/>
      </w:rPr>
      <w:t xml:space="preserve">	</w:t>
    </w:r>
    <w:r>
      <w:rPr>
        <w:rFonts w:ascii="Calibri" w:cs="Calibri" w:eastAsia="Calibri" w:hAnsi="Calibri"/>
        <w:color w:val="8A93A3"/>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4E2" w:sz="4" w:space="4"/>
      </w:pBdr>
      <w:tabs>
        <w:tab w:val="right" w:pos="9360"/>
      </w:tabs>
    </w:pPr>
    <w:r>
      <w:rPr>
        <w:rFonts w:ascii="Calibri" w:cs="Calibri" w:eastAsia="Calibri" w:hAnsi="Calibri"/>
        <w:color w:val="8A93A3"/>
        <w:sz w:val="16"/>
        <w:szCs w:val="16"/>
      </w:rPr>
      <w:t xml:space="preserve">S&amp;P 500 Index — Daily Report</w:t>
    </w:r>
    <w:r>
      <w:rPr>
        <w:rFonts w:ascii="Calibri" w:cs="Calibri" w:eastAsia="Calibri" w:hAnsi="Calibri"/>
        <w:color w:val="8A93A3"/>
        <w:sz w:val="16"/>
        <w:szCs w:val="16"/>
      </w:rPr>
      <w:t xml:space="preserve">	26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rPr>
        <w:color w:val="2C6FB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F3A5F"/>
      <w:sz w:val="26"/>
      <w:szCs w:val="26"/>
    </w:rPr>
  </w:style>
  <w:style w:type="paragraph" w:styleId="Heading2">
    <w:name w:val="Heading 2"/>
    <w:basedOn w:val="Normal"/>
    <w:next w:val="Normal"/>
    <w:qFormat/>
    <w:pPr>
      <w:spacing w:after="100" w:before="180"/>
      <w:outlineLvl w:val="1"/>
    </w:pPr>
    <w:rPr>
      <w:rFonts w:ascii="Calibri" w:cs="Calibri" w:eastAsia="Calibri" w:hAnsi="Calibri"/>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eccde6540a4db85e6240ee1c2ac102001c2f572.png"/><Relationship Id="rId10" Type="http://schemas.openxmlformats.org/officeDocument/2006/relationships/image" Target="media/7de3326fe5c0c87d1f1019ff27b6077a98f19cd2.png"/><Relationship Id="rId11" Type="http://schemas.openxmlformats.org/officeDocument/2006/relationships/image" Target="media/a22b0068fa4da56baa6571155a6323866a95f6d7.png"/><Relationship Id="rId12" Type="http://schemas.openxmlformats.org/officeDocument/2006/relationships/image" Target="media/cd9f89d277dd6a5f9122e6188cd06a6cdcb19f0e.png"/><Relationship Id="rId13" Type="http://schemas.openxmlformats.org/officeDocument/2006/relationships/image" Target="media/7925ab38f4f2f6dfa3d88305cdf58e78060ef043.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2026-05-25T21:58:10.139Z</dcterms:created>
  <dcterms:modified xsi:type="dcterms:W3CDTF">2026-05-25T21:58:10.139Z</dcterms:modified>
</cp:coreProperties>
</file>

<file path=docProps/custom.xml><?xml version="1.0" encoding="utf-8"?>
<Properties xmlns="http://schemas.openxmlformats.org/officeDocument/2006/custom-properties" xmlns:vt="http://schemas.openxmlformats.org/officeDocument/2006/docPropsVTypes"/>
</file>