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34"/>
          <w:szCs w:val="34"/>
        </w:rPr>
        <w:t xml:space="preserve">S&amp;P 500 Report — Daily: 27 July 2026</w:t>
      </w:r>
    </w:p>
    <w:p>
      <w:pPr>
        <w:spacing w:after="60"/>
      </w:pPr>
      <w:r>
        <w:rPr>
          <w:i/>
          <w:iCs/>
          <w:color w:val="222222"/>
          <w:sz w:val="20"/>
          <w:szCs w:val="20"/>
        </w:rPr>
        <w:t xml:space="preserve">With reference to: USDX · VIX · DAX 40</w:t>
      </w:r>
    </w:p>
    <w:p>
      <w:pPr>
        <w:pBdr>
          <w:bottom w:val="single" w:color="1F3864" w:sz="6" w:space="6"/>
        </w:pBdr>
        <w:spacing w:after="160"/>
      </w:pPr>
      <w:r>
        <w:rPr>
          <w:color w:val="666666"/>
          <w:sz w:val="18"/>
          <w:szCs w:val="18"/>
        </w:rPr>
        <w:t xml:space="preserve">Senior US Equity Strategist  ·  As-of session: 24 July 2026 close (America/New_York)  ·  Trading &amp; risk review (forward-test)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1. Executive Snapshot</w:t>
      </w:r>
    </w:p>
    <w:p>
      <w:pPr>
        <w:spacing w:after="120" w:before="0" w:line="276"/>
      </w:pPr>
      <w:r>
        <w:rPr>
          <w:sz w:val="20"/>
          <w:szCs w:val="20"/>
        </w:rPr>
        <w:t xml:space="preserve">Consensus level </w:t>
      </w:r>
      <w:r>
        <w:rPr>
          <w:b/>
          <w:bCs/>
          <w:sz w:val="20"/>
          <w:szCs w:val="20"/>
        </w:rPr>
        <w:t xml:space="preserve">7,411.98</w:t>
      </w:r>
      <w:r>
        <w:rPr>
          <w:sz w:val="20"/>
          <w:szCs w:val="20"/>
        </w:rPr>
        <w:t xml:space="preserve"> (S&amp;P 500 cash, 24 Jul 2026 official close; corroborated by S&amp;P Dow Jones Indices and FRED). Market tone is </w:t>
      </w:r>
      <w:r>
        <w:rPr>
          <w:b/>
          <w:bCs/>
          <w:sz w:val="20"/>
          <w:szCs w:val="20"/>
        </w:rPr>
        <w:t xml:space="preserve">balanced-to-cautious</w:t>
      </w:r>
      <w:r>
        <w:rPr>
          <w:sz w:val="20"/>
          <w:szCs w:val="20"/>
        </w:rPr>
        <w:t xml:space="preserve">. The three dominant drivers are (1) a sharp Thursday risk-off flush (−1.21%) on Alphabet/Tesla capex disappointment and a ~31% oil surge from the intensifying US–Iran conflict; (2) a hawkish repricing into next week's FOMC, with markets now assigning a &gt;33% probability to a rate hike as energy-driven inflation fears build; and (3) mega-cap earnings dispersion that has hollowed out index breadth. The short-term technical read is Indecision after a deep two-day washout (RSI2 collapsed to 14.2 on Thu, 19.3 Fri — oversold); the medium-term regime is Transitional. Kaufman efficiency classifies the recent path as Trending Down — Strong on price displacement, but the volatility engine is still expanding, so the consolidated regime resolves to TRANSITION rather than a clean downtrend. The single most important watch item is the </w:t>
      </w:r>
      <w:r>
        <w:rPr>
          <w:b/>
          <w:bCs/>
          <w:sz w:val="20"/>
          <w:szCs w:val="20"/>
        </w:rPr>
        <w:t xml:space="preserve">FOMC decision on Wednesday 29 July</w:t>
      </w:r>
      <w:r>
        <w:rPr>
          <w:sz w:val="20"/>
          <w:szCs w:val="20"/>
        </w:rPr>
        <w:t xml:space="preserve">. Directional conviction from the strategy engine is NEUTRAL (score −0.20, below the long/short trigger), so no daily-directional trade is issued; the pivot and complex cards are framed around the 7,294–7,581 transition range.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2. Market Definition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500 cash index (^GSPC) — large-cap US equity benchmark, 503 constituents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Price basis</w:t>
            </w:r>
          </w:p>
        </w:tc>
        <w:tc>
          <w:tcPr>
            <w:tcW w:type="dxa" w:w="67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index level (continuous), calculated during NYSE/NASDAQ hours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Regular cash session 09:30–16:00 ET (pre/after-market excluded)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Index points / USD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As-of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July 2026 close (America/New_York); report issued for 27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 sessions (20–24 Jul 2026)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Daily-open anchor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07:00 UK (pre-NY-open window) — overridden for the 27 Jul 2026 run per instruction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3. Consensus Price Call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300"/>
        <w:gridCol w:w="1300"/>
        <w:gridCol w:w="1500"/>
        <w:gridCol w:w="1100"/>
        <w:gridCol w:w="1100"/>
        <w:gridCol w:w="3060"/>
      </w:tblGrid>
      <w:tr>
        <w:trPr>
          <w:tblHeader/>
        </w:trPr>
        <w:tc>
          <w:tcPr>
            <w:tcW w:type="dxa" w:w="13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Consensus</w:t>
            </w:r>
          </w:p>
        </w:tc>
        <w:tc>
          <w:tcPr>
            <w:tcW w:type="dxa" w:w="13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Range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Basis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Tone</w:t>
            </w:r>
          </w:p>
        </w:tc>
        <w:tc>
          <w:tcPr>
            <w:tcW w:type="dxa" w:w="30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7,411.98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7,396–7,461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 24 Jul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Balanced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Official S&amp;P DJI close, dual-source corroborated (FRED). Intraday range from the corroborated 24 Jul session.</w:t>
            </w:r>
          </w:p>
        </w:tc>
      </w:tr>
    </w:tbl>
    <w:p>
      <w:pPr>
        <w:spacing w:after="120" w:before="0" w:line="276"/>
      </w:pPr>
      <w:r>
        <w:rPr>
          <w:i/>
          <w:iCs/>
          <w:color w:val="555555"/>
          <w:sz w:val="18"/>
          <w:szCs w:val="18"/>
        </w:rPr>
        <w:t xml:space="preserve">Weighted-median consensus across S&amp;P Dow Jones Indices (official), FRED, CNBC, TheStreet and Trading Economics. All five sessions' closes are two-source corroborated; intraday High/Low/Open for 20–23 Jul are single-source indicative (see §19).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4. Price Evidence Table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550"/>
        <w:gridCol w:w="1000"/>
        <w:gridCol w:w="1450"/>
        <w:gridCol w:w="1150"/>
        <w:gridCol w:w="1150"/>
        <w:gridCol w:w="900"/>
        <w:gridCol w:w="2160"/>
      </w:tblGrid>
      <w:tr>
        <w:trPr>
          <w:tblHeader/>
        </w:trPr>
        <w:tc>
          <w:tcPr>
            <w:tcW w:type="dxa" w:w="15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Date/Time</w:t>
            </w:r>
          </w:p>
        </w:tc>
        <w:tc>
          <w:tcPr>
            <w:tcW w:type="dxa" w:w="14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Raw Quote</w:t>
            </w:r>
          </w:p>
        </w:tc>
        <w:tc>
          <w:tcPr>
            <w:tcW w:type="dxa" w:w="11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1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Basis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Class.</w:t>
            </w:r>
          </w:p>
        </w:tc>
        <w:tc>
          <w:tcPr>
            <w:tcW w:type="dxa" w:w="21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Dow Jones Indices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Jul close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7,411.98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7,411.98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Official index provider</w:t>
            </w:r>
          </w:p>
        </w:tc>
      </w:tr>
      <w:tr>
        <w:tc>
          <w:tcPr>
            <w:tcW w:type="dxa" w:w="15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FRED (St. Louis Fed)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Jul</w:t>
            </w:r>
          </w:p>
        </w:tc>
        <w:tc>
          <w:tcPr>
            <w:tcW w:type="dxa" w:w="14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7,411.98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7,411.98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21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Redistributes S&amp;P DJI close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Jul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7,411.98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7,411.98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+0.05% on day</w:t>
            </w:r>
          </w:p>
        </w:tc>
      </w:tr>
      <w:tr>
        <w:tc>
          <w:tcPr>
            <w:tcW w:type="dxa" w:w="15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TheStreet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Jul</w:t>
            </w:r>
          </w:p>
        </w:tc>
        <w:tc>
          <w:tcPr>
            <w:tcW w:type="dxa" w:w="14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7,411.98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7,411.98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close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21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wrap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Jul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7,412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7,412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(CFD-ref)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Direct.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Rounded; confirms level</w:t>
            </w:r>
          </w:p>
        </w:tc>
      </w:tr>
      <w:tr>
        <w:tc>
          <w:tcPr>
            <w:tcW w:type="dxa" w:w="15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intraday</w:t>
            </w:r>
          </w:p>
        </w:tc>
        <w:tc>
          <w:tcPr>
            <w:tcW w:type="dxa" w:w="14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7,396.53 / 7,460.98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L/H</w:t>
            </w:r>
          </w:p>
        </w:tc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range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21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Jul day range</w:t>
            </w:r>
          </w:p>
        </w:tc>
      </w:tr>
      <w:tr>
        <w:tc>
          <w:tcPr>
            <w:tcW w:type="dxa" w:w="15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CNBC quote page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Jul</w:t>
            </w:r>
          </w:p>
        </w:tc>
        <w:tc>
          <w:tcPr>
            <w:tcW w:type="dxa" w:w="1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 7,406.30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7,406.30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Cash open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2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open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5. Consensus Build Explanation</w:t>
      </w:r>
    </w:p>
    <w:p>
      <w:pPr>
        <w:spacing w:after="120" w:before="0" w:line="276"/>
      </w:pPr>
      <w:r>
        <w:rPr>
          <w:sz w:val="20"/>
          <w:szCs w:val="20"/>
        </w:rPr>
        <w:t xml:space="preserve">All observations are already in index points and USD on the cash basis, so no FX, freight, or specification adjustment is required; the only normalization is timing (aligning every quote to the 24 Jul regular-session close). The five sources agreeing on 7,411.98 are the official index provider (S&amp;P DJI), its government redistributor (FRED), and three market-data desks, giving a zero-delta corroboration on the headline close. Trading Economics' rounded 7,412 is a directional confirmation, not a core input, because it is CFD-referenced. Intraday High (7,460.98) and Low (7,396.53) come from the corroborated 24 Jul session. The final number is the most defensible because it is the exchange-published official close with no dispersion across the top tier of the evidence hierarchy.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6. Validated OHLC + RSI2 Table (5-Day)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150"/>
        <w:gridCol w:w="1000"/>
        <w:gridCol w:w="1000"/>
        <w:gridCol w:w="1000"/>
        <w:gridCol w:w="1050"/>
        <w:gridCol w:w="760"/>
        <w:gridCol w:w="900"/>
        <w:gridCol w:w="2500"/>
      </w:tblGrid>
      <w:tr>
        <w:trPr>
          <w:tblHeader/>
        </w:trPr>
        <w:tc>
          <w:tcPr>
            <w:tcW w:type="dxa" w:w="11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Open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Low</w:t>
            </w:r>
          </w:p>
        </w:tc>
        <w:tc>
          <w:tcPr>
            <w:tcW w:type="dxa" w:w="10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Close</w:t>
            </w:r>
          </w:p>
        </w:tc>
        <w:tc>
          <w:tcPr>
            <w:tcW w:type="dxa" w:w="7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RSI2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Trend</w:t>
            </w:r>
          </w:p>
        </w:tc>
        <w:tc>
          <w:tcPr>
            <w:tcW w:type="dxa" w:w="2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Validation Outcome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20 Jul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7457.69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7469.00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7421.00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7443.28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color w:val="8a5a00"/>
                <w:sz w:val="18"/>
                <w:szCs w:val="18"/>
              </w:rPr>
              <w:t xml:space="preserve">Close CORROBORATED; H/L/O single-source (indicative)</w:t>
            </w:r>
          </w:p>
        </w:tc>
      </w:tr>
      <w:tr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21 Jul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7451.00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7520.00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7448.00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7509.20</w:t>
            </w:r>
          </w:p>
        </w:tc>
        <w:tc>
          <w:tcPr>
            <w:tcW w:type="dxa" w:w="7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82.1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color w:val="1a7a3a"/>
                <w:sz w:val="18"/>
                <w:szCs w:val="18"/>
              </w:rPr>
              <w:t xml:space="preserve">Bullish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color w:val="8a5a00"/>
                <w:sz w:val="18"/>
                <w:szCs w:val="18"/>
              </w:rPr>
              <w:t xml:space="preserve">Close CORROBORATED; H/L/O single-source (indicative)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22 Jul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7510.00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7524.00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7480.00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7498.96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65.4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color w:val="8a5a00"/>
                <w:sz w:val="18"/>
                <w:szCs w:val="18"/>
              </w:rPr>
              <w:t xml:space="preserve">Close CORROBORATED; H/L/O single-source (indicative)</w:t>
            </w:r>
          </w:p>
        </w:tc>
      </w:tr>
      <w:tr>
        <w:tc>
          <w:tcPr>
            <w:tcW w:type="dxa" w:w="11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23 Jul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7492.00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7495.00</w:t>
            </w:r>
          </w:p>
        </w:tc>
        <w:tc>
          <w:tcPr>
            <w:tcW w:type="dxa" w:w="1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7402.00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7408.30</w:t>
            </w:r>
          </w:p>
        </w:tc>
        <w:tc>
          <w:tcPr>
            <w:tcW w:type="dxa" w:w="7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14.2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color w:val="B00020"/>
                <w:sz w:val="18"/>
                <w:szCs w:val="18"/>
              </w:rPr>
              <w:t xml:space="preserve">Bearish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color w:val="8a5a00"/>
                <w:sz w:val="18"/>
                <w:szCs w:val="18"/>
              </w:rPr>
              <w:t xml:space="preserve">Close CORROBORATED; H/L/O single-source (indicative)</w:t>
            </w:r>
          </w:p>
        </w:tc>
      </w:tr>
      <w:tr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24 Jul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7406.30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7460.98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7396.53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7411.98</w:t>
            </w:r>
          </w:p>
        </w:tc>
        <w:tc>
          <w:tcPr>
            <w:tcW w:type="dxa" w:w="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color w:val="222222"/>
                <w:sz w:val="18"/>
                <w:szCs w:val="18"/>
              </w:rPr>
              <w:t xml:space="preserve">Neutral</w:t>
            </w:r>
          </w:p>
        </w:tc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color w:val="1a7a3a"/>
                <w:sz w:val="18"/>
                <w:szCs w:val="18"/>
              </w:rPr>
              <w:t xml:space="preserve">CORROBORATED (Δ0.00 close)</w:t>
            </w:r>
          </w:p>
        </w:tc>
      </w:tr>
    </w:tbl>
    <w:p>
      <w:pPr>
        <w:spacing w:after="120" w:before="0" w:line="276"/>
      </w:pPr>
      <w:r>
        <w:rPr>
          <w:i/>
          <w:iCs/>
          <w:color w:val="555555"/>
          <w:sz w:val="18"/>
          <w:szCs w:val="18"/>
        </w:rPr>
        <w:t xml:space="preserve">Source A/B for closes: S&amp;P Dow Jones Indices × FRED (24 Jul), CNBC × Associated Press (20–23 Jul). RSI2 fixed at period 2, computed from the validated close column. Intraday extremes for 20–23 Jul could not be two-source corroborated within tolerance from freely accessible approved sources and are therefore marked single-source indicative; per instruction for this run the report proceeds rather than halting.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7. Charts</w:t>
      </w:r>
    </w:p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Chart 1 — 5-Session Candlestick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Chart 2 — Distance from Open (Open = 0)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Chart 3 — Structure vs 25-Session Range Envelope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Chart 4 — Comparative Volatility (VOLator)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Chart 5 — Daily Floor Pivots (Weekly Candles)</w:t>
      </w:r>
    </w:p>
    <w:p>
      <w:pPr>
        <w:spacing w:after="60" w:before="6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8. Short-Term Technical Analysis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Mon 20 Jul: </w:t>
      </w:r>
      <w:r>
        <w:rPr>
          <w:sz w:val="20"/>
          <w:szCs w:val="20"/>
        </w:rPr>
        <w:t xml:space="preserve">Small down session (−0.19%, close 7,443.28), close near mid-range; RSI2 elevated after prior strength. Quiet drift as chip names steadied (see §6).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Tue 21 Jul: </w:t>
      </w:r>
      <w:r>
        <w:rPr>
          <w:sz w:val="20"/>
          <w:szCs w:val="20"/>
        </w:rPr>
        <w:t xml:space="preserve">Strong bullish reclaim (+0.89% to 7,509.20), close back above the 7,500 shelf on broad breadth; RSI2 82.1 confirms momentum thrust.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Wed 22 Jul: </w:t>
      </w:r>
      <w:r>
        <w:rPr>
          <w:sz w:val="20"/>
          <w:szCs w:val="20"/>
        </w:rPr>
        <w:t xml:space="preserve">Indecision doji-like session (−0.14% to 7,498.96) into Big-Tech earnings; RSI2 fades to 65.4 — momentum cooling but not reversed.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Thu 23 Jul: </w:t>
      </w:r>
      <w:r>
        <w:rPr>
          <w:sz w:val="20"/>
          <w:szCs w:val="20"/>
        </w:rPr>
        <w:t xml:space="preserve">Bearish flush (−1.21% to 7,408.30), the worst day since 23 Jun, driven by Alphabet −7% and Tesla −14% on capex/FCF concerns plus the oil spike; RSI2 collapses to 14.2 (oversold).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Fri 24 Jul: </w:t>
      </w:r>
      <w:r>
        <w:rPr>
          <w:sz w:val="20"/>
          <w:szCs w:val="20"/>
        </w:rPr>
        <w:t xml:space="preserve">Flat stabilization (+0.05% to 7,411.98) with a lower-high/lower-low inside day; close mid-range, RSI2 19.3 — still oversold, no confirmed reversal.</w:t>
      </w:r>
    </w:p>
    <w:p>
      <w:pPr>
        <w:spacing w:after="120" w:before="0" w:line="276"/>
      </w:pPr>
      <w:r>
        <w:rPr>
          <w:b/>
          <w:bCs/>
          <w:sz w:val="20"/>
          <w:szCs w:val="20"/>
        </w:rPr>
        <w:t xml:space="preserve">Sequence assessment: </w:t>
      </w:r>
      <w:r>
        <w:rPr>
          <w:sz w:val="20"/>
          <w:szCs w:val="20"/>
        </w:rPr>
        <w:t xml:space="preserve">Exhaustion / reversal-risk after a two-day washout that gave back the Tuesday reclaim. The 5-session path is a failed-breakout-then-flush; overlap is high and closes travelled both directions, so it reads as Indecision at the lower edge of the two-week range rather than clean continuation.</w:t>
      </w:r>
    </w:p>
    <w:p>
      <w:pPr>
        <w:spacing w:after="120" w:before="0" w:line="276"/>
      </w:pPr>
      <w:r>
        <w:rPr>
          <w:b/>
          <w:bCs/>
          <w:sz w:val="20"/>
          <w:szCs w:val="20"/>
        </w:rPr>
        <w:t xml:space="preserve">Nearest support </w:t>
      </w:r>
      <w:r>
        <w:rPr>
          <w:sz w:val="20"/>
          <w:szCs w:val="20"/>
        </w:rPr>
        <w:t xml:space="preserve">7,396.53 (24 Jul low); </w:t>
      </w:r>
      <w:r>
        <w:rPr>
          <w:b/>
          <w:bCs/>
          <w:sz w:val="20"/>
          <w:szCs w:val="20"/>
        </w:rPr>
        <w:t xml:space="preserve">nearest resistance </w:t>
      </w:r>
      <w:r>
        <w:rPr>
          <w:sz w:val="20"/>
          <w:szCs w:val="20"/>
        </w:rPr>
        <w:t xml:space="preserve">7,460.98 (24 Jul high), then the 7,500 shelf.</w:t>
      </w:r>
    </w:p>
    <w:p>
      <w:pPr>
        <w:spacing w:after="120" w:before="0" w:line="276"/>
      </w:pPr>
      <w:r>
        <w:rPr>
          <w:b/>
          <w:bCs/>
          <w:sz w:val="20"/>
          <w:szCs w:val="20"/>
        </w:rPr>
        <w:t xml:space="preserve">Judgement label: </w:t>
      </w:r>
      <w:r>
        <w:rPr>
          <w:b/>
          <w:bCs/>
          <w:color w:val="8a5a00"/>
          <w:sz w:val="20"/>
          <w:szCs w:val="20"/>
        </w:rPr>
        <w:t xml:space="preserve">Indecision. </w:t>
      </w:r>
      <w:r>
        <w:rPr>
          <w:sz w:val="20"/>
          <w:szCs w:val="20"/>
        </w:rPr>
        <w:t xml:space="preserve">Consistent with the Transitional regime in §9 (oversold flush inside a range, volatility still expanding).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9. Medium-Term Regime &amp; VOLator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Regime: Transitional. </w:t>
      </w:r>
      <w:r>
        <w:rPr>
          <w:sz w:val="20"/>
          <w:szCs w:val="20"/>
        </w:rPr>
        <w:t xml:space="preserve">Directional persistence is low (two up, two down, one flat), overlap is high, and the index sits mid-range between the 25-session high (7,581.50) and low (7,294.18).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Bias: Neutral-bearish </w:t>
      </w:r>
      <w:r>
        <w:rPr>
          <w:sz w:val="20"/>
          <w:szCs w:val="20"/>
        </w:rPr>
        <w:t xml:space="preserve">— the last completed swing (7,509 → 7,408) is down, and median RSI2 across the block is sub-50 weighted by the Thu/Fri readings.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VOLator: </w:t>
      </w:r>
      <w:r>
        <w:rPr>
          <w:sz w:val="20"/>
          <w:szCs w:val="20"/>
        </w:rPr>
        <w:t xml:space="preserve">S&amp;P 500 scaled volatility is above its 0 midpoint and expanding (slope +0.21) as the Thursday flush widened true range; VIX rose from 17.05 (Tue) to 18.58 (Fri). USDX and DAX volatility also expanding.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Kaufman confirmation: </w:t>
      </w:r>
      <w:r>
        <w:rPr>
          <w:sz w:val="20"/>
          <w:szCs w:val="20"/>
        </w:rPr>
        <w:t xml:space="preserve">KER −0.385 classifies as Trending Down — Strong on price displacement. This contradicts a clean Range read; because the VOLator slope is positive (expanding, not contracting), the dual-gate RANGE rule fails and the consolidated label resolves to TRANSITION. KER takes precedence on direction (bearish tilt) while the regime remains transitional.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Preferred trade protocol: </w:t>
      </w:r>
      <w:r>
        <w:rPr>
          <w:sz w:val="20"/>
          <w:szCs w:val="20"/>
        </w:rPr>
        <w:t xml:space="preserve">Reduced-conviction / breakout-side. Fade extremes only with confirmation; favour the confirmed break of the 7,294–7,581 envelope.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10. Cross-Asset Analysis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500"/>
        <w:gridCol w:w="1500"/>
        <w:gridCol w:w="2760"/>
        <w:gridCol w:w="1300"/>
        <w:gridCol w:w="23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Counter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5-day dir.</w:t>
            </w:r>
          </w:p>
        </w:tc>
        <w:tc>
          <w:tcPr>
            <w:tcW w:type="dxa" w:w="27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Mechanism</w:t>
            </w:r>
          </w:p>
        </w:tc>
        <w:tc>
          <w:tcPr>
            <w:tcW w:type="dxa" w:w="13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23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Implication for S&amp;P 500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USDX (Dollar Index)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Rising (+0.7% wk, 101.46)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Stronger USD compresses multinational earnings translation and signals hawkish-Fed repricing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Contradicts (headwind)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Pressures large-cap earnings; consistent with the bearish KER tilt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VIX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Rising (17.05→18.58)</w:t>
            </w:r>
          </w:p>
        </w:tc>
        <w:tc>
          <w:tcPr>
            <w:tcW w:type="dxa" w:w="27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Implied-vol / risk-regime gauge; rising VIX = defensive positioning</w:t>
            </w:r>
          </w:p>
        </w:tc>
        <w:tc>
          <w:tcPr>
            <w:tcW w:type="dxa" w:w="1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Contradicts (risk-off)</w:t>
            </w:r>
          </w:p>
        </w:tc>
        <w:tc>
          <w:tcPr>
            <w:tcW w:type="dxa" w:w="2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Below the 20 'elevated' line but climbing — caution, not stress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Mixed (Fri +1.36%, 25,099)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European risk proxy; common global-risk factor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Friday strength is a mild offset; weekly path mixed</w:t>
            </w:r>
          </w:p>
        </w:tc>
      </w:tr>
    </w:tbl>
    <w:p>
      <w:pPr>
        <w:spacing w:after="120" w:before="0" w:line="276"/>
      </w:pPr>
      <w:r>
        <w:rPr>
          <w:b/>
          <w:bCs/>
          <w:color w:val="8a5a00"/>
          <w:sz w:val="20"/>
          <w:szCs w:val="20"/>
        </w:rPr>
        <w:t xml:space="preserve">Aggregate cross-asset read: MIXED. </w:t>
      </w:r>
      <w:r>
        <w:rPr>
          <w:sz w:val="20"/>
          <w:szCs w:val="20"/>
        </w:rPr>
        <w:t xml:space="preserve">USDX and VIX both lean against risk while DAX is neutral-to-positive; the contradiction is not resolved silently and feeds §15 and §16.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11. Floor Pivot Analysis</w:t>
      </w:r>
    </w:p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Daily Pivots — from corroborated 24 Jul H/L/C (CORROBORATED)</w:t>
      </w:r>
    </w:p>
    <w:tbl>
      <w:tblPr>
        <w:tblW w:type="dxa" w:w="4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7578.70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7552.06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7514.25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7487.61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R1.5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7468.70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7449.80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7423.16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7385.35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S1.5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7372.03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7358.71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7320.90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7294.26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7256.45</w:t>
            </w:r>
          </w:p>
        </w:tc>
      </w:tr>
    </w:tbl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Weekly Pivots — prior week 13–17 Jul (single-source indicative)</w:t>
      </w:r>
    </w:p>
    <w:tbl>
      <w:tblPr>
        <w:tblW w:type="dxa" w:w="4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7710.60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7637.98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7547.84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7475.22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7385.08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7312.46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7222.32</w:t>
            </w:r>
          </w:p>
        </w:tc>
      </w:tr>
    </w:tbl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Monthly Pivots — prior month June (single-source indicative)</w:t>
      </w:r>
    </w:p>
    <w:tbl>
      <w:tblPr>
        <w:tblW w:type="dxa" w:w="4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7909.83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7745.67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7622.51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7458.35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7335.19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7171.03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7047.87</w:t>
            </w:r>
          </w:p>
        </w:tc>
      </w:tr>
    </w:tbl>
    <w:p>
      <w:pPr>
        <w:spacing w:after="120" w:before="0" w:line="276"/>
      </w:pPr>
      <w:r>
        <w:rPr>
          <w:b/>
          <w:bCs/>
          <w:sz w:val="20"/>
          <w:szCs w:val="20"/>
        </w:rPr>
        <w:t xml:space="preserve">Position narrative: </w:t>
      </w:r>
      <w:r>
        <w:rPr>
          <w:sz w:val="20"/>
          <w:szCs w:val="20"/>
        </w:rPr>
        <w:t xml:space="preserve">The 24 Jul close (7,411.98) sits just below the daily pivot P (7,423.16) and above daily S1 (7,385.35) — a neutral-to-slightly-soft position. It also sits below the weekly P (7,475.22) and monthly P (7,458.35), confirming the medium-term soft bias. Weekly S1 (7,385.08) and daily S1 (7,385.35) form a tight confluence zone within ~0.3 pts — a meaningful support shelf just beneath the market. Weekly and monthly levels are single-source indicative and are not used for level-based entries (see §19).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12. Key Market Considerations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Macro / Rates (price-negative, cyclical→structural): </w:t>
      </w:r>
      <w:r>
        <w:rPr>
          <w:sz w:val="20"/>
          <w:szCs w:val="20"/>
        </w:rPr>
        <w:t xml:space="preserve">Markets price a &gt;33% chance of a Fed hike at the 29 Jul FOMC and &gt;78% for September, up sharply as energy-driven inflation fears build; Treasury yields hit 18-month highs. A hawkish Fed is the dominant headwind.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Energy (price-negative, cyclical): </w:t>
      </w:r>
      <w:r>
        <w:rPr>
          <w:sz w:val="20"/>
          <w:szCs w:val="20"/>
        </w:rPr>
        <w:t xml:space="preserve">Oil is ~31% above pre-conflict levels on the US–Iran escalation (Brent briefly &gt;$95, WTI ~$87), feeding inflation and margin concerns. Friday's ~4–5% oil pullback on possible talks was the session's relief valve.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Earnings / Micro (mixed): </w:t>
      </w:r>
      <w:r>
        <w:rPr>
          <w:sz w:val="20"/>
          <w:szCs w:val="20"/>
        </w:rPr>
        <w:t xml:space="preserve">~88% of early reporters beat EPS and blended growth is running near 30%, but Alphabet (−7%) and Tesla (−14%) posted negative Q2 free cash flow, souring sentiment on AI capex. AAPL/AMZN/MSFT/META report this week.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FX / Liquidity (price-negative): </w:t>
      </w:r>
      <w:r>
        <w:rPr>
          <w:sz w:val="20"/>
          <w:szCs w:val="20"/>
        </w:rPr>
        <w:t xml:space="preserve">USDX +0.7% on the week to ~101.46, its biggest weekly gain since mid-June — a translation headwind for multinationals (see §10, §14).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Near-term catalysts: </w:t>
      </w:r>
      <w:r>
        <w:rPr>
          <w:sz w:val="20"/>
          <w:szCs w:val="20"/>
        </w:rPr>
        <w:t xml:space="preserve">FOMC (Wed 29 Jul), mega-cap earnings (Wed: MSFT, META; Thu: AAPL, AMZN), and any US–Iran de-escalation headline. All are flagged in §13d.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13. Sentiment, News &amp; Calendar</w:t>
      </w:r>
    </w:p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§13a  Per-Article Sentiment</w:t>
      </w:r>
    </w:p>
    <w:tbl>
      <w:tblPr>
        <w:tblW w:type="dxa" w:w="941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250"/>
        <w:gridCol w:w="750"/>
        <w:gridCol w:w="2650"/>
        <w:gridCol w:w="1050"/>
        <w:gridCol w:w="950"/>
        <w:gridCol w:w="2760"/>
      </w:tblGrid>
      <w:tr>
        <w:trPr>
          <w:tblHeader/>
        </w:trPr>
        <w:tc>
          <w:tcPr>
            <w:tcW w:type="dxa" w:w="12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Source</w:t>
            </w:r>
          </w:p>
        </w:tc>
        <w:tc>
          <w:tcPr>
            <w:tcW w:type="dxa" w:w="7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26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Headline (abridged)</w:t>
            </w:r>
          </w:p>
        </w:tc>
        <w:tc>
          <w:tcPr>
            <w:tcW w:type="dxa" w:w="10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Class.</w:t>
            </w:r>
          </w:p>
        </w:tc>
        <w:tc>
          <w:tcPr>
            <w:tcW w:type="dxa" w:w="95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Sentiment</w:t>
            </w:r>
          </w:p>
        </w:tc>
        <w:tc>
          <w:tcPr>
            <w:tcW w:type="dxa" w:w="27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Derivation quote (≤15w)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Jul</w:t>
            </w:r>
          </w:p>
        </w:tc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500 falls 1.21% as Alphabet, Tesla weigh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"worst one-day declines since June 23"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Reuters/Zacks</w:t>
            </w:r>
          </w:p>
        </w:tc>
        <w:tc>
          <w:tcPr>
            <w:tcW w:type="dxa" w:w="7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 Jul</w:t>
            </w:r>
          </w:p>
        </w:tc>
        <w:tc>
          <w:tcPr>
            <w:tcW w:type="dxa" w:w="26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Stocks drop as AI capex fears bite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7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"fueling concerns about increased artificial intelligence spending"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Jul</w:t>
            </w:r>
          </w:p>
        </w:tc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Fed hike odds rise on energy inflation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"pricing in more than 33% chance of a rate hike"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W w:type="dxa" w:w="7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Jul</w:t>
            </w:r>
          </w:p>
        </w:tc>
        <w:tc>
          <w:tcPr>
            <w:tcW w:type="dxa" w:w="26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closes little changed as oil pressures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7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"S&amp;P 500 inched higher... Nasdaq lost 1.1%"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Meta Trading Club</w:t>
            </w:r>
          </w:p>
        </w:tc>
        <w:tc>
          <w:tcPr>
            <w:tcW w:type="dxa" w:w="7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 Jul</w:t>
            </w:r>
          </w:p>
        </w:tc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reclaims 7,500 as chips lead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9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"a clean reclaim of the line"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Investrade</w:t>
            </w:r>
          </w:p>
        </w:tc>
        <w:tc>
          <w:tcPr>
            <w:tcW w:type="dxa" w:w="7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Jul</w:t>
            </w:r>
          </w:p>
        </w:tc>
        <w:tc>
          <w:tcPr>
            <w:tcW w:type="dxa" w:w="26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Dollar posts biggest weekly gain since mid-June</w:t>
            </w:r>
          </w:p>
        </w:tc>
        <w:tc>
          <w:tcPr>
            <w:tcW w:type="dxa" w:w="10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95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7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"renewing inflation concerns into next week's FOMC"</w:t>
            </w:r>
          </w:p>
        </w:tc>
      </w:tr>
    </w:tbl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§13b  Aggregate Sentiment Summary</w:t>
      </w:r>
    </w:p>
    <w:p>
      <w:pPr>
        <w:spacing w:after="120" w:before="0" w:line="276"/>
      </w:pPr>
      <w:r>
        <w:rPr>
          <w:sz w:val="20"/>
          <w:szCs w:val="20"/>
        </w:rPr>
        <w:t xml:space="preserve">Counts: 4 Bearish (1 institutional, 2 media, 1 trade press), 1 Bullish (trade press), 1 Neutral (media) = </w:t>
      </w:r>
      <w:r>
        <w:rPr>
          <w:b/>
          <w:bCs/>
          <w:color w:val="B00020"/>
          <w:sz w:val="20"/>
          <w:szCs w:val="20"/>
        </w:rPr>
        <w:t xml:space="preserve">Predominantly Bearish (tilt = −0.30)</w:t>
      </w:r>
      <w:r>
        <w:rPr>
          <w:sz w:val="20"/>
          <w:szCs w:val="20"/>
        </w:rPr>
        <w:t xml:space="preserve">. Weighted mean of article scores using institutional 1.0 / trade-press 0.7 / media 0.5 weights. </w:t>
      </w:r>
      <w:r>
        <w:rPr>
          <w:b/>
          <w:bCs/>
          <w:sz w:val="20"/>
          <w:szCs w:val="20"/>
        </w:rPr>
        <w:t xml:space="preserve">Divergence: </w:t>
      </w:r>
      <w:r>
        <w:rPr>
          <w:sz w:val="20"/>
          <w:szCs w:val="20"/>
        </w:rPr>
        <w:t xml:space="preserve">sentiment agrees with the soft price action and the bearish KER tilt — no divergence flag. The tilt is consumed by the strategy direction score (§21).</w:t>
      </w:r>
    </w:p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§13c  News Calendar — Previous Period (20–24 Jul)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900"/>
        <w:gridCol w:w="2400"/>
        <w:gridCol w:w="2100"/>
        <w:gridCol w:w="900"/>
        <w:gridCol w:w="306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Event</w:t>
            </w:r>
          </w:p>
        </w:tc>
        <w:tc>
          <w:tcPr>
            <w:tcW w:type="dxa" w:w="2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Impact</w:t>
            </w:r>
          </w:p>
        </w:tc>
        <w:tc>
          <w:tcPr>
            <w:tcW w:type="dxa" w:w="30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Market implication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20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US–Iran strikes continue; oil &gt;$90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9th day of strikes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Risk-off; S&amp;P −0.19%, yields up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21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GM/3M earnings beats; chip rebound</w:t>
            </w:r>
          </w:p>
        </w:tc>
        <w:tc>
          <w:tcPr>
            <w:tcW w:type="dxa" w:w="21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Earnings season start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+0.89% reclaim of 7,500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22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Alphabet/Tesla report after close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Mega-cap earnings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up Thursday's flush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23</w:t>
            </w:r>
          </w:p>
        </w:tc>
        <w:tc>
          <w:tcPr>
            <w:tcW w:type="dxa" w:w="24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Alphabet −7%, Tesla −14%; oil spike</w:t>
            </w:r>
          </w:p>
        </w:tc>
        <w:tc>
          <w:tcPr>
            <w:tcW w:type="dxa" w:w="21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 capex/FCF worries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−1.21% to 7,408.30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24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Oil pullback ~4–5%; USDX +0.7% wk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Possible US–Iran talks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S&amp;P flat +0.05%; stabilization</w:t>
            </w:r>
          </w:p>
        </w:tc>
      </w:tr>
    </w:tbl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§13d  News Calendar — Upcoming Period (next 5 sessions)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900"/>
        <w:gridCol w:w="2100"/>
        <w:gridCol w:w="1900"/>
        <w:gridCol w:w="900"/>
        <w:gridCol w:w="356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Event</w:t>
            </w:r>
          </w:p>
        </w:tc>
        <w:tc>
          <w:tcPr>
            <w:tcW w:type="dxa" w:w="1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Impact</w:t>
            </w:r>
          </w:p>
        </w:tc>
        <w:tc>
          <w:tcPr>
            <w:tcW w:type="dxa" w:w="35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Market implication (beat/miss)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Wed 29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FOMC decision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Hike odds &gt;33%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hike or hawkish hold → sharp downside; a dovish hold → relief rally above 7,500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29</w:t>
            </w:r>
          </w:p>
        </w:tc>
        <w:tc>
          <w:tcPr>
            <w:tcW w:type="dxa" w:w="21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MSFT, META earnings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Mega-cap capex focus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Capex reassurance → breadth repair; disappointment → extends AI de-rating</w:t>
            </w:r>
          </w:p>
        </w:tc>
      </w:tr>
      <w:tr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30</w:t>
            </w:r>
          </w:p>
        </w:tc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AAPL, AMZN earnings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Mega-cap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Sets the tone for index leadership into month-end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Ongoing</w:t>
            </w:r>
          </w:p>
        </w:tc>
        <w:tc>
          <w:tcPr>
            <w:tcW w:type="dxa" w:w="21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US–Iran / oil headlines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~31% oil premium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De-escalation → risk-on; escalation → inflation + risk-off</w:t>
            </w:r>
          </w:p>
        </w:tc>
      </w:tr>
    </w:tbl>
    <w:p>
      <w:pPr>
        <w:spacing w:after="120" w:before="0" w:line="276"/>
      </w:pPr>
      <w:r>
        <w:rPr>
          <w:b/>
          <w:bCs/>
          <w:sz w:val="20"/>
          <w:szCs w:val="20"/>
        </w:rPr>
        <w:t xml:space="preserve">Highest-impact upcoming event: </w:t>
      </w:r>
      <w:r>
        <w:rPr>
          <w:b/>
          <w:bCs/>
          <w:color w:val="B00020"/>
          <w:sz w:val="20"/>
          <w:szCs w:val="20"/>
        </w:rPr>
        <w:t xml:space="preserve">the 29 July FOMC decision</w:t>
      </w:r>
      <w:r>
        <w:rPr>
          <w:sz w:val="20"/>
          <w:szCs w:val="20"/>
        </w:rPr>
        <w:t xml:space="preserve"> — a rate hike or explicitly hawkish hold would invalidate the balanced consensus and open a move toward monthly S1 (7,335) and the 25-day low (7,294).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14. Macro Context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Rates &amp; policy: </w:t>
      </w:r>
      <w:r>
        <w:rPr>
          <w:sz w:val="20"/>
          <w:szCs w:val="20"/>
        </w:rPr>
        <w:t xml:space="preserve">The hawkish repricing (&gt;33% hike probability, 18-month-high yields) is the defining macro variable; it ties directly to the rising-USDX read in §10 and is the key §13d watch item.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Inflation: </w:t>
      </w:r>
      <w:r>
        <w:rPr>
          <w:sz w:val="20"/>
          <w:szCs w:val="20"/>
        </w:rPr>
        <w:t xml:space="preserve">Energy-driven — the ~31% oil premium is the transmission channel. Price-negative for equities while it persists.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Liquidity / FX: </w:t>
      </w:r>
      <w:r>
        <w:rPr>
          <w:sz w:val="20"/>
          <w:szCs w:val="20"/>
        </w:rPr>
        <w:t xml:space="preserve">USDX rising (§10) tightens financial conditions and pressures multinational earnings — a headwind cross-referenced from the cross-asset read, not re-derived.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Risk gauge: </w:t>
      </w:r>
      <w:r>
        <w:rPr>
          <w:sz w:val="20"/>
          <w:szCs w:val="20"/>
        </w:rPr>
        <w:t xml:space="preserve">VIX 18.58 (§10) is below the 20 'elevated' threshold but rising; positioning is defensive but not stressed.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Watch item: </w:t>
      </w:r>
      <w:r>
        <w:rPr>
          <w:sz w:val="20"/>
          <w:szCs w:val="20"/>
        </w:rPr>
        <w:t xml:space="preserve">FOMC (29 Jul) directly moves rates, USDX and VIX — a hawkish surprise is the primary directional risk for the S&amp;P.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15. Bull / Bear Balance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Upside risks (bull)</w:t>
            </w:r>
          </w:p>
        </w:tc>
        <w:tc>
          <w:tcPr>
            <w:tcW w:type="dxa" w:w="468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Downside risks (bear)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Deeply oversold RSI2 (19.3) sets up a mean-reversion bounce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Hawkish FOMC (29 Jul) — the §13d highest-impact event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Tight daily/weekly S1 confluence at ~7,385 offers a support shelf</w:t>
            </w:r>
          </w:p>
        </w:tc>
        <w:tc>
          <w:tcPr>
            <w:tcW w:type="dxa" w:w="468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Rising USDX + VIX (§10) both lean risk-off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~88% early-earnings beat rate; blended growth near 30%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Oil ~31% premium keeps inflation/margin pressure on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Friday oil pullback + possible US–Iran talks</w:t>
            </w:r>
          </w:p>
        </w:tc>
        <w:tc>
          <w:tcPr>
            <w:tcW w:type="dxa" w:w="468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AI-capex de-rating (Alphabet/Tesla FCF) can spread to MSFT/META/AMZN</w:t>
            </w:r>
          </w:p>
        </w:tc>
      </w:tr>
      <w:tr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DAX Friday strength a mild global-risk offset</w:t>
            </w:r>
          </w:p>
        </w:tc>
        <w:tc>
          <w:tcPr>
            <w:tcW w:type="dxa" w:w="46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Close below monthly/weekly P confirms medium-term soft bias</w:t>
            </w:r>
          </w:p>
        </w:tc>
      </w:tr>
    </w:tbl>
    <w:p>
      <w:pPr>
        <w:spacing w:after="120" w:before="0" w:line="276"/>
      </w:pPr>
      <w:r>
        <w:rPr>
          <w:i/>
          <w:iCs/>
          <w:color w:val="555555"/>
          <w:sz w:val="19"/>
          <w:szCs w:val="19"/>
        </w:rPr>
        <w:t xml:space="preserve">On balance, the pivot position (below weekly/monthly P, above the daily S1 shelf) and the Transitional regime tilt the balance to neutral-with-downside-skew into the FOMC.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16. Forward View</w:t>
      </w:r>
    </w:p>
    <w:p>
      <w:pPr>
        <w:spacing w:after="120" w:before="0" w:line="276"/>
      </w:pPr>
      <w:r>
        <w:rPr>
          <w:sz w:val="20"/>
          <w:szCs w:val="20"/>
        </w:rPr>
        <w:t xml:space="preserve">Expected direction (next 5 sessions): range-bound with a downside skew, respecting the Transitional regime (§9). </w:t>
      </w:r>
      <w:r>
        <w:rPr>
          <w:b/>
          <w:bCs/>
          <w:sz w:val="20"/>
          <w:szCs w:val="20"/>
        </w:rPr>
        <w:t xml:space="preserve">Base-case trading range 7,294–7,520</w:t>
      </w:r>
      <w:r>
        <w:rPr>
          <w:sz w:val="20"/>
          <w:szCs w:val="20"/>
        </w:rPr>
        <w:t xml:space="preserve">, pivoting on the FOMC. A dovish-hold surprise reopens the 7,500 shelf and the 7,565–7,581 weekly/monthly resistance; a hawkish outcome targets monthly S1 (7,335) then the 25-day low (7,294). </w:t>
      </w:r>
      <w:r>
        <w:rPr>
          <w:b/>
          <w:bCs/>
          <w:sz w:val="20"/>
          <w:szCs w:val="20"/>
        </w:rPr>
        <w:t xml:space="preserve">Base-case invalidation: </w:t>
      </w:r>
      <w:r>
        <w:rPr>
          <w:sz w:val="20"/>
          <w:szCs w:val="20"/>
        </w:rPr>
        <w:t xml:space="preserve">a decisive daily close above 7,520 (bull invalidation of the soft bias) or below 7,294 (bear breakdown of the range). This view respects the technical regime and does not contradict it.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17. Forecast</w:t>
      </w:r>
    </w:p>
    <w:p>
      <w:pPr>
        <w:spacing w:after="120" w:before="0" w:line="276"/>
      </w:pPr>
      <w:r>
        <w:rPr>
          <w:b/>
          <w:bCs/>
          <w:sz w:val="21"/>
          <w:szCs w:val="21"/>
        </w:rPr>
        <w:t xml:space="preserve">The S&amp;P 500 is most likely to chop within 7,335–7,520 with a downside skew into the 29 July FOMC, as an oversold-bounce impulse is capped by rising rates, a firmer dollar, and the AI-capex de-rating.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18. Final Analyst Judgement</w:t>
      </w:r>
    </w:p>
    <w:p>
      <w:pPr>
        <w:spacing w:after="120" w:before="0" w:line="276"/>
      </w:pPr>
      <w:r>
        <w:rPr>
          <w:b/>
          <w:bCs/>
          <w:sz w:val="20"/>
          <w:szCs w:val="20"/>
        </w:rPr>
        <w:t xml:space="preserve">Consensus: 7,411.98 · Confidence: High (close) / Medium (5-day path). </w:t>
      </w:r>
      <w:r>
        <w:rPr>
          <w:sz w:val="20"/>
          <w:szCs w:val="20"/>
        </w:rPr>
        <w:t xml:space="preserve">The three most important reasons: (1) the hawkish FOMC repricing and 18-month-high yields; (2) the ~31% oil premium feeding inflation and margin fears; (3) the AI-capex de-rating that hollowed out breadth via Alphabet/Tesla. Single watch item: the 29 July FOMC decision.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19. Source Discipline Note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Live vs indicative: </w:t>
      </w:r>
      <w:r>
        <w:rPr>
          <w:sz w:val="20"/>
          <w:szCs w:val="20"/>
        </w:rPr>
        <w:t xml:space="preserve">All five session closes and the 24 Jul full OHLC are live, two-source corroborated. Intraday High/Low/Open for 20–23 Jul are single-source indicative — usable for directional context and charting only, not for pivots or entries.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Corroboration status by instrument: </w:t>
      </w:r>
      <w:r>
        <w:rPr>
          <w:sz w:val="20"/>
          <w:szCs w:val="20"/>
        </w:rPr>
        <w:t xml:space="preserve">S&amp;P 500 closes CORROBORATED; daily pivots CORROBORATED (built from 24 Jul corroborated H/L/C); weekly and monthly pivots SINGLE-SOURCE-INDICATIVE (prior-period intraday extremes not dual-sourced). Counters (USDX, VIX, DAX) corroborated at close for directional use.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Data gaps: </w:t>
      </w:r>
      <w:r>
        <w:rPr>
          <w:sz w:val="20"/>
          <w:szCs w:val="20"/>
        </w:rPr>
        <w:t xml:space="preserve">Free-tier historical OHLC endpoints (Stooq/Twelve Data CSV) were unreachable from the execution environment, and cached aggregator tables were stale for 20–23 Jul intraday. ATR(14) is approximated from the 5-session true-range mean (indicative). Per the run instruction, corroboration leniency was applied and the report/strategies proceed rather than halting.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20. Agent Log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Sources attempted: </w:t>
      </w:r>
      <w:r>
        <w:rPr>
          <w:sz w:val="20"/>
          <w:szCs w:val="20"/>
        </w:rPr>
        <w:t xml:space="preserve">Stooq (network-blocked), Investing.com (fetched; table stale to 14 Jul), FRED (fetched; close series), S&amp;P Dow Jones Indices (close), CNBC / AP / TheStreet / Reuters-Zacks / Trading Economics / Meta Trading Club / CappNotes / Investrade (closes + counters).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Validation method: </w:t>
      </w:r>
      <w:r>
        <w:rPr>
          <w:sz w:val="20"/>
          <w:szCs w:val="20"/>
        </w:rPr>
        <w:t xml:space="preserve">Two-source close corroboration within ±0.10 pt tolerance. 24 Jul: S&amp;P DJI × FRED, Δ0.00. 20–23 Jul closes: CNBC × AP, Δ0.00.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Direction-score trace: </w:t>
      </w:r>
      <w:r>
        <w:rPr>
          <w:sz w:val="20"/>
          <w:szCs w:val="20"/>
        </w:rPr>
        <w:t xml:space="preserve">weights at defaults (0.25/0.20/0.10/0.15/0.15/0.15). Contributions — short-tech 0.00, medium-regime −0.10, VOLator +0.05, Kaufman −0.058, sentiment −0.045, cross-asset −0.045. Total score −0.20 → NEUTRAL (│0.20│ &lt; 0.25 conviction). Trade 1 suppressed.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Regime derivation: </w:t>
      </w:r>
      <w:r>
        <w:rPr>
          <w:sz w:val="20"/>
          <w:szCs w:val="20"/>
        </w:rPr>
        <w:t xml:space="preserve">KER −0.385 (Trending Down — Strong) but VOLator slope +0.21 (expanding); dual-gate RANGE fails → consolidated regime TRANSITION. Trade 3 fork → 3C Momentum-Breakout; Trade 2 → breakout-side only.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Backtest: </w:t>
      </w:r>
      <w:r>
        <w:rPr>
          <w:sz w:val="20"/>
          <w:szCs w:val="20"/>
        </w:rPr>
        <w:t xml:space="preserve">5 sessions reconstructed on corroborated closes with t−1 momentum sign; no forward leakage (sentiment frozen at t−1, closes only). Limitations boilerplate applied in §21d.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  <w:sz w:val="20"/>
          <w:szCs w:val="20"/>
        </w:rPr>
        <w:t xml:space="preserve">Anomalies / deviations: </w:t>
      </w:r>
      <w:r>
        <w:rPr>
          <w:sz w:val="20"/>
          <w:szCs w:val="20"/>
        </w:rPr>
        <w:t xml:space="preserve">Corroboration leniency invoked per instruction (intraday 20–23 Jul single-source). Daily-open anchor overridden to the 27 Jul 2026 run per instruction. Strategies NOT suppressed despite partial corroboration, per instruction. Timestamp: 26 Jul 2026, 22:10 UK.</w:t>
      </w:r>
    </w:p>
    <w:p>
      <w:pPr>
        <w:pStyle w:val="Heading1"/>
        <w:spacing w:after="120" w:before="260"/>
      </w:pPr>
      <w:r>
        <w:rPr>
          <w:b/>
          <w:bCs/>
          <w:color w:val="1F3864"/>
          <w:sz w:val="26"/>
          <w:szCs w:val="26"/>
        </w:rPr>
        <w:t xml:space="preserve">21. Strategy Recommendations</w:t>
      </w:r>
    </w:p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§21a  Directional Conviction</w:t>
      </w:r>
    </w:p>
    <w:p>
      <w:pPr>
        <w:spacing w:after="120" w:before="0" w:line="276"/>
      </w:pPr>
      <w:r>
        <w:rPr>
          <w:b/>
          <w:bCs/>
          <w:color w:val="8a5a00"/>
          <w:sz w:val="20"/>
          <w:szCs w:val="20"/>
        </w:rPr>
        <w:t xml:space="preserve">Direction: NEUTRAL. Score −0.20 </w:t>
      </w:r>
      <w:r>
        <w:rPr>
          <w:sz w:val="20"/>
          <w:szCs w:val="20"/>
        </w:rPr>
        <w:t xml:space="preserve">(below the ±0.25 conviction threshold). The three highest-weighted contributing signals are medium-term regime (§9) −0.10, Kaufman KER (§9) −0.058, and cross-asset confirmation (§10) −0.045; the VOLator expansion (+0.05) is the only positive contributor. Weights basis: defaults. Conflict flag: the §17 forecast leans range-with-downside-skew, consistent with (not contradicting) the neutral score — no conflict to resolve.</w:t>
      </w:r>
    </w:p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§21b  Trade Cards</w:t>
      </w:r>
    </w:p>
    <w:p>
      <w:pPr>
        <w:spacing w:after="120" w:before="0" w:line="276"/>
      </w:pPr>
      <w:r>
        <w:rPr>
          <w:b/>
          <w:bCs/>
          <w:sz w:val="20"/>
          <w:szCs w:val="20"/>
        </w:rPr>
        <w:t xml:space="preserve">Trade 1 — Daily Directional: </w:t>
      </w:r>
      <w:r>
        <w:rPr>
          <w:color w:val="B00020"/>
          <w:sz w:val="20"/>
          <w:szCs w:val="20"/>
        </w:rPr>
        <w:t xml:space="preserve">SUPPRESSED — direction score │0.20│ below the 0.25 conviction threshold (NEUTRAL).</w:t>
      </w:r>
    </w:p>
    <w:p>
      <w:pPr>
        <w:spacing w:after="120" w:before="0" w:line="276"/>
      </w:pPr>
      <w:r>
        <w:rPr>
          <w:b/>
          <w:bCs/>
          <w:sz w:val="20"/>
          <w:szCs w:val="20"/>
        </w:rPr>
        <w:t xml:space="preserve">Trade 2 — Pivot (TRANSITION, breakout-side only; daily pivots CORROBORATED)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 — breakout-side (TRANSITION restricts to the break direction; counter-side limit suppressed)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3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Buy stop 7425.82 (P + 10% of P→R1), on confirmed upside momentum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7392.91 — 32.91 points below entry (P − 0.8×(P−S1))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3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32.91 points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(Unit 1)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7449.80 (daily R1) — +23.98 pts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TP2 (Unit 2)</w:t>
            </w:r>
          </w:p>
        </w:tc>
        <w:tc>
          <w:tcPr>
            <w:tcW w:type="dxa" w:w="73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7468.70 (R1.5) — on fill, Unit 3 SL → entry +0.2R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7487.61 (daily R2), runner toward pivot logic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3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equal units; Unit 1 at TP1, Unit 2 at TP2, Unit 3 SL → entry +0.2R on Unit 2 fill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 near daily P (7,423); daily R1/R1.5 targets are corroborated levels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3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back below P (7,423.16)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TRANSITION breakout-side only; ATR(14) indicative; holding period collides with 29 Jul FOMC (Tier-1 event)</w:t>
            </w:r>
          </w:p>
        </w:tc>
      </w:tr>
    </w:tbl>
    <w:p>
      <w:pPr>
        <w:spacing w:after="120" w:before="0" w:line="276"/>
      </w:pPr>
      <w:r>
        <w:rPr>
          <w:b/>
          <w:bCs/>
          <w:sz w:val="20"/>
          <w:szCs w:val="20"/>
        </w:rPr>
        <w:t xml:space="preserve">Trade 3 — Momentum-Breakout (3C; TRANSITION regime)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Variant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3C — Momentum-Breakout (post-fakeout play on the 25-session range)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Range</w:t>
            </w:r>
          </w:p>
        </w:tc>
        <w:tc>
          <w:tcPr>
            <w:tcW w:type="dxa" w:w="71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7,294.18 (25-day low) — 7,581.50 (25-day high); width 287.32 pts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Conditional — no confirmed break yet (close 7,411.98 mid-range). Card arms on a confirmed break.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 break (up)</w:t>
            </w:r>
          </w:p>
        </w:tc>
        <w:tc>
          <w:tcPr>
            <w:tcW w:type="dxa" w:w="71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≥ 7598.01 (upper boundary + 0.25×ATR)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 break (down)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≤ 7277.67 (lower boundary − 0.25×ATR)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Entry (upside)</w:t>
            </w:r>
          </w:p>
        </w:tc>
        <w:tc>
          <w:tcPr>
            <w:tcW w:type="dxa" w:w="71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7598.01 on confirmed breakout candle close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Stop loss (upside)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7409.11 (range_low + 0.40×width — generous post-fakeout stop)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TP1 (upside)</w:t>
            </w:r>
          </w:p>
        </w:tc>
        <w:tc>
          <w:tcPr>
            <w:tcW w:type="dxa" w:w="71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7868.82 (measured move: broken high + 1.0×width)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TP2 (upside)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8012.48 (1.5×MM); on fill Unit 3 SL → broken boundary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1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 close back inside the range past the midpoint (~7,437.84)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1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confirmed break at issue; direction confirmed by VOLator sign + cross-asset; FOMC collision flag</w:t>
            </w:r>
          </w:p>
        </w:tc>
      </w:tr>
    </w:tbl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§21c  5-Session No-Leakage Backtest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100"/>
        <w:gridCol w:w="1700"/>
        <w:gridCol w:w="900"/>
        <w:gridCol w:w="1100"/>
        <w:gridCol w:w="1900"/>
        <w:gridCol w:w="166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7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Strategy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Dir.</w:t>
            </w:r>
          </w:p>
        </w:tc>
        <w:tc>
          <w:tcPr>
            <w:tcW w:type="dxa" w:w="1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Triggered</w:t>
            </w:r>
          </w:p>
        </w:tc>
        <w:tc>
          <w:tcPr>
            <w:tcW w:type="dxa" w:w="1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Entry→Exit</w:t>
            </w:r>
          </w:p>
        </w:tc>
        <w:tc>
          <w:tcPr>
            <w:tcW w:type="dxa" w:w="166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Fri 17→Mon 20 (t−5)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 recon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FLAT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7,457.69→7,443.28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insufficient run-in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 20→Tue 21 (t−4)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 recon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7,443.28→7,509.20</w:t>
            </w:r>
          </w:p>
        </w:tc>
        <w:tc>
          <w:tcPr>
            <w:tcW w:type="dxa" w:w="16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−0.99R (adverse)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Tue 21→Wed 22 (t−3)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 recon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7,509.20→7,498.96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−0.16R</w:t>
            </w:r>
          </w:p>
        </w:tc>
      </w:tr>
      <w:tr>
        <w:tc>
          <w:tcPr>
            <w:tcW w:type="dxa" w:w="21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Wed 22→Thu 23 (t−2)</w:t>
            </w:r>
          </w:p>
        </w:tc>
        <w:tc>
          <w:tcPr>
            <w:tcW w:type="dxa" w:w="17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 recon</w:t>
            </w:r>
          </w:p>
        </w:tc>
        <w:tc>
          <w:tcPr>
            <w:tcW w:type="dxa" w:w="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7,498.96→7,408.30</w:t>
            </w:r>
          </w:p>
        </w:tc>
        <w:tc>
          <w:tcPr>
            <w:tcW w:type="dxa" w:w="166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+1.37R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Thu 23→Fri 24 (t−1)</w:t>
            </w:r>
          </w:p>
        </w:tc>
        <w:tc>
          <w:tcPr>
            <w:tcW w:type="dxa" w:w="17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Trade 1 recon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W w:type="dxa" w:w="1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7,408.30→7,411.98</w:t>
            </w:r>
          </w:p>
        </w:tc>
        <w:tc>
          <w:tcPr>
            <w:tcW w:type="dxa" w:w="16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−0.06R</w:t>
            </w:r>
          </w:p>
        </w:tc>
      </w:tr>
    </w:tbl>
    <w:p>
      <w:pPr>
        <w:spacing w:after="120" w:before="0" w:line="276"/>
      </w:pPr>
      <w:r>
        <w:rPr>
          <w:i/>
          <w:iCs/>
          <w:color w:val="555555"/>
          <w:sz w:val="18"/>
          <w:szCs w:val="18"/>
        </w:rPr>
        <w:t xml:space="preserve">Trade 2 / Trade 3C reconstructions did not trigger in the window (no confirmed range break; pivot breakout entries not reached at t−1 reconstructions) and are reported as non-triggered rows for traceability; they do not contribute to the aggregate.</w:t>
      </w:r>
    </w:p>
    <w:p>
      <w:pPr>
        <w:pStyle w:val="Heading2"/>
        <w:spacing w:after="80" w:before="140"/>
      </w:pPr>
      <w:r>
        <w:rPr>
          <w:b/>
          <w:bCs/>
          <w:color w:val="1F3864"/>
          <w:sz w:val="22"/>
          <w:szCs w:val="22"/>
        </w:rPr>
        <w:t xml:space="preserve">§21d  'What Is Working' Aggregate</w:t>
      </w:r>
    </w:p>
    <w:p>
      <w:pPr>
        <w:spacing w:after="120" w:before="0" w:line="276"/>
      </w:pPr>
      <w:r>
        <w:rPr>
          <w:sz w:val="20"/>
          <w:szCs w:val="20"/>
        </w:rPr>
        <w:t xml:space="preserve">Over the last 5 sessions the daily-directional reconstruction triggered 4/5 times with a mean R ≈ +0.04 (one strong winner on the Thursday flush offsetting three small losers); TP hit-rates were low given the choppy, range-bound tape. Trade 2 and Trade 3C did not trigger (0/5) — the market stayed inside its envelope, which is exactly the Transitional read. Strongest performer: the short reconstruction into the 23 Jul flush (+1.37R). Weakest: the 21 Jul short caught in the Tuesday reclaim (−0.99R). </w:t>
      </w:r>
    </w:p>
    <w:p>
      <w:pPr>
        <w:spacing w:after="120" w:before="0" w:line="276"/>
      </w:pPr>
      <w:r>
        <w:rPr>
          <w:i/>
          <w:iCs/>
          <w:color w:val="555555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1F3864" w:sz="4" w:space="6"/>
        </w:pBdr>
        <w:spacing w:before="240"/>
      </w:pPr>
      <w:r>
        <w:rPr>
          <w:i/>
          <w:iCs/>
          <w:color w:val="888888"/>
          <w:sz w:val="16"/>
          <w:szCs w:val="16"/>
        </w:rPr>
        <w:t xml:space="preserve">Data as of 24 July 2026 close. Report issued for 27 July 2026. Not investment advice — for trading and risk review (forward-test) only.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S&amp;P 500 Daily Report │ 24 July 2026 │ Senior US Equity Strategist    ·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S&amp;P 500 Daily Report — 27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4e8ab7f2f33a35adaef676a69e8577bf118163.png"/><Relationship Id="rId10" Type="http://schemas.openxmlformats.org/officeDocument/2006/relationships/image" Target="media/d8582571d232e78b02969179a5147bc700fa2614.png"/><Relationship Id="rId11" Type="http://schemas.openxmlformats.org/officeDocument/2006/relationships/image" Target="media/c29b9edea1eb9410e6d2d1f3d20b72d6e6630cdb.png"/><Relationship Id="rId12" Type="http://schemas.openxmlformats.org/officeDocument/2006/relationships/image" Target="media/82ede6b0bb6ce5bfc270efa053e5f8993f40b7f3.png"/><Relationship Id="rId13" Type="http://schemas.openxmlformats.org/officeDocument/2006/relationships/image" Target="media/8f26bf69b0d0fcb598e6fdef1168985cfb40da6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S&amp;P 500 Report — Daily: 27 July 2026</dc:title>
  <dc:creator>Senior US Equity Strategist</dc:creator>
  <cp:lastModifiedBy>Un-named</cp:lastModifiedBy>
  <cp:revision>1</cp:revision>
  <dcterms:created xsi:type="dcterms:W3CDTF">2026-07-26T21:47:48.136Z</dcterms:created>
  <dcterms:modified xsi:type="dcterms:W3CDTF">2026-07-26T21:47:48.186Z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