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2b4a"/>
          <w:sz w:val="36"/>
          <w:szCs w:val="36"/>
        </w:rPr>
        <w:t xml:space="preserve">S&amp;P 500 Report — Daily: 29 July 2026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With reference to: USDX · VIX · DAX 40</w:t>
      </w:r>
    </w:p>
    <w:p>
      <w:pPr>
        <w:pBdr>
          <w:bottom w:val="single" w:color="1a2b4a" w:sz="6" w:space="4"/>
        </w:pBdr>
        <w:spacing w:after="180"/>
      </w:pPr>
      <w:r>
        <w:rPr>
          <w:color w:val="777777"/>
          <w:sz w:val="16"/>
          <w:szCs w:val="16"/>
        </w:rPr>
        <w:t xml:space="preserve">Senior US Equity Strategist  ·  Trading and risk review (forward-test)  ·  As-of session close 28 July 2026 (America/New_York)</w:t>
      </w:r>
    </w:p>
    <w:p>
      <w:pPr>
        <w:pStyle w:val="Heading2"/>
        <w:spacing w:after="110" w:before="220"/>
      </w:pPr>
      <w:r>
        <w:rPr>
          <w:b/>
          <w:bCs/>
          <w:color w:val="1a2b4a"/>
        </w:rPr>
        <w:t xml:space="preserve">§1  Executive Snapshot</w:t>
      </w:r>
    </w:p>
    <w:p>
      <w:pPr>
        <w:spacing w:after="100" w:line="276"/>
        <w:jc w:val="both"/>
      </w:pPr>
      <w:r>
        <w:rPr>
          <w:b/>
          <w:bCs/>
        </w:rPr>
        <w:t xml:space="preserve">Consensus price: 7,428.78 index points</w:t>
      </w:r>
      <w:r>
        <w:t xml:space="preserve"> (close, 28 Jul 2026), consensus range 7,415–7,435; market tone </w:t>
      </w:r>
      <w:r>
        <w:rPr>
          <w:b/>
          <w:bCs/>
        </w:rPr>
        <w:t xml:space="preserve">balanced-to-cautious</w:t>
      </w:r>
      <w:r>
        <w:t xml:space="preserve">. The three dominant drivers are (i) an intensifying semiconductor selloff on AI capital-spending and circular-financing worries that has capped the index below its early-June record, (ii) a sharp slide in crude oil that has eased inflation fear and supported the broad, equal-weight tape even as mega-cap tech wobbles, and (iii) a live Federal Reserve decision (30 July) with an unusually elevated market-implied probability of a hike. Short-term technical regime is </w:t>
      </w:r>
      <w:r>
        <w:rPr>
          <w:b/>
          <w:bCs/>
        </w:rPr>
        <w:t xml:space="preserve">Transitional with a bearish tilt</w:t>
      </w:r>
      <w:r>
        <w:t xml:space="preserve"> — the index fell from ~7,499 to a 7,408/7,412 base across 23–24 July before a modest 27–28 July recovery — while the medium-term 25-session regime is </w:t>
      </w:r>
      <w:r>
        <w:rPr>
          <w:b/>
          <w:bCs/>
        </w:rPr>
        <w:t xml:space="preserve">Transitional</w:t>
      </w:r>
      <w:r>
        <w:t xml:space="preserve"> (overlap 0.48, persistence 0.54, close at the 47th percentile of range). Kaufman regime classification: </w:t>
      </w:r>
      <w:r>
        <w:rPr>
          <w:b/>
          <w:bCs/>
        </w:rPr>
        <w:t xml:space="preserve">Trending Down — Strong</w:t>
      </w:r>
      <w:r>
        <w:t xml:space="preserve"> (efficiency ratio −0.22), which sits in tension with the constructive last-session reversal and is flagged as a mixed signal. Directional conviction score is </w:t>
      </w:r>
      <w:r>
        <w:rPr>
          <w:b/>
          <w:bCs/>
        </w:rPr>
        <w:t xml:space="preserve">−0.19 → NEUTRAL</w:t>
      </w:r>
      <w:r>
        <w:t xml:space="preserve"> (below the trade threshold), so the daily-directional card is suppressed while the pivot and breakout cards remain regime-driven. </w:t>
      </w:r>
      <w:r>
        <w:rPr>
          <w:b/>
          <w:bCs/>
        </w:rPr>
        <w:t xml:space="preserve">Single most important watch item: the 30 July FOMC decision and statement.</w:t>
      </w:r>
    </w:p>
    <w:p>
      <w:pPr>
        <w:pStyle w:val="Heading2"/>
        <w:spacing w:after="110" w:before="220"/>
      </w:pPr>
      <w:r>
        <w:rPr>
          <w:b/>
          <w:bCs/>
          <w:color w:val="1a2b4a"/>
        </w:rPr>
        <w:t xml:space="preserve">§2  Market Definition</w:t>
      </w:r>
    </w:p>
    <w:tbl>
      <w:tblPr>
        <w:tblW w:type="dxa" w:w="9400"/>
        <w:tblBorders>
          <w:top w:val="single" w:color="c9d2e0" w:sz="2"/>
          <w:left w:val="single" w:color="c9d2e0" w:sz="2"/>
          <w:bottom w:val="single" w:color="c9d2e0" w:sz="2"/>
          <w:right w:val="single" w:color="c9d2e0" w:sz="2"/>
          <w:insideH w:val="single" w:color="dde3ee" w:sz="1"/>
          <w:insideV w:val="single" w:color="dde3ee" w:sz="1"/>
        </w:tblBorders>
      </w:tblPr>
      <w:tblGrid>
        <w:gridCol w:w="2400"/>
        <w:gridCol w:w="7000"/>
      </w:tblGrid>
      <w:tr>
        <w:trPr>
          <w:tblHeader/>
        </w:trPr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500 cash index (large-cap US equity benchmark, 503 constituents)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Price basis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Cash index level (continuous), calculated during NYSE/NASDAQ hours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Scope / region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 investor base; primary listings New York; futures basis Chicago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Delivery basis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Regular cash session 09:30–16:00 ET (pre-/after-market excluded from OHLC)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/ currency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Index points / USD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As-of date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 July 2026 (last completed session 28 July 2026), America/New_York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Lookback window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sessions (execution block); 25 sessions (regime block)</w:t>
            </w:r>
          </w:p>
        </w:tc>
      </w:tr>
    </w:tbl>
    <w:p>
      <w:pPr>
        <w:pStyle w:val="Heading2"/>
        <w:spacing w:after="110" w:before="220"/>
      </w:pPr>
      <w:r>
        <w:rPr>
          <w:b/>
          <w:bCs/>
          <w:color w:val="1a2b4a"/>
        </w:rPr>
        <w:t xml:space="preserve">§3  Consensus Price Call</w:t>
      </w:r>
    </w:p>
    <w:tbl>
      <w:tblPr>
        <w:tblW w:type="dxa" w:w="9400"/>
        <w:tblBorders>
          <w:top w:val="single" w:color="c9d2e0" w:sz="2"/>
          <w:left w:val="single" w:color="c9d2e0" w:sz="2"/>
          <w:bottom w:val="single" w:color="c9d2e0" w:sz="2"/>
          <w:right w:val="single" w:color="c9d2e0" w:sz="2"/>
          <w:insideH w:val="single" w:color="dde3ee" w:sz="1"/>
          <w:insideV w:val="single" w:color="dde3ee" w:sz="1"/>
        </w:tblBorders>
      </w:tblPr>
      <w:tblGrid>
        <w:gridCol w:w="1300"/>
        <w:gridCol w:w="1300"/>
        <w:gridCol w:w="1200"/>
        <w:gridCol w:w="1100"/>
        <w:gridCol w:w="1200"/>
        <w:gridCol w:w="3300"/>
      </w:tblGrid>
      <w:tr>
        <w:trPr>
          <w:tblHeader/>
        </w:trPr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Consensus price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Tone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</w:rPr>
              <w:t xml:space="preserve">7,428.78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t xml:space="preserve">7,415 – 7,435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t xml:space="preserve">Cash close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t xml:space="preserve">Balanced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t xml:space="preserve">Two-source corroborated close; a tight consensus band reflects the low-range 28 Jul session.</w:t>
            </w:r>
          </w:p>
        </w:tc>
      </w:tr>
    </w:tbl>
    <w:p>
      <w:pPr>
        <w:pStyle w:val="Heading2"/>
        <w:spacing w:after="110" w:before="220"/>
      </w:pPr>
      <w:r>
        <w:rPr>
          <w:b/>
          <w:bCs/>
          <w:color w:val="1a2b4a"/>
        </w:rPr>
        <w:t xml:space="preserve">§4  Price Evidence Table</w:t>
      </w:r>
    </w:p>
    <w:tbl>
      <w:tblPr>
        <w:tblW w:type="dxa" w:w="9400"/>
        <w:tblBorders>
          <w:top w:val="single" w:color="c9d2e0" w:sz="2"/>
          <w:left w:val="single" w:color="c9d2e0" w:sz="2"/>
          <w:bottom w:val="single" w:color="c9d2e0" w:sz="2"/>
          <w:right w:val="single" w:color="c9d2e0" w:sz="2"/>
          <w:insideH w:val="single" w:color="dde3ee" w:sz="1"/>
          <w:insideV w:val="single" w:color="dde3ee" w:sz="1"/>
        </w:tblBorders>
      </w:tblPr>
      <w:tblGrid>
        <w:gridCol w:w="1500"/>
        <w:gridCol w:w="1150"/>
        <w:gridCol w:w="1500"/>
        <w:gridCol w:w="1100"/>
        <w:gridCol w:w="1150"/>
        <w:gridCol w:w="900"/>
        <w:gridCol w:w="2100"/>
      </w:tblGrid>
      <w:tr>
        <w:trPr>
          <w:tblHeader/>
        </w:trPr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Dow Jones / FRED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 Jul (close)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7,428.78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7,428.78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Cash close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Official index provider series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CNBC market wrap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 Jul (close)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7,428.78 (+0.21%)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7,428.78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Cash close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Corroborates provider close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Yahoo Finance ^GSPC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 Jul (late)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7,429.18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7,429.18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Cash (intraday)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Directional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Δ 0.40 vs close; within tolerance band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Investing.com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 Jul (range)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7,382.64 / 7,452.02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H/L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Cash session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Directional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 low/high reference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FRED (official)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 Jul (close)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7,413.18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7,413.18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Cash close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Prior-session anchor, corroborated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Trading Economics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 Jul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~7,400 (CFD)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CFD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Excluded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CFD basis excluded per source rules</w:t>
            </w:r>
          </w:p>
        </w:tc>
      </w:tr>
    </w:tbl>
    <w:p>
      <w:pPr>
        <w:pStyle w:val="Heading2"/>
        <w:spacing w:after="110" w:before="220"/>
      </w:pPr>
      <w:r>
        <w:rPr>
          <w:b/>
          <w:bCs/>
          <w:color w:val="1a2b4a"/>
        </w:rPr>
        <w:t xml:space="preserve">§5  Consensus Build Explanation</w:t>
      </w:r>
    </w:p>
    <w:p>
      <w:pPr>
        <w:spacing w:after="100" w:line="276"/>
        <w:jc w:val="both"/>
      </w:pPr>
      <w:r>
        <w:t xml:space="preserve">The consensus is anchored to the official S&amp;P Dow Jones cash-index close, corroborated within tolerance (±0.10 pt on close) by a second independent outlet. The 28 July close of </w:t>
      </w:r>
      <w:r>
        <w:rPr>
          <w:b/>
          <w:bCs/>
        </w:rPr>
        <w:t xml:space="preserve">7,428.78</w:t>
      </w:r>
      <w:r>
        <w:t xml:space="preserve"> is accepted as the definitive value; the near-identical 7,429.18 late-session print from a third source falls within the equity-index corroboration band and is used only for directional confirmation. CFD-basis quotes (e.g., the ~7,400 contract-for-difference level) are excluded from the consensus per the standing restriction against retail CFD spread quotes. The weighted-median method down-weights the stale aggregator table (which still displayed the mid-July window) so it does not distort the current level. Precision is high for the close; intraday open/high/low for the cash index are less consistently corroborable across free sources and are treated as single-source indicative where a second match was unavailable — this constrains pivot corroboration (see §11 and §19).</w:t>
      </w:r>
    </w:p>
    <w:p>
      <w:pPr>
        <w:pStyle w:val="Heading2"/>
        <w:spacing w:after="110" w:before="220"/>
      </w:pPr>
      <w:r>
        <w:rPr>
          <w:b/>
          <w:bCs/>
          <w:color w:val="1a2b4a"/>
        </w:rPr>
        <w:t xml:space="preserve">§6  Validated OHLC + RSI2 Table (5 sessions)</w:t>
      </w:r>
    </w:p>
    <w:tbl>
      <w:tblPr>
        <w:tblW w:type="dxa" w:w="9490"/>
        <w:tblBorders>
          <w:top w:val="single" w:color="c9d2e0" w:sz="2"/>
          <w:left w:val="single" w:color="c9d2e0" w:sz="2"/>
          <w:bottom w:val="single" w:color="c9d2e0" w:sz="2"/>
          <w:right w:val="single" w:color="c9d2e0" w:sz="2"/>
          <w:insideH w:val="single" w:color="dde3ee" w:sz="1"/>
          <w:insideV w:val="single" w:color="dde3ee" w:sz="1"/>
        </w:tblBorders>
      </w:tblPr>
      <w:tblGrid>
        <w:gridCol w:w="1150"/>
        <w:gridCol w:w="780"/>
        <w:gridCol w:w="780"/>
        <w:gridCol w:w="780"/>
        <w:gridCol w:w="900"/>
        <w:gridCol w:w="620"/>
        <w:gridCol w:w="780"/>
        <w:gridCol w:w="900"/>
        <w:gridCol w:w="780"/>
        <w:gridCol w:w="820"/>
        <w:gridCol w:w="1200"/>
      </w:tblGrid>
      <w:tr>
        <w:trPr>
          <w:tblHeader/>
        </w:trPr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Src A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Src B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Final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 Jul 2026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7,500.00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7,515.00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7,455.00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</w:rPr>
              <w:t xml:space="preserve">7,498.96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46.0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Neutral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DJI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Lines/CAPIS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7,498.96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CORROBORATED (Δ0.00 close)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 Jul 2026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7,490.00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7,495.00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7,395.00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</w:rPr>
              <w:t xml:space="preserve">7,408.30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6.9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Bearish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CAPIS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WSN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7,408.30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CORROBORATED (Δ0.00 close)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 Jul 2026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7,410.00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7,440.00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7,388.00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</w:rPr>
              <w:t xml:space="preserve">7,411.98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12.9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Neutral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DJI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Motley Fool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7,411.98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CORROBORATED (Δ~0.02 close)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 Jul 2026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7,405.00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7,425.00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7,360.00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</w:rPr>
              <w:t xml:space="preserve">7,413.18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16.4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Neutral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FRED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Yahoo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7,413.18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CORROBORATED (Δ0.00 close)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 Jul 2026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7,415.00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7,452.02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7,382.64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</w:rPr>
              <w:t xml:space="preserve">7,428.78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59.2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Bullish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DJI/CNBC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Yahoo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7,428.78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CORROBORATED (close); O single-source indic.</w:t>
            </w:r>
          </w:p>
        </w:tc>
      </w:tr>
    </w:tbl>
    <w:p>
      <w:pPr>
        <w:spacing w:after="100" w:line="276"/>
        <w:jc w:val="both"/>
      </w:pPr>
      <w:r>
        <w:rPr>
          <w:i/>
          <w:iCs/>
          <w:color w:val="666666"/>
          <w:sz w:val="16"/>
          <w:szCs w:val="16"/>
        </w:rPr>
        <w:t xml:space="preserve">Note — Close values are two-source corroborated within the equity-index tolerance. Session open/high/low for the cash index are single-source indicative where a second corroborating intraday feed was not obtainable from approved free sources; such fields are excluded from definitive pivot computation and carry the indicative flag downstream (see §19).</w:t>
      </w:r>
    </w:p>
    <w:p>
      <w:pPr>
        <w:pStyle w:val="Heading2"/>
        <w:spacing w:after="110" w:before="220"/>
      </w:pPr>
      <w:r>
        <w:rPr>
          <w:b/>
          <w:bCs/>
          <w:color w:val="1a2b4a"/>
        </w:rPr>
        <w:t xml:space="preserve">§7  Charts</w:t>
      </w:r>
    </w:p>
    <w:p>
      <w:pPr>
        <w:spacing w:after="100" w:line="276"/>
        <w:jc w:val="both"/>
      </w:pPr>
      <w:r>
        <w:rPr>
          <w:b/>
          <w:bCs/>
        </w:rPr>
        <w:t xml:space="preserve">Chart 1 — 5-Day Candlestick. </w:t>
      </w:r>
      <w:r>
        <w:t xml:space="preserve">The 23 July down-candle (−1.21%) dominates the block; 27–28 July show a base-and-recover sequence with the final session closing in the upper half of its range.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76"/>
        <w:jc w:val="both"/>
      </w:pPr>
      <w:r>
        <w:rPr>
          <w:b/>
          <w:bCs/>
        </w:rPr>
        <w:t xml:space="preserve">Chart 2 — Distance-from-Open. </w:t>
      </w:r>
      <w:r>
        <w:t xml:space="preserve">Normalising each session to its open exposes the deep 23–24 July intraday travel and the constructive positive close-minus-open on 28 July.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76"/>
        <w:jc w:val="both"/>
      </w:pPr>
      <w:r>
        <w:rPr>
          <w:b/>
          <w:bCs/>
        </w:rPr>
        <w:t xml:space="preserve">Chart 3 — 25-Session Structure. </w:t>
      </w:r>
      <w:r>
        <w:t xml:space="preserve">Overlap is moderate (0.48) with rotation rather than clean trend; the close sits mid-range, consistent with a transitional read.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76"/>
        <w:jc w:val="both"/>
      </w:pPr>
      <w:r>
        <w:rPr>
          <w:b/>
          <w:bCs/>
        </w:rPr>
        <w:t xml:space="preserve">Chart 4 — Comparative Volatility (VOLator). </w:t>
      </w:r>
      <w:r>
        <w:t xml:space="preserve">S&amp;P 500 scaled volatility is expanding (positive slope) alongside VIX; the dollar and DAX volatility read lower. Counter series are directional and illustrative.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76"/>
        <w:jc w:val="both"/>
      </w:pPr>
      <w:r>
        <w:rPr>
          <w:b/>
          <w:bCs/>
        </w:rPr>
        <w:t xml:space="preserve">Chart 5 — Pivot Structure. </w:t>
      </w:r>
      <w:r>
        <w:t xml:space="preserve">Prior-week and current-week candles against pooled daily/weekly/monthly floor pivots on a smart-scaled axis. The close sits just above the weekly pivot and below the monthly pivot cluster near 7,457.</w:t>
      </w:r>
    </w:p>
    <w:p>
      <w:pPr>
        <w:spacing w:after="120" w:before="80"/>
        <w:jc w:val="center"/>
      </w:pPr>
      <w:r>
        <w:drawing>
          <wp:inline distT="0" distB="0" distL="0" distR="0">
            <wp:extent cx="5334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10" w:before="220"/>
      </w:pPr>
      <w:r>
        <w:rPr>
          <w:b/>
          <w:bCs/>
          <w:color w:val="1a2b4a"/>
        </w:rPr>
        <w:t xml:space="preserve">§8  Short-Term Technical Analysis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22 Jul (see §6): </w:t>
      </w:r>
      <w:r>
        <w:t xml:space="preserve">Narrow, slightly bearish body closing near the lower half; RSI2 ~46. A quiet holding session before the break.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23 Jul: </w:t>
      </w:r>
      <w:r>
        <w:t xml:space="preserve">Decisive bearish candle, close near the low, RSI2 collapses to ~7 — a momentum flush on the chip-led selloff. Body dominates; little lower wick.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24 Jul: </w:t>
      </w:r>
      <w:r>
        <w:t xml:space="preserve">Inside-ish recovery attempt; close a fraction above open (+0.05%) but RSI2 still depressed (~13). Long lower wick relative to body signals demand near 7,388.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27 Jul: </w:t>
      </w:r>
      <w:r>
        <w:t xml:space="preserve">Doji-like consolidation (+0.02%); RSI2 ~16 confirms an oversold-but-stabilising tape. Lower wick into 7,360 marks near-term demand.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28 Jul: </w:t>
      </w:r>
      <w:r>
        <w:t xml:space="preserve">Bullish reversal candle, close in the upper half (+0.21%), RSI2 snaps back to ~59 — the first constructive close of the block.</w:t>
      </w:r>
    </w:p>
    <w:p>
      <w:pPr>
        <w:spacing w:after="100" w:line="276"/>
        <w:jc w:val="both"/>
      </w:pPr>
      <w:r>
        <w:rPr>
          <w:b/>
          <w:bCs/>
        </w:rPr>
        <w:t xml:space="preserve">Sequence assessment: Compression → attempted reversal. </w:t>
      </w:r>
      <w:r>
        <w:t xml:space="preserve">The block reads as a sharp down-thrust (23 Jul) followed by three-session compression and a nascent upside turn. It is not yet a confirmed continuation. </w:t>
      </w:r>
      <w:r>
        <w:rPr>
          <w:b/>
          <w:bCs/>
        </w:rPr>
        <w:t xml:space="preserve">Nearest support 7,360</w:t>
      </w:r>
      <w:r>
        <w:t xml:space="preserve"> (27 Jul low) with structural support at 7,382–7,388; </w:t>
      </w:r>
      <w:r>
        <w:rPr>
          <w:b/>
          <w:bCs/>
        </w:rPr>
        <w:t xml:space="preserve">nearest resistance 7,515</w:t>
      </w:r>
      <w:r>
        <w:t xml:space="preserve"> (22 Jul high). </w:t>
      </w:r>
    </w:p>
    <w:p>
      <w:pPr>
        <w:spacing w:after="100" w:line="276"/>
        <w:jc w:val="both"/>
      </w:pPr>
      <w:r>
        <w:rPr>
          <w:b/>
          <w:bCs/>
        </w:rPr>
        <w:t xml:space="preserve">Judgement label: Indecision </w:t>
      </w:r>
      <w:r>
        <w:t xml:space="preserve">(reversal attempt in progress). This is consistent with the §9 transitional regime; no conflict flagged, though the KER-down reading is noted as a mixed signal (see §9).</w:t>
      </w:r>
    </w:p>
    <w:p>
      <w:pPr>
        <w:pStyle w:val="Heading2"/>
        <w:spacing w:after="110" w:before="220"/>
      </w:pPr>
      <w:r>
        <w:rPr>
          <w:b/>
          <w:bCs/>
          <w:color w:val="1a2b4a"/>
        </w:rPr>
        <w:t xml:space="preserve">§9  Medium-Term Regime &amp; VOLator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Regime: Transitional. </w:t>
      </w:r>
      <w:r>
        <w:t xml:space="preserve">Overlap 0.48, directional persistence 0.54, median RSI2 46, close at the 47th percentile of the 25-session range (7,294–7,581). Neither clean-trend nor clean-range criteria are met.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Bias: Neutral-to-bearish. </w:t>
      </w:r>
      <w:r>
        <w:t xml:space="preserve">The completed medium-term swing is downward (record 7,581 on 15 Jul → 7,294 area), partly retraced by the late-July stabilisation.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VOLator readings: </w:t>
      </w:r>
      <w:r>
        <w:t xml:space="preserve">S&amp;P 500 scaled volatility is positive and expanding (slope +0.07). VIX elevated near 18 (above its recent floor); USDX and DAX volatility read lower on the cross-section.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Preferred trade protocol: </w:t>
      </w:r>
      <w:r>
        <w:t xml:space="preserve">Transitional / reduced conviction — await a confirmed break; favour breakout-side expressions over fades.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Kaufman confirmation: Trending Down — Strong (−0.22). </w:t>
      </w:r>
      <w:r>
        <w:t xml:space="preserve">This </w:t>
      </w:r>
      <w:r>
        <w:rPr>
          <w:b/>
          <w:bCs/>
        </w:rPr>
        <w:t xml:space="preserve">contradicts</w:t>
      </w:r>
      <w:r>
        <w:t xml:space="preserve"> the constructive last-session reversal and is flagged as a mixed signal; because the dual-gate range test is not satisfied (efficiency-ratio magnitude exceeds the trend threshold while volatility is expanding), the consolidated regime resolves to Transitional rather than Range.</w:t>
      </w:r>
    </w:p>
    <w:p>
      <w:pPr>
        <w:pStyle w:val="Heading2"/>
        <w:spacing w:after="110" w:before="220"/>
      </w:pPr>
      <w:r>
        <w:rPr>
          <w:b/>
          <w:bCs/>
          <w:color w:val="1a2b4a"/>
        </w:rPr>
        <w:t xml:space="preserve">§10  Cross-Asset Analysis</w:t>
      </w:r>
    </w:p>
    <w:tbl>
      <w:tblPr>
        <w:tblW w:type="dxa" w:w="9400"/>
        <w:tblBorders>
          <w:top w:val="single" w:color="c9d2e0" w:sz="2"/>
          <w:left w:val="single" w:color="c9d2e0" w:sz="2"/>
          <w:bottom w:val="single" w:color="c9d2e0" w:sz="2"/>
          <w:right w:val="single" w:color="c9d2e0" w:sz="2"/>
          <w:insideH w:val="single" w:color="dde3ee" w:sz="1"/>
          <w:insideV w:val="single" w:color="dde3ee" w:sz="1"/>
        </w:tblBorders>
      </w:tblPr>
      <w:tblGrid>
        <w:gridCol w:w="1700"/>
        <w:gridCol w:w="1150"/>
        <w:gridCol w:w="3200"/>
        <w:gridCol w:w="1350"/>
        <w:gridCol w:w="2000"/>
      </w:tblGrid>
      <w:tr>
        <w:trPr>
          <w:tblHeader/>
        </w:trPr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5-day dir.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 for S&amp;P 500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USDX (Dollar Index)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Rising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Firmer dollar tightens global financial conditions and trims multinational earnings translation.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Confirms (caution)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Mild headwind; consistent with the transitional/soft tape.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VIX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Rising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Higher implied volatility signals risk-off hedging demand.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Confirms (caution)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Elevated hedging pressure caps upside follow-through.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DAX 40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Rising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European risk-on (earnings-led, oil relief) is a common-factor positive for global equity beta.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Contradicts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Constructive cross-read that argues against a fresh leg lower.</w:t>
            </w:r>
          </w:p>
        </w:tc>
      </w:tr>
    </w:tbl>
    <w:p>
      <w:pPr>
        <w:spacing w:after="100" w:line="276"/>
        <w:jc w:val="both"/>
      </w:pPr>
      <w:r>
        <w:rPr>
          <w:b/>
          <w:bCs/>
        </w:rPr>
        <w:t xml:space="preserve">Contradiction flag: </w:t>
      </w:r>
      <w:r>
        <w:rPr>
          <w:b/>
          <w:bCs/>
        </w:rPr>
        <w:t xml:space="preserve">DAX strength contradicts the cautious USDX/VIX read.</w:t>
      </w:r>
      <w:r>
        <w:t xml:space="preserve"> Aggregated, the counters are </w:t>
      </w:r>
      <w:r>
        <w:rPr>
          <w:b/>
          <w:bCs/>
        </w:rPr>
        <w:t xml:space="preserve">MIXED</w:t>
      </w:r>
      <w:r>
        <w:t xml:space="preserve"> (two confirm caution, one contradicts). This mixed cross-asset picture is a core reason the directional score lands NEUTRAL and feeds the §15 balance and §16 forward view.</w:t>
      </w:r>
    </w:p>
    <w:p>
      <w:pPr>
        <w:pStyle w:val="Heading2"/>
        <w:spacing w:after="110" w:before="220"/>
      </w:pPr>
      <w:r>
        <w:rPr>
          <w:b/>
          <w:bCs/>
          <w:color w:val="1a2b4a"/>
        </w:rPr>
        <w:t xml:space="preserve">§11  Floor Pivot Analysis</w:t>
      </w:r>
    </w:p>
    <w:p>
      <w:pPr>
        <w:spacing w:after="100" w:line="276"/>
        <w:jc w:val="both"/>
      </w:pPr>
      <w:r>
        <w:rPr>
          <w:b/>
          <w:bCs/>
        </w:rPr>
        <w:t xml:space="preserve">Daily pivots </w:t>
      </w:r>
      <w:r>
        <w:t xml:space="preserve">(prior session 27 Jul; </w:t>
      </w:r>
      <w:r>
        <w:rPr>
          <w:b/>
          <w:bCs/>
          <w:color w:val="b45309"/>
        </w:rPr>
        <w:t xml:space="preserve">indicative only</w:t>
      </w:r>
      <w:r>
        <w:t xml:space="preserve"> — prior-day H/L single-source):</w:t>
      </w:r>
    </w:p>
    <w:tbl>
      <w:tblPr>
        <w:tblW w:type="dxa" w:w="4600"/>
        <w:tblBorders>
          <w:top w:val="single" w:color="c9d2e0" w:sz="2"/>
          <w:left w:val="single" w:color="c9d2e0" w:sz="2"/>
          <w:bottom w:val="single" w:color="c9d2e0" w:sz="2"/>
          <w:right w:val="single" w:color="c9d2e0" w:sz="2"/>
          <w:insideH w:val="single" w:color="dde3ee" w:sz="1"/>
          <w:insideV w:val="single" w:color="dde3ee" w:sz="1"/>
        </w:tblBorders>
      </w:tblPr>
      <w:tblGrid>
        <w:gridCol w:w="2000"/>
        <w:gridCol w:w="2600"/>
      </w:tblGrid>
      <w:tr>
        <w:trPr>
          <w:tblHeader/>
        </w:trPr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7633.79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R4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7568.79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7503.79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7464.39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R1.5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7451.59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7438.79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7399.39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7373.79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S1.5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7354.09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7334.39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7308.79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7243.79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7178.79</w:t>
            </w:r>
          </w:p>
        </w:tc>
      </w:tr>
    </w:tbl>
    <w:p>
      <w:pPr>
        <w:spacing w:after="100" w:line="276"/>
        <w:jc w:val="both"/>
      </w:pPr>
      <w:r>
        <w:rPr>
          <w:b/>
          <w:bCs/>
        </w:rPr>
        <w:t xml:space="preserve">Weekly pivots </w:t>
      </w:r>
      <w:r>
        <w:t xml:space="preserve">(prior week 20–24 Jul; indicative — single-source prior H/L): </w:t>
      </w:r>
      <w:r>
        <w:t xml:space="preserve">P 7439.99, R1 7491.99, R2 7571.99, S1 7359.99, S2 7307.99.</w:t>
      </w:r>
    </w:p>
    <w:p>
      <w:pPr>
        <w:spacing w:after="100" w:line="276"/>
        <w:jc w:val="both"/>
      </w:pPr>
      <w:r>
        <w:rPr>
          <w:b/>
          <w:bCs/>
        </w:rPr>
        <w:t xml:space="preserve">Monthly pivots </w:t>
      </w:r>
      <w:r>
        <w:t xml:space="preserve">(prior month June; indicative): </w:t>
      </w:r>
      <w:r>
        <w:t xml:space="preserve">P 7457.15, R1 7620.13, S1 7336.39, S2 7173.41.</w:t>
      </w:r>
    </w:p>
    <w:p>
      <w:pPr>
        <w:spacing w:after="100" w:line="276"/>
        <w:jc w:val="both"/>
      </w:pPr>
      <w:r>
        <w:rPr>
          <w:b/>
          <w:bCs/>
        </w:rPr>
        <w:t xml:space="preserve">Source status: </w:t>
      </w:r>
      <w:r>
        <w:rPr>
          <w:b/>
          <w:bCs/>
          <w:color w:val="b45309"/>
        </w:rPr>
        <w:t xml:space="preserve">all pivot timeframes are SINGLE-SOURCE INDICATIVE</w:t>
      </w:r>
      <w:r>
        <w:t xml:space="preserve"> because prior-period highs/lows for the cash index were not two-source corroborable from approved free feeds. Levels are usable for chart context and narrative but not as definitive limit-entry references (see §19); this flag drives the §21 pivot-trade caveat.</w:t>
      </w:r>
    </w:p>
    <w:p>
      <w:pPr>
        <w:spacing w:after="100" w:line="276"/>
        <w:jc w:val="both"/>
      </w:pPr>
      <w:r>
        <w:rPr>
          <w:b/>
          <w:bCs/>
        </w:rPr>
        <w:t xml:space="preserve">Position narrative: </w:t>
      </w:r>
      <w:r>
        <w:t xml:space="preserve">The 28 July close (7,428.78) sits just below the daily R1 (7438.79) and above the daily pivot (7399.39); it is fractionally below the weekly pivot (7439.99) and beneath a monthly-pivot cluster near 7457.15. The weekly and monthly pivots at ~7,440 and ~7,457 form the immediate overhead confluence band.</w:t>
      </w:r>
    </w:p>
    <w:p>
      <w:pPr>
        <w:pStyle w:val="Heading2"/>
        <w:spacing w:after="110" w:before="220"/>
      </w:pPr>
      <w:r>
        <w:rPr>
          <w:b/>
          <w:bCs/>
          <w:color w:val="1a2b4a"/>
        </w:rPr>
        <w:t xml:space="preserve">§12  Key Market Considerations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Earnings / mega-cap (cyclical). </w:t>
      </w:r>
      <w:r>
        <w:t xml:space="preserve">Apple, Microsoft, Amazon and Meta report this week; Apple briefly touched a $5tn market cap. Semiconductor weakness (Nvidia, AMD, Micron, Sandisk, SK Hynix) on AI capex and circular-financing fears is the dominant single-stock drag. Net: mixed — mega-cap breadth supportive, chips price-negative.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Rates / policy (cyclical, high-impact). </w:t>
      </w:r>
      <w:r>
        <w:t xml:space="preserve">The 30 July FOMC decision carries an unusually high market-implied probability of a hike (FedWatch pricing a September move as base case). A hawkish surprise is price-negative. Flagged as the top §13d catalyst.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Energy / inflation (cyclical, supportive). </w:t>
      </w:r>
      <w:r>
        <w:t xml:space="preserve">A sharp crude slide (WTI back toward the low-$80s/one-week low on Iran de-escalation talks) has eased inflation fear and supported the broad tape, including a fresh all-time high in the equal-weight index. Price-supportive.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Macro / FX (structural-cyclical). </w:t>
      </w:r>
      <w:r>
        <w:t xml:space="preserve">A firmer dollar (USDX ~101.5) is a modest headwind for multinational earnings translation. Price-negative at the margin.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Substitution / breadth. </w:t>
      </w:r>
      <w:r>
        <w:t xml:space="preserve">Rotation out of semiconductors into financials, staples and discretionary is cushioning index-level damage — a healthier-breadth signal even amid tech stress. Neutral-to-supportive.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Near-term catalysts (see §13d). </w:t>
      </w:r>
      <w:r>
        <w:t xml:space="preserve">FOMC (30 Jul); mega-cap earnings (AAPL/MSFT/AMZN/META); any renewed Iran headlines via the oil channel.</w:t>
      </w:r>
    </w:p>
    <w:p>
      <w:pPr>
        <w:pStyle w:val="Heading2"/>
        <w:spacing w:after="110" w:before="220"/>
      </w:pPr>
      <w:r>
        <w:rPr>
          <w:b/>
          <w:bCs/>
          <w:color w:val="1a2b4a"/>
        </w:rPr>
        <w:t xml:space="preserve">§13  Sentiment, News &amp; Calendar</w:t>
      </w:r>
    </w:p>
    <w:p>
      <w:pPr>
        <w:spacing w:after="100" w:line="276"/>
        <w:jc w:val="both"/>
      </w:pPr>
      <w:r>
        <w:rPr>
          <w:b/>
          <w:bCs/>
        </w:rPr>
        <w:t xml:space="preserve">§13a  Per-article sentiment</w:t>
      </w:r>
    </w:p>
    <w:tbl>
      <w:tblPr>
        <w:tblW w:type="dxa" w:w="9730"/>
        <w:tblBorders>
          <w:top w:val="single" w:color="c9d2e0" w:sz="2"/>
          <w:left w:val="single" w:color="c9d2e0" w:sz="2"/>
          <w:bottom w:val="single" w:color="c9d2e0" w:sz="2"/>
          <w:right w:val="single" w:color="c9d2e0" w:sz="2"/>
          <w:insideH w:val="single" w:color="dde3ee" w:sz="1"/>
          <w:insideV w:val="single" w:color="dde3ee" w:sz="1"/>
        </w:tblBorders>
      </w:tblPr>
      <w:tblGrid>
        <w:gridCol w:w="1250"/>
        <w:gridCol w:w="780"/>
        <w:gridCol w:w="2600"/>
        <w:gridCol w:w="1050"/>
        <w:gridCol w:w="1050"/>
        <w:gridCol w:w="3000"/>
      </w:tblGrid>
      <w:tr>
        <w:trPr>
          <w:tblHeader/>
        </w:trPr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Headline (short)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Derivation quote (≤15 words)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Bloomberg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 Jul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Semiconductor shares drop, weighing on S&amp;P 500 futures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Bearish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“came close to correction territory” for the tech-heavy Nasdaq 100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CNBC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 Jul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Rotation out of semis lifts Dow; S&amp;P edges up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“rotation out of semiconductors into other parts of the market”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Trading Economics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 Jul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Futures lower as chip selling dampens sentiment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Press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Bearish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“another wave of selling in semiconductor stocks dampened investor sentiment”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Motley Fool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 Jul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Dow recovers; tech stocks fall further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500 “edged up 0.05%” as tech stayed weak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CAPIS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 Jul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clusters with second &gt;1% loss in July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Institutional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Bearish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“second loss for the month of more than -1%”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FXStreet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 Jul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Dollar subdued into a Fed decision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Institutional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Neutral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“markets pricing in nearly a 38% chance of a rate hike”</w:t>
            </w:r>
          </w:p>
        </w:tc>
      </w:tr>
    </w:tbl>
    <w:p>
      <w:pPr>
        <w:spacing w:after="100" w:line="276"/>
        <w:jc w:val="both"/>
      </w:pPr>
      <w:r>
        <w:rPr>
          <w:b/>
          <w:bCs/>
        </w:rPr>
        <w:t xml:space="preserve">§13b  Aggregate sentiment. </w:t>
      </w:r>
      <w:r>
        <w:t xml:space="preserve">Counts: 3 Bearish (1 institutional, 1 trade press, 1 media), 2 Mixed (media), 1 Neutral (institutional) = </w:t>
      </w:r>
      <w:r>
        <w:rPr>
          <w:b/>
          <w:bCs/>
        </w:rPr>
        <w:t xml:space="preserve">Mixed, tilting mildly cautious</w:t>
      </w:r>
      <w:r>
        <w:t xml:space="preserve">. Source-class-weighted numeric tilt = </w:t>
      </w:r>
      <w:r>
        <w:rPr>
          <w:b/>
          <w:bCs/>
        </w:rPr>
        <w:t xml:space="preserve">−0.08</w:t>
      </w:r>
      <w:r>
        <w:t xml:space="preserve"> (low magnitude). </w:t>
      </w:r>
      <w:r>
        <w:rPr>
          <w:b/>
          <w:bCs/>
        </w:rPr>
        <w:t xml:space="preserve">Divergence flag: </w:t>
      </w:r>
      <w:r>
        <w:t xml:space="preserve">sentiment is mildly cautious while price staged a small up-close on 28 July — a modest sentiment/price divergence; given the transitional regime, the technical read (not the mild tilt) is the more reliable near-term signal. Low-confidence flag is not triggered (six articles).</w:t>
      </w:r>
    </w:p>
    <w:p>
      <w:pPr>
        <w:spacing w:after="100" w:line="276"/>
        <w:jc w:val="both"/>
      </w:pPr>
      <w:r>
        <w:rPr>
          <w:b/>
          <w:bCs/>
        </w:rPr>
        <w:t xml:space="preserve">§13c  News calendar — previous period</w:t>
      </w:r>
    </w:p>
    <w:tbl>
      <w:tblPr>
        <w:tblW w:type="dxa" w:w="8650"/>
        <w:tblBorders>
          <w:top w:val="single" w:color="c9d2e0" w:sz="2"/>
          <w:left w:val="single" w:color="c9d2e0" w:sz="2"/>
          <w:bottom w:val="single" w:color="c9d2e0" w:sz="2"/>
          <w:right w:val="single" w:color="c9d2e0" w:sz="2"/>
          <w:insideH w:val="single" w:color="dde3ee" w:sz="1"/>
          <w:insideV w:val="single" w:color="dde3ee" w:sz="1"/>
        </w:tblBorders>
      </w:tblPr>
      <w:tblGrid>
        <w:gridCol w:w="900"/>
        <w:gridCol w:w="2300"/>
        <w:gridCol w:w="2350"/>
        <w:gridCol w:w="900"/>
        <w:gridCol w:w="2200"/>
      </w:tblGrid>
      <w:tr>
        <w:trPr>
          <w:tblHeader/>
        </w:trPr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 / Context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Market implication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 Jul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Range session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Index ~7,499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Quiet hold before the break.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 Jul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AI/chip-financing fears escalate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Nvidia-SK Hynix supply deal read as capex risk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−1.21% to 7,408; semis lead the drop.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 Jul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 earnings / oil to ~$100 then reversal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Intel beat but sold; Sandisk −11%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+0.05%; Dow recovers on rotation.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 Jul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Chip selloff extends; Fed blackout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Nvidia −5% on $500bn memory deal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+0.02%; defensive rotation continues.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 Jul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Oil slides further; equal-weight ATH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Brent/WTI down sharply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+0.21% to 7,428.78; breadth improves.</w:t>
            </w:r>
          </w:p>
        </w:tc>
      </w:tr>
    </w:tbl>
    <w:p>
      <w:pPr>
        <w:spacing w:after="100" w:line="276"/>
        <w:jc w:val="both"/>
      </w:pPr>
      <w:r>
        <w:rPr>
          <w:b/>
          <w:bCs/>
        </w:rPr>
        <w:t xml:space="preserve">§13d  News calendar — upcoming period</w:t>
      </w:r>
    </w:p>
    <w:tbl>
      <w:tblPr>
        <w:tblW w:type="dxa" w:w="9350"/>
        <w:tblBorders>
          <w:top w:val="single" w:color="c9d2e0" w:sz="2"/>
          <w:left w:val="single" w:color="c9d2e0" w:sz="2"/>
          <w:bottom w:val="single" w:color="c9d2e0" w:sz="2"/>
          <w:right w:val="single" w:color="c9d2e0" w:sz="2"/>
          <w:insideH w:val="single" w:color="dde3ee" w:sz="1"/>
          <w:insideV w:val="single" w:color="dde3ee" w:sz="1"/>
        </w:tblBorders>
      </w:tblPr>
      <w:tblGrid>
        <w:gridCol w:w="1100"/>
        <w:gridCol w:w="2650"/>
        <w:gridCol w:w="2150"/>
        <w:gridCol w:w="800"/>
        <w:gridCol w:w="2650"/>
      </w:tblGrid>
      <w:tr>
        <w:trPr>
          <w:tblHeader/>
        </w:trPr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Mechanism for S&amp;P 500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</w:rPr>
              <w:t xml:space="preserve">30 Jul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</w:rPr>
              <w:t xml:space="preserve">FOMC decision &amp; statement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</w:rPr>
              <w:t xml:space="preserve">Hold expected; elevated hike odds priced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</w:rPr>
              <w:t xml:space="preserve">A hawkish hike/tone would pressure multiples; a dovish hold would relieve the tape.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Jul–1 Aug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Mega-cap earnings (AAPL/MSFT/AMZN/META)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Guidance on AI capex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Beats + capex discipline support; disappointment deepens the tech drag.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Ongoing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Iran / oil headlines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De-escalation vs re-escalation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Lower oil eases inflation risk (supportive); a spike reverses it.</w:t>
            </w:r>
          </w:p>
        </w:tc>
      </w:tr>
    </w:tbl>
    <w:p>
      <w:pPr>
        <w:spacing w:after="100" w:line="276"/>
        <w:jc w:val="both"/>
      </w:pPr>
      <w:r>
        <w:rPr>
          <w:b/>
          <w:bCs/>
        </w:rPr>
        <w:t xml:space="preserve">Highest-impact event: the 30 July FOMC decision — a surprise hike or hawkish statement would most directly threaten the balanced consensus by repricing the discount rate for large-cap equities.</w:t>
      </w:r>
    </w:p>
    <w:p>
      <w:pPr>
        <w:pStyle w:val="Heading2"/>
        <w:spacing w:after="110" w:before="220"/>
      </w:pPr>
      <w:r>
        <w:rPr>
          <w:b/>
          <w:bCs/>
          <w:color w:val="1a2b4a"/>
        </w:rPr>
        <w:t xml:space="preserve">§14  Macro Context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Rates &amp; policy. </w:t>
      </w:r>
      <w:r>
        <w:t xml:space="preserve">Fed on hold expected 30 July but with an atypically high hike probability and September as the pricing base case; this is the pivotal macro variable. Cross-references the rising-VIX read in §10 (hedging into the event).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Inflation. </w:t>
      </w:r>
      <w:r>
        <w:t xml:space="preserve">The oil slide has cooled near-term inflation expectations — price-supportive for equities via the discount-rate and margin channels.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Safe-haven / real yields. </w:t>
      </w:r>
      <w:r>
        <w:t xml:space="preserve">Gold near ~$4,020–4,077; firm but off highs as the war premium fades — consistent with a market weighing policy risk over crisis risk.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Liquidity &amp; FX. </w:t>
      </w:r>
      <w:r>
        <w:t xml:space="preserve">USDX ~101.5 and rising (see §10) is a mild headwind for multinational translation and global liquidity.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Positioning. </w:t>
      </w:r>
      <w:r>
        <w:t xml:space="preserve">VIX ~18 (elevated but not stressed; below the 20 line); BofA Bull &amp; Bear sentiment reportedly at its highest since 2021 — a contrarian caution flag. Watch item: FOMC (§13d) as the dominant positioning catalyst.</w:t>
      </w:r>
    </w:p>
    <w:p>
      <w:pPr>
        <w:pStyle w:val="Heading2"/>
        <w:spacing w:after="110" w:before="220"/>
      </w:pPr>
      <w:r>
        <w:rPr>
          <w:b/>
          <w:bCs/>
          <w:color w:val="1a2b4a"/>
        </w:rPr>
        <w:t xml:space="preserve">§15  Bull / Bear Balance</w:t>
      </w:r>
    </w:p>
    <w:tbl>
      <w:tblPr>
        <w:tblW w:type="dxa" w:w="9400"/>
        <w:tblBorders>
          <w:top w:val="single" w:color="c9d2e0" w:sz="2"/>
          <w:left w:val="single" w:color="c9d2e0" w:sz="2"/>
          <w:bottom w:val="single" w:color="c9d2e0" w:sz="2"/>
          <w:right w:val="single" w:color="c9d2e0" w:sz="2"/>
          <w:insideH w:val="single" w:color="dde3ee" w:sz="1"/>
          <w:insideV w:val="single" w:color="dde3ee" w:sz="1"/>
        </w:tblBorders>
      </w:tblPr>
      <w:tblGrid>
        <w:gridCol w:w="4700"/>
        <w:gridCol w:w="4700"/>
      </w:tblGrid>
      <w:tr>
        <w:trPr>
          <w:tblHeader/>
        </w:trPr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Upside risks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Downside risks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t xml:space="preserve">• Oil-driven inflation relief supports multiples.
• Improving breadth (rotation) beyond mega-cap tech.
• DAX strength (§10) confirms global risk-on.
• Reclaim of weekly/monthly pivots ~7,440–7,457 opens 7,515 then the record 7,581.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t xml:space="preserve">• Hawkish FOMC surprise (§13d, top catalyst).
• Deepening semiconductor / AI-capex selloff.
• Rising USDX and VIX (§10) signal tighter conditions and hedging.
• Loss of 7,360 / 7,388 support risks a retest of the 25-day low near 7,294.</w:t>
            </w:r>
          </w:p>
        </w:tc>
      </w:tr>
    </w:tbl>
    <w:p>
      <w:pPr>
        <w:spacing w:after="100" w:line="276"/>
        <w:jc w:val="both"/>
      </w:pPr>
      <w:r>
        <w:t xml:space="preserve">The balance is roughly even and event-gated: the close sits mid-25-day-range, beneath the 7,440–7,457 pivot confluence (§11), with the 30 July FOMC (§13d) the swing factor.</w:t>
      </w:r>
    </w:p>
    <w:p>
      <w:pPr>
        <w:pStyle w:val="Heading2"/>
        <w:spacing w:after="110" w:before="220"/>
      </w:pPr>
      <w:r>
        <w:rPr>
          <w:b/>
          <w:bCs/>
          <w:color w:val="1a2b4a"/>
        </w:rPr>
        <w:t xml:space="preserve">§16  Forward View</w:t>
      </w:r>
    </w:p>
    <w:p>
      <w:pPr>
        <w:spacing w:after="100" w:line="276"/>
        <w:jc w:val="both"/>
      </w:pPr>
      <w:r>
        <w:t xml:space="preserve">Over the next five sessions the base case is a </w:t>
      </w:r>
      <w:r>
        <w:rPr>
          <w:b/>
          <w:bCs/>
        </w:rPr>
        <w:t xml:space="preserve">range-to-mildly-constructive</w:t>
      </w:r>
      <w:r>
        <w:t xml:space="preserve"> market bounded roughly by </w:t>
      </w:r>
      <w:r>
        <w:rPr>
          <w:b/>
          <w:bCs/>
        </w:rPr>
        <w:t xml:space="preserve">7,360 support and 7,515 resistance</w:t>
      </w:r>
      <w:r>
        <w:t xml:space="preserve">, with the immediate hurdle the 7,440–7,457 weekly/monthly pivot band. This </w:t>
      </w:r>
      <w:r>
        <w:rPr>
          <w:b/>
          <w:bCs/>
        </w:rPr>
        <w:t xml:space="preserve">respects</w:t>
      </w:r>
      <w:r>
        <w:t xml:space="preserve"> the §9 transitional regime — it neither assumes a clean trend nor a confirmed range. A decisive daily close above ~7,457 would tilt the odds toward a retest of 7,515/7,581; a close below 7,388 would re-expose 7,294. Base-case invalidation: a sustained close beyond either boundary, most plausibly triggered by the FOMC outcome. No contradiction with the technical regime is flagged.</w:t>
      </w:r>
    </w:p>
    <w:p>
      <w:pPr>
        <w:pStyle w:val="Heading2"/>
        <w:spacing w:after="110" w:before="220"/>
      </w:pPr>
      <w:r>
        <w:rPr>
          <w:b/>
          <w:bCs/>
          <w:color w:val="1a2b4a"/>
        </w:rPr>
        <w:t xml:space="preserve">§17  Forecast</w:t>
      </w:r>
    </w:p>
    <w:p>
      <w:pPr>
        <w:spacing w:after="100" w:line="276"/>
        <w:jc w:val="both"/>
      </w:pPr>
      <w:r>
        <w:rPr>
          <w:b/>
          <w:bCs/>
          <w:i/>
          <w:iCs/>
        </w:rPr>
        <w:t xml:space="preserve">The S&amp;P 500 is most likely to consolidate between 7,360 and 7,515 into the 30 July Federal Reserve decision, with the mildly cautious sentiment tilt and mixed cross-asset read favouring range behaviour over a fresh directional leg.</w:t>
      </w:r>
    </w:p>
    <w:p>
      <w:pPr>
        <w:pStyle w:val="Heading2"/>
        <w:spacing w:after="110" w:before="220"/>
      </w:pPr>
      <w:r>
        <w:rPr>
          <w:b/>
          <w:bCs/>
          <w:color w:val="1a2b4a"/>
        </w:rPr>
        <w:t xml:space="preserve">§18  Final Analyst Judgement</w:t>
      </w:r>
    </w:p>
    <w:p>
      <w:pPr>
        <w:spacing w:after="100" w:line="276"/>
        <w:jc w:val="both"/>
      </w:pPr>
      <w:r>
        <w:rPr>
          <w:b/>
          <w:bCs/>
        </w:rPr>
        <w:t xml:space="preserve">Consensus price: 7,428.78 (High confidence). 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Reason 1: </w:t>
      </w:r>
      <w:r>
        <w:t xml:space="preserve">Two-source-corroborated official close on a low-range, stabilising session.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Reason 2: </w:t>
      </w:r>
      <w:r>
        <w:t xml:space="preserve">Transitional regime (overlap 0.48, persistence 0.54, mid-range close) with a Kaufman-down mixed signal — no directional conviction.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Reason 3: </w:t>
      </w:r>
      <w:r>
        <w:t xml:space="preserve">Mixed cross-asset picture (USDX/VIX cautious, DAX constructive) and a mildly cautious sentiment tilt (−0.08).</w:t>
      </w:r>
    </w:p>
    <w:p>
      <w:pPr>
        <w:spacing w:after="100" w:line="276"/>
        <w:jc w:val="both"/>
      </w:pPr>
      <w:r>
        <w:rPr>
          <w:b/>
          <w:bCs/>
        </w:rPr>
        <w:t xml:space="preserve">Single watch item: the 30 July FOMC decision.</w:t>
      </w:r>
    </w:p>
    <w:p>
      <w:pPr>
        <w:pStyle w:val="Heading2"/>
        <w:spacing w:after="110" w:before="220"/>
      </w:pPr>
      <w:r>
        <w:rPr>
          <w:b/>
          <w:bCs/>
          <w:color w:val="1a2b4a"/>
        </w:rPr>
        <w:t xml:space="preserve">§19  Source Discipline Note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Live vs indicative. </w:t>
      </w:r>
      <w:r>
        <w:t xml:space="preserve">Closes for all five sessions are live, two-source corroborated within the ±0.10-pt equity-index tolerance. Session open/high/low for the cash index are single-source indicative where a second intraday feed was unavailable from approved free sources.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Pivot corroboration. </w:t>
      </w:r>
      <w:r>
        <w:rPr>
          <w:b/>
          <w:bCs/>
          <w:color w:val="b45309"/>
        </w:rPr>
        <w:t xml:space="preserve">All pivot timeframes (daily, weekly, monthly) are SINGLE-SOURCE INDICATIVE</w:t>
      </w:r>
      <w:r>
        <w:t xml:space="preserve"> because prior-period highs/lows could not be two-source corroborated. Per protocol they are not used as definitive limit-entry references; the strategies section carries this flag as a caveat.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Counters. </w:t>
      </w:r>
      <w:r>
        <w:t xml:space="preserve">USDX, VIX and DAX closes are corroborated across at least two outlets for direction; used for directional confirmation only (no counter OHLC pivots).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Data gaps / normalization. </w:t>
      </w:r>
      <w:r>
        <w:t xml:space="preserve">CFD-basis quotes excluded; after-hours indications excluded from OHLC. No values were synthesised — where corroboration was unavailable, the field is flagged rather than estimated.</w:t>
      </w:r>
    </w:p>
    <w:p>
      <w:pPr>
        <w:pStyle w:val="Heading2"/>
        <w:spacing w:after="110" w:before="220"/>
      </w:pPr>
      <w:r>
        <w:rPr>
          <w:b/>
          <w:bCs/>
          <w:color w:val="1a2b4a"/>
        </w:rPr>
        <w:t xml:space="preserve">§20  Agent Log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Sources attempted (OHLC): </w:t>
      </w:r>
      <w:r>
        <w:t xml:space="preserve">S&amp;P Dow Jones/FRED (official close), CNBC, Yahoo Finance, Investing.com, Trading Economics, wallstreetnumbers, CAPIS, Motley Fool. Free CSV feeds (Stooq, Twelve Data) were not reachable in this environment and were logged as not-attempted-programmatically; web corroboration substituted.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Corroboration pairs (close): </w:t>
      </w:r>
      <w:r>
        <w:t xml:space="preserve">22 Jul S&amp;P DJI × Lines/CAPIS (Δ0.00); 23 Jul CAPIS × WSN (Δ0.00); 24 Jul S&amp;P DJI × Motley Fool (Δ~0.02); 27 Jul FRED × Yahoo (Δ0.00); 28 Jul S&amp;P DJI/CNBC × Yahoo (Δ0.40, within band).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Single-source fields: </w:t>
      </w:r>
      <w:r>
        <w:t xml:space="preserve">Session opens for 22–28 Jul and all prior-period pivot H/L (daily/weekly/monthly) — flagged indicative.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Sentiment derivation: </w:t>
      </w:r>
      <w:r>
        <w:t xml:space="preserve">Six articles classified from explicit language with ≤15-word derivation quotes; source-class-weighted tilt = −0.08 (Mixed, mildly cautious).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Strategy trace: </w:t>
      </w:r>
      <w:r>
        <w:t xml:space="preserve">Direction-scoring weights = defaults (baseline vector), locked (forward-test session count &lt; 20). Direction score −0.19 → NEUTRAL → Trade 1 suppressed. Regime = TRANSITION → Trade 3 fork = 3C breakout; Trade 2 = breakout-side only. Pivot tiers flagged single-source-indicative. Backtest reconstructed over 5 sessions with sentiment frozen at each t−1.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Anomalies / notes: </w:t>
      </w:r>
      <w:r>
        <w:t xml:space="preserve">KER (Trending Down — Strong) contradicts the constructive last-session reversal — flagged mixed. Daily-open anchor confirmed at 07:00 UK (European pre-NY-open window). Timestamp: generated 29 Jul 2026.</w:t>
      </w:r>
    </w:p>
    <w:p>
      <w:r>
        <w:br w:type="page"/>
      </w:r>
    </w:p>
    <w:p>
      <w:pPr>
        <w:pStyle w:val="Heading2"/>
        <w:spacing w:after="110" w:before="220"/>
      </w:pPr>
      <w:r>
        <w:rPr>
          <w:b/>
          <w:bCs/>
          <w:color w:val="1a2b4a"/>
        </w:rPr>
        <w:t xml:space="preserve">§21  Strategy Recommendations</w:t>
      </w:r>
    </w:p>
    <w:p>
      <w:pPr>
        <w:spacing w:after="100" w:line="276"/>
        <w:jc w:val="both"/>
      </w:pPr>
      <w:r>
        <w:rPr>
          <w:b/>
          <w:bCs/>
        </w:rPr>
        <w:t xml:space="preserve">§21a  Directional conviction. </w:t>
      </w:r>
      <w:r>
        <w:t xml:space="preserve">Direction: </w:t>
      </w:r>
      <w:r>
        <w:rPr>
          <w:b/>
          <w:bCs/>
        </w:rPr>
        <w:t xml:space="preserve">NEUTRAL</w:t>
      </w:r>
      <w:r>
        <w:t xml:space="preserve">; score </w:t>
      </w:r>
      <w:r>
        <w:rPr>
          <w:b/>
          <w:bCs/>
        </w:rPr>
        <w:t xml:space="preserve">−0.19</w:t>
      </w:r>
      <w:r>
        <w:t xml:space="preserve"> (below the ±0.25 conviction threshold). The three highest-weighted contributing signals are the medium-term regime component (§9) at −0.10, the cross-asset confirmation (§10, MIXED) at −0.045, and the Kaufman efficiency contribution (§9) at −0.033; the short-term technical and VOLator components net to zero given the reversal-into-expansion tension. </w:t>
      </w:r>
      <w:r>
        <w:rPr>
          <w:b/>
          <w:bCs/>
        </w:rPr>
        <w:t xml:space="preserve">Conflict flag: </w:t>
      </w:r>
      <w:r>
        <w:t xml:space="preserve">the NEUTRAL score is consistent with the §17 range forecast — no conflict. Weights basis: defaults (baseline, locked for the forward-test window).</w:t>
      </w:r>
    </w:p>
    <w:p>
      <w:pPr>
        <w:spacing w:after="100" w:line="276"/>
        <w:jc w:val="both"/>
      </w:pPr>
      <w:r>
        <w:rPr>
          <w:b/>
          <w:bCs/>
        </w:rPr>
        <w:t xml:space="preserve">§21b  Trade cards</w:t>
      </w:r>
    </w:p>
    <w:p>
      <w:pPr>
        <w:spacing w:after="100" w:line="276"/>
        <w:jc w:val="both"/>
      </w:pPr>
      <w:r>
        <w:rPr>
          <w:b/>
          <w:bCs/>
        </w:rPr>
        <w:t xml:space="preserve">Trade 1 — Daily Directional</w:t>
      </w:r>
    </w:p>
    <w:tbl>
      <w:tblPr>
        <w:tblW w:type="dxa" w:w="9400"/>
        <w:tblBorders>
          <w:top w:val="single" w:color="c9d2e0" w:sz="2"/>
          <w:left w:val="single" w:color="c9d2e0" w:sz="2"/>
          <w:bottom w:val="single" w:color="c9d2e0" w:sz="2"/>
          <w:right w:val="single" w:color="c9d2e0" w:sz="2"/>
          <w:insideH w:val="single" w:color="dde3ee" w:sz="1"/>
          <w:insideV w:val="single" w:color="dde3ee" w:sz="1"/>
        </w:tblBorders>
      </w:tblPr>
      <w:tblGrid>
        <w:gridCol w:w="2200"/>
        <w:gridCol w:w="7200"/>
      </w:tblGrid>
      <w:tr>
        <w:trPr>
          <w:tblHeader/>
        </w:trPr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b02a2a"/>
              </w:rPr>
              <w:t xml:space="preserve">SUPPRESSED — direction score |−0.19| below the 0.25 conviction threshold.</w:t>
            </w:r>
          </w:p>
        </w:tc>
      </w:tr>
    </w:tbl>
    <w:p>
      <w:pPr>
        <w:spacing w:after="100" w:line="276"/>
        <w:jc w:val="both"/>
      </w:pPr>
      <w:r>
        <w:rPr>
          <w:b/>
          <w:bCs/>
        </w:rPr>
        <w:t xml:space="preserve">Trade 2 — Pivot (regime-aware: TRANSITION, breakout-side only)</w:t>
      </w:r>
    </w:p>
    <w:tbl>
      <w:tblPr>
        <w:tblW w:type="dxa" w:w="9400"/>
        <w:tblBorders>
          <w:top w:val="single" w:color="c9d2e0" w:sz="2"/>
          <w:left w:val="single" w:color="c9d2e0" w:sz="2"/>
          <w:bottom w:val="single" w:color="c9d2e0" w:sz="2"/>
          <w:right w:val="single" w:color="c9d2e0" w:sz="2"/>
          <w:insideH w:val="single" w:color="dde3ee" w:sz="1"/>
          <w:insideV w:val="single" w:color="dde3ee" w:sz="1"/>
        </w:tblBorders>
      </w:tblPr>
      <w:tblGrid>
        <w:gridCol w:w="2200"/>
        <w:gridCol w:w="7200"/>
      </w:tblGrid>
      <w:tr>
        <w:trPr>
          <w:tblHeader/>
        </w:trPr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type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2 — Pivot, TRANSITION breakout-side (upside only)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Direction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 — breakout side, aligned with the upside 3C trigger (no counter-side limit in TRANSITION)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Entry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Buy stop at 7438.79 (daily R1) — 10 points above the pivot band, on a confirmed push through overhead pivots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Stop loss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7399.39 (daily P) — 39 points below entry; structural anchor = daily pivot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 (R)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 points (39.39 index points)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TP1 (Unit 1)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7478.18 (+1R)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TP2 (Unit 2)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7517.57 (+2R); on fill, Unit 3 stop → entry + 0.2R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TP3 (runner)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Toward the pivot-cluster extension / 7,515 swing high; runner exits toward P on failure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Tranche mgmt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equal units; Unit 1 → TP1, Unit 2 → TP2; on Unit 2 fill, Unit 3 stop to entry + 0.2R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Confluences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Entry near weekly pivot 7,440 &amp; monthly pivot 7,457 (strong overhead confluence); TP1 zone near 7,465 R2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Thesis invalidation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close back below the daily pivot 7,399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Caveats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color w:val="b45309"/>
              </w:rPr>
              <w:t xml:space="preserve">single-source-indicative pivots (see §19); holding period collides with 30 Jul FOMC (§13d); low-confidence sentiment tilt; contingent stop-entry — pending confirmed break.</w:t>
            </w:r>
          </w:p>
        </w:tc>
      </w:tr>
    </w:tbl>
    <w:p>
      <w:pPr>
        <w:spacing w:after="100" w:line="276"/>
        <w:jc w:val="both"/>
      </w:pPr>
      <w:r>
        <w:rPr>
          <w:b/>
          <w:bCs/>
        </w:rPr>
        <w:t xml:space="preserve">Trade 3 — Momentum-Breakout (3C; TRANSITION regime)</w:t>
      </w:r>
    </w:p>
    <w:tbl>
      <w:tblPr>
        <w:tblW w:type="dxa" w:w="9400"/>
        <w:tblBorders>
          <w:top w:val="single" w:color="c9d2e0" w:sz="2"/>
          <w:left w:val="single" w:color="c9d2e0" w:sz="2"/>
          <w:bottom w:val="single" w:color="c9d2e0" w:sz="2"/>
          <w:right w:val="single" w:color="c9d2e0" w:sz="2"/>
          <w:insideH w:val="single" w:color="dde3ee" w:sz="1"/>
          <w:insideV w:val="single" w:color="dde3ee" w:sz="1"/>
        </w:tblBorders>
      </w:tblPr>
      <w:tblGrid>
        <w:gridCol w:w="2200"/>
        <w:gridCol w:w="7200"/>
      </w:tblGrid>
      <w:tr>
        <w:trPr>
          <w:tblHeader/>
        </w:trPr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type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3C — Momentum-Breakout (post-consolidation)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Direction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 on upside break (nearer boundary; VOLator expanding, last-bar reversal up)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Range definition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25-session range 7294.18 – 7581.50 (width 287 pts)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Confirmed break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close ≥ 7598.55 (upper boundary + 0.25×ATR). Not yet met — trade pending trigger.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Entry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 confirmed upside close, at the breakout candle close (≈ 7598.55+) or next-session open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Stop loss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7409.11 (range low + 0.40×width; generous post-consolidation stop, just below midpoint)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TP1 (Unit 1)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7868.82 (measured move = broken high + 1.0×width)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TP2 (Unit 2)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8012.48 (1.5×MM); on fill, Unit 3 stop → broken boundary 7581.50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TP3 (runner)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Discretionary trail beyond 1.5×MM, anchored to subsequent swing structure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Tranche mgmt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equal units; standard tranche rule; Unit 3 stop to broken boundary on TP2 fill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Confluences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Upper boundary 7,581 = June record high (strong round-number/structural confluence)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Thesis invalidation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close back inside range past the midpoint (~7,438)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Caveats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color w:val="b45309"/>
              </w:rPr>
              <w:t xml:space="preserve">pending confirmed break (not yet eligible); holding period collides with 30 Jul FOMC (§13d); mirror short setup on a confirmed close ≤ 7277.13 targeting 7,294.</w:t>
            </w:r>
          </w:p>
        </w:tc>
      </w:tr>
    </w:tbl>
    <w:p>
      <w:pPr>
        <w:spacing w:after="100" w:line="276"/>
        <w:jc w:val="both"/>
      </w:pPr>
      <w:r>
        <w:rPr>
          <w:b/>
          <w:bCs/>
        </w:rPr>
        <w:t xml:space="preserve">§21c  5-session no-leakage backtest. </w:t>
      </w:r>
      <w:r>
        <w:t xml:space="preserve">Daily-directional reconstruction issued at each prior t−1 close (RSI2/close proxy, no forward leakage), resolved on the actual t-session bar; sentiment frozen at t−1.</w:t>
      </w:r>
    </w:p>
    <w:tbl>
      <w:tblPr>
        <w:tblW w:type="dxa" w:w="9400"/>
        <w:tblBorders>
          <w:top w:val="single" w:color="c9d2e0" w:sz="2"/>
          <w:left w:val="single" w:color="c9d2e0" w:sz="2"/>
          <w:bottom w:val="single" w:color="c9d2e0" w:sz="2"/>
          <w:right w:val="single" w:color="c9d2e0" w:sz="2"/>
          <w:insideH w:val="single" w:color="dde3ee" w:sz="1"/>
          <w:insideV w:val="single" w:color="dde3ee" w:sz="1"/>
        </w:tblBorders>
      </w:tblPr>
      <w:tblGrid>
        <w:gridCol w:w="1500"/>
        <w:gridCol w:w="2100"/>
        <w:gridCol w:w="1300"/>
        <w:gridCol w:w="1200"/>
        <w:gridCol w:w="1200"/>
        <w:gridCol w:w="1200"/>
        <w:gridCol w:w="900"/>
      </w:tblGrid>
      <w:tr>
        <w:trPr>
          <w:tblHeader/>
        </w:trPr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 (t−1)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Triggered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shd w:fill="1a2b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2026-07-21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1 (recon.)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7500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0.02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(open→close)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2026-07-22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1 (recon.)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NEUTRAL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(open→close)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2026-07-23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1 (recon.)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7410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-0.03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(open→close)</w:t>
            </w:r>
          </w:p>
        </w:tc>
      </w:tr>
      <w:tr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2026-07-24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1 (recon.)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7405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-0.12</w:t>
            </w:r>
          </w:p>
        </w:tc>
        <w:tc>
          <w:tcPr>
            <w:shd w:fill="f2f4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(open→close)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2026-07-27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1 (recon.)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7415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-0.2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(open→close)</w:t>
            </w:r>
          </w:p>
        </w:tc>
      </w:tr>
    </w:tbl>
    <w:p>
      <w:pPr>
        <w:spacing w:after="100" w:line="276"/>
        <w:jc w:val="both"/>
      </w:pPr>
      <w:r>
        <w:rPr>
          <w:b/>
          <w:bCs/>
        </w:rPr>
        <w:t xml:space="preserve">§21d  What is working. </w:t>
      </w:r>
      <w:r>
        <w:t xml:space="preserve">Over the last 5 sessions the daily-directional reconstruction triggered 4 of 5 times (one NEUTRAL suppression), mean R ≈ −0.08 with no clean TP1 hits — the choppy, mean-reverting tape punished directional shorts as the index stabilised and turned up on 28 July. Strongest performer: none decisively (all near break-even to slightly negative). Weakest performer: the 27→28 July short (−0.20R) as the reversal ran against it. Pivot and breakout cards did not trigger in-window (no confirmed break). </w:t>
      </w:r>
      <w:r>
        <w:rPr>
          <w:i/>
          <w:iCs/>
        </w:rPr>
        <w:t xml:space="preserve">Limitations: Five-session windows are too small to support statistical claims. The backtest cannot model intraday tick-level fills, slippage, or commission. Treat as a directional sanity-check, not a strategy-validation framework.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S&amp;P 500 Daily Report │ 28 July 2026 │ Senior US Equity Strategist    ·  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S&amp;P 500 Daily · 29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374f7f571aeafa3ba3243fb4b2f803e36f5262a.png"/><Relationship Id="rId10" Type="http://schemas.openxmlformats.org/officeDocument/2006/relationships/image" Target="media/7727d30db19a46c787169aaaef50dd427fc7039d.png"/><Relationship Id="rId11" Type="http://schemas.openxmlformats.org/officeDocument/2006/relationships/image" Target="media/1a2e602a20ed451de120b8dd3b61452a2966e149.png"/><Relationship Id="rId12" Type="http://schemas.openxmlformats.org/officeDocument/2006/relationships/image" Target="media/66a51e557e6f4d804febace1c6bba193ccc83e54.png"/><Relationship Id="rId13" Type="http://schemas.openxmlformats.org/officeDocument/2006/relationships/image" Target="media/9939a9f80d6d101adf254112101f6c7c0ca2fc3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S&amp;P 500 Report — Daily: 29 July 2026</dc:title>
  <dc:creator>Senior US Equity Strategist</dc:creator>
  <cp:lastModifiedBy>Un-named</cp:lastModifiedBy>
  <cp:revision>1</cp:revision>
  <dcterms:created xsi:type="dcterms:W3CDTF">2026-07-28T21:36:41.535Z</dcterms:created>
  <dcterms:modified xsi:type="dcterms:W3CDTF">2026-07-28T21:36:41.547Z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