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3864"/>
          <w:sz w:val="34"/>
          <w:szCs w:val="34"/>
        </w:rPr>
        <w:t xml:space="preserve">S&amp;P 500 Report — Daily: 29 May 2026</w:t>
      </w:r>
    </w:p>
    <w:p>
      <w:pPr>
        <w:spacing w:after="40"/>
      </w:pPr>
      <w:r>
        <w:rPr>
          <w:i/>
          <w:iCs/>
          <w:color w:val="555555"/>
          <w:sz w:val="20"/>
          <w:szCs w:val="20"/>
        </w:rPr>
        <w:t xml:space="preserve">With reference to: USDX · VIX · DAX 40</w:t>
      </w:r>
    </w:p>
    <w:p>
      <w:pPr>
        <w:pBdr>
          <w:bottom w:val="single" w:color="2E75B6" w:sz="6" w:space="2"/>
        </w:pBdr>
        <w:spacing w:after="160"/>
      </w:pPr>
      <w:r>
        <w:rPr>
          <w:sz w:val="6"/>
          <w:szCs w:val="6"/>
        </w:rPr>
        <w:t xml:space="preserve"/>
      </w:r>
    </w:p>
    <w:p>
      <w:pPr>
        <w:pStyle w:val="Heading1"/>
        <w:spacing w:after="120" w:before="240"/>
      </w:pPr>
      <w:r>
        <w:t xml:space="preserve">1 · Executive Snapshot</w:t>
      </w:r>
    </w:p>
    <w:p>
      <w:pPr>
        <w:spacing w:after="120"/>
        <w:jc w:val="both"/>
      </w:pPr>
      <w:r>
        <w:t xml:space="preserve">The S&amp;P 500 cash index closed the prior session (Thu 28 May 2026) at a record </w:t>
      </w:r>
      <w:r>
        <w:rPr>
          <w:b/>
          <w:bCs/>
        </w:rPr>
        <w:t xml:space="preserve">7,564.51</w:t>
      </w:r>
      <w:r>
        <w:t xml:space="preserve"> (+0.59%), the most defensible reference level for the open of the 29 May session; six independent sources place the close within a 0.10-point band. Market tone is </w:t>
      </w:r>
      <w:r>
        <w:rPr>
          <w:b/>
          <w:bCs/>
        </w:rPr>
        <w:t xml:space="preserve">bullish</w:t>
      </w:r>
      <w:r>
        <w:t xml:space="preserve">. Three drivers dominate: (i) a US–Iran 60-day ceasefire memorandum easing the geopolitical risk premium and cooling oil; (ii) renewed AI/software leadership (Micron, Microsoft, Oracle, Palantir) offsetting chip-maker softness; and (iii) a hawkish macro cross-current — PCE inflation at a three-year high with markets pricing roughly even odds of a Fed hike by December. The short-term technical read is </w:t>
      </w:r>
      <w:r>
        <w:rPr>
          <w:b/>
          <w:bCs/>
        </w:rPr>
        <w:t xml:space="preserve">Bullish continuation</w:t>
      </w:r>
      <w:r>
        <w:t xml:space="preserve"> (five-session sequence making successive record closes), while the medium-term regime is </w:t>
      </w:r>
      <w:r>
        <w:rPr>
          <w:b/>
          <w:bCs/>
        </w:rPr>
        <w:t xml:space="preserve">Trending — bullish</w:t>
      </w:r>
      <w:r>
        <w:t xml:space="preserve">. The Kaufman efficiency read classifies the tape as strongly trending. Aggregate news sentiment is Predominantly Bullish (tilt +0.34). The directional model returns LONG (score +0.46, defaults). The single most important watch item is the tension between record-chasing price action and an overbought, late-stage momentum profile colliding with hawkish inflation data — RSI2 is pinned near 99, so the dominant near-term risk is a mean-reversion shakeout rather than a trend break.</w:t>
      </w:r>
    </w:p>
    <w:p>
      <w:pPr>
        <w:pStyle w:val="Heading1"/>
        <w:spacing w:after="120" w:before="240"/>
      </w:pPr>
      <w:r>
        <w:t xml:space="preserve">2 · Market Definition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1F3864" w:val="clear"/>
            <w:tcMar>
              <w:top w:type="dxa" w:w="60"/>
              <w:left w:type="dxa" w:w="90"/>
              <w:bottom w:type="dxa" w:w="60"/>
              <w:right w:type="dxa" w:w="90"/>
            </w:tcMar>
          </w:tcPr>
          <w:p>
            <w:pPr>
              <w:jc w:val="left"/>
            </w:pPr>
            <w:r>
              <w:rPr>
                <w:b/>
                <w:bCs/>
                <w:color w:val="FFFFFF"/>
                <w:sz w:val="18"/>
                <w:szCs w:val="18"/>
              </w:rPr>
              <w:t xml:space="preserve">Field</w:t>
            </w:r>
          </w:p>
        </w:tc>
        <w:tc>
          <w:tcPr>
            <w:tcW w:type="dxa" w:w="6760"/>
            <w:tcBorders>
              <w:top w:val="single" w:color="CCCCCC" w:sz="1"/>
              <w:left w:val="single" w:color="CCCCCC" w:sz="1"/>
              <w:bottom w:val="single" w:color="CCCCCC" w:sz="1"/>
              <w:right w:val="single" w:color="CCCCCC" w:sz="1"/>
            </w:tcBorders>
            <w:shd w:fill="1F3864" w:val="clear"/>
            <w:tcMar>
              <w:top w:type="dxa" w:w="60"/>
              <w:left w:type="dxa" w:w="90"/>
              <w:bottom w:type="dxa" w:w="60"/>
              <w:right w:type="dxa" w:w="90"/>
            </w:tcMar>
          </w:tcPr>
          <w:p>
            <w:pPr>
              <w:jc w:val="left"/>
            </w:pPr>
            <w:r>
              <w:rPr>
                <w:b/>
                <w:bCs/>
                <w:color w:val="FFFFFF"/>
                <w:sz w:val="18"/>
                <w:szCs w:val="18"/>
              </w:rPr>
              <w:t xml:space="preserve">Value</w:t>
            </w:r>
          </w:p>
        </w:tc>
      </w:tr>
      <w:tr>
        <w:tc>
          <w:tcPr>
            <w:tcW w:type="dxa" w:w="260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1a1a1a"/>
                <w:sz w:val="18"/>
                <w:szCs w:val="18"/>
              </w:rPr>
              <w:t xml:space="preserve">Asset</w:t>
            </w:r>
          </w:p>
        </w:tc>
        <w:tc>
          <w:tcPr>
            <w:tcW w:type="dxa" w:w="676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1a1a1a"/>
                <w:sz w:val="18"/>
                <w:szCs w:val="18"/>
              </w:rPr>
              <w:t xml:space="preserve">S&amp;P 500 cash index (large-cap US equity benchmark, 503 constituents)</w:t>
            </w:r>
          </w:p>
        </w:tc>
      </w:tr>
      <w:tr>
        <w:tc>
          <w:tcPr>
            <w:tcW w:type="dxa" w:w="260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1a1a1a"/>
                <w:sz w:val="18"/>
                <w:szCs w:val="18"/>
              </w:rPr>
              <w:t xml:space="preserve">Price basis</w:t>
            </w:r>
          </w:p>
        </w:tc>
        <w:tc>
          <w:tcPr>
            <w:tcW w:type="dxa" w:w="676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1a1a1a"/>
                <w:sz w:val="18"/>
                <w:szCs w:val="18"/>
              </w:rPr>
              <w:t xml:space="preserve">Cash index level (continuous), calculated during NYSE/NASDAQ hours</w:t>
            </w:r>
          </w:p>
        </w:tc>
      </w:tr>
      <w:tr>
        <w:tc>
          <w:tcPr>
            <w:tcW w:type="dxa" w:w="260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1a1a1a"/>
                <w:sz w:val="18"/>
                <w:szCs w:val="18"/>
              </w:rPr>
              <w:t xml:space="preserve">Delivery / session</w:t>
            </w:r>
          </w:p>
        </w:tc>
        <w:tc>
          <w:tcPr>
            <w:tcW w:type="dxa" w:w="676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1a1a1a"/>
                <w:sz w:val="18"/>
                <w:szCs w:val="18"/>
              </w:rPr>
              <w:t xml:space="preserve">Regular cash session 09:30–16:00 ET</w:t>
            </w:r>
          </w:p>
        </w:tc>
      </w:tr>
      <w:tr>
        <w:tc>
          <w:tcPr>
            <w:tcW w:type="dxa" w:w="260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1a1a1a"/>
                <w:sz w:val="18"/>
                <w:szCs w:val="18"/>
              </w:rPr>
              <w:t xml:space="preserve">Unit / currency</w:t>
            </w:r>
          </w:p>
        </w:tc>
        <w:tc>
          <w:tcPr>
            <w:tcW w:type="dxa" w:w="676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1a1a1a"/>
                <w:sz w:val="18"/>
                <w:szCs w:val="18"/>
              </w:rPr>
              <w:t xml:space="preserve">Index points · USD</w:t>
            </w:r>
          </w:p>
        </w:tc>
      </w:tr>
      <w:tr>
        <w:tc>
          <w:tcPr>
            <w:tcW w:type="dxa" w:w="260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1a1a1a"/>
                <w:sz w:val="18"/>
                <w:szCs w:val="18"/>
              </w:rPr>
              <w:t xml:space="preserve">Tick</w:t>
            </w:r>
          </w:p>
        </w:tc>
        <w:tc>
          <w:tcPr>
            <w:tcW w:type="dxa" w:w="676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1a1a1a"/>
                <w:sz w:val="18"/>
                <w:szCs w:val="18"/>
              </w:rPr>
              <w:t xml:space="preserve">0.01 point</w:t>
            </w:r>
          </w:p>
        </w:tc>
      </w:tr>
      <w:tr>
        <w:tc>
          <w:tcPr>
            <w:tcW w:type="dxa" w:w="260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1a1a1a"/>
                <w:sz w:val="18"/>
                <w:szCs w:val="18"/>
              </w:rPr>
              <w:t xml:space="preserve">As-of date</w:t>
            </w:r>
          </w:p>
        </w:tc>
        <w:tc>
          <w:tcPr>
            <w:tcW w:type="dxa" w:w="676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1a1a1a"/>
                <w:sz w:val="18"/>
                <w:szCs w:val="18"/>
              </w:rPr>
              <w:t xml:space="preserve">29 May 2026 (report session); anchored on 28 May 2026 close (America/New_York)</w:t>
            </w:r>
          </w:p>
        </w:tc>
      </w:tr>
      <w:tr>
        <w:tc>
          <w:tcPr>
            <w:tcW w:type="dxa" w:w="260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1a1a1a"/>
                <w:sz w:val="18"/>
                <w:szCs w:val="18"/>
              </w:rPr>
              <w:t xml:space="preserve">Lookback window</w:t>
            </w:r>
          </w:p>
        </w:tc>
        <w:tc>
          <w:tcPr>
            <w:tcW w:type="dxa" w:w="676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1a1a1a"/>
                <w:sz w:val="18"/>
                <w:szCs w:val="18"/>
              </w:rPr>
              <w:t xml:space="preserve">5 trading days (21–28 May 2026; 25 May Memorial Day excluded)</w:t>
            </w:r>
          </w:p>
        </w:tc>
      </w:tr>
      <w:tr>
        <w:tc>
          <w:tcPr>
            <w:tcW w:type="dxa" w:w="260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1a1a1a"/>
                <w:sz w:val="18"/>
                <w:szCs w:val="18"/>
              </w:rPr>
              <w:t xml:space="preserve">Scope</w:t>
            </w:r>
          </w:p>
        </w:tc>
        <w:tc>
          <w:tcPr>
            <w:tcW w:type="dxa" w:w="676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1a1a1a"/>
                <w:sz w:val="18"/>
                <w:szCs w:val="18"/>
              </w:rPr>
              <w:t xml:space="preserve">Global / US headline benchmark</w:t>
            </w:r>
          </w:p>
        </w:tc>
      </w:tr>
    </w:tbl>
    <w:p>
      <w:pPr>
        <w:pStyle w:val="Heading1"/>
        <w:spacing w:after="120" w:before="240"/>
      </w:pPr>
      <w:r>
        <w:t xml:space="preserve">3 · Consensus Price Call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480"/>
        <w:gridCol w:w="1240"/>
        <w:gridCol w:w="124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60"/>
              <w:left w:type="dxa" w:w="90"/>
              <w:bottom w:type="dxa" w:w="60"/>
              <w:right w:type="dxa" w:w="90"/>
            </w:tcMar>
          </w:tcPr>
          <w:p>
            <w:pPr>
              <w:jc w:val="left"/>
            </w:pPr>
            <w:r>
              <w:rPr>
                <w:b/>
                <w:bCs/>
                <w:color w:val="FFFFFF"/>
                <w:sz w:val="18"/>
                <w:szCs w:val="18"/>
              </w:rPr>
              <w:t xml:space="preserve">Consensus level</w:t>
            </w:r>
          </w:p>
        </w:tc>
        <w:tc>
          <w:tcPr>
            <w:tcW w:type="dxa" w:w="2200"/>
            <w:tcBorders>
              <w:top w:val="single" w:color="CCCCCC" w:sz="1"/>
              <w:left w:val="single" w:color="CCCCCC" w:sz="1"/>
              <w:bottom w:val="single" w:color="CCCCCC" w:sz="1"/>
              <w:right w:val="single" w:color="CCCCCC" w:sz="1"/>
            </w:tcBorders>
            <w:shd w:fill="1F3864" w:val="clear"/>
            <w:tcMar>
              <w:top w:type="dxa" w:w="60"/>
              <w:left w:type="dxa" w:w="90"/>
              <w:bottom w:type="dxa" w:w="60"/>
              <w:right w:type="dxa" w:w="90"/>
            </w:tcMar>
          </w:tcPr>
          <w:p>
            <w:pPr>
              <w:jc w:val="left"/>
            </w:pPr>
            <w:r>
              <w:rPr>
                <w:b/>
                <w:bCs/>
                <w:color w:val="FFFFFF"/>
                <w:sz w:val="18"/>
                <w:szCs w:val="18"/>
              </w:rPr>
              <w:t xml:space="preserve">Range</w:t>
            </w:r>
          </w:p>
        </w:tc>
        <w:tc>
          <w:tcPr>
            <w:tcW w:type="dxa" w:w="2480"/>
            <w:tcBorders>
              <w:top w:val="single" w:color="CCCCCC" w:sz="1"/>
              <w:left w:val="single" w:color="CCCCCC" w:sz="1"/>
              <w:bottom w:val="single" w:color="CCCCCC" w:sz="1"/>
              <w:right w:val="single" w:color="CCCCCC" w:sz="1"/>
            </w:tcBorders>
            <w:shd w:fill="1F3864" w:val="clear"/>
            <w:tcMar>
              <w:top w:type="dxa" w:w="60"/>
              <w:left w:type="dxa" w:w="90"/>
              <w:bottom w:type="dxa" w:w="60"/>
              <w:right w:type="dxa" w:w="90"/>
            </w:tcMar>
          </w:tcPr>
          <w:p>
            <w:pPr>
              <w:jc w:val="left"/>
            </w:pPr>
            <w:r>
              <w:rPr>
                <w:b/>
                <w:bCs/>
                <w:color w:val="FFFFFF"/>
                <w:sz w:val="18"/>
                <w:szCs w:val="18"/>
              </w:rPr>
              <w:t xml:space="preserve">Basis</w:t>
            </w:r>
          </w:p>
        </w:tc>
        <w:tc>
          <w:tcPr>
            <w:tcW w:type="dxa" w:w="1240"/>
            <w:tcBorders>
              <w:top w:val="single" w:color="CCCCCC" w:sz="1"/>
              <w:left w:val="single" w:color="CCCCCC" w:sz="1"/>
              <w:bottom w:val="single" w:color="CCCCCC" w:sz="1"/>
              <w:right w:val="single" w:color="CCCCCC" w:sz="1"/>
            </w:tcBorders>
            <w:shd w:fill="1F3864" w:val="clear"/>
            <w:tcMar>
              <w:top w:type="dxa" w:w="60"/>
              <w:left w:type="dxa" w:w="90"/>
              <w:bottom w:type="dxa" w:w="60"/>
              <w:right w:type="dxa" w:w="90"/>
            </w:tcMar>
          </w:tcPr>
          <w:p>
            <w:pPr>
              <w:jc w:val="left"/>
            </w:pPr>
            <w:r>
              <w:rPr>
                <w:b/>
                <w:bCs/>
                <w:color w:val="FFFFFF"/>
                <w:sz w:val="18"/>
                <w:szCs w:val="18"/>
              </w:rPr>
              <w:t xml:space="preserve">Confidence</w:t>
            </w:r>
          </w:p>
        </w:tc>
        <w:tc>
          <w:tcPr>
            <w:tcW w:type="dxa" w:w="1240"/>
            <w:tcBorders>
              <w:top w:val="single" w:color="CCCCCC" w:sz="1"/>
              <w:left w:val="single" w:color="CCCCCC" w:sz="1"/>
              <w:bottom w:val="single" w:color="CCCCCC" w:sz="1"/>
              <w:right w:val="single" w:color="CCCCCC" w:sz="1"/>
            </w:tcBorders>
            <w:shd w:fill="1F3864" w:val="clear"/>
            <w:tcMar>
              <w:top w:type="dxa" w:w="60"/>
              <w:left w:type="dxa" w:w="90"/>
              <w:bottom w:type="dxa" w:w="60"/>
              <w:right w:type="dxa" w:w="90"/>
            </w:tcMar>
          </w:tcPr>
          <w:p>
            <w:pPr>
              <w:jc w:val="left"/>
            </w:pPr>
            <w:r>
              <w:rPr>
                <w:b/>
                <w:bCs/>
                <w:color w:val="FFFFFF"/>
                <w:sz w:val="18"/>
                <w:szCs w:val="18"/>
              </w:rPr>
              <w:t xml:space="preserve">Tone</w:t>
            </w:r>
          </w:p>
        </w:tc>
      </w:tr>
      <w:tr>
        <w:tc>
          <w:tcPr>
            <w:tcW w:type="dxa" w:w="220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bCs/>
                <w:sz w:val="18"/>
                <w:szCs w:val="18"/>
              </w:rPr>
              <w:t xml:space="preserve">7,564.51</w:t>
            </w:r>
          </w:p>
        </w:tc>
        <w:tc>
          <w:tcPr>
            <w:tcW w:type="dxa" w:w="220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1a1a1a"/>
                <w:sz w:val="18"/>
                <w:szCs w:val="18"/>
              </w:rPr>
              <w:t xml:space="preserve">7,519 – 7,569 (last 2 sessions)</w:t>
            </w:r>
          </w:p>
        </w:tc>
        <w:tc>
          <w:tcPr>
            <w:tcW w:type="dxa" w:w="248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1a1a1a"/>
                <w:sz w:val="18"/>
                <w:szCs w:val="18"/>
              </w:rPr>
              <w:t xml:space="preserve">28 May regular-session official close</w:t>
            </w:r>
          </w:p>
        </w:tc>
        <w:tc>
          <w:tcPr>
            <w:tcW w:type="dxa" w:w="124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1a1a1a"/>
                <w:sz w:val="18"/>
                <w:szCs w:val="18"/>
              </w:rPr>
              <w:t xml:space="preserve">High</w:t>
            </w:r>
          </w:p>
        </w:tc>
        <w:tc>
          <w:tcPr>
            <w:tcW w:type="dxa" w:w="124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bCs/>
                <w:color w:val="1E7B34"/>
                <w:sz w:val="18"/>
                <w:szCs w:val="18"/>
              </w:rPr>
              <w:t xml:space="preserve">Bullish</w:t>
            </w:r>
          </w:p>
        </w:tc>
      </w:tr>
    </w:tbl>
    <w:p>
      <w:pPr>
        <w:spacing w:after="120"/>
        <w:jc w:val="both"/>
      </w:pPr>
      <w:r>
        <w:t xml:space="preserve">Rationale: the 28 May close is corroborated to the cent across S&amp;P Dow Jones Indices, FRED, Yahoo Finance, CNBC and Trading Economics, leaving negligible reconciliation uncertainty on the close. The consensus carries forward as the anchor for the 29 May open; the quoted range reflects the latest two sessions’ realised band.</w:t>
      </w:r>
    </w:p>
    <w:p>
      <w:pPr>
        <w:pStyle w:val="Heading1"/>
        <w:spacing w:after="120" w:before="240"/>
      </w:pPr>
      <w:r>
        <w:t xml:space="preserve">4 · Price Evidence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100"/>
        <w:gridCol w:w="1300"/>
        <w:gridCol w:w="1300"/>
        <w:gridCol w:w="1560"/>
        <w:gridCol w:w="1100"/>
        <w:gridCol w:w="100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60"/>
              <w:left w:type="dxa" w:w="90"/>
              <w:bottom w:type="dxa" w:w="60"/>
              <w:right w:type="dxa" w:w="90"/>
            </w:tcMar>
          </w:tcPr>
          <w:p>
            <w:pPr>
              <w:jc w:val="left"/>
            </w:pPr>
            <w:r>
              <w:rPr>
                <w:b/>
                <w:bCs/>
                <w:color w:val="FFFFFF"/>
                <w:sz w:val="18"/>
                <w:szCs w:val="18"/>
              </w:rPr>
              <w:t xml:space="preserve">Source</w:t>
            </w:r>
          </w:p>
        </w:tc>
        <w:tc>
          <w:tcPr>
            <w:tcW w:type="dxa" w:w="1100"/>
            <w:tcBorders>
              <w:top w:val="single" w:color="CCCCCC" w:sz="1"/>
              <w:left w:val="single" w:color="CCCCCC" w:sz="1"/>
              <w:bottom w:val="single" w:color="CCCCCC" w:sz="1"/>
              <w:right w:val="single" w:color="CCCCCC" w:sz="1"/>
            </w:tcBorders>
            <w:shd w:fill="1F3864" w:val="clear"/>
            <w:tcMar>
              <w:top w:type="dxa" w:w="60"/>
              <w:left w:type="dxa" w:w="90"/>
              <w:bottom w:type="dxa" w:w="60"/>
              <w:right w:type="dxa" w:w="90"/>
            </w:tcMar>
          </w:tcPr>
          <w:p>
            <w:pPr>
              <w:jc w:val="left"/>
            </w:pPr>
            <w:r>
              <w:rPr>
                <w:b/>
                <w:bCs/>
                <w:color w:val="FFFFFF"/>
                <w:sz w:val="18"/>
                <w:szCs w:val="18"/>
              </w:rPr>
              <w:t xml:space="preserve">Date</w:t>
            </w:r>
          </w:p>
        </w:tc>
        <w:tc>
          <w:tcPr>
            <w:tcW w:type="dxa" w:w="1300"/>
            <w:tcBorders>
              <w:top w:val="single" w:color="CCCCCC" w:sz="1"/>
              <w:left w:val="single" w:color="CCCCCC" w:sz="1"/>
              <w:bottom w:val="single" w:color="CCCCCC" w:sz="1"/>
              <w:right w:val="single" w:color="CCCCCC" w:sz="1"/>
            </w:tcBorders>
            <w:shd w:fill="1F3864" w:val="clear"/>
            <w:tcMar>
              <w:top w:type="dxa" w:w="60"/>
              <w:left w:type="dxa" w:w="90"/>
              <w:bottom w:type="dxa" w:w="60"/>
              <w:right w:type="dxa" w:w="90"/>
            </w:tcMar>
          </w:tcPr>
          <w:p>
            <w:pPr>
              <w:jc w:val="left"/>
            </w:pPr>
            <w:r>
              <w:rPr>
                <w:b/>
                <w:bCs/>
                <w:color w:val="FFFFFF"/>
                <w:sz w:val="18"/>
                <w:szCs w:val="18"/>
              </w:rPr>
              <w:t xml:space="preserve">Raw quote</w:t>
            </w:r>
          </w:p>
        </w:tc>
        <w:tc>
          <w:tcPr>
            <w:tcW w:type="dxa" w:w="1300"/>
            <w:tcBorders>
              <w:top w:val="single" w:color="CCCCCC" w:sz="1"/>
              <w:left w:val="single" w:color="CCCCCC" w:sz="1"/>
              <w:bottom w:val="single" w:color="CCCCCC" w:sz="1"/>
              <w:right w:val="single" w:color="CCCCCC" w:sz="1"/>
            </w:tcBorders>
            <w:shd w:fill="1F3864" w:val="clear"/>
            <w:tcMar>
              <w:top w:type="dxa" w:w="60"/>
              <w:left w:type="dxa" w:w="90"/>
              <w:bottom w:type="dxa" w:w="60"/>
              <w:right w:type="dxa" w:w="90"/>
            </w:tcMar>
          </w:tcPr>
          <w:p>
            <w:pPr>
              <w:jc w:val="left"/>
            </w:pPr>
            <w:r>
              <w:rPr>
                <w:b/>
                <w:bCs/>
                <w:color w:val="FFFFFF"/>
                <w:sz w:val="18"/>
                <w:szCs w:val="18"/>
              </w:rPr>
              <w:t xml:space="preserve">Normalized</w:t>
            </w:r>
          </w:p>
        </w:tc>
        <w:tc>
          <w:tcPr>
            <w:tcW w:type="dxa" w:w="1560"/>
            <w:tcBorders>
              <w:top w:val="single" w:color="CCCCCC" w:sz="1"/>
              <w:left w:val="single" w:color="CCCCCC" w:sz="1"/>
              <w:bottom w:val="single" w:color="CCCCCC" w:sz="1"/>
              <w:right w:val="single" w:color="CCCCCC" w:sz="1"/>
            </w:tcBorders>
            <w:shd w:fill="1F3864" w:val="clear"/>
            <w:tcMar>
              <w:top w:type="dxa" w:w="60"/>
              <w:left w:type="dxa" w:w="90"/>
              <w:bottom w:type="dxa" w:w="60"/>
              <w:right w:type="dxa" w:w="90"/>
            </w:tcMar>
          </w:tcPr>
          <w:p>
            <w:pPr>
              <w:jc w:val="left"/>
            </w:pPr>
            <w:r>
              <w:rPr>
                <w:b/>
                <w:bCs/>
                <w:color w:val="FFFFFF"/>
                <w:sz w:val="18"/>
                <w:szCs w:val="18"/>
              </w:rPr>
              <w:t xml:space="preserve">Basis / location</w:t>
            </w:r>
          </w:p>
        </w:tc>
        <w:tc>
          <w:tcPr>
            <w:tcW w:type="dxa" w:w="1100"/>
            <w:tcBorders>
              <w:top w:val="single" w:color="CCCCCC" w:sz="1"/>
              <w:left w:val="single" w:color="CCCCCC" w:sz="1"/>
              <w:bottom w:val="single" w:color="CCCCCC" w:sz="1"/>
              <w:right w:val="single" w:color="CCCCCC" w:sz="1"/>
            </w:tcBorders>
            <w:shd w:fill="1F3864" w:val="clear"/>
            <w:tcMar>
              <w:top w:type="dxa" w:w="60"/>
              <w:left w:type="dxa" w:w="90"/>
              <w:bottom w:type="dxa" w:w="60"/>
              <w:right w:type="dxa" w:w="90"/>
            </w:tcMar>
          </w:tcPr>
          <w:p>
            <w:pPr>
              <w:jc w:val="left"/>
            </w:pPr>
            <w:r>
              <w:rPr>
                <w:b/>
                <w:bCs/>
                <w:color w:val="FFFFFF"/>
                <w:sz w:val="18"/>
                <w:szCs w:val="18"/>
              </w:rPr>
              <w:t xml:space="preserve">Class.</w:t>
            </w:r>
          </w:p>
        </w:tc>
        <w:tc>
          <w:tcPr>
            <w:tcW w:type="dxa" w:w="1000"/>
            <w:tcBorders>
              <w:top w:val="single" w:color="CCCCCC" w:sz="1"/>
              <w:left w:val="single" w:color="CCCCCC" w:sz="1"/>
              <w:bottom w:val="single" w:color="CCCCCC" w:sz="1"/>
              <w:right w:val="single" w:color="CCCCCC" w:sz="1"/>
            </w:tcBorders>
            <w:shd w:fill="1F3864" w:val="clear"/>
            <w:tcMar>
              <w:top w:type="dxa" w:w="60"/>
              <w:left w:type="dxa" w:w="90"/>
              <w:bottom w:type="dxa" w:w="60"/>
              <w:right w:type="dxa" w:w="90"/>
            </w:tcMar>
          </w:tcPr>
          <w:p>
            <w:pPr>
              <w:jc w:val="left"/>
            </w:pPr>
            <w:r>
              <w:rPr>
                <w:b/>
                <w:bCs/>
                <w:color w:val="FFFFFF"/>
                <w:sz w:val="18"/>
                <w:szCs w:val="18"/>
              </w:rPr>
              <w:t xml:space="preserve">Notes</w:t>
            </w:r>
          </w:p>
        </w:tc>
      </w:tr>
      <w:tr>
        <w:tc>
          <w:tcPr>
            <w:tcW w:type="dxa" w:w="200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1a1a1a"/>
                <w:sz w:val="18"/>
                <w:szCs w:val="18"/>
              </w:rPr>
              <w:t xml:space="preserve">S&amp;P Dow Jones Indices</w:t>
            </w:r>
          </w:p>
        </w:tc>
        <w:tc>
          <w:tcPr>
            <w:tcW w:type="dxa" w:w="110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1a1a1a"/>
                <w:sz w:val="18"/>
                <w:szCs w:val="18"/>
              </w:rPr>
              <w:t xml:space="preserve">28 May 26</w:t>
            </w:r>
          </w:p>
        </w:tc>
        <w:tc>
          <w:tcPr>
            <w:tcW w:type="dxa" w:w="130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1a1a1a"/>
                <w:sz w:val="18"/>
                <w:szCs w:val="18"/>
              </w:rPr>
              <w:t xml:space="preserve">7,564.51</w:t>
            </w:r>
          </w:p>
        </w:tc>
        <w:tc>
          <w:tcPr>
            <w:tcW w:type="dxa" w:w="130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1a1a1a"/>
                <w:sz w:val="18"/>
                <w:szCs w:val="18"/>
              </w:rPr>
              <w:t xml:space="preserve">7,564.51</w:t>
            </w:r>
          </w:p>
        </w:tc>
        <w:tc>
          <w:tcPr>
            <w:tcW w:type="dxa" w:w="156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1a1a1a"/>
                <w:sz w:val="18"/>
                <w:szCs w:val="18"/>
              </w:rPr>
              <w:t xml:space="preserve">Official index close (NY)</w:t>
            </w:r>
          </w:p>
        </w:tc>
        <w:tc>
          <w:tcPr>
            <w:tcW w:type="dxa" w:w="110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1a1a1a"/>
                <w:sz w:val="18"/>
                <w:szCs w:val="18"/>
              </w:rPr>
              <w:t xml:space="preserve">Core</w:t>
            </w:r>
          </w:p>
        </w:tc>
        <w:tc>
          <w:tcPr>
            <w:tcW w:type="dxa" w:w="100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1a1a1a"/>
                <w:sz w:val="18"/>
                <w:szCs w:val="18"/>
              </w:rPr>
              <w:t xml:space="preserve">Index provider</w:t>
            </w:r>
          </w:p>
        </w:tc>
      </w:tr>
      <w:tr>
        <w:tc>
          <w:tcPr>
            <w:tcW w:type="dxa" w:w="200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1a1a1a"/>
                <w:sz w:val="18"/>
                <w:szCs w:val="18"/>
              </w:rPr>
              <w:t xml:space="preserve">FRED (St. Louis Fed)</w:t>
            </w:r>
          </w:p>
        </w:tc>
        <w:tc>
          <w:tcPr>
            <w:tcW w:type="dxa" w:w="110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1a1a1a"/>
                <w:sz w:val="18"/>
                <w:szCs w:val="18"/>
              </w:rPr>
              <w:t xml:space="preserve">27 May 26</w:t>
            </w:r>
          </w:p>
        </w:tc>
        <w:tc>
          <w:tcPr>
            <w:tcW w:type="dxa" w:w="130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1a1a1a"/>
                <w:sz w:val="18"/>
                <w:szCs w:val="18"/>
              </w:rPr>
              <w:t xml:space="preserve">7,520.36</w:t>
            </w:r>
          </w:p>
        </w:tc>
        <w:tc>
          <w:tcPr>
            <w:tcW w:type="dxa" w:w="130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1a1a1a"/>
                <w:sz w:val="18"/>
                <w:szCs w:val="18"/>
              </w:rPr>
              <w:t xml:space="preserve">7,520.36</w:t>
            </w:r>
          </w:p>
        </w:tc>
        <w:tc>
          <w:tcPr>
            <w:tcW w:type="dxa" w:w="156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1a1a1a"/>
                <w:sz w:val="18"/>
                <w:szCs w:val="18"/>
              </w:rPr>
              <w:t xml:space="preserve">Daily close series</w:t>
            </w:r>
          </w:p>
        </w:tc>
        <w:tc>
          <w:tcPr>
            <w:tcW w:type="dxa" w:w="110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1a1a1a"/>
                <w:sz w:val="18"/>
                <w:szCs w:val="18"/>
              </w:rPr>
              <w:t xml:space="preserve">Core</w:t>
            </w:r>
          </w:p>
        </w:tc>
        <w:tc>
          <w:tcPr>
            <w:tcW w:type="dxa" w:w="100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1a1a1a"/>
                <w:sz w:val="18"/>
                <w:szCs w:val="18"/>
              </w:rPr>
              <w:t xml:space="preserve">Govt mirror of SPDJI</w:t>
            </w:r>
          </w:p>
        </w:tc>
      </w:tr>
      <w:tr>
        <w:tc>
          <w:tcPr>
            <w:tcW w:type="dxa" w:w="200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1a1a1a"/>
                <w:sz w:val="18"/>
                <w:szCs w:val="18"/>
              </w:rPr>
              <w:t xml:space="preserve">CNBC market wrap</w:t>
            </w:r>
          </w:p>
        </w:tc>
        <w:tc>
          <w:tcPr>
            <w:tcW w:type="dxa" w:w="110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1a1a1a"/>
                <w:sz w:val="18"/>
                <w:szCs w:val="18"/>
              </w:rPr>
              <w:t xml:space="preserve">28 May 26</w:t>
            </w:r>
          </w:p>
        </w:tc>
        <w:tc>
          <w:tcPr>
            <w:tcW w:type="dxa" w:w="130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1a1a1a"/>
                <w:sz w:val="18"/>
                <w:szCs w:val="18"/>
              </w:rPr>
              <w:t xml:space="preserve">7,564.51</w:t>
            </w:r>
          </w:p>
        </w:tc>
        <w:tc>
          <w:tcPr>
            <w:tcW w:type="dxa" w:w="130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1a1a1a"/>
                <w:sz w:val="18"/>
                <w:szCs w:val="18"/>
              </w:rPr>
              <w:t xml:space="preserve">7,564.51</w:t>
            </w:r>
          </w:p>
        </w:tc>
        <w:tc>
          <w:tcPr>
            <w:tcW w:type="dxa" w:w="156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1a1a1a"/>
                <w:sz w:val="18"/>
                <w:szCs w:val="18"/>
              </w:rPr>
              <w:t xml:space="preserve">Cash close</w:t>
            </w:r>
          </w:p>
        </w:tc>
        <w:tc>
          <w:tcPr>
            <w:tcW w:type="dxa" w:w="110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1a1a1a"/>
                <w:sz w:val="18"/>
                <w:szCs w:val="18"/>
              </w:rPr>
              <w:t xml:space="preserve">Core</w:t>
            </w:r>
          </w:p>
        </w:tc>
        <w:tc>
          <w:tcPr>
            <w:tcW w:type="dxa" w:w="100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1a1a1a"/>
                <w:sz w:val="18"/>
                <w:szCs w:val="18"/>
              </w:rPr>
              <w:t xml:space="preserve">+0.59% record</w:t>
            </w:r>
          </w:p>
        </w:tc>
      </w:tr>
      <w:tr>
        <w:tc>
          <w:tcPr>
            <w:tcW w:type="dxa" w:w="200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1a1a1a"/>
                <w:sz w:val="18"/>
                <w:szCs w:val="18"/>
              </w:rPr>
              <w:t xml:space="preserve">Yahoo Finance</w:t>
            </w:r>
          </w:p>
        </w:tc>
        <w:tc>
          <w:tcPr>
            <w:tcW w:type="dxa" w:w="110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1a1a1a"/>
                <w:sz w:val="18"/>
                <w:szCs w:val="18"/>
              </w:rPr>
              <w:t xml:space="preserve">28 May 26</w:t>
            </w:r>
          </w:p>
        </w:tc>
        <w:tc>
          <w:tcPr>
            <w:tcW w:type="dxa" w:w="130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1a1a1a"/>
                <w:sz w:val="18"/>
                <w:szCs w:val="18"/>
              </w:rPr>
              <w:t xml:space="preserve">7,564.51</w:t>
            </w:r>
          </w:p>
        </w:tc>
        <w:tc>
          <w:tcPr>
            <w:tcW w:type="dxa" w:w="130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1a1a1a"/>
                <w:sz w:val="18"/>
                <w:szCs w:val="18"/>
              </w:rPr>
              <w:t xml:space="preserve">7,564.51</w:t>
            </w:r>
          </w:p>
        </w:tc>
        <w:tc>
          <w:tcPr>
            <w:tcW w:type="dxa" w:w="156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1a1a1a"/>
                <w:sz w:val="18"/>
                <w:szCs w:val="18"/>
              </w:rPr>
              <w:t xml:space="preserve">Delayed cash quote</w:t>
            </w:r>
          </w:p>
        </w:tc>
        <w:tc>
          <w:tcPr>
            <w:tcW w:type="dxa" w:w="110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1a1a1a"/>
                <w:sz w:val="18"/>
                <w:szCs w:val="18"/>
              </w:rPr>
              <w:t xml:space="preserve">Core</w:t>
            </w:r>
          </w:p>
        </w:tc>
        <w:tc>
          <w:tcPr>
            <w:tcW w:type="dxa" w:w="100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1a1a1a"/>
                <w:sz w:val="18"/>
                <w:szCs w:val="18"/>
              </w:rPr>
              <w:t xml:space="preserve">Corroborates close</w:t>
            </w:r>
          </w:p>
        </w:tc>
      </w:tr>
      <w:tr>
        <w:tc>
          <w:tcPr>
            <w:tcW w:type="dxa" w:w="200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1a1a1a"/>
                <w:sz w:val="18"/>
                <w:szCs w:val="18"/>
              </w:rPr>
              <w:t xml:space="preserve">Trading Economics</w:t>
            </w:r>
          </w:p>
        </w:tc>
        <w:tc>
          <w:tcPr>
            <w:tcW w:type="dxa" w:w="110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1a1a1a"/>
                <w:sz w:val="18"/>
                <w:szCs w:val="18"/>
              </w:rPr>
              <w:t xml:space="preserve">28 May 26</w:t>
            </w:r>
          </w:p>
        </w:tc>
        <w:tc>
          <w:tcPr>
            <w:tcW w:type="dxa" w:w="130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1a1a1a"/>
                <w:sz w:val="18"/>
                <w:szCs w:val="18"/>
              </w:rPr>
              <w:t xml:space="preserve">record high</w:t>
            </w:r>
          </w:p>
        </w:tc>
        <w:tc>
          <w:tcPr>
            <w:tcW w:type="dxa" w:w="130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1a1a1a"/>
                <w:sz w:val="18"/>
                <w:szCs w:val="18"/>
              </w:rPr>
              <w:t xml:space="preserve">7,564.51</w:t>
            </w:r>
          </w:p>
        </w:tc>
        <w:tc>
          <w:tcPr>
            <w:tcW w:type="dxa" w:w="156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1a1a1a"/>
                <w:sz w:val="18"/>
                <w:szCs w:val="18"/>
              </w:rPr>
              <w:t xml:space="preserve">Cash close narrative</w:t>
            </w:r>
          </w:p>
        </w:tc>
        <w:tc>
          <w:tcPr>
            <w:tcW w:type="dxa" w:w="110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1a1a1a"/>
                <w:sz w:val="18"/>
                <w:szCs w:val="18"/>
              </w:rPr>
              <w:t xml:space="preserve">Direct.</w:t>
            </w:r>
          </w:p>
        </w:tc>
        <w:tc>
          <w:tcPr>
            <w:tcW w:type="dxa" w:w="100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1a1a1a"/>
                <w:sz w:val="18"/>
                <w:szCs w:val="18"/>
              </w:rPr>
              <w:t xml:space="preserve">Confirms new record</w:t>
            </w:r>
          </w:p>
        </w:tc>
      </w:tr>
      <w:tr>
        <w:tc>
          <w:tcPr>
            <w:tcW w:type="dxa" w:w="200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1a1a1a"/>
                <w:sz w:val="18"/>
                <w:szCs w:val="18"/>
              </w:rPr>
              <w:t xml:space="preserve">TheStreet / Motley Fool</w:t>
            </w:r>
          </w:p>
        </w:tc>
        <w:tc>
          <w:tcPr>
            <w:tcW w:type="dxa" w:w="110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1a1a1a"/>
                <w:sz w:val="18"/>
                <w:szCs w:val="18"/>
              </w:rPr>
              <w:t xml:space="preserve">22 May 26</w:t>
            </w:r>
          </w:p>
        </w:tc>
        <w:tc>
          <w:tcPr>
            <w:tcW w:type="dxa" w:w="130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1a1a1a"/>
                <w:sz w:val="18"/>
                <w:szCs w:val="18"/>
              </w:rPr>
              <w:t xml:space="preserve">7,473.47</w:t>
            </w:r>
          </w:p>
        </w:tc>
        <w:tc>
          <w:tcPr>
            <w:tcW w:type="dxa" w:w="130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1a1a1a"/>
                <w:sz w:val="18"/>
                <w:szCs w:val="18"/>
              </w:rPr>
              <w:t xml:space="preserve">7,473.47</w:t>
            </w:r>
          </w:p>
        </w:tc>
        <w:tc>
          <w:tcPr>
            <w:tcW w:type="dxa" w:w="156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1a1a1a"/>
                <w:sz w:val="18"/>
                <w:szCs w:val="18"/>
              </w:rPr>
              <w:t xml:space="preserve">Cash close</w:t>
            </w:r>
          </w:p>
        </w:tc>
        <w:tc>
          <w:tcPr>
            <w:tcW w:type="dxa" w:w="110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1a1a1a"/>
                <w:sz w:val="18"/>
                <w:szCs w:val="18"/>
              </w:rPr>
              <w:t xml:space="preserve">Core</w:t>
            </w:r>
          </w:p>
        </w:tc>
        <w:tc>
          <w:tcPr>
            <w:tcW w:type="dxa" w:w="100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1a1a1a"/>
                <w:sz w:val="18"/>
                <w:szCs w:val="18"/>
              </w:rPr>
              <w:t xml:space="preserve">Window anchor</w:t>
            </w:r>
          </w:p>
        </w:tc>
      </w:tr>
    </w:tbl>
    <w:p>
      <w:pPr>
        <w:pStyle w:val="Heading1"/>
        <w:spacing w:after="120" w:before="240"/>
      </w:pPr>
      <w:r>
        <w:t xml:space="preserve">5 · Consensus Build Explanation</w:t>
      </w:r>
    </w:p>
    <w:p>
      <w:pPr>
        <w:spacing w:after="120"/>
        <w:jc w:val="both"/>
      </w:pPr>
      <w:r>
        <w:t xml:space="preserve">All observations are already in index points and USD on the regular cash-session basis, so no FX, freight or specification conversions were required. A weighted-median method was applied with down-weighting of any aggregator lagging the official print. The 28 May official close from S&amp;P Dow Jones Indices anchors the build because it is the index provider of record; FRED, CNBC and Yahoo independently reproduce it within the ±0.10-point equity-index tolerance, qualifying it as a corroborated two-source value. No observations were excluded as outliers on the close. The final number is the most defensible because it is the published official close, not a derived or after-hours indication, and is reproduced identically across six sources.</w:t>
      </w:r>
    </w:p>
    <w:p>
      <w:pPr>
        <w:pStyle w:val="Heading1"/>
        <w:spacing w:after="120" w:before="240"/>
      </w:pPr>
      <w:r>
        <w:t xml:space="preserve">6 · Validated OHLC + RSI2 Table (5-Day)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80"/>
        <w:gridCol w:w="1080"/>
        <w:gridCol w:w="1080"/>
        <w:gridCol w:w="1080"/>
        <w:gridCol w:w="1180"/>
        <w:gridCol w:w="720"/>
        <w:gridCol w:w="1000"/>
        <w:gridCol w:w="1080"/>
        <w:gridCol w:w="960"/>
      </w:tblGrid>
      <w:tr>
        <w:trPr>
          <w:tblHeader/>
        </w:trPr>
        <w:tc>
          <w:tcPr>
            <w:tcW w:type="dxa" w:w="1180"/>
            <w:tcBorders>
              <w:top w:val="single" w:color="CCCCCC" w:sz="1"/>
              <w:left w:val="single" w:color="CCCCCC" w:sz="1"/>
              <w:bottom w:val="single" w:color="CCCCCC" w:sz="1"/>
              <w:right w:val="single" w:color="CCCCCC" w:sz="1"/>
            </w:tcBorders>
            <w:shd w:fill="1F3864" w:val="clear"/>
            <w:tcMar>
              <w:top w:type="dxa" w:w="60"/>
              <w:left w:type="dxa" w:w="90"/>
              <w:bottom w:type="dxa" w:w="60"/>
              <w:right w:type="dxa" w:w="90"/>
            </w:tcMar>
          </w:tcPr>
          <w:p>
            <w:pPr>
              <w:jc w:val="left"/>
            </w:pPr>
            <w:r>
              <w:rPr>
                <w:b/>
                <w:bCs/>
                <w:color w:val="FFFFFF"/>
                <w:sz w:val="18"/>
                <w:szCs w:val="18"/>
              </w:rPr>
              <w:t xml:space="preserve">Date</w:t>
            </w:r>
          </w:p>
        </w:tc>
        <w:tc>
          <w:tcPr>
            <w:tcW w:type="dxa" w:w="1080"/>
            <w:tcBorders>
              <w:top w:val="single" w:color="CCCCCC" w:sz="1"/>
              <w:left w:val="single" w:color="CCCCCC" w:sz="1"/>
              <w:bottom w:val="single" w:color="CCCCCC" w:sz="1"/>
              <w:right w:val="single" w:color="CCCCCC" w:sz="1"/>
            </w:tcBorders>
            <w:shd w:fill="1F3864" w:val="clear"/>
            <w:tcMar>
              <w:top w:type="dxa" w:w="60"/>
              <w:left w:type="dxa" w:w="90"/>
              <w:bottom w:type="dxa" w:w="60"/>
              <w:right w:type="dxa" w:w="90"/>
            </w:tcMar>
          </w:tcPr>
          <w:p>
            <w:pPr>
              <w:jc w:val="left"/>
            </w:pPr>
            <w:r>
              <w:rPr>
                <w:b/>
                <w:bCs/>
                <w:color w:val="FFFFFF"/>
                <w:sz w:val="18"/>
                <w:szCs w:val="18"/>
              </w:rPr>
              <w:t xml:space="preserve">Open</w:t>
            </w:r>
          </w:p>
        </w:tc>
        <w:tc>
          <w:tcPr>
            <w:tcW w:type="dxa" w:w="1080"/>
            <w:tcBorders>
              <w:top w:val="single" w:color="CCCCCC" w:sz="1"/>
              <w:left w:val="single" w:color="CCCCCC" w:sz="1"/>
              <w:bottom w:val="single" w:color="CCCCCC" w:sz="1"/>
              <w:right w:val="single" w:color="CCCCCC" w:sz="1"/>
            </w:tcBorders>
            <w:shd w:fill="1F3864" w:val="clear"/>
            <w:tcMar>
              <w:top w:type="dxa" w:w="60"/>
              <w:left w:type="dxa" w:w="90"/>
              <w:bottom w:type="dxa" w:w="60"/>
              <w:right w:type="dxa" w:w="90"/>
            </w:tcMar>
          </w:tcPr>
          <w:p>
            <w:pPr>
              <w:jc w:val="left"/>
            </w:pPr>
            <w:r>
              <w:rPr>
                <w:b/>
                <w:bCs/>
                <w:color w:val="FFFFFF"/>
                <w:sz w:val="18"/>
                <w:szCs w:val="18"/>
              </w:rPr>
              <w:t xml:space="preserve">High</w:t>
            </w:r>
          </w:p>
        </w:tc>
        <w:tc>
          <w:tcPr>
            <w:tcW w:type="dxa" w:w="1080"/>
            <w:tcBorders>
              <w:top w:val="single" w:color="CCCCCC" w:sz="1"/>
              <w:left w:val="single" w:color="CCCCCC" w:sz="1"/>
              <w:bottom w:val="single" w:color="CCCCCC" w:sz="1"/>
              <w:right w:val="single" w:color="CCCCCC" w:sz="1"/>
            </w:tcBorders>
            <w:shd w:fill="1F3864" w:val="clear"/>
            <w:tcMar>
              <w:top w:type="dxa" w:w="60"/>
              <w:left w:type="dxa" w:w="90"/>
              <w:bottom w:type="dxa" w:w="60"/>
              <w:right w:type="dxa" w:w="90"/>
            </w:tcMar>
          </w:tcPr>
          <w:p>
            <w:pPr>
              <w:jc w:val="left"/>
            </w:pPr>
            <w:r>
              <w:rPr>
                <w:b/>
                <w:bCs/>
                <w:color w:val="FFFFFF"/>
                <w:sz w:val="18"/>
                <w:szCs w:val="18"/>
              </w:rPr>
              <w:t xml:space="preserve">Low</w:t>
            </w:r>
          </w:p>
        </w:tc>
        <w:tc>
          <w:tcPr>
            <w:tcW w:type="dxa" w:w="1180"/>
            <w:tcBorders>
              <w:top w:val="single" w:color="CCCCCC" w:sz="1"/>
              <w:left w:val="single" w:color="CCCCCC" w:sz="1"/>
              <w:bottom w:val="single" w:color="CCCCCC" w:sz="1"/>
              <w:right w:val="single" w:color="CCCCCC" w:sz="1"/>
            </w:tcBorders>
            <w:shd w:fill="1F3864" w:val="clear"/>
            <w:tcMar>
              <w:top w:type="dxa" w:w="60"/>
              <w:left w:type="dxa" w:w="90"/>
              <w:bottom w:type="dxa" w:w="60"/>
              <w:right w:type="dxa" w:w="90"/>
            </w:tcMar>
          </w:tcPr>
          <w:p>
            <w:pPr>
              <w:jc w:val="left"/>
            </w:pPr>
            <w:r>
              <w:rPr>
                <w:b/>
                <w:bCs/>
                <w:color w:val="FFFFFF"/>
                <w:sz w:val="18"/>
                <w:szCs w:val="18"/>
              </w:rPr>
              <w:t xml:space="preserve">Close</w:t>
            </w:r>
          </w:p>
        </w:tc>
        <w:tc>
          <w:tcPr>
            <w:tcW w:type="dxa" w:w="720"/>
            <w:tcBorders>
              <w:top w:val="single" w:color="CCCCCC" w:sz="1"/>
              <w:left w:val="single" w:color="CCCCCC" w:sz="1"/>
              <w:bottom w:val="single" w:color="CCCCCC" w:sz="1"/>
              <w:right w:val="single" w:color="CCCCCC" w:sz="1"/>
            </w:tcBorders>
            <w:shd w:fill="1F3864" w:val="clear"/>
            <w:tcMar>
              <w:top w:type="dxa" w:w="60"/>
              <w:left w:type="dxa" w:w="90"/>
              <w:bottom w:type="dxa" w:w="60"/>
              <w:right w:type="dxa" w:w="90"/>
            </w:tcMar>
          </w:tcPr>
          <w:p>
            <w:pPr>
              <w:jc w:val="left"/>
            </w:pPr>
            <w:r>
              <w:rPr>
                <w:b/>
                <w:bCs/>
                <w:color w:val="FFFFFF"/>
                <w:sz w:val="18"/>
                <w:szCs w:val="18"/>
              </w:rPr>
              <w:t xml:space="preserve">RSI2</w:t>
            </w:r>
          </w:p>
        </w:tc>
        <w:tc>
          <w:tcPr>
            <w:tcW w:type="dxa" w:w="1000"/>
            <w:tcBorders>
              <w:top w:val="single" w:color="CCCCCC" w:sz="1"/>
              <w:left w:val="single" w:color="CCCCCC" w:sz="1"/>
              <w:bottom w:val="single" w:color="CCCCCC" w:sz="1"/>
              <w:right w:val="single" w:color="CCCCCC" w:sz="1"/>
            </w:tcBorders>
            <w:shd w:fill="1F3864" w:val="clear"/>
            <w:tcMar>
              <w:top w:type="dxa" w:w="60"/>
              <w:left w:type="dxa" w:w="90"/>
              <w:bottom w:type="dxa" w:w="60"/>
              <w:right w:type="dxa" w:w="90"/>
            </w:tcMar>
          </w:tcPr>
          <w:p>
            <w:pPr>
              <w:jc w:val="left"/>
            </w:pPr>
            <w:r>
              <w:rPr>
                <w:b/>
                <w:bCs/>
                <w:color w:val="FFFFFF"/>
                <w:sz w:val="18"/>
                <w:szCs w:val="18"/>
              </w:rPr>
              <w:t xml:space="preserve">Trend</w:t>
            </w:r>
          </w:p>
        </w:tc>
        <w:tc>
          <w:tcPr>
            <w:tcW w:type="dxa" w:w="1080"/>
            <w:tcBorders>
              <w:top w:val="single" w:color="CCCCCC" w:sz="1"/>
              <w:left w:val="single" w:color="CCCCCC" w:sz="1"/>
              <w:bottom w:val="single" w:color="CCCCCC" w:sz="1"/>
              <w:right w:val="single" w:color="CCCCCC" w:sz="1"/>
            </w:tcBorders>
            <w:shd w:fill="1F3864" w:val="clear"/>
            <w:tcMar>
              <w:top w:type="dxa" w:w="60"/>
              <w:left w:type="dxa" w:w="90"/>
              <w:bottom w:type="dxa" w:w="60"/>
              <w:right w:type="dxa" w:w="90"/>
            </w:tcMar>
          </w:tcPr>
          <w:p>
            <w:pPr>
              <w:jc w:val="left"/>
            </w:pPr>
            <w:r>
              <w:rPr>
                <w:b/>
                <w:bCs/>
                <w:color w:val="FFFFFF"/>
                <w:sz w:val="18"/>
                <w:szCs w:val="18"/>
              </w:rPr>
              <w:t xml:space="preserve">Source A</w:t>
            </w:r>
          </w:p>
        </w:tc>
        <w:tc>
          <w:tcPr>
            <w:tcW w:type="dxa" w:w="960"/>
            <w:tcBorders>
              <w:top w:val="single" w:color="CCCCCC" w:sz="1"/>
              <w:left w:val="single" w:color="CCCCCC" w:sz="1"/>
              <w:bottom w:val="single" w:color="CCCCCC" w:sz="1"/>
              <w:right w:val="single" w:color="CCCCCC" w:sz="1"/>
            </w:tcBorders>
            <w:shd w:fill="1F3864" w:val="clear"/>
            <w:tcMar>
              <w:top w:type="dxa" w:w="60"/>
              <w:left w:type="dxa" w:w="90"/>
              <w:bottom w:type="dxa" w:w="60"/>
              <w:right w:type="dxa" w:w="90"/>
            </w:tcMar>
          </w:tcPr>
          <w:p>
            <w:pPr>
              <w:jc w:val="left"/>
            </w:pPr>
            <w:r>
              <w:rPr>
                <w:b/>
                <w:bCs/>
                <w:color w:val="FFFFFF"/>
                <w:sz w:val="18"/>
                <w:szCs w:val="18"/>
              </w:rPr>
              <w:t xml:space="preserve">Source B</w:t>
            </w:r>
          </w:p>
        </w:tc>
      </w:tr>
      <w:tr>
        <w:tc>
          <w:tcPr>
            <w:tcW w:type="dxa" w:w="118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1a1a1a"/>
                <w:sz w:val="18"/>
                <w:szCs w:val="18"/>
              </w:rPr>
              <w:t xml:space="preserve">Thu 21 May</w:t>
            </w:r>
          </w:p>
        </w:tc>
        <w:tc>
          <w:tcPr>
            <w:tcW w:type="dxa" w:w="108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1a1a1a"/>
                <w:sz w:val="18"/>
                <w:szCs w:val="18"/>
              </w:rPr>
              <w:t xml:space="preserve">7468.00</w:t>
            </w:r>
          </w:p>
        </w:tc>
        <w:tc>
          <w:tcPr>
            <w:tcW w:type="dxa" w:w="108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1a1a1a"/>
                <w:sz w:val="18"/>
                <w:szCs w:val="18"/>
              </w:rPr>
              <w:t xml:space="preserve">7472.00</w:t>
            </w:r>
          </w:p>
        </w:tc>
        <w:tc>
          <w:tcPr>
            <w:tcW w:type="dxa" w:w="108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1a1a1a"/>
                <w:sz w:val="18"/>
                <w:szCs w:val="18"/>
              </w:rPr>
              <w:t xml:space="preserve">7430.00</w:t>
            </w:r>
          </w:p>
        </w:tc>
        <w:tc>
          <w:tcPr>
            <w:tcW w:type="dxa" w:w="118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bCs/>
                <w:sz w:val="18"/>
                <w:szCs w:val="18"/>
              </w:rPr>
              <w:t xml:space="preserve">7445.93</w:t>
            </w:r>
          </w:p>
        </w:tc>
        <w:tc>
          <w:tcPr>
            <w:tcW w:type="dxa" w:w="72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1a1a1a"/>
                <w:sz w:val="18"/>
                <w:szCs w:val="18"/>
              </w:rPr>
              <w:t xml:space="preserve">86.8</w:t>
            </w:r>
          </w:p>
        </w:tc>
        <w:tc>
          <w:tcPr>
            <w:tcW w:type="dxa" w:w="100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bCs/>
                <w:color w:val="7A7A7A"/>
                <w:sz w:val="18"/>
                <w:szCs w:val="18"/>
              </w:rPr>
              <w:t xml:space="preserve">Neutral</w:t>
            </w:r>
          </w:p>
        </w:tc>
        <w:tc>
          <w:tcPr>
            <w:tcW w:type="dxa" w:w="108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1a1a1a"/>
                <w:sz w:val="18"/>
                <w:szCs w:val="18"/>
              </w:rPr>
              <w:t xml:space="preserve">SPDJI / FRED</w:t>
            </w:r>
          </w:p>
        </w:tc>
        <w:tc>
          <w:tcPr>
            <w:tcW w:type="dxa" w:w="96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1a1a1a"/>
                <w:sz w:val="18"/>
                <w:szCs w:val="18"/>
              </w:rPr>
              <w:t xml:space="preserve">Yahoo / CNBC</w:t>
            </w:r>
          </w:p>
        </w:tc>
      </w:tr>
      <w:tr>
        <w:tc>
          <w:tcPr>
            <w:tcW w:type="dxa" w:w="118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1a1a1a"/>
                <w:sz w:val="18"/>
                <w:szCs w:val="18"/>
              </w:rPr>
              <w:t xml:space="preserve">Fri 22 May</w:t>
            </w:r>
          </w:p>
        </w:tc>
        <w:tc>
          <w:tcPr>
            <w:tcW w:type="dxa" w:w="108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1a1a1a"/>
                <w:sz w:val="18"/>
                <w:szCs w:val="18"/>
              </w:rPr>
              <w:t xml:space="preserve">7449.00</w:t>
            </w:r>
          </w:p>
        </w:tc>
        <w:tc>
          <w:tcPr>
            <w:tcW w:type="dxa" w:w="108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1a1a1a"/>
                <w:sz w:val="18"/>
                <w:szCs w:val="18"/>
              </w:rPr>
              <w:t xml:space="preserve">7479.00</w:t>
            </w:r>
          </w:p>
        </w:tc>
        <w:tc>
          <w:tcPr>
            <w:tcW w:type="dxa" w:w="108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1a1a1a"/>
                <w:sz w:val="18"/>
                <w:szCs w:val="18"/>
              </w:rPr>
              <w:t xml:space="preserve">7445.00</w:t>
            </w:r>
          </w:p>
        </w:tc>
        <w:tc>
          <w:tcPr>
            <w:tcW w:type="dxa" w:w="118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bCs/>
                <w:sz w:val="18"/>
                <w:szCs w:val="18"/>
              </w:rPr>
              <w:t xml:space="preserve">7473.47</w:t>
            </w:r>
          </w:p>
        </w:tc>
        <w:tc>
          <w:tcPr>
            <w:tcW w:type="dxa" w:w="72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1a1a1a"/>
                <w:sz w:val="18"/>
                <w:szCs w:val="18"/>
              </w:rPr>
              <w:t xml:space="preserve">91.5</w:t>
            </w:r>
          </w:p>
        </w:tc>
        <w:tc>
          <w:tcPr>
            <w:tcW w:type="dxa" w:w="100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bCs/>
                <w:color w:val="1E7B34"/>
                <w:sz w:val="18"/>
                <w:szCs w:val="18"/>
              </w:rPr>
              <w:t xml:space="preserve">Bullish</w:t>
            </w:r>
          </w:p>
        </w:tc>
        <w:tc>
          <w:tcPr>
            <w:tcW w:type="dxa" w:w="108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1a1a1a"/>
                <w:sz w:val="18"/>
                <w:szCs w:val="18"/>
              </w:rPr>
              <w:t xml:space="preserve">SPDJI / FRED</w:t>
            </w:r>
          </w:p>
        </w:tc>
        <w:tc>
          <w:tcPr>
            <w:tcW w:type="dxa" w:w="96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1a1a1a"/>
                <w:sz w:val="18"/>
                <w:szCs w:val="18"/>
              </w:rPr>
              <w:t xml:space="preserve">Yahoo / CNBC</w:t>
            </w:r>
          </w:p>
        </w:tc>
      </w:tr>
      <w:tr>
        <w:tc>
          <w:tcPr>
            <w:tcW w:type="dxa" w:w="118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1a1a1a"/>
                <w:sz w:val="18"/>
                <w:szCs w:val="18"/>
              </w:rPr>
              <w:t xml:space="preserve">Tue 26 May</w:t>
            </w:r>
          </w:p>
        </w:tc>
        <w:tc>
          <w:tcPr>
            <w:tcW w:type="dxa" w:w="108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1a1a1a"/>
                <w:sz w:val="18"/>
                <w:szCs w:val="18"/>
              </w:rPr>
              <w:t xml:space="preserve">7486.00</w:t>
            </w:r>
          </w:p>
        </w:tc>
        <w:tc>
          <w:tcPr>
            <w:tcW w:type="dxa" w:w="108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1a1a1a"/>
                <w:sz w:val="18"/>
                <w:szCs w:val="18"/>
              </w:rPr>
              <w:t xml:space="preserve">7522.50</w:t>
            </w:r>
          </w:p>
        </w:tc>
        <w:tc>
          <w:tcPr>
            <w:tcW w:type="dxa" w:w="108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1a1a1a"/>
                <w:sz w:val="18"/>
                <w:szCs w:val="18"/>
              </w:rPr>
              <w:t xml:space="preserve">7484.00</w:t>
            </w:r>
          </w:p>
        </w:tc>
        <w:tc>
          <w:tcPr>
            <w:tcW w:type="dxa" w:w="118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bCs/>
                <w:sz w:val="18"/>
                <w:szCs w:val="18"/>
              </w:rPr>
              <w:t xml:space="preserve">7519.12</w:t>
            </w:r>
          </w:p>
        </w:tc>
        <w:tc>
          <w:tcPr>
            <w:tcW w:type="dxa" w:w="72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1a1a1a"/>
                <w:sz w:val="18"/>
                <w:szCs w:val="18"/>
              </w:rPr>
              <w:t xml:space="preserve">96.1</w:t>
            </w:r>
          </w:p>
        </w:tc>
        <w:tc>
          <w:tcPr>
            <w:tcW w:type="dxa" w:w="100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bCs/>
                <w:color w:val="1E7B34"/>
                <w:sz w:val="18"/>
                <w:szCs w:val="18"/>
              </w:rPr>
              <w:t xml:space="preserve">Bullish</w:t>
            </w:r>
          </w:p>
        </w:tc>
        <w:tc>
          <w:tcPr>
            <w:tcW w:type="dxa" w:w="108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1a1a1a"/>
                <w:sz w:val="18"/>
                <w:szCs w:val="18"/>
              </w:rPr>
              <w:t xml:space="preserve">SPDJI / FRED</w:t>
            </w:r>
          </w:p>
        </w:tc>
        <w:tc>
          <w:tcPr>
            <w:tcW w:type="dxa" w:w="96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1a1a1a"/>
                <w:sz w:val="18"/>
                <w:szCs w:val="18"/>
              </w:rPr>
              <w:t xml:space="preserve">Yahoo / CNBC</w:t>
            </w:r>
          </w:p>
        </w:tc>
      </w:tr>
      <w:tr>
        <w:tc>
          <w:tcPr>
            <w:tcW w:type="dxa" w:w="118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1a1a1a"/>
                <w:sz w:val="18"/>
                <w:szCs w:val="18"/>
              </w:rPr>
              <w:t xml:space="preserve">Wed 27 May</w:t>
            </w:r>
          </w:p>
        </w:tc>
        <w:tc>
          <w:tcPr>
            <w:tcW w:type="dxa" w:w="108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1a1a1a"/>
                <w:sz w:val="18"/>
                <w:szCs w:val="18"/>
              </w:rPr>
              <w:t xml:space="preserve">7521.00</w:t>
            </w:r>
          </w:p>
        </w:tc>
        <w:tc>
          <w:tcPr>
            <w:tcW w:type="dxa" w:w="108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1a1a1a"/>
                <w:sz w:val="18"/>
                <w:szCs w:val="18"/>
              </w:rPr>
              <w:t xml:space="preserve">7530.70</w:t>
            </w:r>
          </w:p>
        </w:tc>
        <w:tc>
          <w:tcPr>
            <w:tcW w:type="dxa" w:w="108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1a1a1a"/>
                <w:sz w:val="18"/>
                <w:szCs w:val="18"/>
              </w:rPr>
              <w:t xml:space="preserve">7499.70</w:t>
            </w:r>
          </w:p>
        </w:tc>
        <w:tc>
          <w:tcPr>
            <w:tcW w:type="dxa" w:w="118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bCs/>
                <w:sz w:val="18"/>
                <w:szCs w:val="18"/>
              </w:rPr>
              <w:t xml:space="preserve">7520.36</w:t>
            </w:r>
          </w:p>
        </w:tc>
        <w:tc>
          <w:tcPr>
            <w:tcW w:type="dxa" w:w="72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1a1a1a"/>
                <w:sz w:val="18"/>
                <w:szCs w:val="18"/>
              </w:rPr>
              <w:t xml:space="preserve">96.2</w:t>
            </w:r>
          </w:p>
        </w:tc>
        <w:tc>
          <w:tcPr>
            <w:tcW w:type="dxa" w:w="100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bCs/>
                <w:color w:val="7A7A7A"/>
                <w:sz w:val="18"/>
                <w:szCs w:val="18"/>
              </w:rPr>
              <w:t xml:space="preserve">Neutral</w:t>
            </w:r>
          </w:p>
        </w:tc>
        <w:tc>
          <w:tcPr>
            <w:tcW w:type="dxa" w:w="108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1a1a1a"/>
                <w:sz w:val="18"/>
                <w:szCs w:val="18"/>
              </w:rPr>
              <w:t xml:space="preserve">SPDJI / FRED</w:t>
            </w:r>
          </w:p>
        </w:tc>
        <w:tc>
          <w:tcPr>
            <w:tcW w:type="dxa" w:w="96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1a1a1a"/>
                <w:sz w:val="18"/>
                <w:szCs w:val="18"/>
              </w:rPr>
              <w:t xml:space="preserve">Yahoo / CNBC</w:t>
            </w:r>
          </w:p>
        </w:tc>
      </w:tr>
      <w:tr>
        <w:tc>
          <w:tcPr>
            <w:tcW w:type="dxa" w:w="118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1a1a1a"/>
                <w:sz w:val="18"/>
                <w:szCs w:val="18"/>
              </w:rPr>
              <w:t xml:space="preserve">Thu 28 May</w:t>
            </w:r>
          </w:p>
        </w:tc>
        <w:tc>
          <w:tcPr>
            <w:tcW w:type="dxa" w:w="108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1a1a1a"/>
                <w:sz w:val="18"/>
                <w:szCs w:val="18"/>
              </w:rPr>
              <w:t xml:space="preserve">7526.00</w:t>
            </w:r>
          </w:p>
        </w:tc>
        <w:tc>
          <w:tcPr>
            <w:tcW w:type="dxa" w:w="108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1a1a1a"/>
                <w:sz w:val="18"/>
                <w:szCs w:val="18"/>
              </w:rPr>
              <w:t xml:space="preserve">7569.00</w:t>
            </w:r>
          </w:p>
        </w:tc>
        <w:tc>
          <w:tcPr>
            <w:tcW w:type="dxa" w:w="108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1a1a1a"/>
                <w:sz w:val="18"/>
                <w:szCs w:val="18"/>
              </w:rPr>
              <w:t xml:space="preserve">7519.00</w:t>
            </w:r>
          </w:p>
        </w:tc>
        <w:tc>
          <w:tcPr>
            <w:tcW w:type="dxa" w:w="118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bCs/>
                <w:sz w:val="18"/>
                <w:szCs w:val="18"/>
              </w:rPr>
              <w:t xml:space="preserve">7564.51</w:t>
            </w:r>
          </w:p>
        </w:tc>
        <w:tc>
          <w:tcPr>
            <w:tcW w:type="dxa" w:w="72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1a1a1a"/>
                <w:sz w:val="18"/>
                <w:szCs w:val="18"/>
              </w:rPr>
              <w:t xml:space="preserve">98.7</w:t>
            </w:r>
          </w:p>
        </w:tc>
        <w:tc>
          <w:tcPr>
            <w:tcW w:type="dxa" w:w="100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bCs/>
                <w:color w:val="1E7B34"/>
                <w:sz w:val="18"/>
                <w:szCs w:val="18"/>
              </w:rPr>
              <w:t xml:space="preserve">Bullish</w:t>
            </w:r>
          </w:p>
        </w:tc>
        <w:tc>
          <w:tcPr>
            <w:tcW w:type="dxa" w:w="108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1a1a1a"/>
                <w:sz w:val="18"/>
                <w:szCs w:val="18"/>
              </w:rPr>
              <w:t xml:space="preserve">SPDJI / FRED</w:t>
            </w:r>
          </w:p>
        </w:tc>
        <w:tc>
          <w:tcPr>
            <w:tcW w:type="dxa" w:w="96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1a1a1a"/>
                <w:sz w:val="18"/>
                <w:szCs w:val="18"/>
              </w:rPr>
              <w:t xml:space="preserve">Yahoo / CNBC</w:t>
            </w:r>
          </w:p>
        </w:tc>
      </w:tr>
    </w:tbl>
    <w:p>
      <w:pPr>
        <w:spacing w:after="120"/>
        <w:jc w:val="both"/>
      </w:pPr>
      <w:r>
        <w:rPr>
          <w:b/>
          <w:bCs/>
        </w:rPr>
        <w:t xml:space="preserve">Validation outcome: </w:t>
      </w:r>
      <w:r>
        <w:t xml:space="preserve">Closes for all five sessions are CORROBORATED (Source A × Source B agree within ±0.10 pt). Open/High/Low fields are derived from corroborated session ranges and percentage moves and are flagged </w:t>
      </w:r>
      <w:r>
        <w:rPr>
          <w:i/>
          <w:iCs/>
        </w:rPr>
        <w:t xml:space="preserve">single-source — indicative only</w:t>
      </w:r>
      <w:r>
        <w:t xml:space="preserve">; per protocol they are used for chart visualisation and directional context only and are not used as definitive pivot inputs. RSI2 is computed from the validated close column (period fixed at 2) and is deeply overbought (&gt;95) on the final three sessions.</w:t>
      </w:r>
    </w:p>
    <w:p>
      <w:pPr>
        <w:pStyle w:val="Heading1"/>
        <w:spacing w:after="120" w:before="240"/>
      </w:pPr>
      <w:r>
        <w:t xml:space="preserve">7 · Charts</w:t>
      </w:r>
    </w:p>
    <w:p>
      <w:pPr>
        <w:pStyle w:val="Heading2"/>
        <w:spacing w:after="80" w:before="160"/>
      </w:pPr>
      <w:r>
        <w:t xml:space="preserve">7.1 · Five-Session Candlestick</w:t>
      </w:r>
    </w:p>
    <w:p>
      <w:pPr>
        <w:spacing w:after="40" w:before="80"/>
        <w:jc w:val="center"/>
      </w:pPr>
      <w:r>
        <w:drawing>
          <wp:inline distT="0" distB="0" distL="0" distR="0">
            <wp:extent cx="5334000" cy="2847975"/>
            <wp:effectExtent t="0" r="0" b="0" l="0"/>
            <wp:docPr id="1" name="5-session candlestick" descr="5-session candlestick" title="5-session candlesti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847975"/>
                    </a:xfrm>
                    <a:prstGeom prst="rect">
                      <a:avLst/>
                    </a:prstGeom>
                  </pic:spPr>
                </pic:pic>
              </a:graphicData>
            </a:graphic>
          </wp:inline>
        </w:drawing>
      </w:r>
    </w:p>
    <w:p>
      <w:pPr>
        <w:pStyle w:val="Heading2"/>
        <w:spacing w:after="80" w:before="160"/>
      </w:pPr>
      <w:r>
        <w:t xml:space="preserve">7.2 · Distance-from-Open</w:t>
      </w:r>
    </w:p>
    <w:p>
      <w:pPr>
        <w:spacing w:after="40" w:before="80"/>
        <w:jc w:val="center"/>
      </w:pPr>
      <w:r>
        <w:drawing>
          <wp:inline distT="0" distB="0" distL="0" distR="0">
            <wp:extent cx="5334000" cy="2847975"/>
            <wp:effectExtent t="0" r="0" b="0" l="0"/>
            <wp:docPr id="1" name="Distance from open" descr="Distance from open" title="Distance from op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847975"/>
                    </a:xfrm>
                    <a:prstGeom prst="rect">
                      <a:avLst/>
                    </a:prstGeom>
                  </pic:spPr>
                </pic:pic>
              </a:graphicData>
            </a:graphic>
          </wp:inline>
        </w:drawing>
      </w:r>
    </w:p>
    <w:p>
      <w:pPr>
        <w:pStyle w:val="Heading2"/>
        <w:spacing w:after="80" w:before="160"/>
      </w:pPr>
      <w:r>
        <w:t xml:space="preserve">7.3 · Multi-Week Structure</w:t>
      </w:r>
    </w:p>
    <w:p>
      <w:pPr>
        <w:spacing w:after="40" w:before="80"/>
        <w:jc w:val="center"/>
      </w:pPr>
      <w:r>
        <w:drawing>
          <wp:inline distT="0" distB="0" distL="0" distR="0">
            <wp:extent cx="5334000" cy="2847975"/>
            <wp:effectExtent t="0" r="0" b="0" l="0"/>
            <wp:docPr id="1" name="Multi-week structure" descr="Multi-week structure" title="Multi-week 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2847975"/>
                    </a:xfrm>
                    <a:prstGeom prst="rect">
                      <a:avLst/>
                    </a:prstGeom>
                  </pic:spPr>
                </pic:pic>
              </a:graphicData>
            </a:graphic>
          </wp:inline>
        </w:drawing>
      </w:r>
    </w:p>
    <w:p>
      <w:pPr>
        <w:pStyle w:val="Heading2"/>
        <w:spacing w:after="80" w:before="160"/>
      </w:pPr>
      <w:r>
        <w:t xml:space="preserve">7.4 · Comparative Volatility</w:t>
      </w:r>
    </w:p>
    <w:p>
      <w:pPr>
        <w:spacing w:after="40" w:before="80"/>
        <w:jc w:val="center"/>
      </w:pPr>
      <w:r>
        <w:drawing>
          <wp:inline distT="0" distB="0" distL="0" distR="0">
            <wp:extent cx="5334000" cy="2962275"/>
            <wp:effectExtent t="0" r="0" b="0" l="0"/>
            <wp:docPr id="1" name="Comparative volatility" descr="Comparative volatility" title="Comparative volatil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962275"/>
                    </a:xfrm>
                    <a:prstGeom prst="rect">
                      <a:avLst/>
                    </a:prstGeom>
                  </pic:spPr>
                </pic:pic>
              </a:graphicData>
            </a:graphic>
          </wp:inline>
        </w:drawing>
      </w:r>
    </w:p>
    <w:p>
      <w:pPr>
        <w:pStyle w:val="Heading2"/>
        <w:spacing w:after="80" w:before="160"/>
      </w:pPr>
      <w:r>
        <w:t xml:space="preserve">7.5 · Weekly Floor Pivots</w:t>
      </w:r>
    </w:p>
    <w:p>
      <w:pPr>
        <w:spacing w:after="40" w:before="80"/>
        <w:jc w:val="center"/>
      </w:pPr>
      <w:r>
        <w:drawing>
          <wp:inline distT="0" distB="0" distL="0" distR="0">
            <wp:extent cx="4953000" cy="3581400"/>
            <wp:effectExtent t="0" r="0" b="0" l="0"/>
            <wp:docPr id="1" name="Weekly floor pivots" descr="Weekly floor pivots" title="Weekly floor pivo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53000" cy="3581400"/>
                    </a:xfrm>
                    <a:prstGeom prst="rect">
                      <a:avLst/>
                    </a:prstGeom>
                  </pic:spPr>
                </pic:pic>
              </a:graphicData>
            </a:graphic>
          </wp:inline>
        </w:drawing>
      </w:r>
    </w:p>
    <w:p>
      <w:pPr>
        <w:spacing w:after="80"/>
        <w:jc w:val="center"/>
      </w:pPr>
      <w:r>
        <w:rPr>
          <w:i/>
          <w:iCs/>
          <w:color w:val="777777"/>
          <w:sz w:val="16"/>
          <w:szCs w:val="16"/>
        </w:rPr>
        <w:t xml:space="preserve">Open/High/Low overlays are indicative; close levels are corroborated.</w:t>
      </w:r>
    </w:p>
    <w:p>
      <w:pPr>
        <w:pStyle w:val="Heading1"/>
        <w:spacing w:after="120" w:before="240"/>
      </w:pPr>
      <w:r>
        <w:t xml:space="preserve">8 · Short-Term Technical Analysis</w:t>
      </w:r>
    </w:p>
    <w:p>
      <w:pPr>
        <w:spacing w:after="120"/>
        <w:jc w:val="both"/>
      </w:pPr>
      <w:r>
        <w:t xml:space="preserve">Session-by-session (see §6):</w:t>
      </w:r>
    </w:p>
    <w:p>
      <w:pPr>
        <w:pStyle w:val="ListParagraph"/>
        <w:numPr>
          <w:ilvl w:val="0"/>
          <w:numId w:val="2"/>
        </w:numPr>
        <w:spacing w:after="60"/>
      </w:pPr>
      <w:r>
        <w:rPr>
          <w:b/>
          <w:bCs/>
        </w:rPr>
        <w:t xml:space="preserve">Thu 21 May — </w:t>
      </w:r>
      <w:r>
        <w:t xml:space="preserve">modest down day into a soft close; body small, close mid-range. RSI2 elevated. Signals consolidation after the prior pullback to ~7,353.</w:t>
      </w:r>
    </w:p>
    <w:p>
      <w:pPr>
        <w:pStyle w:val="ListParagraph"/>
        <w:numPr>
          <w:ilvl w:val="0"/>
          <w:numId w:val="2"/>
        </w:numPr>
        <w:spacing w:after="60"/>
      </w:pPr>
      <w:r>
        <w:rPr>
          <w:b/>
          <w:bCs/>
        </w:rPr>
        <w:t xml:space="preserve">Fri 22 May — </w:t>
      </w:r>
      <w:r>
        <w:t xml:space="preserve">bullish day (+0.37%), close in the upper third of range, eighth consecutive weekly gain. RSI2 pushing higher — momentum re-engaging.</w:t>
      </w:r>
    </w:p>
    <w:p>
      <w:pPr>
        <w:pStyle w:val="ListParagraph"/>
        <w:numPr>
          <w:ilvl w:val="0"/>
          <w:numId w:val="2"/>
        </w:numPr>
        <w:spacing w:after="60"/>
      </w:pPr>
      <w:r>
        <w:rPr>
          <w:b/>
          <w:bCs/>
        </w:rPr>
        <w:t xml:space="preserve">Tue 26 May — </w:t>
      </w:r>
      <w:r>
        <w:t xml:space="preserve">strong bullish gap-and-go after the long weekend (+0.61%), record close, close near session high. RSI2 &gt;95 — overbought but trend-confirming.</w:t>
      </w:r>
    </w:p>
    <w:p>
      <w:pPr>
        <w:pStyle w:val="ListParagraph"/>
        <w:numPr>
          <w:ilvl w:val="0"/>
          <w:numId w:val="2"/>
        </w:numPr>
        <w:spacing w:after="60"/>
      </w:pPr>
      <w:r>
        <w:rPr>
          <w:b/>
          <w:bCs/>
        </w:rPr>
        <w:t xml:space="preserve">Wed 27 May — </w:t>
      </w:r>
      <w:r>
        <w:t xml:space="preserve">doji-like inside session (+0.02%), tiny body, narrow range. A pause at the highs rather than a reversal; RSI2 stays pinned.</w:t>
      </w:r>
    </w:p>
    <w:p>
      <w:pPr>
        <w:pStyle w:val="ListParagraph"/>
        <w:numPr>
          <w:ilvl w:val="0"/>
          <w:numId w:val="2"/>
        </w:numPr>
        <w:spacing w:after="60"/>
      </w:pPr>
      <w:r>
        <w:rPr>
          <w:b/>
          <w:bCs/>
        </w:rPr>
        <w:t xml:space="preserve">Thu 28 May — </w:t>
      </w:r>
      <w:r>
        <w:t xml:space="preserve">decisive bullish expansion (+0.59%) to a fresh record, close near the high. Confirms continuation; RSI2 ≈ 99.</w:t>
      </w:r>
    </w:p>
    <w:p>
      <w:pPr>
        <w:spacing w:after="120"/>
        <w:jc w:val="both"/>
      </w:pPr>
      <w:r>
        <w:rPr>
          <w:b/>
          <w:bCs/>
        </w:rPr>
        <w:t xml:space="preserve">Sequence assessment: </w:t>
      </w:r>
      <w:r>
        <w:t xml:space="preserve">Continuation. Three of five sessions close green with two consecutive record closes and a shallow mid-week pause; no distribution signature. </w:t>
      </w:r>
      <w:r>
        <w:rPr>
          <w:b/>
          <w:bCs/>
        </w:rPr>
        <w:t xml:space="preserve">Nearest resistance </w:t>
      </w:r>
      <w:r>
        <w:t xml:space="preserve">is the 28 May intraday high (~7,569) then round-number 7,600; </w:t>
      </w:r>
      <w:r>
        <w:rPr>
          <w:b/>
          <w:bCs/>
        </w:rPr>
        <w:t xml:space="preserve">nearest support </w:t>
      </w:r>
      <w:r>
        <w:t xml:space="preserve">is the 27 May / 26 May shelf (7,519–7,520), then 22 May close (7,473). </w:t>
      </w:r>
      <w:r>
        <w:rPr>
          <w:b/>
          <w:bCs/>
        </w:rPr>
        <w:t xml:space="preserve">Judgement label: </w:t>
      </w:r>
      <w:r>
        <w:rPr>
          <w:b/>
          <w:bCs/>
          <w:color w:val="1E7B34"/>
        </w:rPr>
        <w:t xml:space="preserve">Bullish continuation</w:t>
      </w:r>
      <w:r>
        <w:t xml:space="preserve">. This is consistent with the §9 trending-bullish regime; the only caveat is the overbought RSI2, flagged as reversal/mean-reversion risk rather than trend conflict.</w:t>
      </w:r>
    </w:p>
    <w:p>
      <w:pPr>
        <w:pStyle w:val="Heading1"/>
        <w:spacing w:after="120" w:before="240"/>
      </w:pPr>
      <w:r>
        <w:t xml:space="preserve">9 · Medium-Term Regime &amp; VOLator</w:t>
      </w:r>
    </w:p>
    <w:p>
      <w:pPr>
        <w:pStyle w:val="ListParagraph"/>
        <w:numPr>
          <w:ilvl w:val="0"/>
          <w:numId w:val="2"/>
        </w:numPr>
        <w:spacing w:after="60"/>
      </w:pPr>
      <w:r>
        <w:rPr>
          <w:b/>
          <w:bCs/>
        </w:rPr>
        <w:t xml:space="preserve">Regime: </w:t>
      </w:r>
      <w:r>
        <w:t xml:space="preserve">Trending. Supporting metrics — directional persistence high (successive higher closes), overlap ratio low, VOLator slope negative (volatility contracting), median RSI2 &gt;90, range-position bias to the upper band.</w:t>
      </w:r>
    </w:p>
    <w:p>
      <w:pPr>
        <w:pStyle w:val="ListParagraph"/>
        <w:numPr>
          <w:ilvl w:val="0"/>
          <w:numId w:val="2"/>
        </w:numPr>
        <w:spacing w:after="60"/>
      </w:pPr>
      <w:r>
        <w:rPr>
          <w:b/>
          <w:bCs/>
        </w:rPr>
        <w:t xml:space="preserve">Bias: </w:t>
      </w:r>
      <w:r>
        <w:t xml:space="preserve">Bullish.</w:t>
      </w:r>
    </w:p>
    <w:p>
      <w:pPr>
        <w:pStyle w:val="ListParagraph"/>
        <w:numPr>
          <w:ilvl w:val="0"/>
          <w:numId w:val="2"/>
        </w:numPr>
        <w:spacing w:after="60"/>
      </w:pPr>
      <w:r>
        <w:rPr>
          <w:b/>
          <w:bCs/>
        </w:rPr>
        <w:t xml:space="preserve">VOLator current (scaled −1..+1): </w:t>
      </w:r>
      <w:r>
        <w:t xml:space="preserve">S&amp;P 500 ≈ −0.15 (below midpoint, contracting); USDX ≈ −0.10 (below, contracting); VIX ≈ −0.45 (well below, contracting hard — risk-on); DAX 40 ≈ −0.05 (near midpoint).</w:t>
      </w:r>
    </w:p>
    <w:p>
      <w:pPr>
        <w:pStyle w:val="ListParagraph"/>
        <w:numPr>
          <w:ilvl w:val="0"/>
          <w:numId w:val="2"/>
        </w:numPr>
        <w:spacing w:after="60"/>
      </w:pPr>
      <w:r>
        <w:rPr>
          <w:b/>
          <w:bCs/>
        </w:rPr>
        <w:t xml:space="preserve">Preferred protocol: </w:t>
      </w:r>
      <w:r>
        <w:t xml:space="preserve">trend-following with pullback entries; avoid chasing extended closes given the overbought momentum profile. Short-term (§8) and medium-term reads agree — no conflict.</w:t>
      </w:r>
    </w:p>
    <w:p>
      <w:pPr>
        <w:pStyle w:val="ListParagraph"/>
        <w:numPr>
          <w:ilvl w:val="0"/>
          <w:numId w:val="2"/>
        </w:numPr>
        <w:spacing w:after="60"/>
      </w:pPr>
      <w:r>
        <w:rPr>
          <w:b/>
          <w:bCs/>
        </w:rPr>
        <w:t xml:space="preserve">Kaufman confirmation: </w:t>
      </w:r>
      <w:r>
        <w:t xml:space="preserve">KER ≈ 0.663 (well above the 0.13 trend threshold) → strongly trending. KER agrees with the regime; no override needed.</w:t>
      </w:r>
    </w:p>
    <w:p>
      <w:pPr>
        <w:pStyle w:val="Heading1"/>
        <w:spacing w:after="120" w:before="240"/>
      </w:pPr>
      <w:r>
        <w:t xml:space="preserve">10 · Cross-Asset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760"/>
        <w:gridCol w:w="1900"/>
        <w:gridCol w:w="2000"/>
      </w:tblGrid>
      <w:tr>
        <w:trPr>
          <w:tblHeader/>
        </w:trPr>
        <w:tc>
          <w:tcPr>
            <w:tcW w:type="dxa" w:w="1700"/>
            <w:tcBorders>
              <w:top w:val="single" w:color="CCCCCC" w:sz="1"/>
              <w:left w:val="single" w:color="CCCCCC" w:sz="1"/>
              <w:bottom w:val="single" w:color="CCCCCC" w:sz="1"/>
              <w:right w:val="single" w:color="CCCCCC" w:sz="1"/>
            </w:tcBorders>
            <w:shd w:fill="1F3864" w:val="clear"/>
            <w:tcMar>
              <w:top w:type="dxa" w:w="60"/>
              <w:left w:type="dxa" w:w="90"/>
              <w:bottom w:type="dxa" w:w="60"/>
              <w:right w:type="dxa" w:w="90"/>
            </w:tcMar>
          </w:tcPr>
          <w:p>
            <w:pPr>
              <w:jc w:val="left"/>
            </w:pPr>
            <w:r>
              <w:rPr>
                <w:b/>
                <w:bCs/>
                <w:color w:val="FFFFFF"/>
                <w:sz w:val="18"/>
                <w:szCs w:val="18"/>
              </w:rPr>
              <w:t xml:space="preserve">Counter</w:t>
            </w:r>
          </w:p>
        </w:tc>
        <w:tc>
          <w:tcPr>
            <w:tcW w:type="dxa" w:w="3760"/>
            <w:tcBorders>
              <w:top w:val="single" w:color="CCCCCC" w:sz="1"/>
              <w:left w:val="single" w:color="CCCCCC" w:sz="1"/>
              <w:bottom w:val="single" w:color="CCCCCC" w:sz="1"/>
              <w:right w:val="single" w:color="CCCCCC" w:sz="1"/>
            </w:tcBorders>
            <w:shd w:fill="1F3864" w:val="clear"/>
            <w:tcMar>
              <w:top w:type="dxa" w:w="60"/>
              <w:left w:type="dxa" w:w="90"/>
              <w:bottom w:type="dxa" w:w="60"/>
              <w:right w:type="dxa" w:w="90"/>
            </w:tcMar>
          </w:tcPr>
          <w:p>
            <w:pPr>
              <w:jc w:val="left"/>
            </w:pPr>
            <w:r>
              <w:rPr>
                <w:b/>
                <w:bCs/>
                <w:color w:val="FFFFFF"/>
                <w:sz w:val="18"/>
                <w:szCs w:val="18"/>
              </w:rPr>
              <w:t xml:space="preserve">Mechanism / 5-day direction</w:t>
            </w:r>
          </w:p>
        </w:tc>
        <w:tc>
          <w:tcPr>
            <w:tcW w:type="dxa" w:w="1900"/>
            <w:tcBorders>
              <w:top w:val="single" w:color="CCCCCC" w:sz="1"/>
              <w:left w:val="single" w:color="CCCCCC" w:sz="1"/>
              <w:bottom w:val="single" w:color="CCCCCC" w:sz="1"/>
              <w:right w:val="single" w:color="CCCCCC" w:sz="1"/>
            </w:tcBorders>
            <w:shd w:fill="1F3864" w:val="clear"/>
            <w:tcMar>
              <w:top w:type="dxa" w:w="60"/>
              <w:left w:type="dxa" w:w="90"/>
              <w:bottom w:type="dxa" w:w="60"/>
              <w:right w:type="dxa" w:w="90"/>
            </w:tcMar>
          </w:tcPr>
          <w:p>
            <w:pPr>
              <w:jc w:val="left"/>
            </w:pPr>
            <w:r>
              <w:rPr>
                <w:b/>
                <w:bCs/>
                <w:color w:val="FFFFFF"/>
                <w:sz w:val="18"/>
                <w:szCs w:val="18"/>
              </w:rPr>
              <w:t xml:space="preserve">Confirmation</w:t>
            </w:r>
          </w:p>
        </w:tc>
        <w:tc>
          <w:tcPr>
            <w:tcW w:type="dxa" w:w="2000"/>
            <w:tcBorders>
              <w:top w:val="single" w:color="CCCCCC" w:sz="1"/>
              <w:left w:val="single" w:color="CCCCCC" w:sz="1"/>
              <w:bottom w:val="single" w:color="CCCCCC" w:sz="1"/>
              <w:right w:val="single" w:color="CCCCCC" w:sz="1"/>
            </w:tcBorders>
            <w:shd w:fill="1F3864" w:val="clear"/>
            <w:tcMar>
              <w:top w:type="dxa" w:w="60"/>
              <w:left w:type="dxa" w:w="90"/>
              <w:bottom w:type="dxa" w:w="60"/>
              <w:right w:type="dxa" w:w="90"/>
            </w:tcMar>
          </w:tcPr>
          <w:p>
            <w:pPr>
              <w:jc w:val="left"/>
            </w:pPr>
            <w:r>
              <w:rPr>
                <w:b/>
                <w:bCs/>
                <w:color w:val="FFFFFF"/>
                <w:sz w:val="18"/>
                <w:szCs w:val="18"/>
              </w:rPr>
              <w:t xml:space="preserve">Implication for S&amp;P 500</w:t>
            </w:r>
          </w:p>
        </w:tc>
      </w:tr>
      <w:tr>
        <w:tc>
          <w:tcPr>
            <w:tcW w:type="dxa" w:w="170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1a1a1a"/>
                <w:sz w:val="18"/>
                <w:szCs w:val="18"/>
              </w:rPr>
              <w:t xml:space="preserve">USDX (Dollar Index)</w:t>
            </w:r>
          </w:p>
        </w:tc>
        <w:tc>
          <w:tcPr>
            <w:tcW w:type="dxa" w:w="376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1a1a1a"/>
                <w:sz w:val="18"/>
                <w:szCs w:val="18"/>
              </w:rPr>
              <w:t xml:space="preserve">Hovered above 99 all week, +0.06% on 28 May to 99.28 — mildly firmer. A stronger dollar is a translation headwind for multinational earnings.</w:t>
            </w:r>
          </w:p>
        </w:tc>
        <w:tc>
          <w:tcPr>
            <w:tcW w:type="dxa" w:w="190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1a1a1a"/>
                <w:sz w:val="18"/>
                <w:szCs w:val="18"/>
              </w:rPr>
              <w:t xml:space="preserve">Neutral</w:t>
            </w:r>
          </w:p>
        </w:tc>
        <w:tc>
          <w:tcPr>
            <w:tcW w:type="dxa" w:w="200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1a1a1a"/>
                <w:sz w:val="18"/>
                <w:szCs w:val="18"/>
              </w:rPr>
              <w:t xml:space="preserve">Mild headwind, not yet restrictive; secondary to the equity bid.</w:t>
            </w:r>
          </w:p>
        </w:tc>
      </w:tr>
      <w:tr>
        <w:tc>
          <w:tcPr>
            <w:tcW w:type="dxa" w:w="170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1a1a1a"/>
                <w:sz w:val="18"/>
                <w:szCs w:val="18"/>
              </w:rPr>
              <w:t xml:space="preserve">VIX</w:t>
            </w:r>
          </w:p>
        </w:tc>
        <w:tc>
          <w:tcPr>
            <w:tcW w:type="dxa" w:w="376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1a1a1a"/>
                <w:sz w:val="18"/>
                <w:szCs w:val="18"/>
              </w:rPr>
              <w:t xml:space="preserve">Fell to ~15.61 (−4.2%) on 28 May from 16.51 — implied vol compressing into records.</w:t>
            </w:r>
          </w:p>
        </w:tc>
        <w:tc>
          <w:tcPr>
            <w:tcW w:type="dxa" w:w="190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1a1a1a"/>
                <w:sz w:val="18"/>
                <w:szCs w:val="18"/>
              </w:rPr>
              <w:t xml:space="preserve">Confirms</w:t>
            </w:r>
          </w:p>
        </w:tc>
        <w:tc>
          <w:tcPr>
            <w:tcW w:type="dxa" w:w="200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1a1a1a"/>
                <w:sz w:val="18"/>
                <w:szCs w:val="18"/>
              </w:rPr>
              <w:t xml:space="preserve">Sub-20 VIX endorses the risk-on, trending-bullish regime.</w:t>
            </w:r>
          </w:p>
        </w:tc>
      </w:tr>
      <w:tr>
        <w:tc>
          <w:tcPr>
            <w:tcW w:type="dxa" w:w="170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1a1a1a"/>
                <w:sz w:val="18"/>
                <w:szCs w:val="18"/>
              </w:rPr>
              <w:t xml:space="preserve">DAX 40</w:t>
            </w:r>
          </w:p>
        </w:tc>
        <w:tc>
          <w:tcPr>
            <w:tcW w:type="dxa" w:w="376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1a1a1a"/>
                <w:sz w:val="18"/>
                <w:szCs w:val="18"/>
              </w:rPr>
              <w:t xml:space="preserve">Eased to 25,062–25,092 (−0.3 to −0.5%) — European equities soft while US makes records.</w:t>
            </w:r>
          </w:p>
        </w:tc>
        <w:tc>
          <w:tcPr>
            <w:tcW w:type="dxa" w:w="190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1a1a1a"/>
                <w:sz w:val="18"/>
                <w:szCs w:val="18"/>
              </w:rPr>
              <w:t xml:space="preserve">Neutral / mild contradiction</w:t>
            </w:r>
          </w:p>
        </w:tc>
        <w:tc>
          <w:tcPr>
            <w:tcW w:type="dxa" w:w="200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1a1a1a"/>
                <w:sz w:val="18"/>
                <w:szCs w:val="18"/>
              </w:rPr>
              <w:t xml:space="preserve">Slight divergence: US leadership not fully shared by Europe; watch for catch-down risk.</w:t>
            </w:r>
          </w:p>
        </w:tc>
      </w:tr>
    </w:tbl>
    <w:p>
      <w:pPr>
        <w:spacing w:after="120"/>
        <w:jc w:val="both"/>
      </w:pPr>
      <w:r>
        <w:rPr>
          <w:b/>
          <w:bCs/>
        </w:rPr>
        <w:t xml:space="preserve">Contradiction flag: </w:t>
      </w:r>
      <w:r>
        <w:rPr>
          <w:b/>
          <w:bCs/>
        </w:rPr>
        <w:t xml:space="preserve">DAX softness against US record-chasing is a mild non-confirmation</w:t>
      </w:r>
      <w:r>
        <w:t xml:space="preserve"> — carried unresolved into §15 and §16. VIX is the strongest confirming counter.</w:t>
      </w:r>
    </w:p>
    <w:p>
      <w:pPr>
        <w:pStyle w:val="Heading1"/>
        <w:spacing w:after="120" w:before="240"/>
      </w:pPr>
      <w:r>
        <w:t xml:space="preserve">11 · Floor Pivot Analysis</w:t>
      </w:r>
    </w:p>
    <w:p>
      <w:pPr>
        <w:pStyle w:val="Heading2"/>
        <w:spacing w:after="80" w:before="160"/>
      </w:pPr>
      <w:r>
        <w:t xml:space="preserve">Weekly pivots (from prior week H/L/C)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F3864" w:val="clear"/>
            <w:tcMar>
              <w:top w:type="dxa" w:w="60"/>
              <w:left w:type="dxa" w:w="90"/>
              <w:bottom w:type="dxa" w:w="60"/>
              <w:right w:type="dxa" w:w="90"/>
            </w:tcMar>
          </w:tcPr>
          <w:p>
            <w:pPr>
              <w:jc w:val="left"/>
            </w:pPr>
            <w:r>
              <w:rPr>
                <w:b/>
                <w:bCs/>
                <w:color w:val="FFFFFF"/>
                <w:sz w:val="18"/>
                <w:szCs w:val="18"/>
              </w:rPr>
              <w:t xml:space="preserve">Level</w:t>
            </w:r>
          </w:p>
        </w:tc>
        <w:tc>
          <w:tcPr>
            <w:tcW w:type="dxa" w:w="3120"/>
            <w:tcBorders>
              <w:top w:val="single" w:color="CCCCCC" w:sz="1"/>
              <w:left w:val="single" w:color="CCCCCC" w:sz="1"/>
              <w:bottom w:val="single" w:color="CCCCCC" w:sz="1"/>
              <w:right w:val="single" w:color="CCCCCC" w:sz="1"/>
            </w:tcBorders>
            <w:shd w:fill="1F3864" w:val="clear"/>
            <w:tcMar>
              <w:top w:type="dxa" w:w="60"/>
              <w:left w:type="dxa" w:w="90"/>
              <w:bottom w:type="dxa" w:w="60"/>
              <w:right w:type="dxa" w:w="90"/>
            </w:tcMar>
          </w:tcPr>
          <w:p>
            <w:pPr>
              <w:jc w:val="left"/>
            </w:pPr>
            <w:r>
              <w:rPr>
                <w:b/>
                <w:bCs/>
                <w:color w:val="FFFFFF"/>
                <w:sz w:val="18"/>
                <w:szCs w:val="18"/>
              </w:rPr>
              <w:t xml:space="preserve">Value</w:t>
            </w:r>
          </w:p>
        </w:tc>
        <w:tc>
          <w:tcPr>
            <w:tcW w:type="dxa" w:w="3120"/>
            <w:tcBorders>
              <w:top w:val="single" w:color="CCCCCC" w:sz="1"/>
              <w:left w:val="single" w:color="CCCCCC" w:sz="1"/>
              <w:bottom w:val="single" w:color="CCCCCC" w:sz="1"/>
              <w:right w:val="single" w:color="CCCCCC" w:sz="1"/>
            </w:tcBorders>
            <w:shd w:fill="1F3864" w:val="clear"/>
            <w:tcMar>
              <w:top w:type="dxa" w:w="60"/>
              <w:left w:type="dxa" w:w="90"/>
              <w:bottom w:type="dxa" w:w="60"/>
              <w:right w:type="dxa" w:w="90"/>
            </w:tcMar>
          </w:tcPr>
          <w:p>
            <w:pPr>
              <w:jc w:val="left"/>
            </w:pPr>
            <w:r>
              <w:rPr>
                <w:b/>
                <w:bCs/>
                <w:color w:val="FFFFFF"/>
                <w:sz w:val="18"/>
                <w:szCs w:val="18"/>
              </w:rPr>
              <w:t xml:space="preserve">Level / Value</w:t>
            </w:r>
          </w:p>
        </w:tc>
      </w:tr>
      <w:tr>
        <w:tc>
          <w:tcPr>
            <w:tcW w:type="dxa" w:w="312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1a1a1a"/>
                <w:sz w:val="18"/>
                <w:szCs w:val="18"/>
              </w:rPr>
              <w:t xml:space="preserve">R5</w:t>
            </w:r>
          </w:p>
        </w:tc>
        <w:tc>
          <w:tcPr>
            <w:tcW w:type="dxa" w:w="312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1a1a1a"/>
                <w:sz w:val="18"/>
                <w:szCs w:val="18"/>
              </w:rPr>
              <w:t xml:space="preserve">8071.98</w:t>
            </w:r>
          </w:p>
        </w:tc>
        <w:tc>
          <w:tcPr>
            <w:tcW w:type="dxa" w:w="312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1a1a1a"/>
                <w:sz w:val="18"/>
                <w:szCs w:val="18"/>
              </w:rPr>
              <w:t xml:space="preserve">S1   7355.98</w:t>
            </w:r>
          </w:p>
        </w:tc>
      </w:tr>
      <w:tr>
        <w:tc>
          <w:tcPr>
            <w:tcW w:type="dxa" w:w="312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1a1a1a"/>
                <w:sz w:val="18"/>
                <w:szCs w:val="18"/>
              </w:rPr>
              <w:t xml:space="preserve">R4</w:t>
            </w:r>
          </w:p>
        </w:tc>
        <w:tc>
          <w:tcPr>
            <w:tcW w:type="dxa" w:w="312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1a1a1a"/>
                <w:sz w:val="18"/>
                <w:szCs w:val="18"/>
              </w:rPr>
              <w:t xml:space="preserve">7892.98</w:t>
            </w:r>
          </w:p>
        </w:tc>
        <w:tc>
          <w:tcPr>
            <w:tcW w:type="dxa" w:w="312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1a1a1a"/>
                <w:sz w:val="18"/>
                <w:szCs w:val="18"/>
              </w:rPr>
              <w:t xml:space="preserve">S2   7238.49</w:t>
            </w:r>
          </w:p>
        </w:tc>
      </w:tr>
      <w:tr>
        <w:tc>
          <w:tcPr>
            <w:tcW w:type="dxa" w:w="312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1a1a1a"/>
                <w:sz w:val="18"/>
                <w:szCs w:val="18"/>
              </w:rPr>
              <w:t xml:space="preserve">R3</w:t>
            </w:r>
          </w:p>
        </w:tc>
        <w:tc>
          <w:tcPr>
            <w:tcW w:type="dxa" w:w="312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1a1a1a"/>
                <w:sz w:val="18"/>
                <w:szCs w:val="18"/>
              </w:rPr>
              <w:t xml:space="preserve">7713.98</w:t>
            </w:r>
          </w:p>
        </w:tc>
        <w:tc>
          <w:tcPr>
            <w:tcW w:type="dxa" w:w="312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1a1a1a"/>
                <w:sz w:val="18"/>
                <w:szCs w:val="18"/>
              </w:rPr>
              <w:t xml:space="preserve">S3   7176.98</w:t>
            </w:r>
          </w:p>
        </w:tc>
      </w:tr>
      <w:tr>
        <w:tc>
          <w:tcPr>
            <w:tcW w:type="dxa" w:w="312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1a1a1a"/>
                <w:sz w:val="18"/>
                <w:szCs w:val="18"/>
              </w:rPr>
              <w:t xml:space="preserve">R2</w:t>
            </w:r>
          </w:p>
        </w:tc>
        <w:tc>
          <w:tcPr>
            <w:tcW w:type="dxa" w:w="312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1a1a1a"/>
                <w:sz w:val="18"/>
                <w:szCs w:val="18"/>
              </w:rPr>
              <w:t xml:space="preserve">7596.49</w:t>
            </w:r>
          </w:p>
        </w:tc>
        <w:tc>
          <w:tcPr>
            <w:tcW w:type="dxa" w:w="312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1a1a1a"/>
                <w:sz w:val="18"/>
                <w:szCs w:val="18"/>
              </w:rPr>
              <w:t xml:space="preserve">S4   6997.98</w:t>
            </w:r>
          </w:p>
        </w:tc>
      </w:tr>
      <w:tr>
        <w:tc>
          <w:tcPr>
            <w:tcW w:type="dxa" w:w="312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1a1a1a"/>
                <w:sz w:val="18"/>
                <w:szCs w:val="18"/>
              </w:rPr>
              <w:t xml:space="preserve">R1</w:t>
            </w:r>
          </w:p>
        </w:tc>
        <w:tc>
          <w:tcPr>
            <w:tcW w:type="dxa" w:w="312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1a1a1a"/>
                <w:sz w:val="18"/>
                <w:szCs w:val="18"/>
              </w:rPr>
              <w:t xml:space="preserve">7534.98</w:t>
            </w:r>
          </w:p>
        </w:tc>
        <w:tc>
          <w:tcPr>
            <w:tcW w:type="dxa" w:w="312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1a1a1a"/>
                <w:sz w:val="18"/>
                <w:szCs w:val="18"/>
              </w:rPr>
              <w:t xml:space="preserve">S5   6818.98</w:t>
            </w:r>
          </w:p>
        </w:tc>
      </w:tr>
      <w:tr>
        <w:tc>
          <w:tcPr>
            <w:tcW w:type="dxa" w:w="312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bCs/>
                <w:sz w:val="18"/>
                <w:szCs w:val="18"/>
              </w:rPr>
              <w:t xml:space="preserve">P</w:t>
            </w:r>
          </w:p>
        </w:tc>
        <w:tc>
          <w:tcPr>
            <w:tcW w:type="dxa" w:w="312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bCs/>
                <w:sz w:val="18"/>
                <w:szCs w:val="18"/>
              </w:rPr>
              <w:t xml:space="preserve">7417.49</w:t>
            </w:r>
          </w:p>
        </w:tc>
        <w:tc>
          <w:tcPr>
            <w:tcW w:type="dxa" w:w="312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1a1a1a"/>
                <w:sz w:val="18"/>
                <w:szCs w:val="18"/>
              </w:rPr>
              <w:t xml:space="preserve"/>
            </w:r>
          </w:p>
        </w:tc>
      </w:tr>
    </w:tbl>
    <w:p>
      <w:pPr>
        <w:spacing w:after="120"/>
        <w:jc w:val="both"/>
      </w:pPr>
      <w:r>
        <w:rPr>
          <w:b/>
          <w:bCs/>
        </w:rPr>
        <w:t xml:space="preserve">Source status: </w:t>
      </w:r>
      <w:r>
        <w:t xml:space="preserve">prior-week H/L/C are single-source indicative on the intraday H/L; the weekly close is corroborated. Per protocol the weekly pivot tiers are therefore treated as indicative for level-based limit orders. Position narrative: the 28 May close (7,564.51) sits well above weekly P (7,417) and above R2/R3 — price is extended to the upside of the weekly pivot structure, consistent with a strong trend but stretched. Daily pivot for 29 May ≈ 7,551 (P); first daily support ≈ 7,519, first daily resistance ≈ 7,569. No three-timeframe confluence zone within 0.05%.</w:t>
      </w:r>
    </w:p>
    <w:p>
      <w:pPr>
        <w:pStyle w:val="Heading1"/>
        <w:spacing w:after="120" w:before="240"/>
      </w:pPr>
      <w:r>
        <w:t xml:space="preserve">12 · Key Market Considerations</w:t>
      </w:r>
    </w:p>
    <w:p>
      <w:pPr>
        <w:pStyle w:val="ListParagraph"/>
        <w:numPr>
          <w:ilvl w:val="0"/>
          <w:numId w:val="2"/>
        </w:numPr>
        <w:spacing w:after="60"/>
      </w:pPr>
      <w:r>
        <w:rPr>
          <w:b/>
          <w:bCs/>
        </w:rPr>
        <w:t xml:space="preserve">Catalysts / earnings (cyclical): </w:t>
      </w:r>
      <w:r>
        <w:t xml:space="preserve">AI software and infrastructure leadership (Microsoft, Oracle, Palantir +3–4%; Snowflake +30% on outlook) is the proximate bull driver; chip softness (Nvidia −1%) is a partial offset. Price-supportive on balance.</w:t>
      </w:r>
    </w:p>
    <w:p>
      <w:pPr>
        <w:pStyle w:val="ListParagraph"/>
        <w:numPr>
          <w:ilvl w:val="0"/>
          <w:numId w:val="2"/>
        </w:numPr>
        <w:spacing w:after="60"/>
      </w:pPr>
      <w:r>
        <w:rPr>
          <w:b/>
          <w:bCs/>
        </w:rPr>
        <w:t xml:space="preserve">Geopolitics / energy (cyclical): </w:t>
      </w:r>
      <w:r>
        <w:t xml:space="preserve">US–Iran 60-day ceasefire memorandum and prospective Strait of Hormuz reopening cooled oil (WTI ~$88–90), easing the inflation/margin overhang. Price-supportive, but headline-fragile (White House has at points disputed Iranian statements).</w:t>
      </w:r>
    </w:p>
    <w:p>
      <w:pPr>
        <w:pStyle w:val="ListParagraph"/>
        <w:numPr>
          <w:ilvl w:val="0"/>
          <w:numId w:val="2"/>
        </w:numPr>
        <w:spacing w:after="60"/>
      </w:pPr>
      <w:r>
        <w:rPr>
          <w:b/>
          <w:bCs/>
        </w:rPr>
        <w:t xml:space="preserve">Macro / policy (structural-leaning): </w:t>
      </w:r>
      <w:r>
        <w:t xml:space="preserve">PCE inflation printed a three-year high; markets price ~50% odds of a Fed hike by December. Price-negative — the key structural counterweight to the rally.</w:t>
      </w:r>
    </w:p>
    <w:p>
      <w:pPr>
        <w:pStyle w:val="ListParagraph"/>
        <w:numPr>
          <w:ilvl w:val="0"/>
          <w:numId w:val="2"/>
        </w:numPr>
        <w:spacing w:after="60"/>
      </w:pPr>
      <w:r>
        <w:rPr>
          <w:b/>
          <w:bCs/>
        </w:rPr>
        <w:t xml:space="preserve">Substitution / breadth: </w:t>
      </w:r>
      <w:r>
        <w:t xml:space="preserve">Russell 2000 broke above 2,900 for the first time and led on 26 May — broadening participation. Price-supportive.</w:t>
      </w:r>
    </w:p>
    <w:p>
      <w:pPr>
        <w:pStyle w:val="ListParagraph"/>
        <w:numPr>
          <w:ilvl w:val="0"/>
          <w:numId w:val="2"/>
        </w:numPr>
        <w:spacing w:after="60"/>
      </w:pPr>
      <w:r>
        <w:rPr>
          <w:b/>
          <w:bCs/>
        </w:rPr>
        <w:t xml:space="preserve">Near-term catalysts (see §13d): </w:t>
      </w:r>
      <w:r>
        <w:t xml:space="preserve">follow-through PCE commentary and Fedspeak, plus any concrete Iran-deal text, are the events most able to move the index within the 5-day horizon.</w:t>
      </w:r>
    </w:p>
    <w:p>
      <w:pPr>
        <w:pStyle w:val="Heading1"/>
        <w:spacing w:after="120" w:before="240"/>
      </w:pPr>
      <w:r>
        <w:t xml:space="preserve">13 · Sentiment, News &amp; Calendar</w:t>
      </w:r>
    </w:p>
    <w:p>
      <w:pPr>
        <w:pStyle w:val="Heading2"/>
        <w:spacing w:after="80" w:before="160"/>
      </w:pPr>
      <w:r>
        <w:t xml:space="preserve">13a · Per-Article Sentiment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300"/>
        <w:gridCol w:w="900"/>
        <w:gridCol w:w="2360"/>
        <w:gridCol w:w="1100"/>
        <w:gridCol w:w="1200"/>
      </w:tblGrid>
      <w:tr>
        <w:trPr>
          <w:tblHeader/>
        </w:trPr>
        <w:tc>
          <w:tcPr>
            <w:tcW w:type="dxa" w:w="1500"/>
            <w:tcBorders>
              <w:top w:val="single" w:color="CCCCCC" w:sz="1"/>
              <w:left w:val="single" w:color="CCCCCC" w:sz="1"/>
              <w:bottom w:val="single" w:color="CCCCCC" w:sz="1"/>
              <w:right w:val="single" w:color="CCCCCC" w:sz="1"/>
            </w:tcBorders>
            <w:shd w:fill="1F3864" w:val="clear"/>
            <w:tcMar>
              <w:top w:type="dxa" w:w="60"/>
              <w:left w:type="dxa" w:w="90"/>
              <w:bottom w:type="dxa" w:w="60"/>
              <w:right w:type="dxa" w:w="90"/>
            </w:tcMar>
          </w:tcPr>
          <w:p>
            <w:pPr>
              <w:jc w:val="left"/>
            </w:pPr>
            <w:r>
              <w:rPr>
                <w:b/>
                <w:bCs/>
                <w:color w:val="FFFFFF"/>
                <w:sz w:val="18"/>
                <w:szCs w:val="18"/>
              </w:rPr>
              <w:t xml:space="preserve">Source</w:t>
            </w:r>
          </w:p>
        </w:tc>
        <w:tc>
          <w:tcPr>
            <w:tcW w:type="dxa" w:w="2300"/>
            <w:tcBorders>
              <w:top w:val="single" w:color="CCCCCC" w:sz="1"/>
              <w:left w:val="single" w:color="CCCCCC" w:sz="1"/>
              <w:bottom w:val="single" w:color="CCCCCC" w:sz="1"/>
              <w:right w:val="single" w:color="CCCCCC" w:sz="1"/>
            </w:tcBorders>
            <w:shd w:fill="1F3864" w:val="clear"/>
            <w:tcMar>
              <w:top w:type="dxa" w:w="60"/>
              <w:left w:type="dxa" w:w="90"/>
              <w:bottom w:type="dxa" w:w="60"/>
              <w:right w:type="dxa" w:w="90"/>
            </w:tcMar>
          </w:tcPr>
          <w:p>
            <w:pPr>
              <w:jc w:val="left"/>
            </w:pPr>
            <w:r>
              <w:rPr>
                <w:b/>
                <w:bCs/>
                <w:color w:val="FFFFFF"/>
                <w:sz w:val="18"/>
                <w:szCs w:val="18"/>
              </w:rPr>
              <w:t xml:space="preserve">Headline (abridged)</w:t>
            </w:r>
          </w:p>
        </w:tc>
        <w:tc>
          <w:tcPr>
            <w:tcW w:type="dxa" w:w="900"/>
            <w:tcBorders>
              <w:top w:val="single" w:color="CCCCCC" w:sz="1"/>
              <w:left w:val="single" w:color="CCCCCC" w:sz="1"/>
              <w:bottom w:val="single" w:color="CCCCCC" w:sz="1"/>
              <w:right w:val="single" w:color="CCCCCC" w:sz="1"/>
            </w:tcBorders>
            <w:shd w:fill="1F3864" w:val="clear"/>
            <w:tcMar>
              <w:top w:type="dxa" w:w="60"/>
              <w:left w:type="dxa" w:w="90"/>
              <w:bottom w:type="dxa" w:w="60"/>
              <w:right w:type="dxa" w:w="90"/>
            </w:tcMar>
          </w:tcPr>
          <w:p>
            <w:pPr>
              <w:jc w:val="left"/>
            </w:pPr>
            <w:r>
              <w:rPr>
                <w:b/>
                <w:bCs/>
                <w:color w:val="FFFFFF"/>
                <w:sz w:val="18"/>
                <w:szCs w:val="18"/>
              </w:rPr>
              <w:t xml:space="preserve">Date</w:t>
            </w:r>
          </w:p>
        </w:tc>
        <w:tc>
          <w:tcPr>
            <w:tcW w:type="dxa" w:w="2360"/>
            <w:tcBorders>
              <w:top w:val="single" w:color="CCCCCC" w:sz="1"/>
              <w:left w:val="single" w:color="CCCCCC" w:sz="1"/>
              <w:bottom w:val="single" w:color="CCCCCC" w:sz="1"/>
              <w:right w:val="single" w:color="CCCCCC" w:sz="1"/>
            </w:tcBorders>
            <w:shd w:fill="1F3864" w:val="clear"/>
            <w:tcMar>
              <w:top w:type="dxa" w:w="60"/>
              <w:left w:type="dxa" w:w="90"/>
              <w:bottom w:type="dxa" w:w="60"/>
              <w:right w:type="dxa" w:w="90"/>
            </w:tcMar>
          </w:tcPr>
          <w:p>
            <w:pPr>
              <w:jc w:val="left"/>
            </w:pPr>
            <w:r>
              <w:rPr>
                <w:b/>
                <w:bCs/>
                <w:color w:val="FFFFFF"/>
                <w:sz w:val="18"/>
                <w:szCs w:val="18"/>
              </w:rPr>
              <w:t xml:space="preserve">Derivation quote (≤15w)</w:t>
            </w:r>
          </w:p>
        </w:tc>
        <w:tc>
          <w:tcPr>
            <w:tcW w:type="dxa" w:w="1100"/>
            <w:tcBorders>
              <w:top w:val="single" w:color="CCCCCC" w:sz="1"/>
              <w:left w:val="single" w:color="CCCCCC" w:sz="1"/>
              <w:bottom w:val="single" w:color="CCCCCC" w:sz="1"/>
              <w:right w:val="single" w:color="CCCCCC" w:sz="1"/>
            </w:tcBorders>
            <w:shd w:fill="1F3864" w:val="clear"/>
            <w:tcMar>
              <w:top w:type="dxa" w:w="60"/>
              <w:left w:type="dxa" w:w="90"/>
              <w:bottom w:type="dxa" w:w="60"/>
              <w:right w:type="dxa" w:w="90"/>
            </w:tcMar>
          </w:tcPr>
          <w:p>
            <w:pPr>
              <w:jc w:val="left"/>
            </w:pPr>
            <w:r>
              <w:rPr>
                <w:b/>
                <w:bCs/>
                <w:color w:val="FFFFFF"/>
                <w:sz w:val="18"/>
                <w:szCs w:val="18"/>
              </w:rPr>
              <w:t xml:space="preserve">Class.</w:t>
            </w:r>
          </w:p>
        </w:tc>
        <w:tc>
          <w:tcPr>
            <w:tcW w:type="dxa" w:w="1200"/>
            <w:tcBorders>
              <w:top w:val="single" w:color="CCCCCC" w:sz="1"/>
              <w:left w:val="single" w:color="CCCCCC" w:sz="1"/>
              <w:bottom w:val="single" w:color="CCCCCC" w:sz="1"/>
              <w:right w:val="single" w:color="CCCCCC" w:sz="1"/>
            </w:tcBorders>
            <w:shd w:fill="1F3864" w:val="clear"/>
            <w:tcMar>
              <w:top w:type="dxa" w:w="60"/>
              <w:left w:type="dxa" w:w="90"/>
              <w:bottom w:type="dxa" w:w="60"/>
              <w:right w:type="dxa" w:w="90"/>
            </w:tcMar>
          </w:tcPr>
          <w:p>
            <w:pPr>
              <w:jc w:val="left"/>
            </w:pPr>
            <w:r>
              <w:rPr>
                <w:b/>
                <w:bCs/>
                <w:color w:val="FFFFFF"/>
                <w:sz w:val="18"/>
                <w:szCs w:val="18"/>
              </w:rPr>
              <w:t xml:space="preserve">Sentiment</w:t>
            </w:r>
          </w:p>
        </w:tc>
      </w:tr>
      <w:tr>
        <w:tc>
          <w:tcPr>
            <w:tcW w:type="dxa" w:w="150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1a1a1a"/>
                <w:sz w:val="18"/>
                <w:szCs w:val="18"/>
              </w:rPr>
              <w:t xml:space="preserve">CNBC</w:t>
            </w:r>
          </w:p>
        </w:tc>
        <w:tc>
          <w:tcPr>
            <w:tcW w:type="dxa" w:w="230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1a1a1a"/>
                <w:sz w:val="18"/>
                <w:szCs w:val="18"/>
              </w:rPr>
              <w:t xml:space="preserve">S&amp;P 500 &amp; Nasdaq close at records, lifted by tech rally</w:t>
            </w:r>
          </w:p>
        </w:tc>
        <w:tc>
          <w:tcPr>
            <w:tcW w:type="dxa" w:w="90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1a1a1a"/>
                <w:sz w:val="18"/>
                <w:szCs w:val="18"/>
              </w:rPr>
              <w:t xml:space="preserve">28 May</w:t>
            </w:r>
          </w:p>
        </w:tc>
        <w:tc>
          <w:tcPr>
            <w:tcW w:type="dxa" w:w="236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1a1a1a"/>
                <w:sz w:val="18"/>
                <w:szCs w:val="18"/>
              </w:rPr>
              <w:t xml:space="preserve">“closed at records as tech resumed its leadership”</w:t>
            </w:r>
          </w:p>
        </w:tc>
        <w:tc>
          <w:tcPr>
            <w:tcW w:type="dxa" w:w="110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1a1a1a"/>
                <w:sz w:val="18"/>
                <w:szCs w:val="18"/>
              </w:rPr>
              <w:t xml:space="preserve">Media</w:t>
            </w:r>
          </w:p>
        </w:tc>
        <w:tc>
          <w:tcPr>
            <w:tcW w:type="dxa" w:w="120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1a1a1a"/>
                <w:sz w:val="18"/>
                <w:szCs w:val="18"/>
              </w:rPr>
              <w:t xml:space="preserve">Bullish</w:t>
            </w:r>
          </w:p>
        </w:tc>
      </w:tr>
      <w:tr>
        <w:tc>
          <w:tcPr>
            <w:tcW w:type="dxa" w:w="150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1a1a1a"/>
                <w:sz w:val="18"/>
                <w:szCs w:val="18"/>
              </w:rPr>
              <w:t xml:space="preserve">Trading Economics</w:t>
            </w:r>
          </w:p>
        </w:tc>
        <w:tc>
          <w:tcPr>
            <w:tcW w:type="dxa" w:w="230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1a1a1a"/>
                <w:sz w:val="18"/>
                <w:szCs w:val="18"/>
              </w:rPr>
              <w:t xml:space="preserve">S&amp;P 500 swung higher to a new record high</w:t>
            </w:r>
          </w:p>
        </w:tc>
        <w:tc>
          <w:tcPr>
            <w:tcW w:type="dxa" w:w="90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1a1a1a"/>
                <w:sz w:val="18"/>
                <w:szCs w:val="18"/>
              </w:rPr>
              <w:t xml:space="preserve">28 May</w:t>
            </w:r>
          </w:p>
        </w:tc>
        <w:tc>
          <w:tcPr>
            <w:tcW w:type="dxa" w:w="236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1a1a1a"/>
                <w:sz w:val="18"/>
                <w:szCs w:val="18"/>
              </w:rPr>
              <w:t xml:space="preserve">“swung higher to a new record high”</w:t>
            </w:r>
          </w:p>
        </w:tc>
        <w:tc>
          <w:tcPr>
            <w:tcW w:type="dxa" w:w="110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1a1a1a"/>
                <w:sz w:val="18"/>
                <w:szCs w:val="18"/>
              </w:rPr>
              <w:t xml:space="preserve">Trade Press</w:t>
            </w:r>
          </w:p>
        </w:tc>
        <w:tc>
          <w:tcPr>
            <w:tcW w:type="dxa" w:w="120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1a1a1a"/>
                <w:sz w:val="18"/>
                <w:szCs w:val="18"/>
              </w:rPr>
              <w:t xml:space="preserve">Bullish</w:t>
            </w:r>
          </w:p>
        </w:tc>
      </w:tr>
      <w:tr>
        <w:tc>
          <w:tcPr>
            <w:tcW w:type="dxa" w:w="150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1a1a1a"/>
                <w:sz w:val="18"/>
                <w:szCs w:val="18"/>
              </w:rPr>
              <w:t xml:space="preserve">CNBC</w:t>
            </w:r>
          </w:p>
        </w:tc>
        <w:tc>
          <w:tcPr>
            <w:tcW w:type="dxa" w:w="230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1a1a1a"/>
                <w:sz w:val="18"/>
                <w:szCs w:val="18"/>
              </w:rPr>
              <w:t xml:space="preserve">S&amp;P jumps to record as Micron leads tech rally</w:t>
            </w:r>
          </w:p>
        </w:tc>
        <w:tc>
          <w:tcPr>
            <w:tcW w:type="dxa" w:w="90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1a1a1a"/>
                <w:sz w:val="18"/>
                <w:szCs w:val="18"/>
              </w:rPr>
              <w:t xml:space="preserve">26 May</w:t>
            </w:r>
          </w:p>
        </w:tc>
        <w:tc>
          <w:tcPr>
            <w:tcW w:type="dxa" w:w="236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1a1a1a"/>
                <w:sz w:val="18"/>
                <w:szCs w:val="18"/>
              </w:rPr>
              <w:t xml:space="preserve">“new record close … led by technology”</w:t>
            </w:r>
          </w:p>
        </w:tc>
        <w:tc>
          <w:tcPr>
            <w:tcW w:type="dxa" w:w="110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1a1a1a"/>
                <w:sz w:val="18"/>
                <w:szCs w:val="18"/>
              </w:rPr>
              <w:t xml:space="preserve">Media</w:t>
            </w:r>
          </w:p>
        </w:tc>
        <w:tc>
          <w:tcPr>
            <w:tcW w:type="dxa" w:w="120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1a1a1a"/>
                <w:sz w:val="18"/>
                <w:szCs w:val="18"/>
              </w:rPr>
              <w:t xml:space="preserve">Bullish</w:t>
            </w:r>
          </w:p>
        </w:tc>
      </w:tr>
      <w:tr>
        <w:tc>
          <w:tcPr>
            <w:tcW w:type="dxa" w:w="150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1a1a1a"/>
                <w:sz w:val="18"/>
                <w:szCs w:val="18"/>
              </w:rPr>
              <w:t xml:space="preserve">TheStreet</w:t>
            </w:r>
          </w:p>
        </w:tc>
        <w:tc>
          <w:tcPr>
            <w:tcW w:type="dxa" w:w="230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1a1a1a"/>
                <w:sz w:val="18"/>
                <w:szCs w:val="18"/>
              </w:rPr>
              <w:t xml:space="preserve">Dow rises to record before holiday weekend</w:t>
            </w:r>
          </w:p>
        </w:tc>
        <w:tc>
          <w:tcPr>
            <w:tcW w:type="dxa" w:w="90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1a1a1a"/>
                <w:sz w:val="18"/>
                <w:szCs w:val="18"/>
              </w:rPr>
              <w:t xml:space="preserve">22 May</w:t>
            </w:r>
          </w:p>
        </w:tc>
        <w:tc>
          <w:tcPr>
            <w:tcW w:type="dxa" w:w="236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1a1a1a"/>
                <w:sz w:val="18"/>
                <w:szCs w:val="18"/>
              </w:rPr>
              <w:t xml:space="preserve">“eighth straight week of gains”</w:t>
            </w:r>
          </w:p>
        </w:tc>
        <w:tc>
          <w:tcPr>
            <w:tcW w:type="dxa" w:w="110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1a1a1a"/>
                <w:sz w:val="18"/>
                <w:szCs w:val="18"/>
              </w:rPr>
              <w:t xml:space="preserve">Media</w:t>
            </w:r>
          </w:p>
        </w:tc>
        <w:tc>
          <w:tcPr>
            <w:tcW w:type="dxa" w:w="120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1a1a1a"/>
                <w:sz w:val="18"/>
                <w:szCs w:val="18"/>
              </w:rPr>
              <w:t xml:space="preserve">Bullish</w:t>
            </w:r>
          </w:p>
        </w:tc>
      </w:tr>
      <w:tr>
        <w:tc>
          <w:tcPr>
            <w:tcW w:type="dxa" w:w="150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1a1a1a"/>
                <w:sz w:val="18"/>
                <w:szCs w:val="18"/>
              </w:rPr>
              <w:t xml:space="preserve">Motley Fool</w:t>
            </w:r>
          </w:p>
        </w:tc>
        <w:tc>
          <w:tcPr>
            <w:tcW w:type="dxa" w:w="230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1a1a1a"/>
                <w:sz w:val="18"/>
                <w:szCs w:val="18"/>
              </w:rPr>
              <w:t xml:space="preserve">Fed inflation update: good-news/bad-news for Wall St</w:t>
            </w:r>
          </w:p>
        </w:tc>
        <w:tc>
          <w:tcPr>
            <w:tcW w:type="dxa" w:w="90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1a1a1a"/>
                <w:sz w:val="18"/>
                <w:szCs w:val="18"/>
              </w:rPr>
              <w:t xml:space="preserve">26 May</w:t>
            </w:r>
          </w:p>
        </w:tc>
        <w:tc>
          <w:tcPr>
            <w:tcW w:type="dxa" w:w="236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1a1a1a"/>
                <w:sz w:val="18"/>
                <w:szCs w:val="18"/>
              </w:rPr>
              <w:t xml:space="preserve">“Inflation … fastest pace since 2023”</w:t>
            </w:r>
          </w:p>
        </w:tc>
        <w:tc>
          <w:tcPr>
            <w:tcW w:type="dxa" w:w="110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1a1a1a"/>
                <w:sz w:val="18"/>
                <w:szCs w:val="18"/>
              </w:rPr>
              <w:t xml:space="preserve">Media</w:t>
            </w:r>
          </w:p>
        </w:tc>
        <w:tc>
          <w:tcPr>
            <w:tcW w:type="dxa" w:w="120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1a1a1a"/>
                <w:sz w:val="18"/>
                <w:szCs w:val="18"/>
              </w:rPr>
              <w:t xml:space="preserve">Bearish</w:t>
            </w:r>
          </w:p>
        </w:tc>
      </w:tr>
      <w:tr>
        <w:tc>
          <w:tcPr>
            <w:tcW w:type="dxa" w:w="150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1a1a1a"/>
                <w:sz w:val="18"/>
                <w:szCs w:val="18"/>
              </w:rPr>
              <w:t xml:space="preserve">Reuters survey</w:t>
            </w:r>
          </w:p>
        </w:tc>
        <w:tc>
          <w:tcPr>
            <w:tcW w:type="dxa" w:w="230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1a1a1a"/>
                <w:sz w:val="18"/>
                <w:szCs w:val="18"/>
              </w:rPr>
              <w:t xml:space="preserve">S&amp;P 500 forecast to close ~7,490 in 2026</w:t>
            </w:r>
          </w:p>
        </w:tc>
        <w:tc>
          <w:tcPr>
            <w:tcW w:type="dxa" w:w="90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1a1a1a"/>
                <w:sz w:val="18"/>
                <w:szCs w:val="18"/>
              </w:rPr>
              <w:t xml:space="preserve">—</w:t>
            </w:r>
          </w:p>
        </w:tc>
        <w:tc>
          <w:tcPr>
            <w:tcW w:type="dxa" w:w="236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1a1a1a"/>
                <w:sz w:val="18"/>
                <w:szCs w:val="18"/>
              </w:rPr>
              <w:t xml:space="preserve">“eight see higher odds of a near-term pullback”</w:t>
            </w:r>
          </w:p>
        </w:tc>
        <w:tc>
          <w:tcPr>
            <w:tcW w:type="dxa" w:w="110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1a1a1a"/>
                <w:sz w:val="18"/>
                <w:szCs w:val="18"/>
              </w:rPr>
              <w:t xml:space="preserve">Institutional</w:t>
            </w:r>
          </w:p>
        </w:tc>
        <w:tc>
          <w:tcPr>
            <w:tcW w:type="dxa" w:w="120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1a1a1a"/>
                <w:sz w:val="18"/>
                <w:szCs w:val="18"/>
              </w:rPr>
              <w:t xml:space="preserve">Mixed</w:t>
            </w:r>
          </w:p>
        </w:tc>
      </w:tr>
    </w:tbl>
    <w:p>
      <w:pPr>
        <w:pStyle w:val="Heading2"/>
        <w:spacing w:after="80" w:before="160"/>
      </w:pPr>
      <w:r>
        <w:t xml:space="preserve">13b · Aggregate Sentiment</w:t>
      </w:r>
    </w:p>
    <w:p>
      <w:pPr>
        <w:spacing w:after="120"/>
        <w:jc w:val="both"/>
      </w:pPr>
      <w:r>
        <w:t xml:space="preserve">Counts: 4 Bullish (3 media, 1 trade press), 1 Bearish (media), 1 Mixed (institutional) = </w:t>
      </w:r>
      <w:r>
        <w:rPr>
          <w:b/>
          <w:bCs/>
        </w:rPr>
        <w:t xml:space="preserve">Predominantly Bullish</w:t>
      </w:r>
      <w:r>
        <w:t xml:space="preserve">. Numeric tilt (source-class weighted): </w:t>
      </w:r>
      <w:r>
        <w:rPr>
          <w:b/>
          <w:bCs/>
        </w:rPr>
        <w:t xml:space="preserve">+0.34</w:t>
      </w:r>
      <w:r>
        <w:t xml:space="preserve">. Divergence flag: sentiment agrees with price action and the §9 trending-bullish regime — no divergence. The lone institutional voice (Reuters strategist survey) is more cautious (near-term pullback odds), which tempers conviction without reversing it. Not low-confidence (≥3 articles).</w:t>
      </w:r>
    </w:p>
    <w:p>
      <w:pPr>
        <w:pStyle w:val="Heading2"/>
        <w:spacing w:after="80" w:before="160"/>
      </w:pPr>
      <w:r>
        <w:t xml:space="preserve">13c · News Calendar — Previous Period (21–28 May)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300"/>
        <w:gridCol w:w="2200"/>
        <w:gridCol w:w="900"/>
        <w:gridCol w:w="2660"/>
      </w:tblGrid>
      <w:tr>
        <w:trPr>
          <w:tblHeader/>
        </w:trPr>
        <w:tc>
          <w:tcPr>
            <w:tcW w:type="dxa" w:w="1300"/>
            <w:tcBorders>
              <w:top w:val="single" w:color="CCCCCC" w:sz="1"/>
              <w:left w:val="single" w:color="CCCCCC" w:sz="1"/>
              <w:bottom w:val="single" w:color="CCCCCC" w:sz="1"/>
              <w:right w:val="single" w:color="CCCCCC" w:sz="1"/>
            </w:tcBorders>
            <w:shd w:fill="1F3864" w:val="clear"/>
            <w:tcMar>
              <w:top w:type="dxa" w:w="60"/>
              <w:left w:type="dxa" w:w="90"/>
              <w:bottom w:type="dxa" w:w="60"/>
              <w:right w:type="dxa" w:w="90"/>
            </w:tcMar>
          </w:tcPr>
          <w:p>
            <w:pPr>
              <w:jc w:val="left"/>
            </w:pPr>
            <w:r>
              <w:rPr>
                <w:b/>
                <w:bCs/>
                <w:color w:val="FFFFFF"/>
                <w:sz w:val="18"/>
                <w:szCs w:val="18"/>
              </w:rPr>
              <w:t xml:space="preserve">Date</w:t>
            </w:r>
          </w:p>
        </w:tc>
        <w:tc>
          <w:tcPr>
            <w:tcW w:type="dxa" w:w="2300"/>
            <w:tcBorders>
              <w:top w:val="single" w:color="CCCCCC" w:sz="1"/>
              <w:left w:val="single" w:color="CCCCCC" w:sz="1"/>
              <w:bottom w:val="single" w:color="CCCCCC" w:sz="1"/>
              <w:right w:val="single" w:color="CCCCCC" w:sz="1"/>
            </w:tcBorders>
            <w:shd w:fill="1F3864" w:val="clear"/>
            <w:tcMar>
              <w:top w:type="dxa" w:w="60"/>
              <w:left w:type="dxa" w:w="90"/>
              <w:bottom w:type="dxa" w:w="60"/>
              <w:right w:type="dxa" w:w="90"/>
            </w:tcMar>
          </w:tcPr>
          <w:p>
            <w:pPr>
              <w:jc w:val="left"/>
            </w:pPr>
            <w:r>
              <w:rPr>
                <w:b/>
                <w:bCs/>
                <w:color w:val="FFFFFF"/>
                <w:sz w:val="18"/>
                <w:szCs w:val="18"/>
              </w:rPr>
              <w:t xml:space="preserve">Event</w:t>
            </w:r>
          </w:p>
        </w:tc>
        <w:tc>
          <w:tcPr>
            <w:tcW w:type="dxa" w:w="2200"/>
            <w:tcBorders>
              <w:top w:val="single" w:color="CCCCCC" w:sz="1"/>
              <w:left w:val="single" w:color="CCCCCC" w:sz="1"/>
              <w:bottom w:val="single" w:color="CCCCCC" w:sz="1"/>
              <w:right w:val="single" w:color="CCCCCC" w:sz="1"/>
            </w:tcBorders>
            <w:shd w:fill="1F3864" w:val="clear"/>
            <w:tcMar>
              <w:top w:type="dxa" w:w="60"/>
              <w:left w:type="dxa" w:w="90"/>
              <w:bottom w:type="dxa" w:w="60"/>
              <w:right w:type="dxa" w:w="90"/>
            </w:tcMar>
          </w:tcPr>
          <w:p>
            <w:pPr>
              <w:jc w:val="left"/>
            </w:pPr>
            <w:r>
              <w:rPr>
                <w:b/>
                <w:bCs/>
                <w:color w:val="FFFFFF"/>
                <w:sz w:val="18"/>
                <w:szCs w:val="18"/>
              </w:rPr>
              <w:t xml:space="preserve">Prior / context</w:t>
            </w:r>
          </w:p>
        </w:tc>
        <w:tc>
          <w:tcPr>
            <w:tcW w:type="dxa" w:w="900"/>
            <w:tcBorders>
              <w:top w:val="single" w:color="CCCCCC" w:sz="1"/>
              <w:left w:val="single" w:color="CCCCCC" w:sz="1"/>
              <w:bottom w:val="single" w:color="CCCCCC" w:sz="1"/>
              <w:right w:val="single" w:color="CCCCCC" w:sz="1"/>
            </w:tcBorders>
            <w:shd w:fill="1F3864" w:val="clear"/>
            <w:tcMar>
              <w:top w:type="dxa" w:w="60"/>
              <w:left w:type="dxa" w:w="90"/>
              <w:bottom w:type="dxa" w:w="60"/>
              <w:right w:type="dxa" w:w="90"/>
            </w:tcMar>
          </w:tcPr>
          <w:p>
            <w:pPr>
              <w:jc w:val="left"/>
            </w:pPr>
            <w:r>
              <w:rPr>
                <w:b/>
                <w:bCs/>
                <w:color w:val="FFFFFF"/>
                <w:sz w:val="18"/>
                <w:szCs w:val="18"/>
              </w:rPr>
              <w:t xml:space="preserve">Impact</w:t>
            </w:r>
          </w:p>
        </w:tc>
        <w:tc>
          <w:tcPr>
            <w:tcW w:type="dxa" w:w="2660"/>
            <w:tcBorders>
              <w:top w:val="single" w:color="CCCCCC" w:sz="1"/>
              <w:left w:val="single" w:color="CCCCCC" w:sz="1"/>
              <w:bottom w:val="single" w:color="CCCCCC" w:sz="1"/>
              <w:right w:val="single" w:color="CCCCCC" w:sz="1"/>
            </w:tcBorders>
            <w:shd w:fill="1F3864" w:val="clear"/>
            <w:tcMar>
              <w:top w:type="dxa" w:w="60"/>
              <w:left w:type="dxa" w:w="90"/>
              <w:bottom w:type="dxa" w:w="60"/>
              <w:right w:type="dxa" w:w="90"/>
            </w:tcMar>
          </w:tcPr>
          <w:p>
            <w:pPr>
              <w:jc w:val="left"/>
            </w:pPr>
            <w:r>
              <w:rPr>
                <w:b/>
                <w:bCs/>
                <w:color w:val="FFFFFF"/>
                <w:sz w:val="18"/>
                <w:szCs w:val="18"/>
              </w:rPr>
              <w:t xml:space="preserve">Implication for S&amp;P 500</w:t>
            </w:r>
          </w:p>
        </w:tc>
      </w:tr>
      <w:tr>
        <w:tc>
          <w:tcPr>
            <w:tcW w:type="dxa" w:w="130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1a1a1a"/>
                <w:sz w:val="18"/>
                <w:szCs w:val="18"/>
              </w:rPr>
              <w:t xml:space="preserve">Mon 18 May</w:t>
            </w:r>
          </w:p>
        </w:tc>
        <w:tc>
          <w:tcPr>
            <w:tcW w:type="dxa" w:w="230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1a1a1a"/>
                <w:sz w:val="18"/>
                <w:szCs w:val="18"/>
              </w:rPr>
              <w:t xml:space="preserve">10Y yield 1-yr high</w:t>
            </w:r>
          </w:p>
        </w:tc>
        <w:tc>
          <w:tcPr>
            <w:tcW w:type="dxa" w:w="220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1a1a1a"/>
                <w:sz w:val="18"/>
                <w:szCs w:val="18"/>
              </w:rPr>
              <w:t xml:space="preserve">Yields rising</w:t>
            </w:r>
          </w:p>
        </w:tc>
        <w:tc>
          <w:tcPr>
            <w:tcW w:type="dxa" w:w="90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1a1a1a"/>
                <w:sz w:val="18"/>
                <w:szCs w:val="18"/>
              </w:rPr>
              <w:t xml:space="preserve">High</w:t>
            </w:r>
          </w:p>
        </w:tc>
        <w:tc>
          <w:tcPr>
            <w:tcW w:type="dxa" w:w="266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1a1a1a"/>
                <w:sz w:val="18"/>
                <w:szCs w:val="18"/>
              </w:rPr>
              <w:t xml:space="preserve">Earlier-week drag; since reversed as yields eased.</w:t>
            </w:r>
          </w:p>
        </w:tc>
      </w:tr>
      <w:tr>
        <w:tc>
          <w:tcPr>
            <w:tcW w:type="dxa" w:w="130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1a1a1a"/>
                <w:sz w:val="18"/>
                <w:szCs w:val="18"/>
              </w:rPr>
              <w:t xml:space="preserve">Fri 22 May</w:t>
            </w:r>
          </w:p>
        </w:tc>
        <w:tc>
          <w:tcPr>
            <w:tcW w:type="dxa" w:w="230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1a1a1a"/>
                <w:sz w:val="18"/>
                <w:szCs w:val="18"/>
              </w:rPr>
              <w:t xml:space="preserve">8th straight weekly gain</w:t>
            </w:r>
          </w:p>
        </w:tc>
        <w:tc>
          <w:tcPr>
            <w:tcW w:type="dxa" w:w="220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1a1a1a"/>
                <w:sz w:val="18"/>
                <w:szCs w:val="18"/>
              </w:rPr>
              <w:t xml:space="preserve">Risk-on</w:t>
            </w:r>
          </w:p>
        </w:tc>
        <w:tc>
          <w:tcPr>
            <w:tcW w:type="dxa" w:w="90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1a1a1a"/>
                <w:sz w:val="18"/>
                <w:szCs w:val="18"/>
              </w:rPr>
              <w:t xml:space="preserve">Med</w:t>
            </w:r>
          </w:p>
        </w:tc>
        <w:tc>
          <w:tcPr>
            <w:tcW w:type="dxa" w:w="266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1a1a1a"/>
                <w:sz w:val="18"/>
                <w:szCs w:val="18"/>
              </w:rPr>
              <w:t xml:space="preserve">Confirmed bullish momentum into the long weekend.</w:t>
            </w:r>
          </w:p>
        </w:tc>
      </w:tr>
      <w:tr>
        <w:tc>
          <w:tcPr>
            <w:tcW w:type="dxa" w:w="130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1a1a1a"/>
                <w:sz w:val="18"/>
                <w:szCs w:val="18"/>
              </w:rPr>
              <w:t xml:space="preserve">Tue 26 May</w:t>
            </w:r>
          </w:p>
        </w:tc>
        <w:tc>
          <w:tcPr>
            <w:tcW w:type="dxa" w:w="230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1a1a1a"/>
                <w:sz w:val="18"/>
                <w:szCs w:val="18"/>
              </w:rPr>
              <w:t xml:space="preserve">Micron leads tech; record close</w:t>
            </w:r>
          </w:p>
        </w:tc>
        <w:tc>
          <w:tcPr>
            <w:tcW w:type="dxa" w:w="220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1a1a1a"/>
                <w:sz w:val="18"/>
                <w:szCs w:val="18"/>
              </w:rPr>
              <w:t xml:space="preserve">Risk-on</w:t>
            </w:r>
          </w:p>
        </w:tc>
        <w:tc>
          <w:tcPr>
            <w:tcW w:type="dxa" w:w="90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1a1a1a"/>
                <w:sz w:val="18"/>
                <w:szCs w:val="18"/>
              </w:rPr>
              <w:t xml:space="preserve">High</w:t>
            </w:r>
          </w:p>
        </w:tc>
        <w:tc>
          <w:tcPr>
            <w:tcW w:type="dxa" w:w="266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1a1a1a"/>
                <w:sz w:val="18"/>
                <w:szCs w:val="18"/>
              </w:rPr>
              <w:t xml:space="preserve">AI/semis bid drove +0.61% record.</w:t>
            </w:r>
          </w:p>
        </w:tc>
      </w:tr>
      <w:tr>
        <w:tc>
          <w:tcPr>
            <w:tcW w:type="dxa" w:w="130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1a1a1a"/>
                <w:sz w:val="18"/>
                <w:szCs w:val="18"/>
              </w:rPr>
              <w:t xml:space="preserve">Thu 28 May</w:t>
            </w:r>
          </w:p>
        </w:tc>
        <w:tc>
          <w:tcPr>
            <w:tcW w:type="dxa" w:w="230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1a1a1a"/>
                <w:sz w:val="18"/>
                <w:szCs w:val="18"/>
              </w:rPr>
              <w:t xml:space="preserve">PCE 3-yr high; jobless claims firm</w:t>
            </w:r>
          </w:p>
        </w:tc>
        <w:tc>
          <w:tcPr>
            <w:tcW w:type="dxa" w:w="220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1a1a1a"/>
                <w:sz w:val="18"/>
                <w:szCs w:val="18"/>
              </w:rPr>
              <w:t xml:space="preserve">Hawkish data</w:t>
            </w:r>
          </w:p>
        </w:tc>
        <w:tc>
          <w:tcPr>
            <w:tcW w:type="dxa" w:w="90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1a1a1a"/>
                <w:sz w:val="18"/>
                <w:szCs w:val="18"/>
              </w:rPr>
              <w:t xml:space="preserve">High</w:t>
            </w:r>
          </w:p>
        </w:tc>
        <w:tc>
          <w:tcPr>
            <w:tcW w:type="dxa" w:w="266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1a1a1a"/>
                <w:sz w:val="18"/>
                <w:szCs w:val="18"/>
              </w:rPr>
              <w:t xml:space="preserve">Index rose anyway — risk-on dominated hawkish data.</w:t>
            </w:r>
          </w:p>
        </w:tc>
      </w:tr>
    </w:tbl>
    <w:p>
      <w:pPr>
        <w:pStyle w:val="Heading2"/>
        <w:spacing w:after="80" w:before="160"/>
      </w:pPr>
      <w:r>
        <w:t xml:space="preserve">13d · News Calendar — Upcoming (next 5 sessions)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300"/>
        <w:gridCol w:w="2200"/>
        <w:gridCol w:w="900"/>
        <w:gridCol w:w="2660"/>
      </w:tblGrid>
      <w:tr>
        <w:trPr>
          <w:tblHeader/>
        </w:trPr>
        <w:tc>
          <w:tcPr>
            <w:tcW w:type="dxa" w:w="1300"/>
            <w:tcBorders>
              <w:top w:val="single" w:color="CCCCCC" w:sz="1"/>
              <w:left w:val="single" w:color="CCCCCC" w:sz="1"/>
              <w:bottom w:val="single" w:color="CCCCCC" w:sz="1"/>
              <w:right w:val="single" w:color="CCCCCC" w:sz="1"/>
            </w:tcBorders>
            <w:shd w:fill="1F3864" w:val="clear"/>
            <w:tcMar>
              <w:top w:type="dxa" w:w="60"/>
              <w:left w:type="dxa" w:w="90"/>
              <w:bottom w:type="dxa" w:w="60"/>
              <w:right w:type="dxa" w:w="90"/>
            </w:tcMar>
          </w:tcPr>
          <w:p>
            <w:pPr>
              <w:jc w:val="left"/>
            </w:pPr>
            <w:r>
              <w:rPr>
                <w:b/>
                <w:bCs/>
                <w:color w:val="FFFFFF"/>
                <w:sz w:val="18"/>
                <w:szCs w:val="18"/>
              </w:rPr>
              <w:t xml:space="preserve">Date</w:t>
            </w:r>
          </w:p>
        </w:tc>
        <w:tc>
          <w:tcPr>
            <w:tcW w:type="dxa" w:w="2300"/>
            <w:tcBorders>
              <w:top w:val="single" w:color="CCCCCC" w:sz="1"/>
              <w:left w:val="single" w:color="CCCCCC" w:sz="1"/>
              <w:bottom w:val="single" w:color="CCCCCC" w:sz="1"/>
              <w:right w:val="single" w:color="CCCCCC" w:sz="1"/>
            </w:tcBorders>
            <w:shd w:fill="1F3864" w:val="clear"/>
            <w:tcMar>
              <w:top w:type="dxa" w:w="60"/>
              <w:left w:type="dxa" w:w="90"/>
              <w:bottom w:type="dxa" w:w="60"/>
              <w:right w:type="dxa" w:w="90"/>
            </w:tcMar>
          </w:tcPr>
          <w:p>
            <w:pPr>
              <w:jc w:val="left"/>
            </w:pPr>
            <w:r>
              <w:rPr>
                <w:b/>
                <w:bCs/>
                <w:color w:val="FFFFFF"/>
                <w:sz w:val="18"/>
                <w:szCs w:val="18"/>
              </w:rPr>
              <w:t xml:space="preserve">Event</w:t>
            </w:r>
          </w:p>
        </w:tc>
        <w:tc>
          <w:tcPr>
            <w:tcW w:type="dxa" w:w="2200"/>
            <w:tcBorders>
              <w:top w:val="single" w:color="CCCCCC" w:sz="1"/>
              <w:left w:val="single" w:color="CCCCCC" w:sz="1"/>
              <w:bottom w:val="single" w:color="CCCCCC" w:sz="1"/>
              <w:right w:val="single" w:color="CCCCCC" w:sz="1"/>
            </w:tcBorders>
            <w:shd w:fill="1F3864" w:val="clear"/>
            <w:tcMar>
              <w:top w:type="dxa" w:w="60"/>
              <w:left w:type="dxa" w:w="90"/>
              <w:bottom w:type="dxa" w:w="60"/>
              <w:right w:type="dxa" w:w="90"/>
            </w:tcMar>
          </w:tcPr>
          <w:p>
            <w:pPr>
              <w:jc w:val="left"/>
            </w:pPr>
            <w:r>
              <w:rPr>
                <w:b/>
                <w:bCs/>
                <w:color w:val="FFFFFF"/>
                <w:sz w:val="18"/>
                <w:szCs w:val="18"/>
              </w:rPr>
              <w:t xml:space="preserve">Context</w:t>
            </w:r>
          </w:p>
        </w:tc>
        <w:tc>
          <w:tcPr>
            <w:tcW w:type="dxa" w:w="900"/>
            <w:tcBorders>
              <w:top w:val="single" w:color="CCCCCC" w:sz="1"/>
              <w:left w:val="single" w:color="CCCCCC" w:sz="1"/>
              <w:bottom w:val="single" w:color="CCCCCC" w:sz="1"/>
              <w:right w:val="single" w:color="CCCCCC" w:sz="1"/>
            </w:tcBorders>
            <w:shd w:fill="1F3864" w:val="clear"/>
            <w:tcMar>
              <w:top w:type="dxa" w:w="60"/>
              <w:left w:type="dxa" w:w="90"/>
              <w:bottom w:type="dxa" w:w="60"/>
              <w:right w:type="dxa" w:w="90"/>
            </w:tcMar>
          </w:tcPr>
          <w:p>
            <w:pPr>
              <w:jc w:val="left"/>
            </w:pPr>
            <w:r>
              <w:rPr>
                <w:b/>
                <w:bCs/>
                <w:color w:val="FFFFFF"/>
                <w:sz w:val="18"/>
                <w:szCs w:val="18"/>
              </w:rPr>
              <w:t xml:space="preserve">Impact</w:t>
            </w:r>
          </w:p>
        </w:tc>
        <w:tc>
          <w:tcPr>
            <w:tcW w:type="dxa" w:w="2660"/>
            <w:tcBorders>
              <w:top w:val="single" w:color="CCCCCC" w:sz="1"/>
              <w:left w:val="single" w:color="CCCCCC" w:sz="1"/>
              <w:bottom w:val="single" w:color="CCCCCC" w:sz="1"/>
              <w:right w:val="single" w:color="CCCCCC" w:sz="1"/>
            </w:tcBorders>
            <w:shd w:fill="1F3864" w:val="clear"/>
            <w:tcMar>
              <w:top w:type="dxa" w:w="60"/>
              <w:left w:type="dxa" w:w="90"/>
              <w:bottom w:type="dxa" w:w="60"/>
              <w:right w:type="dxa" w:w="90"/>
            </w:tcMar>
          </w:tcPr>
          <w:p>
            <w:pPr>
              <w:jc w:val="left"/>
            </w:pPr>
            <w:r>
              <w:rPr>
                <w:b/>
                <w:bCs/>
                <w:color w:val="FFFFFF"/>
                <w:sz w:val="18"/>
                <w:szCs w:val="18"/>
              </w:rPr>
              <w:t xml:space="preserve">Implication (beat / miss)</w:t>
            </w:r>
          </w:p>
        </w:tc>
      </w:tr>
      <w:tr>
        <w:tc>
          <w:tcPr>
            <w:tcW w:type="dxa" w:w="130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bCs/>
              </w:rPr>
              <w:t xml:space="preserve">Wk of 1 Jun</w:t>
            </w:r>
          </w:p>
        </w:tc>
        <w:tc>
          <w:tcPr>
            <w:tcW w:type="dxa" w:w="230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bCs/>
              </w:rPr>
              <w:t xml:space="preserve">Fedspeak + PCE follow-through</w:t>
            </w:r>
          </w:p>
        </w:tc>
        <w:tc>
          <w:tcPr>
            <w:tcW w:type="dxa" w:w="220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bCs/>
              </w:rPr>
              <w:t xml:space="preserve">Hawkish tilt; Dec-hike pricing ~50%</w:t>
            </w:r>
          </w:p>
        </w:tc>
        <w:tc>
          <w:tcPr>
            <w:tcW w:type="dxa" w:w="90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bCs/>
              </w:rPr>
              <w:t xml:space="preserve">High</w:t>
            </w:r>
          </w:p>
        </w:tc>
        <w:tc>
          <w:tcPr>
            <w:tcW w:type="dxa" w:w="266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bCs/>
              </w:rPr>
              <w:t xml:space="preserve">Hawkish surprise → equity pullback; dovish read → trend extends</w:t>
            </w:r>
          </w:p>
        </w:tc>
      </w:tr>
      <w:tr>
        <w:tc>
          <w:tcPr>
            <w:tcW w:type="dxa" w:w="130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1a1a1a"/>
                <w:sz w:val="18"/>
                <w:szCs w:val="18"/>
              </w:rPr>
              <w:t xml:space="preserve">Wk of 1 Jun</w:t>
            </w:r>
          </w:p>
        </w:tc>
        <w:tc>
          <w:tcPr>
            <w:tcW w:type="dxa" w:w="230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1a1a1a"/>
                <w:sz w:val="18"/>
                <w:szCs w:val="18"/>
              </w:rPr>
              <w:t xml:space="preserve">US–Iran deal text / Hormuz</w:t>
            </w:r>
          </w:p>
        </w:tc>
        <w:tc>
          <w:tcPr>
            <w:tcW w:type="dxa" w:w="220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1a1a1a"/>
                <w:sz w:val="18"/>
                <w:szCs w:val="18"/>
              </w:rPr>
              <w:t xml:space="preserve">Ceasefire memorandum live</w:t>
            </w:r>
          </w:p>
        </w:tc>
        <w:tc>
          <w:tcPr>
            <w:tcW w:type="dxa" w:w="90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1a1a1a"/>
                <w:sz w:val="18"/>
                <w:szCs w:val="18"/>
              </w:rPr>
              <w:t xml:space="preserve">High</w:t>
            </w:r>
          </w:p>
        </w:tc>
        <w:tc>
          <w:tcPr>
            <w:tcW w:type="dxa" w:w="266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1a1a1a"/>
                <w:sz w:val="18"/>
                <w:szCs w:val="18"/>
              </w:rPr>
              <w:t xml:space="preserve">Concrete de-escalation → risk-on; breakdown → oil/vol spike, equity risk-off.</w:t>
            </w:r>
          </w:p>
        </w:tc>
      </w:tr>
      <w:tr>
        <w:tc>
          <w:tcPr>
            <w:tcW w:type="dxa" w:w="130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1a1a1a"/>
                <w:sz w:val="18"/>
                <w:szCs w:val="18"/>
              </w:rPr>
              <w:t xml:space="preserve">Early Jun</w:t>
            </w:r>
          </w:p>
        </w:tc>
        <w:tc>
          <w:tcPr>
            <w:tcW w:type="dxa" w:w="230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1a1a1a"/>
                <w:sz w:val="18"/>
                <w:szCs w:val="18"/>
              </w:rPr>
              <w:t xml:space="preserve">ISM / labour data</w:t>
            </w:r>
          </w:p>
        </w:tc>
        <w:tc>
          <w:tcPr>
            <w:tcW w:type="dxa" w:w="220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1a1a1a"/>
                <w:sz w:val="18"/>
                <w:szCs w:val="18"/>
              </w:rPr>
              <w:t xml:space="preserve">Growth check</w:t>
            </w:r>
          </w:p>
        </w:tc>
        <w:tc>
          <w:tcPr>
            <w:tcW w:type="dxa" w:w="90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1a1a1a"/>
                <w:sz w:val="18"/>
                <w:szCs w:val="18"/>
              </w:rPr>
              <w:t xml:space="preserve">Med</w:t>
            </w:r>
          </w:p>
        </w:tc>
        <w:tc>
          <w:tcPr>
            <w:tcW w:type="dxa" w:w="266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1a1a1a"/>
                <w:sz w:val="18"/>
                <w:szCs w:val="18"/>
              </w:rPr>
              <w:t xml:space="preserve">Strong data with cooling inflation = ideal; hot data revives hike fear.</w:t>
            </w:r>
          </w:p>
        </w:tc>
      </w:tr>
    </w:tbl>
    <w:p>
      <w:pPr>
        <w:spacing w:after="120"/>
        <w:jc w:val="both"/>
      </w:pPr>
      <w:r>
        <w:t xml:space="preserve">Highest-impact upcoming event is bolded: </w:t>
      </w:r>
      <w:r>
        <w:rPr>
          <w:b/>
          <w:bCs/>
        </w:rPr>
        <w:t xml:space="preserve">Fedspeak / PCE follow-through</w:t>
      </w:r>
      <w:r>
        <w:t xml:space="preserve"> — a hawkish surprise is the most credible catalyst to flip the consensus from record-chasing to pullback.</w:t>
      </w:r>
    </w:p>
    <w:p>
      <w:pPr>
        <w:pStyle w:val="Heading1"/>
        <w:spacing w:after="120" w:before="240"/>
      </w:pPr>
      <w:r>
        <w:t xml:space="preserve">14 · Macro Context</w:t>
      </w:r>
    </w:p>
    <w:p>
      <w:pPr>
        <w:pStyle w:val="ListParagraph"/>
        <w:numPr>
          <w:ilvl w:val="0"/>
          <w:numId w:val="2"/>
        </w:numPr>
        <w:spacing w:after="60"/>
      </w:pPr>
      <w:r>
        <w:rPr>
          <w:b/>
          <w:bCs/>
        </w:rPr>
        <w:t xml:space="preserve">Rates / policy: </w:t>
      </w:r>
      <w:r>
        <w:t xml:space="preserve">hawkish lean; markets price ~even odds of a December Fed hike. Cross-referencing §10, VIX nonetheless fell — the equity market is discounting the hawkish risk for now. Watch item (§13d): Fedspeak.</w:t>
      </w:r>
    </w:p>
    <w:p>
      <w:pPr>
        <w:pStyle w:val="ListParagraph"/>
        <w:numPr>
          <w:ilvl w:val="0"/>
          <w:numId w:val="2"/>
        </w:numPr>
        <w:spacing w:after="60"/>
      </w:pPr>
      <w:r>
        <w:rPr>
          <w:b/>
          <w:bCs/>
        </w:rPr>
        <w:t xml:space="preserve">Inflation: </w:t>
      </w:r>
      <w:r>
        <w:t xml:space="preserve">PCE at a three-year high — price-negative for equities at the margin, the main structural counterweight.</w:t>
      </w:r>
    </w:p>
    <w:p>
      <w:pPr>
        <w:pStyle w:val="ListParagraph"/>
        <w:numPr>
          <w:ilvl w:val="0"/>
          <w:numId w:val="2"/>
        </w:numPr>
        <w:spacing w:after="60"/>
      </w:pPr>
      <w:r>
        <w:rPr>
          <w:b/>
          <w:bCs/>
        </w:rPr>
        <w:t xml:space="preserve">FX / liquidity: </w:t>
      </w:r>
      <w:r>
        <w:t xml:space="preserve">USDX (§10) firm above 99 — mild multinational-earnings headwind, not yet restrictive.</w:t>
      </w:r>
    </w:p>
    <w:p>
      <w:pPr>
        <w:pStyle w:val="ListParagraph"/>
        <w:numPr>
          <w:ilvl w:val="0"/>
          <w:numId w:val="2"/>
        </w:numPr>
        <w:spacing w:after="60"/>
      </w:pPr>
      <w:r>
        <w:rPr>
          <w:b/>
          <w:bCs/>
        </w:rPr>
        <w:t xml:space="preserve">Energy: </w:t>
      </w:r>
      <w:r>
        <w:t xml:space="preserve">oil cooling on the Iran memorandum eases the inflation channel — supportive for equity multiples.</w:t>
      </w:r>
    </w:p>
    <w:p>
      <w:pPr>
        <w:pStyle w:val="ListParagraph"/>
        <w:numPr>
          <w:ilvl w:val="0"/>
          <w:numId w:val="2"/>
        </w:numPr>
        <w:spacing w:after="60"/>
      </w:pPr>
      <w:r>
        <w:rPr>
          <w:b/>
          <w:bCs/>
        </w:rPr>
        <w:t xml:space="preserve">Positioning / vol: </w:t>
      </w:r>
      <w:r>
        <w:t xml:space="preserve">VIX ~15.6 (sub-20) signals complacency; combined with RSI2 ≈ 99, positioning is stretched long — a fragility flag if a hawkish catalyst lands.</w:t>
      </w:r>
    </w:p>
    <w:p>
      <w:pPr>
        <w:pStyle w:val="Heading1"/>
        <w:spacing w:after="120" w:before="240"/>
      </w:pPr>
      <w:r>
        <w:t xml:space="preserve">15 · Bull / Bear Balance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F3864" w:val="clear"/>
            <w:tcMar>
              <w:top w:type="dxa" w:w="60"/>
              <w:left w:type="dxa" w:w="90"/>
              <w:bottom w:type="dxa" w:w="60"/>
              <w:right w:type="dxa" w:w="90"/>
            </w:tcMar>
          </w:tcPr>
          <w:p>
            <w:pPr>
              <w:jc w:val="left"/>
            </w:pPr>
            <w:r>
              <w:rPr>
                <w:b/>
                <w:bCs/>
                <w:color w:val="FFFFFF"/>
                <w:sz w:val="18"/>
                <w:szCs w:val="18"/>
              </w:rPr>
              <w:t xml:space="preserve">Upside risks</w:t>
            </w:r>
          </w:p>
        </w:tc>
        <w:tc>
          <w:tcPr>
            <w:tcW w:type="dxa" w:w="4680"/>
            <w:tcBorders>
              <w:top w:val="single" w:color="CCCCCC" w:sz="1"/>
              <w:left w:val="single" w:color="CCCCCC" w:sz="1"/>
              <w:bottom w:val="single" w:color="CCCCCC" w:sz="1"/>
              <w:right w:val="single" w:color="CCCCCC" w:sz="1"/>
            </w:tcBorders>
            <w:shd w:fill="1F3864" w:val="clear"/>
            <w:tcMar>
              <w:top w:type="dxa" w:w="60"/>
              <w:left w:type="dxa" w:w="90"/>
              <w:bottom w:type="dxa" w:w="60"/>
              <w:right w:type="dxa" w:w="90"/>
            </w:tcMar>
          </w:tcPr>
          <w:p>
            <w:pPr>
              <w:jc w:val="left"/>
            </w:pPr>
            <w:r>
              <w:rPr>
                <w:b/>
                <w:bCs/>
                <w:color w:val="FFFFFF"/>
                <w:sz w:val="18"/>
                <w:szCs w:val="18"/>
              </w:rPr>
              <w:t xml:space="preserve">Downside risks</w:t>
            </w:r>
          </w:p>
        </w:tc>
      </w:tr>
      <w:tr>
        <w:tc>
          <w:tcPr>
            <w:tcW w:type="dxa" w:w="468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1a1a1a"/>
                <w:sz w:val="18"/>
                <w:szCs w:val="18"/>
              </w:rPr>
              <w:t xml:space="preserve">Trend + breadth: record closes with Russell 2000 &gt;2,900; KER strongly trending.</w:t>
            </w:r>
          </w:p>
        </w:tc>
        <w:tc>
          <w:tcPr>
            <w:tcW w:type="dxa" w:w="468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1a1a1a"/>
                <w:sz w:val="18"/>
                <w:szCs w:val="18"/>
              </w:rPr>
              <w:t xml:space="preserve">Overbought: RSI2 ≈ 99; price extended above weekly R2/R3 (§11) — mean-reversion risk.</w:t>
            </w:r>
          </w:p>
        </w:tc>
      </w:tr>
      <w:tr>
        <w:tc>
          <w:tcPr>
            <w:tcW w:type="dxa" w:w="468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1a1a1a"/>
                <w:sz w:val="18"/>
                <w:szCs w:val="18"/>
              </w:rPr>
              <w:t xml:space="preserve">Vol compression: VIX &lt;16 endorses risk-on.</w:t>
            </w:r>
          </w:p>
        </w:tc>
        <w:tc>
          <w:tcPr>
            <w:tcW w:type="dxa" w:w="468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1a1a1a"/>
                <w:sz w:val="18"/>
                <w:szCs w:val="18"/>
              </w:rPr>
              <w:t xml:space="preserve">Hawkish inflation: PCE 3-yr high; ~50% Dec-hike odds (§13d top event).</w:t>
            </w:r>
          </w:p>
        </w:tc>
      </w:tr>
      <w:tr>
        <w:tc>
          <w:tcPr>
            <w:tcW w:type="dxa" w:w="468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1a1a1a"/>
                <w:sz w:val="18"/>
                <w:szCs w:val="18"/>
              </w:rPr>
              <w:t xml:space="preserve">Geopolitics easing: Iran ceasefire memorandum, oil cooling.</w:t>
            </w:r>
          </w:p>
        </w:tc>
        <w:tc>
          <w:tcPr>
            <w:tcW w:type="dxa" w:w="468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1a1a1a"/>
                <w:sz w:val="18"/>
                <w:szCs w:val="18"/>
              </w:rPr>
              <w:t xml:space="preserve">Cross-asset non-confirmation: DAX soft vs US records (§10); headline-fragile Iran deal.</w:t>
            </w:r>
          </w:p>
        </w:tc>
      </w:tr>
    </w:tbl>
    <w:p>
      <w:pPr>
        <w:pStyle w:val="Heading1"/>
        <w:spacing w:after="120" w:before="240"/>
      </w:pPr>
      <w:r>
        <w:t xml:space="preserve">16 · Forward View</w:t>
      </w:r>
    </w:p>
    <w:p>
      <w:pPr>
        <w:spacing w:after="120"/>
        <w:jc w:val="both"/>
      </w:pPr>
      <w:r>
        <w:rPr>
          <w:b/>
          <w:bCs/>
        </w:rPr>
        <w:t xml:space="preserve">Expected direction (next 5 sessions): </w:t>
      </w:r>
      <w:r>
        <w:t xml:space="preserve">higher with rising volatility risk. The trending-bullish regime (§9) and bullish-continuation label (§8) favour further upside toward 7,600–7,650, but the overbought momentum profile and the hawkish PCE backdrop (§13d) make a 1–2% mean-reversion dip toward the 7,473–7,519 support shelf the most likely interruption. </w:t>
      </w:r>
      <w:r>
        <w:rPr>
          <w:b/>
          <w:bCs/>
        </w:rPr>
        <w:t xml:space="preserve">Expected trading range: </w:t>
      </w:r>
      <w:r>
        <w:t xml:space="preserve">≈ 7,470 – 7,640. </w:t>
      </w:r>
      <w:r>
        <w:rPr>
          <w:b/>
          <w:bCs/>
        </w:rPr>
        <w:t xml:space="preserve">Base-case invalidation: </w:t>
      </w:r>
      <w:r>
        <w:t xml:space="preserve">a daily close back below 7,473 (22 May close / weekly structure) would break the continuation thesis and shift the read to range/exhaustion. This view respects the §9 regime; the only flagged tension is the DAX non-confirmation (§10) and the inflation watch item (§13d).</w:t>
      </w:r>
    </w:p>
    <w:p>
      <w:pPr>
        <w:pStyle w:val="Heading1"/>
        <w:spacing w:after="120" w:before="240"/>
      </w:pPr>
      <w:r>
        <w:t xml:space="preserve">17 · Forecast</w:t>
      </w:r>
    </w:p>
    <w:p>
      <w:pPr>
        <w:spacing w:after="120"/>
        <w:jc w:val="both"/>
      </w:pPr>
      <w:r>
        <w:rPr>
          <w:i/>
          <w:iCs/>
        </w:rPr>
        <w:t xml:space="preserve">Anchored at 7,564.51 and supported by a strongly trending regime, sub-16 VIX and predominantly bullish sentiment (tilt +0.34), the S&amp;P 500 is biased to extend toward 7,600–7,650 over the coming sessions, with an overbought RSI2 leaving a shallow pullback to the 7,500 area as the primary near-term risk.</w:t>
      </w:r>
    </w:p>
    <w:p>
      <w:pPr>
        <w:pStyle w:val="Heading1"/>
        <w:spacing w:after="120" w:before="240"/>
      </w:pPr>
      <w:r>
        <w:t xml:space="preserve">18 · Final Analyst Judgement</w:t>
      </w:r>
    </w:p>
    <w:p>
      <w:pPr>
        <w:spacing w:after="120"/>
        <w:jc w:val="both"/>
      </w:pPr>
      <w:r>
        <w:rPr>
          <w:b/>
          <w:bCs/>
        </w:rPr>
        <w:t xml:space="preserve">Consensus price call: </w:t>
      </w:r>
      <w:r>
        <w:t xml:space="preserve">7,564.51 (28 May official close), confidence High. </w:t>
      </w:r>
    </w:p>
    <w:p>
      <w:pPr>
        <w:pStyle w:val="ListParagraph"/>
        <w:numPr>
          <w:ilvl w:val="0"/>
          <w:numId w:val="2"/>
        </w:numPr>
        <w:spacing w:after="60"/>
      </w:pPr>
      <w:r>
        <w:t xml:space="preserve">Three reasons: strongly trending regime with record closes and broadening breadth; vol compression (VIX &lt;16) endorsing risk-on; predominantly bullish sentiment with easing geopolitical/energy risk.</w:t>
      </w:r>
    </w:p>
    <w:p>
      <w:pPr>
        <w:pStyle w:val="ListParagraph"/>
        <w:numPr>
          <w:ilvl w:val="0"/>
          <w:numId w:val="2"/>
        </w:numPr>
        <w:spacing w:after="60"/>
      </w:pPr>
      <w:r>
        <w:rPr>
          <w:b/>
          <w:bCs/>
        </w:rPr>
        <w:t xml:space="preserve">Single watch item: </w:t>
      </w:r>
      <w:r>
        <w:t xml:space="preserve">Fedspeak / PCE inflation follow-through (§13d) against an overbought tape — the most credible trigger for a reversal.</w:t>
      </w:r>
    </w:p>
    <w:p>
      <w:pPr>
        <w:pStyle w:val="Heading1"/>
        <w:spacing w:after="120" w:before="240"/>
      </w:pPr>
      <w:r>
        <w:t xml:space="preserve">19 · Source Discipline Note</w:t>
      </w:r>
    </w:p>
    <w:p>
      <w:pPr>
        <w:pStyle w:val="ListParagraph"/>
        <w:numPr>
          <w:ilvl w:val="0"/>
          <w:numId w:val="2"/>
        </w:numPr>
        <w:spacing w:after="60"/>
      </w:pPr>
      <w:r>
        <w:rPr>
          <w:b/>
          <w:bCs/>
        </w:rPr>
        <w:t xml:space="preserve">Live vs indicative: </w:t>
      </w:r>
      <w:r>
        <w:t xml:space="preserve">all five session closes are CORROBORATED (≥2 independent sources within ±0.10 pt). Open/High/Low fields are single-source indicative and excluded from definitive pivot inputs.</w:t>
      </w:r>
    </w:p>
    <w:p>
      <w:pPr>
        <w:pStyle w:val="ListParagraph"/>
        <w:numPr>
          <w:ilvl w:val="0"/>
          <w:numId w:val="2"/>
        </w:numPr>
        <w:spacing w:after="60"/>
      </w:pPr>
      <w:r>
        <w:rPr>
          <w:b/>
          <w:bCs/>
        </w:rPr>
        <w:t xml:space="preserve">Corroboration status by instrument: </w:t>
      </w:r>
      <w:r>
        <w:t xml:space="preserve">S&amp;P 500 close — corroborated; USDX, VIX, DAX 40 reads — corroborated on close/direction. Weekly &amp; monthly pivot prior H/L are single-source indicative (intraday extremes not dual-sourced).</w:t>
      </w:r>
    </w:p>
    <w:p>
      <w:pPr>
        <w:pStyle w:val="ListParagraph"/>
        <w:numPr>
          <w:ilvl w:val="0"/>
          <w:numId w:val="2"/>
        </w:numPr>
        <w:spacing w:after="60"/>
      </w:pPr>
      <w:r>
        <w:rPr>
          <w:b/>
          <w:bCs/>
        </w:rPr>
        <w:t xml:space="preserve">Data gaps: </w:t>
      </w:r>
      <w:r>
        <w:t xml:space="preserve">programmatic CSV endpoints (Stooq/Twelve Data) and full intraday OHLC were not retrievable in this environment; the analyst proceeded on corroborated closes per the run instruction to remain lenient on corroboration and not suppress strategies. Normalization: none required (native points/USD/cash basis).</w:t>
      </w:r>
    </w:p>
    <w:p>
      <w:pPr>
        <w:pStyle w:val="Heading1"/>
        <w:spacing w:after="120" w:before="240"/>
      </w:pPr>
      <w:r>
        <w:t xml:space="preserve">20 · Agent Log</w:t>
      </w:r>
    </w:p>
    <w:p>
      <w:pPr>
        <w:pStyle w:val="ListParagraph"/>
        <w:numPr>
          <w:ilvl w:val="0"/>
          <w:numId w:val="2"/>
        </w:numPr>
        <w:spacing w:after="60"/>
      </w:pPr>
      <w:r>
        <w:t xml:space="preserve">Sources attempted (close): S&amp;P Dow Jones Indices, FRED, Yahoo Finance, CNBC, Trading Economics, TheStreet/Motley Fool. Outcome: 28 May close corroborated (SPDJI × FRED/Yahoo/CNBC), delta 0.00 pt, tolerance ±0.10 pt (equity index).</w:t>
      </w:r>
    </w:p>
    <w:p>
      <w:pPr>
        <w:pStyle w:val="ListParagraph"/>
        <w:numPr>
          <w:ilvl w:val="0"/>
          <w:numId w:val="2"/>
        </w:numPr>
        <w:spacing w:after="60"/>
      </w:pPr>
      <w:r>
        <w:t xml:space="preserve">Stooq / Twelve Data CSV endpoints: not reachable in sandbox (network restriction) — logged as failed, fell through to web sources.</w:t>
      </w:r>
    </w:p>
    <w:p>
      <w:pPr>
        <w:pStyle w:val="ListParagraph"/>
        <w:numPr>
          <w:ilvl w:val="0"/>
          <w:numId w:val="2"/>
        </w:numPr>
        <w:spacing w:after="60"/>
      </w:pPr>
      <w:r>
        <w:t xml:space="preserve">Anchor override: the daily-open anchor value supplied in the instance file was overridden at run time per the operator instruction; reporting session set to 29 May 2026 anchored on the 28 May close. No other instance variables altered.</w:t>
      </w:r>
    </w:p>
    <w:p>
      <w:pPr>
        <w:pStyle w:val="ListParagraph"/>
        <w:numPr>
          <w:ilvl w:val="0"/>
          <w:numId w:val="2"/>
        </w:numPr>
        <w:spacing w:after="60"/>
      </w:pPr>
      <w:r>
        <w:t xml:space="preserve">Direction-score weights basis: defaults (matched v2.1 baseline). No tuning applied (forward-test session 1; weight-lock in force).</w:t>
      </w:r>
    </w:p>
    <w:p>
      <w:pPr>
        <w:pStyle w:val="ListParagraph"/>
        <w:numPr>
          <w:ilvl w:val="0"/>
          <w:numId w:val="2"/>
        </w:numPr>
        <w:spacing w:after="60"/>
      </w:pPr>
      <w:r>
        <w:t xml:space="preserve">Sentiment derivation: 6 articles, source-class-weighted tilt = +0.34; categorical Predominantly Bullish; not low-confidence.</w:t>
      </w:r>
    </w:p>
    <w:p>
      <w:pPr>
        <w:pStyle w:val="ListParagraph"/>
        <w:numPr>
          <w:ilvl w:val="0"/>
          <w:numId w:val="2"/>
        </w:numPr>
        <w:spacing w:after="60"/>
      </w:pPr>
      <w:r>
        <w:t xml:space="preserve">Backtest reconstruction: 5 sessions replayed at t−1 closes; sentiment/regime/ATR/pivots recomputed without forward leakage; OHLC intraday fields indicative.</w:t>
      </w:r>
    </w:p>
    <w:p>
      <w:pPr>
        <w:pStyle w:val="ListParagraph"/>
        <w:numPr>
          <w:ilvl w:val="0"/>
          <w:numId w:val="2"/>
        </w:numPr>
        <w:spacing w:after="60"/>
      </w:pPr>
      <w:r>
        <w:t xml:space="preserve">Forecast reasoning: trending regime + VIX compression + bullish tilt → upside bias; overbought RSI2 → pullback caveat. Anomaly: DAX non-confirmation (§10) carried unresolved. Run timestamp: 29 May 2026 (UK).</w:t>
      </w:r>
    </w:p>
    <w:p>
      <w:pPr>
        <w:pStyle w:val="Heading1"/>
        <w:spacing w:after="120" w:before="240"/>
      </w:pPr>
      <w:r>
        <w:t xml:space="preserve">21 · Strategy Recommendations</w:t>
      </w:r>
    </w:p>
    <w:p>
      <w:pPr>
        <w:pStyle w:val="Heading2"/>
        <w:spacing w:after="80" w:before="160"/>
      </w:pPr>
      <w:r>
        <w:t xml:space="preserve">21a · Directional Conviction</w:t>
      </w:r>
    </w:p>
    <w:p>
      <w:pPr>
        <w:spacing w:after="120"/>
        <w:jc w:val="both"/>
      </w:pPr>
      <w:r>
        <w:t xml:space="preserve">Direction: </w:t>
      </w:r>
      <w:r>
        <w:rPr>
          <w:b/>
          <w:bCs/>
          <w:color w:val="1E7B34"/>
        </w:rPr>
        <w:t xml:space="preserve">LONG</w:t>
      </w:r>
      <w:r>
        <w:t xml:space="preserve">. Score: </w:t>
      </w:r>
      <w:r>
        <w:rPr>
          <w:b/>
          <w:bCs/>
        </w:rPr>
        <w:t xml:space="preserve">+0.46</w:t>
      </w:r>
      <w:r>
        <w:t xml:space="preserve"> (defaults). Three highest-weighted contributing signals: short-term technical bias (§8) +0.25, medium-term regime (§9) +0.20, cross-asset confirmation via VIX (§10) +0.15; sentiment tilt (§13b) adds +0.05 and Kaufman trend (§9) +0.15, partially offset by the cross-asset DAX drag. Conviction exceeds threshold, so Trade 1 produces. Conflict flag: none — §17 also leans bullish; the only tension is the overbought caveat, carried as a caveat not a reversal.</w:t>
      </w:r>
    </w:p>
    <w:p>
      <w:pPr>
        <w:pStyle w:val="Heading2"/>
        <w:spacing w:after="80" w:before="160"/>
      </w:pPr>
      <w:r>
        <w:t xml:space="preserve">21b · Trade Cards</w:t>
      </w:r>
    </w:p>
    <w:p>
      <w:pPr>
        <w:shd w:fill="1F3864" w:val="clear"/>
        <w:spacing w:after="0" w:before="120"/>
      </w:pPr>
      <w:r>
        <w:rPr>
          <w:b/>
          <w:bCs/>
          <w:color w:val="FFFFFF"/>
          <w:sz w:val="19"/>
          <w:szCs w:val="19"/>
        </w:rPr>
        <w:t xml:space="preserve">Trade 1 — Daily Directional (LONG)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7A2048" w:val="clear"/>
            <w:tcMar>
              <w:top w:type="dxa" w:w="60"/>
              <w:left w:type="dxa" w:w="90"/>
              <w:bottom w:type="dxa" w:w="60"/>
              <w:right w:type="dxa" w:w="90"/>
            </w:tcMar>
          </w:tcPr>
          <w:p>
            <w:pPr>
              <w:jc w:val="left"/>
            </w:pPr>
            <w:r>
              <w:rPr>
                <w:b/>
                <w:bCs/>
                <w:color w:val="FFFFFF"/>
                <w:sz w:val="18"/>
                <w:szCs w:val="18"/>
              </w:rPr>
              <w:t xml:space="preserve">Field</w:t>
            </w:r>
          </w:p>
        </w:tc>
        <w:tc>
          <w:tcPr>
            <w:tcW w:type="dxa" w:w="6760"/>
            <w:tcBorders>
              <w:top w:val="single" w:color="CCCCCC" w:sz="1"/>
              <w:left w:val="single" w:color="CCCCCC" w:sz="1"/>
              <w:bottom w:val="single" w:color="CCCCCC" w:sz="1"/>
              <w:right w:val="single" w:color="CCCCCC" w:sz="1"/>
            </w:tcBorders>
            <w:shd w:fill="7A2048" w:val="clear"/>
            <w:tcMar>
              <w:top w:type="dxa" w:w="60"/>
              <w:left w:type="dxa" w:w="90"/>
              <w:bottom w:type="dxa" w:w="60"/>
              <w:right w:type="dxa" w:w="90"/>
            </w:tcMar>
          </w:tcPr>
          <w:p>
            <w:pPr>
              <w:jc w:val="left"/>
            </w:pPr>
            <w:r>
              <w:rPr>
                <w:b/>
                <w:bCs/>
                <w:color w:val="FFFFFF"/>
                <w:sz w:val="18"/>
                <w:szCs w:val="18"/>
              </w:rPr>
              <w:t xml:space="preserve">Detail</w:t>
            </w:r>
          </w:p>
        </w:tc>
      </w:tr>
      <w:tr>
        <w:tc>
          <w:tcPr>
            <w:tcW w:type="dxa" w:w="260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1a1a1a"/>
                <w:sz w:val="18"/>
                <w:szCs w:val="18"/>
              </w:rPr>
              <w:t xml:space="preserve">Direction</w:t>
            </w:r>
          </w:p>
        </w:tc>
        <w:tc>
          <w:tcPr>
            <w:tcW w:type="dxa" w:w="676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1a1a1a"/>
                <w:sz w:val="18"/>
                <w:szCs w:val="18"/>
              </w:rPr>
              <w:t xml:space="preserve">LONG — trending-bullish regime (§9)</w:t>
            </w:r>
          </w:p>
        </w:tc>
      </w:tr>
      <w:tr>
        <w:tc>
          <w:tcPr>
            <w:tcW w:type="dxa" w:w="260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1a1a1a"/>
                <w:sz w:val="18"/>
                <w:szCs w:val="18"/>
              </w:rPr>
              <w:t xml:space="preserve">Entry</w:t>
            </w:r>
          </w:p>
        </w:tc>
        <w:tc>
          <w:tcPr>
            <w:tcW w:type="dxa" w:w="676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1a1a1a"/>
                <w:sz w:val="18"/>
                <w:szCs w:val="18"/>
              </w:rPr>
              <w:t xml:space="preserve">Buy on shallow pullback: limit 7,535 (between daily P 7,551 and the 7,519 shelf), or market at NY open if gap-and-hold above 7,564</w:t>
            </w:r>
          </w:p>
        </w:tc>
      </w:tr>
      <w:tr>
        <w:tc>
          <w:tcPr>
            <w:tcW w:type="dxa" w:w="260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1a1a1a"/>
                <w:sz w:val="18"/>
                <w:szCs w:val="18"/>
              </w:rPr>
              <w:t xml:space="preserve">Stop loss</w:t>
            </w:r>
          </w:p>
        </w:tc>
        <w:tc>
          <w:tcPr>
            <w:tcW w:type="dxa" w:w="676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1a1a1a"/>
                <w:sz w:val="18"/>
                <w:szCs w:val="18"/>
              </w:rPr>
              <w:t xml:space="preserve">7,495 — 40 points below limit entry; anchor: below 27/26 May support shelf (7,519) and daily S1</w:t>
            </w:r>
          </w:p>
        </w:tc>
      </w:tr>
      <w:tr>
        <w:tc>
          <w:tcPr>
            <w:tcW w:type="dxa" w:w="260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1a1a1a"/>
                <w:sz w:val="18"/>
                <w:szCs w:val="18"/>
              </w:rPr>
              <w:t xml:space="preserve">Risk (R)</w:t>
            </w:r>
          </w:p>
        </w:tc>
        <w:tc>
          <w:tcPr>
            <w:tcW w:type="dxa" w:w="676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1a1a1a"/>
                <w:sz w:val="18"/>
                <w:szCs w:val="18"/>
              </w:rPr>
              <w:t xml:space="preserve">40 points (40 pts)</w:t>
            </w:r>
          </w:p>
        </w:tc>
      </w:tr>
      <w:tr>
        <w:tc>
          <w:tcPr>
            <w:tcW w:type="dxa" w:w="260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1a1a1a"/>
                <w:sz w:val="18"/>
                <w:szCs w:val="18"/>
              </w:rPr>
              <w:t xml:space="preserve">TP1 (Unit 1)</w:t>
            </w:r>
          </w:p>
        </w:tc>
        <w:tc>
          <w:tcPr>
            <w:tcW w:type="dxa" w:w="676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1a1a1a"/>
                <w:sz w:val="18"/>
                <w:szCs w:val="18"/>
              </w:rPr>
              <w:t xml:space="preserve">7,575 — +1R (+40 pts)</w:t>
            </w:r>
          </w:p>
        </w:tc>
      </w:tr>
      <w:tr>
        <w:tc>
          <w:tcPr>
            <w:tcW w:type="dxa" w:w="260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1a1a1a"/>
                <w:sz w:val="18"/>
                <w:szCs w:val="18"/>
              </w:rPr>
              <w:t xml:space="preserve">TP2 (Unit 2)</w:t>
            </w:r>
          </w:p>
        </w:tc>
        <w:tc>
          <w:tcPr>
            <w:tcW w:type="dxa" w:w="676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1a1a1a"/>
                <w:sz w:val="18"/>
                <w:szCs w:val="18"/>
              </w:rPr>
              <w:t xml:space="preserve">7,615 — +2R (+80 pts)</w:t>
            </w:r>
          </w:p>
        </w:tc>
      </w:tr>
      <w:tr>
        <w:tc>
          <w:tcPr>
            <w:tcW w:type="dxa" w:w="260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1a1a1a"/>
                <w:sz w:val="18"/>
                <w:szCs w:val="18"/>
              </w:rPr>
              <w:t xml:space="preserve">TP3 (runner)</w:t>
            </w:r>
          </w:p>
        </w:tc>
        <w:tc>
          <w:tcPr>
            <w:tcW w:type="dxa" w:w="676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1a1a1a"/>
                <w:sz w:val="18"/>
                <w:szCs w:val="18"/>
              </w:rPr>
              <w:t xml:space="preserve">7,655+ — time-stop at session close + 3×ATR cap (~+134 pts); trail per rule</w:t>
            </w:r>
          </w:p>
        </w:tc>
      </w:tr>
      <w:tr>
        <w:tc>
          <w:tcPr>
            <w:tcW w:type="dxa" w:w="260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1a1a1a"/>
                <w:sz w:val="18"/>
                <w:szCs w:val="18"/>
              </w:rPr>
              <w:t xml:space="preserve">Tranche mgmt</w:t>
            </w:r>
          </w:p>
        </w:tc>
        <w:tc>
          <w:tcPr>
            <w:tcW w:type="dxa" w:w="676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1a1a1a"/>
                <w:sz w:val="18"/>
                <w:szCs w:val="18"/>
              </w:rPr>
              <w:t xml:space="preserve">3 equal units; U1→TP1, U2→TP2; on U2 fill, U3 stop → entry +0.2R (7,543)</w:t>
            </w:r>
          </w:p>
        </w:tc>
      </w:tr>
      <w:tr>
        <w:tc>
          <w:tcPr>
            <w:tcW w:type="dxa" w:w="260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1a1a1a"/>
                <w:sz w:val="18"/>
                <w:szCs w:val="18"/>
              </w:rPr>
              <w:t xml:space="preserve">Confluences</w:t>
            </w:r>
          </w:p>
        </w:tc>
        <w:tc>
          <w:tcPr>
            <w:tcW w:type="dxa" w:w="676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1a1a1a"/>
                <w:sz w:val="18"/>
                <w:szCs w:val="18"/>
              </w:rPr>
              <w:t xml:space="preserve">Entry near daily P (7,551) and 7,519 shelf; TP2 near round 7,600 — strong confluence at TP2</w:t>
            </w:r>
          </w:p>
        </w:tc>
      </w:tr>
      <w:tr>
        <w:tc>
          <w:tcPr>
            <w:tcW w:type="dxa" w:w="260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1a1a1a"/>
                <w:sz w:val="18"/>
                <w:szCs w:val="18"/>
              </w:rPr>
              <w:t xml:space="preserve">Invalidation</w:t>
            </w:r>
          </w:p>
        </w:tc>
        <w:tc>
          <w:tcPr>
            <w:tcW w:type="dxa" w:w="676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1a1a1a"/>
                <w:sz w:val="18"/>
                <w:szCs w:val="18"/>
              </w:rPr>
              <w:t xml:space="preserve">Daily close below 7,473 (22 May close) breaks the continuation thesis</w:t>
            </w:r>
          </w:p>
        </w:tc>
      </w:tr>
      <w:tr>
        <w:tc>
          <w:tcPr>
            <w:tcW w:type="dxa" w:w="260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1a1a1a"/>
                <w:sz w:val="18"/>
                <w:szCs w:val="18"/>
              </w:rPr>
              <w:t xml:space="preserve">Caveats</w:t>
            </w:r>
          </w:p>
        </w:tc>
        <w:tc>
          <w:tcPr>
            <w:tcW w:type="dxa" w:w="676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1a1a1a"/>
                <w:sz w:val="18"/>
                <w:szCs w:val="18"/>
              </w:rPr>
              <w:t xml:space="preserve">Overbought RSI2 (~99) — reduce size; weekly pivots single-source indicative; holding period collides with §13d Fedspeak/PCE event</w:t>
            </w:r>
          </w:p>
        </w:tc>
      </w:tr>
    </w:tbl>
    <w:p>
      <w:pPr>
        <w:shd w:fill="1F3864" w:val="clear"/>
        <w:spacing w:after="0" w:before="120"/>
      </w:pPr>
      <w:r>
        <w:rPr>
          <w:b/>
          <w:bCs/>
          <w:color w:val="FFFFFF"/>
          <w:sz w:val="19"/>
          <w:szCs w:val="19"/>
        </w:rPr>
        <w:t xml:space="preserve">Trade 2 — Pivot, regime-aware (LONG / TREND)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7A2048" w:val="clear"/>
            <w:tcMar>
              <w:top w:type="dxa" w:w="60"/>
              <w:left w:type="dxa" w:w="90"/>
              <w:bottom w:type="dxa" w:w="60"/>
              <w:right w:type="dxa" w:w="90"/>
            </w:tcMar>
          </w:tcPr>
          <w:p>
            <w:pPr>
              <w:jc w:val="left"/>
            </w:pPr>
            <w:r>
              <w:rPr>
                <w:b/>
                <w:bCs/>
                <w:color w:val="FFFFFF"/>
                <w:sz w:val="18"/>
                <w:szCs w:val="18"/>
              </w:rPr>
              <w:t xml:space="preserve">Field</w:t>
            </w:r>
          </w:p>
        </w:tc>
        <w:tc>
          <w:tcPr>
            <w:tcW w:type="dxa" w:w="6760"/>
            <w:tcBorders>
              <w:top w:val="single" w:color="CCCCCC" w:sz="1"/>
              <w:left w:val="single" w:color="CCCCCC" w:sz="1"/>
              <w:bottom w:val="single" w:color="CCCCCC" w:sz="1"/>
              <w:right w:val="single" w:color="CCCCCC" w:sz="1"/>
            </w:tcBorders>
            <w:shd w:fill="7A2048" w:val="clear"/>
            <w:tcMar>
              <w:top w:type="dxa" w:w="60"/>
              <w:left w:type="dxa" w:w="90"/>
              <w:bottom w:type="dxa" w:w="60"/>
              <w:right w:type="dxa" w:w="90"/>
            </w:tcMar>
          </w:tcPr>
          <w:p>
            <w:pPr>
              <w:jc w:val="left"/>
            </w:pPr>
            <w:r>
              <w:rPr>
                <w:b/>
                <w:bCs/>
                <w:color w:val="FFFFFF"/>
                <w:sz w:val="18"/>
                <w:szCs w:val="18"/>
              </w:rPr>
              <w:t xml:space="preserve">Detail</w:t>
            </w:r>
          </w:p>
        </w:tc>
      </w:tr>
      <w:tr>
        <w:tc>
          <w:tcPr>
            <w:tcW w:type="dxa" w:w="260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1a1a1a"/>
                <w:sz w:val="18"/>
                <w:szCs w:val="18"/>
              </w:rPr>
              <w:t xml:space="preserve">Direction</w:t>
            </w:r>
          </w:p>
        </w:tc>
        <w:tc>
          <w:tcPr>
            <w:tcW w:type="dxa" w:w="676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1a1a1a"/>
                <w:sz w:val="18"/>
                <w:szCs w:val="18"/>
              </w:rPr>
              <w:t xml:space="preserve">LONG — TREND_UP; buy dips to pivot support</w:t>
            </w:r>
          </w:p>
        </w:tc>
      </w:tr>
      <w:tr>
        <w:tc>
          <w:tcPr>
            <w:tcW w:type="dxa" w:w="260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1a1a1a"/>
                <w:sz w:val="18"/>
                <w:szCs w:val="18"/>
              </w:rPr>
              <w:t xml:space="preserve">Entry</w:t>
            </w:r>
          </w:p>
        </w:tc>
        <w:tc>
          <w:tcPr>
            <w:tcW w:type="dxa" w:w="676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1a1a1a"/>
                <w:sz w:val="18"/>
                <w:szCs w:val="18"/>
              </w:rPr>
              <w:t xml:space="preserve">Buy limit at daily P 7,551 (regime-aware pivot pullback)</w:t>
            </w:r>
          </w:p>
        </w:tc>
      </w:tr>
      <w:tr>
        <w:tc>
          <w:tcPr>
            <w:tcW w:type="dxa" w:w="260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1a1a1a"/>
                <w:sz w:val="18"/>
                <w:szCs w:val="18"/>
              </w:rPr>
              <w:t xml:space="preserve">Stop loss</w:t>
            </w:r>
          </w:p>
        </w:tc>
        <w:tc>
          <w:tcPr>
            <w:tcW w:type="dxa" w:w="676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1a1a1a"/>
                <w:sz w:val="18"/>
                <w:szCs w:val="18"/>
              </w:rPr>
              <w:t xml:space="preserve">7,517 — 34 points below; anchor: daily S1 / 7,519 shelf</w:t>
            </w:r>
          </w:p>
        </w:tc>
      </w:tr>
      <w:tr>
        <w:tc>
          <w:tcPr>
            <w:tcW w:type="dxa" w:w="260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1a1a1a"/>
                <w:sz w:val="18"/>
                <w:szCs w:val="18"/>
              </w:rPr>
              <w:t xml:space="preserve">Risk (R)</w:t>
            </w:r>
          </w:p>
        </w:tc>
        <w:tc>
          <w:tcPr>
            <w:tcW w:type="dxa" w:w="676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1a1a1a"/>
                <w:sz w:val="18"/>
                <w:szCs w:val="18"/>
              </w:rPr>
              <w:t xml:space="preserve">34 points (34 pts)</w:t>
            </w:r>
          </w:p>
        </w:tc>
      </w:tr>
      <w:tr>
        <w:tc>
          <w:tcPr>
            <w:tcW w:type="dxa" w:w="260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1a1a1a"/>
                <w:sz w:val="18"/>
                <w:szCs w:val="18"/>
              </w:rPr>
              <w:t xml:space="preserve">TP1 (Unit 1)</w:t>
            </w:r>
          </w:p>
        </w:tc>
        <w:tc>
          <w:tcPr>
            <w:tcW w:type="dxa" w:w="676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1a1a1a"/>
                <w:sz w:val="18"/>
                <w:szCs w:val="18"/>
              </w:rPr>
              <w:t xml:space="preserve">7,585 — +1R (+34 pts)</w:t>
            </w:r>
          </w:p>
        </w:tc>
      </w:tr>
      <w:tr>
        <w:tc>
          <w:tcPr>
            <w:tcW w:type="dxa" w:w="260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1a1a1a"/>
                <w:sz w:val="18"/>
                <w:szCs w:val="18"/>
              </w:rPr>
              <w:t xml:space="preserve">TP2 (Unit 2)</w:t>
            </w:r>
          </w:p>
        </w:tc>
        <w:tc>
          <w:tcPr>
            <w:tcW w:type="dxa" w:w="676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1a1a1a"/>
                <w:sz w:val="18"/>
                <w:szCs w:val="18"/>
              </w:rPr>
              <w:t xml:space="preserve">7,619 — +2R (+68 pts)</w:t>
            </w:r>
          </w:p>
        </w:tc>
      </w:tr>
      <w:tr>
        <w:tc>
          <w:tcPr>
            <w:tcW w:type="dxa" w:w="260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1a1a1a"/>
                <w:sz w:val="18"/>
                <w:szCs w:val="18"/>
              </w:rPr>
              <w:t xml:space="preserve">TP3 (runner)</w:t>
            </w:r>
          </w:p>
        </w:tc>
        <w:tc>
          <w:tcPr>
            <w:tcW w:type="dxa" w:w="676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1a1a1a"/>
                <w:sz w:val="18"/>
                <w:szCs w:val="18"/>
              </w:rPr>
              <w:t xml:space="preserve">weekly R-extension; runner exit at weekly P re-test or +3R</w:t>
            </w:r>
          </w:p>
        </w:tc>
      </w:tr>
      <w:tr>
        <w:tc>
          <w:tcPr>
            <w:tcW w:type="dxa" w:w="260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1a1a1a"/>
                <w:sz w:val="18"/>
                <w:szCs w:val="18"/>
              </w:rPr>
              <w:t xml:space="preserve">Tranche mgmt</w:t>
            </w:r>
          </w:p>
        </w:tc>
        <w:tc>
          <w:tcPr>
            <w:tcW w:type="dxa" w:w="676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1a1a1a"/>
                <w:sz w:val="18"/>
                <w:szCs w:val="18"/>
              </w:rPr>
              <w:t xml:space="preserve">3 equal units; U1→TP1, U2→TP2; on U2 fill, U3 stop → entry +0.2R (7,558)</w:t>
            </w:r>
          </w:p>
        </w:tc>
      </w:tr>
      <w:tr>
        <w:tc>
          <w:tcPr>
            <w:tcW w:type="dxa" w:w="260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1a1a1a"/>
                <w:sz w:val="18"/>
                <w:szCs w:val="18"/>
              </w:rPr>
              <w:t xml:space="preserve">Confluences</w:t>
            </w:r>
          </w:p>
        </w:tc>
        <w:tc>
          <w:tcPr>
            <w:tcW w:type="dxa" w:w="676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1a1a1a"/>
                <w:sz w:val="18"/>
                <w:szCs w:val="18"/>
              </w:rPr>
              <w:t xml:space="preserve">Entry at daily P; TP2 near 7,600 round number — strong confluence</w:t>
            </w:r>
          </w:p>
        </w:tc>
      </w:tr>
      <w:tr>
        <w:tc>
          <w:tcPr>
            <w:tcW w:type="dxa" w:w="260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1a1a1a"/>
                <w:sz w:val="18"/>
                <w:szCs w:val="18"/>
              </w:rPr>
              <w:t xml:space="preserve">Invalidation</w:t>
            </w:r>
          </w:p>
        </w:tc>
        <w:tc>
          <w:tcPr>
            <w:tcW w:type="dxa" w:w="676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1a1a1a"/>
                <w:sz w:val="18"/>
                <w:szCs w:val="18"/>
              </w:rPr>
              <w:t xml:space="preserve">Daily close back through daily P (7,551) after fill negates the TREND pivot-long</w:t>
            </w:r>
          </w:p>
        </w:tc>
      </w:tr>
      <w:tr>
        <w:tc>
          <w:tcPr>
            <w:tcW w:type="dxa" w:w="260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1a1a1a"/>
                <w:sz w:val="18"/>
                <w:szCs w:val="18"/>
              </w:rPr>
              <w:t xml:space="preserve">Caveats</w:t>
            </w:r>
          </w:p>
        </w:tc>
        <w:tc>
          <w:tcPr>
            <w:tcW w:type="dxa" w:w="676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1a1a1a"/>
                <w:sz w:val="18"/>
                <w:szCs w:val="18"/>
              </w:rPr>
              <w:t xml:space="preserve">Pivot tiers single-source indicative — treat limit as discretionary; §13d event collision</w:t>
            </w:r>
          </w:p>
        </w:tc>
      </w:tr>
    </w:tbl>
    <w:p>
      <w:pPr>
        <w:shd w:fill="1F3864" w:val="clear"/>
        <w:spacing w:after="0" w:before="120"/>
      </w:pPr>
      <w:r>
        <w:rPr>
          <w:b/>
          <w:bCs/>
          <w:color w:val="FFFFFF"/>
          <w:sz w:val="19"/>
          <w:szCs w:val="19"/>
        </w:rPr>
        <w:t xml:space="preserve">Trade 3 — Momentum-Pullback 3A (LONG)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7A2048" w:val="clear"/>
            <w:tcMar>
              <w:top w:type="dxa" w:w="60"/>
              <w:left w:type="dxa" w:w="90"/>
              <w:bottom w:type="dxa" w:w="60"/>
              <w:right w:type="dxa" w:w="90"/>
            </w:tcMar>
          </w:tcPr>
          <w:p>
            <w:pPr>
              <w:jc w:val="left"/>
            </w:pPr>
            <w:r>
              <w:rPr>
                <w:b/>
                <w:bCs/>
                <w:color w:val="FFFFFF"/>
                <w:sz w:val="18"/>
                <w:szCs w:val="18"/>
              </w:rPr>
              <w:t xml:space="preserve">Field</w:t>
            </w:r>
          </w:p>
        </w:tc>
        <w:tc>
          <w:tcPr>
            <w:tcW w:type="dxa" w:w="6760"/>
            <w:tcBorders>
              <w:top w:val="single" w:color="CCCCCC" w:sz="1"/>
              <w:left w:val="single" w:color="CCCCCC" w:sz="1"/>
              <w:bottom w:val="single" w:color="CCCCCC" w:sz="1"/>
              <w:right w:val="single" w:color="CCCCCC" w:sz="1"/>
            </w:tcBorders>
            <w:shd w:fill="7A2048" w:val="clear"/>
            <w:tcMar>
              <w:top w:type="dxa" w:w="60"/>
              <w:left w:type="dxa" w:w="90"/>
              <w:bottom w:type="dxa" w:w="60"/>
              <w:right w:type="dxa" w:w="90"/>
            </w:tcMar>
          </w:tcPr>
          <w:p>
            <w:pPr>
              <w:jc w:val="left"/>
            </w:pPr>
            <w:r>
              <w:rPr>
                <w:b/>
                <w:bCs/>
                <w:color w:val="FFFFFF"/>
                <w:sz w:val="18"/>
                <w:szCs w:val="18"/>
              </w:rPr>
              <w:t xml:space="preserve">Detail</w:t>
            </w:r>
          </w:p>
        </w:tc>
      </w:tr>
      <w:tr>
        <w:tc>
          <w:tcPr>
            <w:tcW w:type="dxa" w:w="260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1a1a1a"/>
                <w:sz w:val="18"/>
                <w:szCs w:val="18"/>
              </w:rPr>
              <w:t xml:space="preserve">Direction</w:t>
            </w:r>
          </w:p>
        </w:tc>
        <w:tc>
          <w:tcPr>
            <w:tcW w:type="dxa" w:w="676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1a1a1a"/>
                <w:sz w:val="18"/>
                <w:szCs w:val="18"/>
              </w:rPr>
              <w:t xml:space="preserve">LONG — 3A momentum-pullback (KER strongly trending → fork to 3A)</w:t>
            </w:r>
          </w:p>
        </w:tc>
      </w:tr>
      <w:tr>
        <w:tc>
          <w:tcPr>
            <w:tcW w:type="dxa" w:w="260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1a1a1a"/>
                <w:sz w:val="18"/>
                <w:szCs w:val="18"/>
              </w:rPr>
              <w:t xml:space="preserve">Entry</w:t>
            </w:r>
          </w:p>
        </w:tc>
        <w:tc>
          <w:tcPr>
            <w:tcW w:type="dxa" w:w="676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1a1a1a"/>
                <w:sz w:val="18"/>
                <w:szCs w:val="18"/>
              </w:rPr>
              <w:t xml:space="preserve">Stop entry at 7,572 on a confirmed break of the 28 May high (7,569)</w:t>
            </w:r>
          </w:p>
        </w:tc>
      </w:tr>
      <w:tr>
        <w:tc>
          <w:tcPr>
            <w:tcW w:type="dxa" w:w="260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1a1a1a"/>
                <w:sz w:val="18"/>
                <w:szCs w:val="18"/>
              </w:rPr>
              <w:t xml:space="preserve">Stop loss</w:t>
            </w:r>
          </w:p>
        </w:tc>
        <w:tc>
          <w:tcPr>
            <w:tcW w:type="dxa" w:w="676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1a1a1a"/>
                <w:sz w:val="18"/>
                <w:szCs w:val="18"/>
              </w:rPr>
              <w:t xml:space="preserve">7,528 — 44 points below; anchor: 5-day swing / fib 38.2% of the 21–28 May leg</w:t>
            </w:r>
          </w:p>
        </w:tc>
      </w:tr>
      <w:tr>
        <w:tc>
          <w:tcPr>
            <w:tcW w:type="dxa" w:w="260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1a1a1a"/>
                <w:sz w:val="18"/>
                <w:szCs w:val="18"/>
              </w:rPr>
              <w:t xml:space="preserve">Risk (R)</w:t>
            </w:r>
          </w:p>
        </w:tc>
        <w:tc>
          <w:tcPr>
            <w:tcW w:type="dxa" w:w="676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1a1a1a"/>
                <w:sz w:val="18"/>
                <w:szCs w:val="18"/>
              </w:rPr>
              <w:t xml:space="preserve">44 points (44 pts)</w:t>
            </w:r>
          </w:p>
        </w:tc>
      </w:tr>
      <w:tr>
        <w:tc>
          <w:tcPr>
            <w:tcW w:type="dxa" w:w="260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1a1a1a"/>
                <w:sz w:val="18"/>
                <w:szCs w:val="18"/>
              </w:rPr>
              <w:t xml:space="preserve">TP1 (Unit 1)</w:t>
            </w:r>
          </w:p>
        </w:tc>
        <w:tc>
          <w:tcPr>
            <w:tcW w:type="dxa" w:w="676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1a1a1a"/>
                <w:sz w:val="18"/>
                <w:szCs w:val="18"/>
              </w:rPr>
              <w:t xml:space="preserve">38.2% extension ≈ 7,616 (+1R)</w:t>
            </w:r>
          </w:p>
        </w:tc>
      </w:tr>
      <w:tr>
        <w:tc>
          <w:tcPr>
            <w:tcW w:type="dxa" w:w="260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1a1a1a"/>
                <w:sz w:val="18"/>
                <w:szCs w:val="18"/>
              </w:rPr>
              <w:t xml:space="preserve">TP2 (Unit 2)</w:t>
            </w:r>
          </w:p>
        </w:tc>
        <w:tc>
          <w:tcPr>
            <w:tcW w:type="dxa" w:w="676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1a1a1a"/>
                <w:sz w:val="18"/>
                <w:szCs w:val="18"/>
              </w:rPr>
              <w:t xml:space="preserve">measured-move ≈ 7,660 (+2R)</w:t>
            </w:r>
          </w:p>
        </w:tc>
      </w:tr>
      <w:tr>
        <w:tc>
          <w:tcPr>
            <w:tcW w:type="dxa" w:w="260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1a1a1a"/>
                <w:sz w:val="18"/>
                <w:szCs w:val="18"/>
              </w:rPr>
              <w:t xml:space="preserve">TP3 (runner)</w:t>
            </w:r>
          </w:p>
        </w:tc>
        <w:tc>
          <w:tcPr>
            <w:tcW w:type="dxa" w:w="676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1a1a1a"/>
                <w:sz w:val="18"/>
                <w:szCs w:val="18"/>
              </w:rPr>
              <w:t xml:space="preserve">100%+ extension / range breakout; structural runner override on 100%-ext break (SL → halfway entry-to-0%)</w:t>
            </w:r>
          </w:p>
        </w:tc>
      </w:tr>
      <w:tr>
        <w:tc>
          <w:tcPr>
            <w:tcW w:type="dxa" w:w="260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1a1a1a"/>
                <w:sz w:val="18"/>
                <w:szCs w:val="18"/>
              </w:rPr>
              <w:t xml:space="preserve">Tranche mgmt</w:t>
            </w:r>
          </w:p>
        </w:tc>
        <w:tc>
          <w:tcPr>
            <w:tcW w:type="dxa" w:w="676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1a1a1a"/>
                <w:sz w:val="18"/>
                <w:szCs w:val="18"/>
              </w:rPr>
              <w:t xml:space="preserve">3 equal units; 3A structural-runner override active</w:t>
            </w:r>
          </w:p>
        </w:tc>
      </w:tr>
      <w:tr>
        <w:tc>
          <w:tcPr>
            <w:tcW w:type="dxa" w:w="260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1a1a1a"/>
                <w:sz w:val="18"/>
                <w:szCs w:val="18"/>
              </w:rPr>
              <w:t xml:space="preserve">Confluences</w:t>
            </w:r>
          </w:p>
        </w:tc>
        <w:tc>
          <w:tcPr>
            <w:tcW w:type="dxa" w:w="676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1a1a1a"/>
                <w:sz w:val="18"/>
                <w:szCs w:val="18"/>
              </w:rPr>
              <w:t xml:space="preserve">Entry just above record high; TP1 near 7,600 round number</w:t>
            </w:r>
          </w:p>
        </w:tc>
      </w:tr>
      <w:tr>
        <w:tc>
          <w:tcPr>
            <w:tcW w:type="dxa" w:w="260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1a1a1a"/>
                <w:sz w:val="18"/>
                <w:szCs w:val="18"/>
              </w:rPr>
              <w:t xml:space="preserve">Caveats</w:t>
            </w:r>
          </w:p>
        </w:tc>
        <w:tc>
          <w:tcPr>
            <w:tcW w:type="dxa" w:w="676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1a1a1a"/>
                <w:sz w:val="18"/>
                <w:szCs w:val="18"/>
              </w:rPr>
              <w:t xml:space="preserve">Breakout entry into overbought RSI2 — highest mean-reversion risk; §13d event collision; indicative intraday levels</w:t>
            </w:r>
          </w:p>
        </w:tc>
      </w:tr>
    </w:tbl>
    <w:p>
      <w:pPr>
        <w:pStyle w:val="Heading2"/>
        <w:spacing w:after="80" w:before="160"/>
      </w:pPr>
      <w:r>
        <w:t xml:space="preserve">21c · 5-Session No-Leakage Backtest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300"/>
        <w:gridCol w:w="1300"/>
        <w:gridCol w:w="1100"/>
        <w:gridCol w:w="1400"/>
        <w:gridCol w:w="1100"/>
        <w:gridCol w:w="1260"/>
      </w:tblGrid>
      <w:tr>
        <w:trPr>
          <w:tblHeader/>
        </w:trPr>
        <w:tc>
          <w:tcPr>
            <w:tcW w:type="dxa" w:w="1900"/>
            <w:tcBorders>
              <w:top w:val="single" w:color="CCCCCC" w:sz="1"/>
              <w:left w:val="single" w:color="CCCCCC" w:sz="1"/>
              <w:bottom w:val="single" w:color="CCCCCC" w:sz="1"/>
              <w:right w:val="single" w:color="CCCCCC" w:sz="1"/>
            </w:tcBorders>
            <w:shd w:fill="1F3864" w:val="clear"/>
            <w:tcMar>
              <w:top w:type="dxa" w:w="60"/>
              <w:left w:type="dxa" w:w="90"/>
              <w:bottom w:type="dxa" w:w="60"/>
              <w:right w:type="dxa" w:w="90"/>
            </w:tcMar>
          </w:tcPr>
          <w:p>
            <w:pPr>
              <w:jc w:val="left"/>
            </w:pPr>
            <w:r>
              <w:rPr>
                <w:b/>
                <w:bCs/>
                <w:color w:val="FFFFFF"/>
                <w:sz w:val="18"/>
                <w:szCs w:val="18"/>
              </w:rPr>
              <w:t xml:space="preserve">Date (t−N)</w:t>
            </w:r>
          </w:p>
        </w:tc>
        <w:tc>
          <w:tcPr>
            <w:tcW w:type="dxa" w:w="1300"/>
            <w:tcBorders>
              <w:top w:val="single" w:color="CCCCCC" w:sz="1"/>
              <w:left w:val="single" w:color="CCCCCC" w:sz="1"/>
              <w:bottom w:val="single" w:color="CCCCCC" w:sz="1"/>
              <w:right w:val="single" w:color="CCCCCC" w:sz="1"/>
            </w:tcBorders>
            <w:shd w:fill="1F3864" w:val="clear"/>
            <w:tcMar>
              <w:top w:type="dxa" w:w="60"/>
              <w:left w:type="dxa" w:w="90"/>
              <w:bottom w:type="dxa" w:w="60"/>
              <w:right w:type="dxa" w:w="90"/>
            </w:tcMar>
          </w:tcPr>
          <w:p>
            <w:pPr>
              <w:jc w:val="left"/>
            </w:pPr>
            <w:r>
              <w:rPr>
                <w:b/>
                <w:bCs/>
                <w:color w:val="FFFFFF"/>
                <w:sz w:val="18"/>
                <w:szCs w:val="18"/>
              </w:rPr>
              <w:t xml:space="preserve">Strategy</w:t>
            </w:r>
          </w:p>
        </w:tc>
        <w:tc>
          <w:tcPr>
            <w:tcW w:type="dxa" w:w="1300"/>
            <w:tcBorders>
              <w:top w:val="single" w:color="CCCCCC" w:sz="1"/>
              <w:left w:val="single" w:color="CCCCCC" w:sz="1"/>
              <w:bottom w:val="single" w:color="CCCCCC" w:sz="1"/>
              <w:right w:val="single" w:color="CCCCCC" w:sz="1"/>
            </w:tcBorders>
            <w:shd w:fill="1F3864" w:val="clear"/>
            <w:tcMar>
              <w:top w:type="dxa" w:w="60"/>
              <w:left w:type="dxa" w:w="90"/>
              <w:bottom w:type="dxa" w:w="60"/>
              <w:right w:type="dxa" w:w="90"/>
            </w:tcMar>
          </w:tcPr>
          <w:p>
            <w:pPr>
              <w:jc w:val="left"/>
            </w:pPr>
            <w:r>
              <w:rPr>
                <w:b/>
                <w:bCs/>
                <w:color w:val="FFFFFF"/>
                <w:sz w:val="18"/>
                <w:szCs w:val="18"/>
              </w:rPr>
              <w:t xml:space="preserve">Direction</w:t>
            </w:r>
          </w:p>
        </w:tc>
        <w:tc>
          <w:tcPr>
            <w:tcW w:type="dxa" w:w="1100"/>
            <w:tcBorders>
              <w:top w:val="single" w:color="CCCCCC" w:sz="1"/>
              <w:left w:val="single" w:color="CCCCCC" w:sz="1"/>
              <w:bottom w:val="single" w:color="CCCCCC" w:sz="1"/>
              <w:right w:val="single" w:color="CCCCCC" w:sz="1"/>
            </w:tcBorders>
            <w:shd w:fill="1F3864" w:val="clear"/>
            <w:tcMar>
              <w:top w:type="dxa" w:w="60"/>
              <w:left w:type="dxa" w:w="90"/>
              <w:bottom w:type="dxa" w:w="60"/>
              <w:right w:type="dxa" w:w="90"/>
            </w:tcMar>
          </w:tcPr>
          <w:p>
            <w:pPr>
              <w:jc w:val="left"/>
            </w:pPr>
            <w:r>
              <w:rPr>
                <w:b/>
                <w:bCs/>
                <w:color w:val="FFFFFF"/>
                <w:sz w:val="18"/>
                <w:szCs w:val="18"/>
              </w:rPr>
              <w:t xml:space="preserve">Triggered</w:t>
            </w:r>
          </w:p>
        </w:tc>
        <w:tc>
          <w:tcPr>
            <w:tcW w:type="dxa" w:w="1400"/>
            <w:tcBorders>
              <w:top w:val="single" w:color="CCCCCC" w:sz="1"/>
              <w:left w:val="single" w:color="CCCCCC" w:sz="1"/>
              <w:bottom w:val="single" w:color="CCCCCC" w:sz="1"/>
              <w:right w:val="single" w:color="CCCCCC" w:sz="1"/>
            </w:tcBorders>
            <w:shd w:fill="1F3864" w:val="clear"/>
            <w:tcMar>
              <w:top w:type="dxa" w:w="60"/>
              <w:left w:type="dxa" w:w="90"/>
              <w:bottom w:type="dxa" w:w="60"/>
              <w:right w:type="dxa" w:w="90"/>
            </w:tcMar>
          </w:tcPr>
          <w:p>
            <w:pPr>
              <w:jc w:val="left"/>
            </w:pPr>
            <w:r>
              <w:rPr>
                <w:b/>
                <w:bCs/>
                <w:color w:val="FFFFFF"/>
                <w:sz w:val="18"/>
                <w:szCs w:val="18"/>
              </w:rPr>
              <w:t xml:space="preserve">Entry/Exit</w:t>
            </w:r>
          </w:p>
        </w:tc>
        <w:tc>
          <w:tcPr>
            <w:tcW w:type="dxa" w:w="1100"/>
            <w:tcBorders>
              <w:top w:val="single" w:color="CCCCCC" w:sz="1"/>
              <w:left w:val="single" w:color="CCCCCC" w:sz="1"/>
              <w:bottom w:val="single" w:color="CCCCCC" w:sz="1"/>
              <w:right w:val="single" w:color="CCCCCC" w:sz="1"/>
            </w:tcBorders>
            <w:shd w:fill="1F3864" w:val="clear"/>
            <w:tcMar>
              <w:top w:type="dxa" w:w="60"/>
              <w:left w:type="dxa" w:w="90"/>
              <w:bottom w:type="dxa" w:w="60"/>
              <w:right w:type="dxa" w:w="90"/>
            </w:tcMar>
          </w:tcPr>
          <w:p>
            <w:pPr>
              <w:jc w:val="left"/>
            </w:pPr>
            <w:r>
              <w:rPr>
                <w:b/>
                <w:bCs/>
                <w:color w:val="FFFFFF"/>
                <w:sz w:val="18"/>
                <w:szCs w:val="18"/>
              </w:rPr>
              <w:t xml:space="preserve">Outcome (R)</w:t>
            </w:r>
          </w:p>
        </w:tc>
        <w:tc>
          <w:tcPr>
            <w:tcW w:type="dxa" w:w="1260"/>
            <w:tcBorders>
              <w:top w:val="single" w:color="CCCCCC" w:sz="1"/>
              <w:left w:val="single" w:color="CCCCCC" w:sz="1"/>
              <w:bottom w:val="single" w:color="CCCCCC" w:sz="1"/>
              <w:right w:val="single" w:color="CCCCCC" w:sz="1"/>
            </w:tcBorders>
            <w:shd w:fill="1F3864" w:val="clear"/>
            <w:tcMar>
              <w:top w:type="dxa" w:w="60"/>
              <w:left w:type="dxa" w:w="90"/>
              <w:bottom w:type="dxa" w:w="60"/>
              <w:right w:type="dxa" w:w="90"/>
            </w:tcMar>
          </w:tcPr>
          <w:p>
            <w:pPr>
              <w:jc w:val="left"/>
            </w:pPr>
            <w:r>
              <w:rPr>
                <w:b/>
                <w:bCs/>
                <w:color w:val="FFFFFF"/>
                <w:sz w:val="18"/>
                <w:szCs w:val="18"/>
              </w:rPr>
              <w:t xml:space="preserve">Days</w:t>
            </w:r>
          </w:p>
        </w:tc>
      </w:tr>
      <w:tr>
        <w:tc>
          <w:tcPr>
            <w:tcW w:type="dxa" w:w="190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1a1a1a"/>
                <w:sz w:val="18"/>
                <w:szCs w:val="18"/>
              </w:rPr>
              <w:t xml:space="preserve">Thu 21 May (t−5)</w:t>
            </w:r>
          </w:p>
        </w:tc>
        <w:tc>
          <w:tcPr>
            <w:tcW w:type="dxa" w:w="130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1a1a1a"/>
                <w:sz w:val="18"/>
                <w:szCs w:val="18"/>
              </w:rPr>
              <w:t xml:space="preserve">Trade 1</w:t>
            </w:r>
          </w:p>
        </w:tc>
        <w:tc>
          <w:tcPr>
            <w:tcW w:type="dxa" w:w="130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1a1a1a"/>
                <w:sz w:val="18"/>
                <w:szCs w:val="18"/>
              </w:rPr>
              <w:t xml:space="preserve">LONG</w:t>
            </w:r>
          </w:p>
        </w:tc>
        <w:tc>
          <w:tcPr>
            <w:tcW w:type="dxa" w:w="110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1a1a1a"/>
                <w:sz w:val="18"/>
                <w:szCs w:val="18"/>
              </w:rPr>
              <w:t xml:space="preserve">YES</w:t>
            </w:r>
          </w:p>
        </w:tc>
        <w:tc>
          <w:tcPr>
            <w:tcW w:type="dxa" w:w="140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1a1a1a"/>
                <w:sz w:val="18"/>
                <w:szCs w:val="18"/>
              </w:rPr>
              <w:t xml:space="preserve">7,440 / 7,473</w:t>
            </w:r>
          </w:p>
        </w:tc>
        <w:tc>
          <w:tcPr>
            <w:tcW w:type="dxa" w:w="110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1a1a1a"/>
                <w:sz w:val="18"/>
                <w:szCs w:val="18"/>
              </w:rPr>
              <w:t xml:space="preserve">+0.8R</w:t>
            </w:r>
          </w:p>
        </w:tc>
        <w:tc>
          <w:tcPr>
            <w:tcW w:type="dxa" w:w="126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1a1a1a"/>
                <w:sz w:val="18"/>
                <w:szCs w:val="18"/>
              </w:rPr>
              <w:t xml:space="preserve">1</w:t>
            </w:r>
          </w:p>
        </w:tc>
      </w:tr>
      <w:tr>
        <w:tc>
          <w:tcPr>
            <w:tcW w:type="dxa" w:w="190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1a1a1a"/>
                <w:sz w:val="18"/>
                <w:szCs w:val="18"/>
              </w:rPr>
              <w:t xml:space="preserve">Thu 21 May (t−5)</w:t>
            </w:r>
          </w:p>
        </w:tc>
        <w:tc>
          <w:tcPr>
            <w:tcW w:type="dxa" w:w="130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1a1a1a"/>
                <w:sz w:val="18"/>
                <w:szCs w:val="18"/>
              </w:rPr>
              <w:t xml:space="preserve">Trade 2</w:t>
            </w:r>
          </w:p>
        </w:tc>
        <w:tc>
          <w:tcPr>
            <w:tcW w:type="dxa" w:w="130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1a1a1a"/>
                <w:sz w:val="18"/>
                <w:szCs w:val="18"/>
              </w:rPr>
              <w:t xml:space="preserve">LONG</w:t>
            </w:r>
          </w:p>
        </w:tc>
        <w:tc>
          <w:tcPr>
            <w:tcW w:type="dxa" w:w="110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1a1a1a"/>
                <w:sz w:val="18"/>
                <w:szCs w:val="18"/>
              </w:rPr>
              <w:t xml:space="preserve">YES</w:t>
            </w:r>
          </w:p>
        </w:tc>
        <w:tc>
          <w:tcPr>
            <w:tcW w:type="dxa" w:w="140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1a1a1a"/>
                <w:sz w:val="18"/>
                <w:szCs w:val="18"/>
              </w:rPr>
              <w:t xml:space="preserve">7,430 / 7,470</w:t>
            </w:r>
          </w:p>
        </w:tc>
        <w:tc>
          <w:tcPr>
            <w:tcW w:type="dxa" w:w="110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1a1a1a"/>
                <w:sz w:val="18"/>
                <w:szCs w:val="18"/>
              </w:rPr>
              <w:t xml:space="preserve">+1.2R</w:t>
            </w:r>
          </w:p>
        </w:tc>
        <w:tc>
          <w:tcPr>
            <w:tcW w:type="dxa" w:w="126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1a1a1a"/>
                <w:sz w:val="18"/>
                <w:szCs w:val="18"/>
              </w:rPr>
              <w:t xml:space="preserve">1</w:t>
            </w:r>
          </w:p>
        </w:tc>
      </w:tr>
      <w:tr>
        <w:tc>
          <w:tcPr>
            <w:tcW w:type="dxa" w:w="190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1a1a1a"/>
                <w:sz w:val="18"/>
                <w:szCs w:val="18"/>
              </w:rPr>
              <w:t xml:space="preserve">Thu 21 May (t−5)</w:t>
            </w:r>
          </w:p>
        </w:tc>
        <w:tc>
          <w:tcPr>
            <w:tcW w:type="dxa" w:w="130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1a1a1a"/>
                <w:sz w:val="18"/>
                <w:szCs w:val="18"/>
              </w:rPr>
              <w:t xml:space="preserve">Trade 3A</w:t>
            </w:r>
          </w:p>
        </w:tc>
        <w:tc>
          <w:tcPr>
            <w:tcW w:type="dxa" w:w="130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1a1a1a"/>
                <w:sz w:val="18"/>
                <w:szCs w:val="18"/>
              </w:rPr>
              <w:t xml:space="preserve">LONG</w:t>
            </w:r>
          </w:p>
        </w:tc>
        <w:tc>
          <w:tcPr>
            <w:tcW w:type="dxa" w:w="110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1a1a1a"/>
                <w:sz w:val="18"/>
                <w:szCs w:val="18"/>
              </w:rPr>
              <w:t xml:space="preserve">NO</w:t>
            </w:r>
          </w:p>
        </w:tc>
        <w:tc>
          <w:tcPr>
            <w:tcW w:type="dxa" w:w="140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1a1a1a"/>
                <w:sz w:val="18"/>
                <w:szCs w:val="18"/>
              </w:rPr>
              <w:t xml:space="preserve">—</w:t>
            </w:r>
          </w:p>
        </w:tc>
        <w:tc>
          <w:tcPr>
            <w:tcW w:type="dxa" w:w="110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1a1a1a"/>
                <w:sz w:val="18"/>
                <w:szCs w:val="18"/>
              </w:rPr>
              <w:t xml:space="preserve">—</w:t>
            </w:r>
          </w:p>
        </w:tc>
        <w:tc>
          <w:tcPr>
            <w:tcW w:type="dxa" w:w="126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1a1a1a"/>
                <w:sz w:val="18"/>
                <w:szCs w:val="18"/>
              </w:rPr>
              <w:t xml:space="preserve">—</w:t>
            </w:r>
          </w:p>
        </w:tc>
      </w:tr>
      <w:tr>
        <w:tc>
          <w:tcPr>
            <w:tcW w:type="dxa" w:w="190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1a1a1a"/>
                <w:sz w:val="18"/>
                <w:szCs w:val="18"/>
              </w:rPr>
              <w:t xml:space="preserve">Fri 22 May (t−4)</w:t>
            </w:r>
          </w:p>
        </w:tc>
        <w:tc>
          <w:tcPr>
            <w:tcW w:type="dxa" w:w="130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1a1a1a"/>
                <w:sz w:val="18"/>
                <w:szCs w:val="18"/>
              </w:rPr>
              <w:t xml:space="preserve">Trade 1</w:t>
            </w:r>
          </w:p>
        </w:tc>
        <w:tc>
          <w:tcPr>
            <w:tcW w:type="dxa" w:w="130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1a1a1a"/>
                <w:sz w:val="18"/>
                <w:szCs w:val="18"/>
              </w:rPr>
              <w:t xml:space="preserve">LONG</w:t>
            </w:r>
          </w:p>
        </w:tc>
        <w:tc>
          <w:tcPr>
            <w:tcW w:type="dxa" w:w="110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1a1a1a"/>
                <w:sz w:val="18"/>
                <w:szCs w:val="18"/>
              </w:rPr>
              <w:t xml:space="preserve">YES</w:t>
            </w:r>
          </w:p>
        </w:tc>
        <w:tc>
          <w:tcPr>
            <w:tcW w:type="dxa" w:w="140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1a1a1a"/>
                <w:sz w:val="18"/>
                <w:szCs w:val="18"/>
              </w:rPr>
              <w:t xml:space="preserve">7,455 / 7,519</w:t>
            </w:r>
          </w:p>
        </w:tc>
        <w:tc>
          <w:tcPr>
            <w:tcW w:type="dxa" w:w="110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1a1a1a"/>
                <w:sz w:val="18"/>
                <w:szCs w:val="18"/>
              </w:rPr>
              <w:t xml:space="preserve">+1.6R</w:t>
            </w:r>
          </w:p>
        </w:tc>
        <w:tc>
          <w:tcPr>
            <w:tcW w:type="dxa" w:w="126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1a1a1a"/>
                <w:sz w:val="18"/>
                <w:szCs w:val="18"/>
              </w:rPr>
              <w:t xml:space="preserve">2</w:t>
            </w:r>
          </w:p>
        </w:tc>
      </w:tr>
      <w:tr>
        <w:tc>
          <w:tcPr>
            <w:tcW w:type="dxa" w:w="190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1a1a1a"/>
                <w:sz w:val="18"/>
                <w:szCs w:val="18"/>
              </w:rPr>
              <w:t xml:space="preserve">Fri 22 May (t−4)</w:t>
            </w:r>
          </w:p>
        </w:tc>
        <w:tc>
          <w:tcPr>
            <w:tcW w:type="dxa" w:w="130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1a1a1a"/>
                <w:sz w:val="18"/>
                <w:szCs w:val="18"/>
              </w:rPr>
              <w:t xml:space="preserve">Trade 2</w:t>
            </w:r>
          </w:p>
        </w:tc>
        <w:tc>
          <w:tcPr>
            <w:tcW w:type="dxa" w:w="130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1a1a1a"/>
                <w:sz w:val="18"/>
                <w:szCs w:val="18"/>
              </w:rPr>
              <w:t xml:space="preserve">LONG</w:t>
            </w:r>
          </w:p>
        </w:tc>
        <w:tc>
          <w:tcPr>
            <w:tcW w:type="dxa" w:w="110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1a1a1a"/>
                <w:sz w:val="18"/>
                <w:szCs w:val="18"/>
              </w:rPr>
              <w:t xml:space="preserve">YES</w:t>
            </w:r>
          </w:p>
        </w:tc>
        <w:tc>
          <w:tcPr>
            <w:tcW w:type="dxa" w:w="140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1a1a1a"/>
                <w:sz w:val="18"/>
                <w:szCs w:val="18"/>
              </w:rPr>
              <w:t xml:space="preserve">7,449 / 7,519</w:t>
            </w:r>
          </w:p>
        </w:tc>
        <w:tc>
          <w:tcPr>
            <w:tcW w:type="dxa" w:w="110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1a1a1a"/>
                <w:sz w:val="18"/>
                <w:szCs w:val="18"/>
              </w:rPr>
              <w:t xml:space="preserve">+1.8R</w:t>
            </w:r>
          </w:p>
        </w:tc>
        <w:tc>
          <w:tcPr>
            <w:tcW w:type="dxa" w:w="126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1a1a1a"/>
                <w:sz w:val="18"/>
                <w:szCs w:val="18"/>
              </w:rPr>
              <w:t xml:space="preserve">2</w:t>
            </w:r>
          </w:p>
        </w:tc>
      </w:tr>
      <w:tr>
        <w:tc>
          <w:tcPr>
            <w:tcW w:type="dxa" w:w="190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1a1a1a"/>
                <w:sz w:val="18"/>
                <w:szCs w:val="18"/>
              </w:rPr>
              <w:t xml:space="preserve">Tue 26 May (t−3)</w:t>
            </w:r>
          </w:p>
        </w:tc>
        <w:tc>
          <w:tcPr>
            <w:tcW w:type="dxa" w:w="130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1a1a1a"/>
                <w:sz w:val="18"/>
                <w:szCs w:val="18"/>
              </w:rPr>
              <w:t xml:space="preserve">Trade 1</w:t>
            </w:r>
          </w:p>
        </w:tc>
        <w:tc>
          <w:tcPr>
            <w:tcW w:type="dxa" w:w="130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1a1a1a"/>
                <w:sz w:val="18"/>
                <w:szCs w:val="18"/>
              </w:rPr>
              <w:t xml:space="preserve">LONG</w:t>
            </w:r>
          </w:p>
        </w:tc>
        <w:tc>
          <w:tcPr>
            <w:tcW w:type="dxa" w:w="110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1a1a1a"/>
                <w:sz w:val="18"/>
                <w:szCs w:val="18"/>
              </w:rPr>
              <w:t xml:space="preserve">YES</w:t>
            </w:r>
          </w:p>
        </w:tc>
        <w:tc>
          <w:tcPr>
            <w:tcW w:type="dxa" w:w="140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1a1a1a"/>
                <w:sz w:val="18"/>
                <w:szCs w:val="18"/>
              </w:rPr>
              <w:t xml:space="preserve">7,500 / 7,520</w:t>
            </w:r>
          </w:p>
        </w:tc>
        <w:tc>
          <w:tcPr>
            <w:tcW w:type="dxa" w:w="110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1a1a1a"/>
                <w:sz w:val="18"/>
                <w:szCs w:val="18"/>
              </w:rPr>
              <w:t xml:space="preserve">+0.5R</w:t>
            </w:r>
          </w:p>
        </w:tc>
        <w:tc>
          <w:tcPr>
            <w:tcW w:type="dxa" w:w="126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1a1a1a"/>
                <w:sz w:val="18"/>
                <w:szCs w:val="18"/>
              </w:rPr>
              <w:t xml:space="preserve">1</w:t>
            </w:r>
          </w:p>
        </w:tc>
      </w:tr>
      <w:tr>
        <w:tc>
          <w:tcPr>
            <w:tcW w:type="dxa" w:w="190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1a1a1a"/>
                <w:sz w:val="18"/>
                <w:szCs w:val="18"/>
              </w:rPr>
              <w:t xml:space="preserve">Tue 26 May (t−3)</w:t>
            </w:r>
          </w:p>
        </w:tc>
        <w:tc>
          <w:tcPr>
            <w:tcW w:type="dxa" w:w="130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1a1a1a"/>
                <w:sz w:val="18"/>
                <w:szCs w:val="18"/>
              </w:rPr>
              <w:t xml:space="preserve">Trade 3A</w:t>
            </w:r>
          </w:p>
        </w:tc>
        <w:tc>
          <w:tcPr>
            <w:tcW w:type="dxa" w:w="130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1a1a1a"/>
                <w:sz w:val="18"/>
                <w:szCs w:val="18"/>
              </w:rPr>
              <w:t xml:space="preserve">LONG</w:t>
            </w:r>
          </w:p>
        </w:tc>
        <w:tc>
          <w:tcPr>
            <w:tcW w:type="dxa" w:w="110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1a1a1a"/>
                <w:sz w:val="18"/>
                <w:szCs w:val="18"/>
              </w:rPr>
              <w:t xml:space="preserve">YES</w:t>
            </w:r>
          </w:p>
        </w:tc>
        <w:tc>
          <w:tcPr>
            <w:tcW w:type="dxa" w:w="140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1a1a1a"/>
                <w:sz w:val="18"/>
                <w:szCs w:val="18"/>
              </w:rPr>
              <w:t xml:space="preserve">7,523 / 7,564</w:t>
            </w:r>
          </w:p>
        </w:tc>
        <w:tc>
          <w:tcPr>
            <w:tcW w:type="dxa" w:w="110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1a1a1a"/>
                <w:sz w:val="18"/>
                <w:szCs w:val="18"/>
              </w:rPr>
              <w:t xml:space="preserve">+1.4R</w:t>
            </w:r>
          </w:p>
        </w:tc>
        <w:tc>
          <w:tcPr>
            <w:tcW w:type="dxa" w:w="126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1a1a1a"/>
                <w:sz w:val="18"/>
                <w:szCs w:val="18"/>
              </w:rPr>
              <w:t xml:space="preserve">2</w:t>
            </w:r>
          </w:p>
        </w:tc>
      </w:tr>
      <w:tr>
        <w:tc>
          <w:tcPr>
            <w:tcW w:type="dxa" w:w="190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1a1a1a"/>
                <w:sz w:val="18"/>
                <w:szCs w:val="18"/>
              </w:rPr>
              <w:t xml:space="preserve">Wed 27 May (t−2)</w:t>
            </w:r>
          </w:p>
        </w:tc>
        <w:tc>
          <w:tcPr>
            <w:tcW w:type="dxa" w:w="130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1a1a1a"/>
                <w:sz w:val="18"/>
                <w:szCs w:val="18"/>
              </w:rPr>
              <w:t xml:space="preserve">Trade 1</w:t>
            </w:r>
          </w:p>
        </w:tc>
        <w:tc>
          <w:tcPr>
            <w:tcW w:type="dxa" w:w="130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1a1a1a"/>
                <w:sz w:val="18"/>
                <w:szCs w:val="18"/>
              </w:rPr>
              <w:t xml:space="preserve">LONG</w:t>
            </w:r>
          </w:p>
        </w:tc>
        <w:tc>
          <w:tcPr>
            <w:tcW w:type="dxa" w:w="110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1a1a1a"/>
                <w:sz w:val="18"/>
                <w:szCs w:val="18"/>
              </w:rPr>
              <w:t xml:space="preserve">NO</w:t>
            </w:r>
          </w:p>
        </w:tc>
        <w:tc>
          <w:tcPr>
            <w:tcW w:type="dxa" w:w="140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1a1a1a"/>
                <w:sz w:val="18"/>
                <w:szCs w:val="18"/>
              </w:rPr>
              <w:t xml:space="preserve">— (no pullback)</w:t>
            </w:r>
          </w:p>
        </w:tc>
        <w:tc>
          <w:tcPr>
            <w:tcW w:type="dxa" w:w="110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1a1a1a"/>
                <w:sz w:val="18"/>
                <w:szCs w:val="18"/>
              </w:rPr>
              <w:t xml:space="preserve">—</w:t>
            </w:r>
          </w:p>
        </w:tc>
        <w:tc>
          <w:tcPr>
            <w:tcW w:type="dxa" w:w="126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1a1a1a"/>
                <w:sz w:val="18"/>
                <w:szCs w:val="18"/>
              </w:rPr>
              <w:t xml:space="preserve">—</w:t>
            </w:r>
          </w:p>
        </w:tc>
      </w:tr>
      <w:tr>
        <w:tc>
          <w:tcPr>
            <w:tcW w:type="dxa" w:w="190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1a1a1a"/>
                <w:sz w:val="18"/>
                <w:szCs w:val="18"/>
              </w:rPr>
              <w:t xml:space="preserve">Wed 27 May (t−2)</w:t>
            </w:r>
          </w:p>
        </w:tc>
        <w:tc>
          <w:tcPr>
            <w:tcW w:type="dxa" w:w="130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1a1a1a"/>
                <w:sz w:val="18"/>
                <w:szCs w:val="18"/>
              </w:rPr>
              <w:t xml:space="preserve">Trade 2</w:t>
            </w:r>
          </w:p>
        </w:tc>
        <w:tc>
          <w:tcPr>
            <w:tcW w:type="dxa" w:w="130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1a1a1a"/>
                <w:sz w:val="18"/>
                <w:szCs w:val="18"/>
              </w:rPr>
              <w:t xml:space="preserve">LONG</w:t>
            </w:r>
          </w:p>
        </w:tc>
        <w:tc>
          <w:tcPr>
            <w:tcW w:type="dxa" w:w="110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1a1a1a"/>
                <w:sz w:val="18"/>
                <w:szCs w:val="18"/>
              </w:rPr>
              <w:t xml:space="preserve">YES</w:t>
            </w:r>
          </w:p>
        </w:tc>
        <w:tc>
          <w:tcPr>
            <w:tcW w:type="dxa" w:w="140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1a1a1a"/>
                <w:sz w:val="18"/>
                <w:szCs w:val="18"/>
              </w:rPr>
              <w:t xml:space="preserve">7,500 / 7,564</w:t>
            </w:r>
          </w:p>
        </w:tc>
        <w:tc>
          <w:tcPr>
            <w:tcW w:type="dxa" w:w="110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1a1a1a"/>
                <w:sz w:val="18"/>
                <w:szCs w:val="18"/>
              </w:rPr>
              <w:t xml:space="preserve">+2.0R</w:t>
            </w:r>
          </w:p>
        </w:tc>
        <w:tc>
          <w:tcPr>
            <w:tcW w:type="dxa" w:w="126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1a1a1a"/>
                <w:sz w:val="18"/>
                <w:szCs w:val="18"/>
              </w:rPr>
              <w:t xml:space="preserve">1</w:t>
            </w:r>
          </w:p>
        </w:tc>
      </w:tr>
      <w:tr>
        <w:tc>
          <w:tcPr>
            <w:tcW w:type="dxa" w:w="190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1a1a1a"/>
                <w:sz w:val="18"/>
                <w:szCs w:val="18"/>
              </w:rPr>
              <w:t xml:space="preserve">Thu 28 May (t−1)</w:t>
            </w:r>
          </w:p>
        </w:tc>
        <w:tc>
          <w:tcPr>
            <w:tcW w:type="dxa" w:w="130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1a1a1a"/>
                <w:sz w:val="18"/>
                <w:szCs w:val="18"/>
              </w:rPr>
              <w:t xml:space="preserve">Trade 1</w:t>
            </w:r>
          </w:p>
        </w:tc>
        <w:tc>
          <w:tcPr>
            <w:tcW w:type="dxa" w:w="130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1a1a1a"/>
                <w:sz w:val="18"/>
                <w:szCs w:val="18"/>
              </w:rPr>
              <w:t xml:space="preserve">LONG</w:t>
            </w:r>
          </w:p>
        </w:tc>
        <w:tc>
          <w:tcPr>
            <w:tcW w:type="dxa" w:w="110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1a1a1a"/>
                <w:sz w:val="18"/>
                <w:szCs w:val="18"/>
              </w:rPr>
              <w:t xml:space="preserve">OPEN</w:t>
            </w:r>
          </w:p>
        </w:tc>
        <w:tc>
          <w:tcPr>
            <w:tcW w:type="dxa" w:w="140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1a1a1a"/>
                <w:sz w:val="18"/>
                <w:szCs w:val="18"/>
              </w:rPr>
              <w:t xml:space="preserve">7,540 / open</w:t>
            </w:r>
          </w:p>
        </w:tc>
        <w:tc>
          <w:tcPr>
            <w:tcW w:type="dxa" w:w="110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1a1a1a"/>
                <w:sz w:val="18"/>
                <w:szCs w:val="18"/>
              </w:rPr>
              <w:t xml:space="preserve">OPEN @ +0.6R</w:t>
            </w:r>
          </w:p>
        </w:tc>
        <w:tc>
          <w:tcPr>
            <w:tcW w:type="dxa" w:w="126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b w:val="false"/>
                <w:bCs w:val="false"/>
                <w:color w:val="1a1a1a"/>
                <w:sz w:val="18"/>
                <w:szCs w:val="18"/>
              </w:rPr>
              <w:t xml:space="preserve">5+ (open)</w:t>
            </w:r>
          </w:p>
        </w:tc>
      </w:tr>
    </w:tbl>
    <w:p>
      <w:pPr>
        <w:pStyle w:val="Heading2"/>
        <w:spacing w:after="80" w:before="160"/>
      </w:pPr>
      <w:r>
        <w:t xml:space="preserve">21d · ‘What Is Working’ Aggregate</w:t>
      </w:r>
    </w:p>
    <w:p>
      <w:pPr>
        <w:spacing w:after="120"/>
        <w:jc w:val="both"/>
      </w:pPr>
      <w:r>
        <w:t xml:space="preserve">Trade 1 over the last 5 sessions: triggered 4/5, mean R ≈ +0.9, TP1/TP2/TP3 hit ≈ 75% / 25% / 0%. </w:t>
      </w:r>
      <w:r>
        <w:t xml:space="preserve">Trade 2: triggered 3/3 produced, mean R ≈ +1.7, the strongest performer. </w:t>
      </w:r>
      <w:r>
        <w:t xml:space="preserve">Trade 3A: triggered 1/2, mean R ≈ +1.4. </w:t>
      </w:r>
      <w:r>
        <w:t xml:space="preserve">Strongest performer: Trade 2 (regime-aware pivot long). Weakest: Trade 1 by mean R, though highest trigger frequency. </w:t>
      </w:r>
      <w:r>
        <w:rPr>
          <w:b/>
          <w:bCs/>
        </w:rPr>
        <w:t xml:space="preserve">Limitations: </w:t>
      </w:r>
      <w:r>
        <w:rPr>
          <w:i/>
          <w:iCs/>
        </w:rPr>
        <w:t xml:space="preserve">Five-session windows are too small to support statistical claims. The backtest cannot model intraday tick-level fills, slippage, or commission. Treat as a directional sanity-check, not a strategy-validation framework.</w:t>
      </w:r>
    </w:p>
    <w:p>
      <w:pPr>
        <w:spacing w:after="60"/>
      </w:pPr>
      <w:r>
        <w:t xml:space="preserve"/>
      </w:r>
    </w:p>
    <w:p>
      <w:r>
        <w:rPr>
          <w:i/>
          <w:iCs/>
          <w:color w:val="777777"/>
          <w:sz w:val="16"/>
          <w:szCs w:val="16"/>
        </w:rPr>
        <w:t xml:space="preserve">Not investment advice. Trade cards are illustrative forward-tests; intraday OHLC and pivot levels are indicative only.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88888"/>
        <w:sz w:val="14"/>
        <w:szCs w:val="14"/>
      </w:rPr>
      <w:t xml:space="preserve">S&amp;P 500 Daily Report │ 29 May 2026 │ Senior US Equity Strategist     </w:t>
    </w:r>
    <w:r>
      <w:rPr>
        <w:color w:val="888888"/>
        <w:sz w:val="14"/>
        <w:szCs w:val="14"/>
      </w:rPr>
      <w:t xml:space="preserve">Page </w:t>
    </w:r>
    <w:r>
      <w:rPr>
        <w:color w:val="888888"/>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space="2"/>
      </w:pBdr>
      <w:tabs>
        <w:tab w:val="right" w:pos="9026"/>
      </w:tabs>
    </w:pPr>
    <w:r>
      <w:rPr>
        <w:color w:val="888888"/>
        <w:sz w:val="16"/>
        <w:szCs w:val="16"/>
      </w:rPr>
      <w:t xml:space="preserve">S&amp;P 500 Report</w:t>
    </w:r>
    <w:r>
      <w:rPr>
        <w:color w:val="888888"/>
        <w:sz w:val="16"/>
        <w:szCs w:val="16"/>
      </w:rPr>
      <w:t xml:space="preserve">	29 May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4" w:space="2"/>
      </w:pBdr>
      <w:spacing w:after="120" w:before="240"/>
      <w:outlineLvl w:val="0"/>
    </w:pPr>
    <w:rPr>
      <w:rFonts w:ascii="Arial" w:cs="Arial" w:eastAsia="Arial" w:hAnsi="Arial"/>
      <w:b/>
      <w:bCs/>
      <w:color w:val="1F3864"/>
      <w:sz w:val="26"/>
      <w:szCs w:val="26"/>
    </w:rPr>
  </w:style>
  <w:style w:type="paragraph" w:styleId="Heading2">
    <w:name w:val="Heading 2"/>
    <w:basedOn w:val="Normal"/>
    <w:next w:val="Normal"/>
    <w:qFormat/>
    <w:pPr>
      <w:spacing w:after="60" w:before="160"/>
      <w:outlineLvl w:val="1"/>
    </w:pPr>
    <w:rPr>
      <w:rFonts w:ascii="Arial" w:cs="Arial" w:eastAsia="Arial" w:hAnsi="Arial"/>
      <w:b/>
      <w:b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fff8c8fe3581ee2d505e48a30e9fcb14b220648.png"/><Relationship Id="rId10" Type="http://schemas.openxmlformats.org/officeDocument/2006/relationships/image" Target="media/98f0761752a6ab51be67a0df7746c57eab1a73bf.png"/><Relationship Id="rId11" Type="http://schemas.openxmlformats.org/officeDocument/2006/relationships/image" Target="media/0a915eb85abdd18440048addc2f2e567884507d0.png"/><Relationship Id="rId12" Type="http://schemas.openxmlformats.org/officeDocument/2006/relationships/image" Target="media/e751dc40a18f577f12db3b28e93284a3ced0602c.png"/><Relationship Id="rId13" Type="http://schemas.openxmlformats.org/officeDocument/2006/relationships/image" Target="media/0af8e5c9c6569c219d3e7ca58ab4bca61b6e5a69.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2026-05-28T21:22:20.511Z</dcterms:created>
  <dcterms:modified xsi:type="dcterms:W3CDTF">2026-05-28T21:22:20.511Z</dcterms:modified>
</cp:coreProperties>
</file>

<file path=docProps/custom.xml><?xml version="1.0" encoding="utf-8"?>
<Properties xmlns="http://schemas.openxmlformats.org/officeDocument/2006/custom-properties" xmlns:vt="http://schemas.openxmlformats.org/officeDocument/2006/docPropsVTypes"/>
</file>