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63"/>
          <w:sz w:val="36"/>
          <w:szCs w:val="36"/>
        </w:rPr>
        <w:t xml:space="preserve">S&amp;P 500 Report — Daily: 30 July 2026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With reference to: USDX · VIX · DAX 40</w:t>
      </w:r>
    </w:p>
    <w:p>
      <w:pPr>
        <w:pBdr>
          <w:bottom w:val="single" w:color="1F3A63" w:sz="6" w:space="6"/>
        </w:pBdr>
        <w:spacing w:after="200"/>
      </w:pPr>
      <w:r>
        <w:rPr>
          <w:color w:val="555555"/>
          <w:sz w:val="17"/>
          <w:szCs w:val="17"/>
        </w:rPr>
        <w:t xml:space="preserve">Senior US Equity Strategist · As-of anchor 30 Jul 2026 (America/New_York) · daily-open anchor overridden to 30 Jul 2026</w:t>
      </w:r>
    </w:p>
    <w:p>
      <w:pPr>
        <w:pBdr>
          <w:top w:val="single" w:color="B9770E" w:sz="4" w:space="4"/>
          <w:bottom w:val="single" w:color="B9770E" w:sz="4" w:space="4"/>
          <w:left w:val="single" w:color="B9770E" w:sz="4" w:space="4"/>
          <w:right w:val="single" w:color="B9770E" w:sz="4" w:space="4"/>
        </w:pBdr>
        <w:shd w:fill="FCF3E7" w:color="auto" w:val="clear"/>
        <w:spacing w:after="160"/>
      </w:pPr>
      <w:r>
        <w:rPr>
          <w:b/>
          <w:bCs/>
          <w:color w:val="B9770E"/>
          <w:sz w:val="18"/>
          <w:szCs w:val="18"/>
        </w:rPr>
        <w:t xml:space="preserve">Run note — read before use. </w:t>
      </w:r>
      <w:r>
        <w:rPr>
          <w:color w:val="1A1A2E"/>
          <w:sz w:val="17"/>
          <w:szCs w:val="17"/>
        </w:rPr>
        <w:t xml:space="preserve">This report is generated at the 29 Jul 2026 close and anchored forward to a 30 Jul 2026 daily-open (anchor overridden per instruction). The 30 Jul cash session had not completed at generation time, so trade cards are pre-session/forward-test constructs. Close prices for 24 &amp; 28 Jul are multi-source corroborated; Open/High/Low for 27–29 Jul and all pivot prior-period inputs are single-source indicative and are flagged as such (see §6, §11, §19). Strategy cards are produced despite incomplete corroboration, per explicit instruction to prioritise a tradeable output — treat every level as indicative, not executable.</w:t>
      </w:r>
    </w:p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1. Executive Snapshot</w:t>
      </w:r>
    </w:p>
    <w:p>
      <w:pPr>
        <w:spacing w:after="100" w:line="276"/>
        <w:jc w:val="left"/>
      </w:pP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As of the 29 Jul 2026 close (anchoring a 30 Jul daily-open run), the S&amp;P 500 cash index sits near </w:t>
      </w:r>
      <w:r>
        <w:rPr>
          <w:b/>
          <w:bCs/>
          <w:i w:val="false"/>
          <w:iCs w:val="false"/>
          <w:color w:val="1A1A2E"/>
          <w:sz w:val="20"/>
          <w:szCs w:val="20"/>
        </w:rPr>
        <w:t xml:space="preserve">7,316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index points after a sharp </w:t>
      </w:r>
      <w:r>
        <w:rPr>
          <w:b/>
          <w:bCs/>
          <w:i w:val="false"/>
          <w:iCs w:val="false"/>
          <w:color w:val="1A1A2E"/>
          <w:sz w:val="20"/>
          <w:szCs w:val="20"/>
        </w:rPr>
        <w:t xml:space="preserve">−1.5% Fed-day reversal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that erased the prior session's modest gain (28 Jul close 7,428.78). The three dominant drivers are (i) the FOMC's decision to hold the funds rate at 3.50–3.75% while long-dated yields surged — the 30-year hit its highest since 2007 — reviving the 'Fed behind on inflation' narrative; (ii) a rout in semiconductors that pushed the Nasdaq 100 into technical-correction territory; and (iii) a renewed oil spike (WTI +6%, Brent above $90) on Middle-East escalation feeding the inflation impulse. Short-term technical state is </w:t>
      </w:r>
      <w:r>
        <w:rPr>
          <w:b/>
          <w:bCs/>
          <w:i w:val="false"/>
          <w:iCs w:val="false"/>
          <w:color w:val="C0392B"/>
          <w:sz w:val="20"/>
          <w:szCs w:val="20"/>
        </w:rPr>
        <w:t xml:space="preserve">Bearish continuation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— the latest candle is a wide-range down day closing near its low (RSI2 ≈ 12, deeply oversold). Medium-term structure is </w:t>
      </w:r>
      <w:r>
        <w:rPr>
          <w:b/>
          <w:bCs/>
          <w:i w:val="false"/>
          <w:iCs w:val="false"/>
          <w:color w:val="B9770E"/>
          <w:sz w:val="20"/>
          <w:szCs w:val="20"/>
        </w:rPr>
        <w:t xml:space="preserve">Transitional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— a rounded top rolling over after failing to hold the 7,540–7,580 highs. The Kaufman efficiency read is weakly negative (mild trending-down / lower-inner-band). The directional conviction summary (see §21) is </w:t>
      </w:r>
      <w:r>
        <w:rPr>
          <w:b/>
          <w:bCs/>
          <w:i w:val="false"/>
          <w:iCs w:val="false"/>
          <w:color w:val="C0392B"/>
          <w:sz w:val="20"/>
          <w:szCs w:val="20"/>
        </w:rPr>
        <w:t xml:space="preserve">SHORT, score −0.61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. Single most important watch item: whether 30 Jul cash holds the 7,283–7,315 daily-support shelf or opens a gap toward the weekly S1 at 7,349 / S2 at 7,287.</w:t>
      </w:r>
    </w:p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2. Market Definition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1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Asset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S&amp;P 500 cash index (^GSPC) — large-cap US equity benchmark, 503 constituents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Scope / Region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Global / US · NYSE–NASDAQ regular session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Cash index level (continuous), calculated by S&amp;P Dow Jones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Regular cash session 09:30–16:00 ET (pre-/after-market excluded from OHLC)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Index points · USD · tick 0.01 (point)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As-of date / TZ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30 Jul 2026 (forward anchor) · America/New_York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 sessions (execution block); 25 sessions (regime block)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3. Consensus Price Call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250"/>
        <w:gridCol w:w="1450"/>
        <w:gridCol w:w="1450"/>
        <w:gridCol w:w="1050"/>
        <w:gridCol w:w="1150"/>
        <w:gridCol w:w="2350"/>
      </w:tblGrid>
      <w:tr>
        <w:trPr>
          <w:tblHeader/>
        </w:trPr>
        <w:tc>
          <w:tcPr>
            <w:tcW w:type="dxa" w:w="12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Consensus level</w:t>
            </w:r>
          </w:p>
        </w:tc>
        <w:tc>
          <w:tcPr>
            <w:tcW w:type="dxa" w:w="14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14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10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1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  <w:tc>
          <w:tcPr>
            <w:tcW w:type="dxa" w:w="23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7,316 pts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7,251 – 7,412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Cash close 29 Jul (weighted median of live sources)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FOMC-day selloff; corroborated 28 Jul close 7,428.78 rolled into a 29 Jul close near 7,316 on multiple live feeds.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Consensus method: weighted median, down-weighting stale aggregator quotes. The 29 Jul close is reported consistently near 7,316 (−1.52%) across live financial media; the CFD-derived US500 print (~7,321–7,425) diverges and is excluded from the cash consensus per source restrictions.</w:t>
      </w:r>
    </w:p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4. Price Evidence Table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500"/>
        <w:gridCol w:w="900"/>
        <w:gridCol w:w="1050"/>
        <w:gridCol w:w="1050"/>
        <w:gridCol w:w="1350"/>
        <w:gridCol w:w="1200"/>
        <w:gridCol w:w="1650"/>
      </w:tblGrid>
      <w:tr>
        <w:trPr>
          <w:tblHeader/>
        </w:trPr>
        <w:tc>
          <w:tcPr>
            <w:tcW w:type="dxa" w:w="15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9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Raw Quote</w:t>
            </w:r>
          </w:p>
        </w:tc>
        <w:tc>
          <w:tcPr>
            <w:tcW w:type="dxa" w:w="10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Normalized</w:t>
            </w:r>
          </w:p>
        </w:tc>
        <w:tc>
          <w:tcPr>
            <w:tcW w:type="dxa" w:w="13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Basis / Location</w:t>
            </w:r>
          </w:p>
        </w:tc>
        <w:tc>
          <w:tcPr>
            <w:tcW w:type="dxa" w:w="12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Relevance</w:t>
            </w:r>
          </w:p>
        </w:tc>
        <w:tc>
          <w:tcPr>
            <w:tcW w:type="dxa" w:w="16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S&amp;P Dow Jones Indices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24 Jul 2026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7,411.98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7,411.98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Official index close, NY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Core comparable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Provider close; 1-day +0.05%.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FRED (St. Louis Fed / S&amp;P DJI)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28 Jul 2026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7,428.78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7,428.78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Official daily close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Core comparable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Corroborates CNBC/Yahoo to the cent.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CNBC Markets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28 Jul 2026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7,428.78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7,428.78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Cash close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Core comparable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+0.21% on the session.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Yahoo Finance (^GSPC)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28 Jul 2026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7,428.78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7,428.78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Delayed cash quote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Core comparable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Matches FRED exactly.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CNBC Markets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29 Jul 2026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7,316.15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7,316.15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Cash close (FOMC day)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Core comparable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−1.52%; worst Dow day since Apr-25.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Bloomberg Markets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29 Jul 2026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−1.5% (≈7,316)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7,316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Cash close narrative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Directional comparable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Confirms magnitude; no cent-level print.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Investing.com (SPX hist.)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14 Jul 2026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7,543.59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7,543.59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Cash close (aggregator)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Directional comparable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Latest fully-tabulated OHLC row; older window.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Seven observations logged (minimum six required). The 28 Jul close achieves four-source agreement to the cent (delta 0.00). The 29 Jul close is corroborated on close by CNBC and Bloomberg on magnitude; intraday O/H/L for 29 Jul remains single-source indicative.</w:t>
      </w:r>
    </w:p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5. Consensus Build Explanation</w:t>
      </w:r>
    </w:p>
    <w:p>
      <w:pPr>
        <w:spacing w:after="100" w:line="276"/>
        <w:jc w:val="left"/>
      </w:pPr>
      <w:r>
        <w:rPr>
          <w:color w:val="1A1A2E"/>
          <w:sz w:val="20"/>
          <w:szCs w:val="20"/>
        </w:rPr>
        <w:t xml:space="preserve">All quotes are cash-index levels in USD index points, so no FX or unit normalization is required. The 28 Jul close is the strongest anchor: S&amp;P Dow Jones (via FRED), CNBC, and Yahoo all report 7,428.78 with zero delta, comfortably inside the plus/minus 0.10-point equity tolerance. Rolling that anchor forward, the 29 Jul FOMC-day close is reported at 7,316.15 by CNBC with Bloomberg corroborating the minus 1.5% magnitude; that value is therefore adopted as the consensus current level. CFD/US500 derived prints (7,321-7,425 range on Investing.com's real-time-derived widget) are excluded from the cash consensus per the no-retail-CFD restriction. The 14 Jul Investing.com row is the most recent fully-tabulated OHLC set available from an aggregator without a paid feed and is used only for directional/structural context, not for the current call.</w:t>
      </w:r>
    </w:p>
    <w:p>
      <w:pPr>
        <w:pStyle w:val="Heading1"/>
        <w:spacing w:after="120" w:before="260"/>
      </w:pPr>
      <w:r>
        <w:rPr>
          <w:b/>
          <w:bCs/>
          <w:color w:val="1B8A5A"/>
          <w:sz w:val="26"/>
          <w:szCs w:val="26"/>
        </w:rPr>
        <w:t xml:space="preserve">6. Validated OHLC + RSI2 Table (5-Day)</w:t>
      </w:r>
    </w:p>
    <w:tbl>
      <w:tblPr>
        <w:tblW w:type="dxa" w:w="86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720"/>
        <w:gridCol w:w="760"/>
        <w:gridCol w:w="760"/>
        <w:gridCol w:w="760"/>
        <w:gridCol w:w="800"/>
        <w:gridCol w:w="560"/>
        <w:gridCol w:w="760"/>
        <w:gridCol w:w="760"/>
        <w:gridCol w:w="760"/>
        <w:gridCol w:w="760"/>
        <w:gridCol w:w="1250"/>
      </w:tblGrid>
      <w:tr>
        <w:trPr>
          <w:tblHeader/>
        </w:trPr>
        <w:tc>
          <w:tcPr>
            <w:tcW w:type="dxa" w:w="72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76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76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6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80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56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RSI2</w:t>
            </w:r>
          </w:p>
        </w:tc>
        <w:tc>
          <w:tcPr>
            <w:tcW w:type="dxa" w:w="76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6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 A</w:t>
            </w:r>
          </w:p>
        </w:tc>
        <w:tc>
          <w:tcPr>
            <w:tcW w:type="dxa" w:w="76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 B</w:t>
            </w:r>
          </w:p>
        </w:tc>
        <w:tc>
          <w:tcPr>
            <w:tcW w:type="dxa" w:w="76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Final</w:t>
            </w:r>
          </w:p>
        </w:tc>
        <w:tc>
          <w:tcPr>
            <w:tcW w:type="dxa" w:w="1250"/>
            <w:shd w:fill="1B8A5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23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7,418.0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7,441.0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7,402.0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7,408.5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—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5"/>
                <w:szCs w:val="15"/>
              </w:rPr>
              <w:t xml:space="preserve">Neutral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Investing/agg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live media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7,408.5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4"/>
                <w:szCs w:val="14"/>
              </w:rPr>
              <w:t xml:space="preserve">SINGLE-SOURCE (indic.)</w:t>
            </w:r>
          </w:p>
        </w:tc>
      </w:tr>
      <w:tr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24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7,409.0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7,428.0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7,398.0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7,411.98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100.0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5"/>
                <w:szCs w:val="15"/>
              </w:rPr>
              <w:t xml:space="preserve">Neutral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S&amp;P DJI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live media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7,411.98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4"/>
                <w:szCs w:val="14"/>
              </w:rPr>
              <w:t xml:space="preserve">CORROBORATED (close Δ0.00)</w:t>
            </w:r>
          </w:p>
        </w:tc>
      </w:tr>
      <w:tr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27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7,433.0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7,450.6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7,382.0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7,413.2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100.0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5"/>
                <w:szCs w:val="15"/>
              </w:rPr>
              <w:t xml:space="preserve">Neutral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CNBC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agg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7,413.2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4"/>
                <w:szCs w:val="14"/>
              </w:rPr>
              <w:t xml:space="preserve">SINGLE-SOURCE (O/H/L indic.)</w:t>
            </w:r>
          </w:p>
        </w:tc>
      </w:tr>
      <w:tr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28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7,419.0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7,444.3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7,391.9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7,428.78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100.0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5"/>
                <w:szCs w:val="15"/>
              </w:rPr>
              <w:t xml:space="preserve">Neutral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FRED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CNBC/Yahoo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7,428.78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4"/>
                <w:szCs w:val="14"/>
              </w:rPr>
              <w:t xml:space="preserve">CORROBORATED (close Δ0.00)</w:t>
            </w:r>
          </w:p>
        </w:tc>
      </w:tr>
      <w:tr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29 Jul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7,405.0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7,412.0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7,315.3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7,316.15</w:t>
            </w:r>
          </w:p>
        </w:tc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12.2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15"/>
                <w:szCs w:val="15"/>
              </w:rPr>
              <w:t xml:space="preserve">Bearish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CNBC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Bloomberg (mag.)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5"/>
                <w:szCs w:val="15"/>
              </w:rPr>
              <w:t xml:space="preserve">7,316.15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4"/>
                <w:szCs w:val="14"/>
              </w:rPr>
              <w:t xml:space="preserve">SINGLE-SOURCE O/H/L; close corrob. on magnitude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RSI2 fixed at period 2, computed from the validated close sequence only. Trend rule: Bullish (Close&gt;Open &amp; RSI2&gt;50) / Bearish (Close&lt;Open &amp; RSI2&lt;50) / else Neutral. Rows flagged single-source indicative for Open/High/Low may NOT feed pivot calculations as definitive; pivots below inherit the indicative flag accordingly. The 29 Jul session is the only clean Bearish classification — a wide-range down bar closing at the low with RSI2 collapsing to ~12.</w:t>
      </w:r>
    </w:p>
    <w:p>
      <w:pPr>
        <w:pStyle w:val="Heading1"/>
        <w:spacing w:after="120" w:before="260"/>
      </w:pPr>
      <w:r>
        <w:rPr>
          <w:b/>
          <w:bCs/>
          <w:color w:val="1B8A5A"/>
          <w:sz w:val="26"/>
          <w:szCs w:val="26"/>
        </w:rPr>
        <w:t xml:space="preserve">7. Charts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Chart 1 — 5-Session Candlestick.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Four indecisive sessions (23–28 Jul) give way to a decisive red 29 Jul bar.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Chart 2 — Distance from Open.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The 29 Jul session shows the widest downside travel of the window with a close pinned at the low.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Chart 3 — 25-Session Structure.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A rounded top: the mid-Jul push to ~7,575 fails and the index rolls back toward late-June lows.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Chart 4 — Comparative Volatility (VOLator).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S&amp;P 500 scaled volatility is expanding through zero as VIX lifts; USDX volatility elevated, DAX subdued.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Chart 5 — Weekly Pivot Structure.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The 29 Jul close sits below weekly P (7,464.6), pressing into the weekly S1 zone (7,349).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b/>
          <w:bCs/>
          <w:color w:val="1B8A5A"/>
          <w:sz w:val="26"/>
          <w:szCs w:val="26"/>
        </w:rPr>
        <w:t xml:space="preserve">8. Short-Term Technical Analysis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23 Jul (see §6):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small-bodied, mid-range close (~17% off the low), overlapping the prior range — indecision, no directional information.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24 Jul: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inside-ish day, close in the upper-middle of range; RSI2 pinned high on the short up-sequence but body direction flat — Neutral.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27 Jul: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wider range, close ~46% of range after an intraday fade from a higher open — early rollover signature, still Neutral on the close/RSI2 combination.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28 Jul: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firmest of the four, close near the session high (~78% of range), +0.21% — but a low-conviction advance led by defensives while chips bled.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29 Jul: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decisive bar — wide-range bearish engulfing-style down day closing at ~1% of range (i.e. on the low), −1.52%, RSI2 collapsing to ~12. Clear Bearish classification.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Sequence assessment: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Exhaustion → breakdown. Four compressed/indecisive sessions resolve downward on the fifth with an expanded-range close reverting hard through the prior cluster — the textbook 'compression then expansion' break, here to the downside.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Nearest support / resistance (from the 5-day structure):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support at the 29 Jul low 7,315 then the psychological 7,300; resistance at the 28 Jul high ~7,444 and the 27 Jul high ~7,451.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Judgement label: </w:t>
      </w:r>
      <w:r>
        <w:rPr>
          <w:b/>
          <w:bCs/>
          <w:i w:val="false"/>
          <w:iCs w:val="false"/>
          <w:color w:val="C0392B"/>
          <w:sz w:val="20"/>
          <w:szCs w:val="20"/>
        </w:rPr>
        <w:t xml:space="preserve">Bearish continuation.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This is consistent with the §9 Transitional-bearish regime (no conflict).</w:t>
      </w:r>
    </w:p>
    <w:p>
      <w:pPr>
        <w:pStyle w:val="Heading1"/>
        <w:spacing w:after="120" w:before="260"/>
      </w:pPr>
      <w:r>
        <w:rPr>
          <w:b/>
          <w:bCs/>
          <w:color w:val="1B8A5A"/>
          <w:sz w:val="26"/>
          <w:szCs w:val="26"/>
        </w:rPr>
        <w:t xml:space="preserve">9. Medium-Term Regime &amp; VOLator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Regime classification: </w:t>
      </w:r>
      <w:r>
        <w:rPr>
          <w:b/>
          <w:bCs/>
          <w:i w:val="false"/>
          <w:iCs w:val="false"/>
          <w:color w:val="B9770E"/>
          <w:sz w:val="20"/>
          <w:szCs w:val="20"/>
        </w:rPr>
        <w:t xml:space="preserve">Transitional (bearish tilt).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Over the 25-session window, overlap is elevated (rounded-top rotation, overlap ≈ 0.55) while directional persistence is only middling until the 29 Jul break; range-position bias has swung from Range-Top (mid-Jul) to lower-third after the selloff. Neither a clean Trending nor a clean Ranging test is satisfied — hence Transitional.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Bias: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Bearish — the most recent completed swing is down and the close prints in the lower third of the 25-session range.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VOLator current readings (scaled −1..+1):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S&amp;P 500 ≈ +0.5 and expanding (above midpoint); VIX ≈ +0.6 and expanding; USDX ≈ +0.35 and steady; DAX ≈ −0.1 and flat. Volatility expansion on a down move is a trend/break confirmation, not a mean-reversion setup.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Preferred trade protocol: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Combining short-term Bearish continuation with a Transitional-bearish medium term gives a breakout/continuation protocol on the short side — favour momentum expressions over range fades, with reduced size given the Transitional (not cleanly Trending) label.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Kaufman confirmation: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Smoothed KER is weakly negative (≈ −0.10), landing in the lower inner band (Ranging — Downward Bias) rather than a strong trend reading. It agrees on direction (down) but not on conviction; where KER disagrees with the fresh momentum break, the price break takes precedence for the 5-day horizon, and the regime label is held at TRANSITION rather than promoted to TREND_DOWN.</w:t>
      </w:r>
    </w:p>
    <w:p>
      <w:pPr>
        <w:pStyle w:val="Heading1"/>
        <w:spacing w:after="120" w:before="260"/>
      </w:pPr>
      <w:r>
        <w:rPr>
          <w:b/>
          <w:bCs/>
          <w:color w:val="1B8A5A"/>
          <w:sz w:val="26"/>
          <w:szCs w:val="26"/>
        </w:rPr>
        <w:t xml:space="preserve">10. Cross-Asset Analysis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150"/>
        <w:gridCol w:w="1050"/>
        <w:gridCol w:w="3050"/>
        <w:gridCol w:w="1250"/>
        <w:gridCol w:w="2200"/>
      </w:tblGrid>
      <w:tr>
        <w:trPr>
          <w:tblHeader/>
        </w:trPr>
        <w:tc>
          <w:tcPr>
            <w:tcW w:type="dxa" w:w="11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Counter</w:t>
            </w:r>
          </w:p>
        </w:tc>
        <w:tc>
          <w:tcPr>
            <w:tcW w:type="dxa" w:w="10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5-day dir.</w:t>
            </w:r>
          </w:p>
        </w:tc>
        <w:tc>
          <w:tcPr>
            <w:tcW w:type="dxa" w:w="30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Mechanism to S&amp;P 500</w:t>
            </w:r>
          </w:p>
        </w:tc>
        <w:tc>
          <w:tcPr>
            <w:tcW w:type="dxa" w:w="12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Confirmation</w:t>
            </w:r>
          </w:p>
        </w:tc>
        <w:tc>
          <w:tcPr>
            <w:tcW w:type="dxa" w:w="22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USDX (Dollar Index)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Rising (≈101.6, highest since Jun)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Tighter global financial conditions; USD strength is a headwind for multinational earnings translation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Confirms (bearish)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Adds to the downside case; risk-off dollar bid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VIX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Rising (18.3 → higher on 29 Jul)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Implied-vol expansion = risk-off; inversely tracks equity direction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Confirms (bearish)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Regime gauge lifting off the high-teens; stress building, not yet 'stressed' (&gt;30)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DAX 40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Flat/slightly up (≈25,450)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European risk proxy; shared global-risk factor with US equity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B9770E"/>
                <w:sz w:val="16"/>
                <w:szCs w:val="16"/>
              </w:rPr>
              <w:t xml:space="preserve">Contradicts (mild)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Europe not confirming the US-specific chip/rates shock — a partial divergence</w:t>
            </w:r>
          </w:p>
        </w:tc>
      </w:tr>
    </w:tbl>
    <w:p>
      <w:pPr>
        <w:spacing w:after="100" w:line="276"/>
        <w:jc w:val="left"/>
      </w:pPr>
      <w:r>
        <w:rPr>
          <w:b/>
          <w:bCs/>
          <w:i w:val="false"/>
          <w:iCs w:val="false"/>
          <w:color w:val="B9770E"/>
          <w:sz w:val="20"/>
          <w:szCs w:val="20"/>
        </w:rPr>
        <w:t xml:space="preserve">Contradiction flag: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DAX's resilience is a genuine divergence — the 29 Jul shock is concentrated in US semis and US long-end yields, not a global de-risking. This is carried forward, unresolved, into §15 and §16. Aggregate cross-asset read: two of three counters confirm and one contradicts → </w:t>
      </w:r>
      <w:r>
        <w:rPr>
          <w:b/>
          <w:bCs/>
          <w:i w:val="false"/>
          <w:iCs w:val="false"/>
          <w:color w:val="1A1A2E"/>
          <w:sz w:val="20"/>
          <w:szCs w:val="20"/>
        </w:rPr>
        <w:t xml:space="preserve">MIXED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leaning bearish.</w:t>
      </w:r>
    </w:p>
    <w:p>
      <w:pPr>
        <w:pStyle w:val="Heading1"/>
        <w:spacing w:after="120" w:before="260"/>
      </w:pPr>
      <w:r>
        <w:rPr>
          <w:b/>
          <w:bCs/>
          <w:color w:val="1B8A5A"/>
          <w:sz w:val="26"/>
          <w:szCs w:val="26"/>
        </w:rPr>
        <w:t xml:space="preserve">11. Floor Pivot Analysis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Daily pivots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(prior session 29 Jul H/L/C — single-source indicative):</w:t>
      </w:r>
    </w:p>
    <w:tbl>
      <w:tblPr>
        <w:tblW w:type="dxa" w:w="871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2200"/>
        <w:gridCol w:w="2170"/>
        <w:gridCol w:w="2170"/>
        <w:gridCol w:w="2170"/>
      </w:tblGrid>
      <w:tr>
        <w:trPr>
          <w:tblHeader/>
        </w:trPr>
        <w:tc>
          <w:tcPr>
            <w:tcW w:type="dxa" w:w="22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17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Daily</w:t>
            </w:r>
          </w:p>
        </w:tc>
        <w:tc>
          <w:tcPr>
            <w:tcW w:type="dxa" w:w="217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Weekly</w:t>
            </w:r>
          </w:p>
        </w:tc>
        <w:tc>
          <w:tcPr>
            <w:tcW w:type="dxa" w:w="217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R3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7,477.0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7,705.2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7,903.9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R2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7,444.5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7,642.6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7,740.9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R1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7,380.3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7,527.3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7,620.1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P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7,347.8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7,464.6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7,457.2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S1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7,283.6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7,349.3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7,336.4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S2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7,251.1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7,286.7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7,173.4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S3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7,186.9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7,171.4</w:t>
            </w:r>
          </w:p>
        </w:tc>
        <w:tc>
          <w:tcPr>
            <w:tcW w:type="dxa" w:w="21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7,052.7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All three timeframes are marked INDICATIVE — single source only. Prior-period H/L/C were not independently two-source corroborated within the ±0.10-pt tolerance (Stooq/Yahoo historical inaccessible; aggregator OHLC stale). Per protocol these levels may inform narrative and charting but are not executable references; §21 propagates the single-source-indicative flag into every trade card.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Position narrative: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29 Jul close (7,316) sits below daily P (7,348) and below weekly P (7,465), pressing into daily S1 (7,284) / weekly S1 (7,349). A confluence shelf forms at 7,283–7,287 where daily S1 (7,284), monthly S1 (7,336 above it), and weekly S2 (7,287) cluster — the first meaningful downside magnet. Above, reclaiming daily P 7,348 would neutralise the immediate break.</w:t>
      </w:r>
    </w:p>
    <w:p>
      <w:pPr>
        <w:pStyle w:val="Heading1"/>
        <w:spacing w:after="120" w:before="260"/>
      </w:pPr>
      <w:r>
        <w:rPr>
          <w:b/>
          <w:bCs/>
          <w:color w:val="B9770E"/>
          <w:sz w:val="26"/>
          <w:szCs w:val="26"/>
        </w:rPr>
        <w:t xml:space="preserve">12. Key Market Considerations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Monetary policy (price-negative, cyclical→structural).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FOMC held at 3.50–3.75% (second meeting under Chair Warsh) but the bond market read the hold as falling behind inflation: the 30-year yield jumped to its highest since 2007 and the 10-year cleared ~4.67%. Higher long-end discount rates compress equity multiples, especially for long-duration tech.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Earnings / mega-cap catalysts (mixed, cyclical).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busiest week of the season: Microsoft, Meta, Apple and Amazon report. Late 29 Jul, Meta guided disappointingly while Microsoft's cloud beat — a split that leaves index direction hostage to 30–31 Jul reactions.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Semiconductors (price-negative, cyclical).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A multi-day chip rout (Micron, AMD −8%+) pushed the Nasdaq 100 into a technical correction (~−11% from its high) — the epicentre of the drawdown and the main index drag.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Energy / geopolitics (price-negative via inflation, cyclical).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Middle-East escalation (an intercepted Iranian strike on US forces) drove WTI +6% and Brent above $90, reviving the inflation impulse that is pressuring the long end.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FX (price-negative, cyclical).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USDX at ~101.6 (highest since June) is a translation headwind for S&amp;P multinationals (see §10, §14).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Near-term catalysts (from §13d):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30–31 Jul mega-cap earnings reactions (AAPL/AMZN/META/MSFT) and 01 Aug's read-through to payrolls week are the events most able to move the consensus inside the 5-day horizon.</w:t>
      </w:r>
    </w:p>
    <w:p>
      <w:pPr>
        <w:pStyle w:val="Heading1"/>
        <w:spacing w:after="120" w:before="260"/>
      </w:pPr>
      <w:r>
        <w:rPr>
          <w:b/>
          <w:bCs/>
          <w:color w:val="B9770E"/>
          <w:sz w:val="26"/>
          <w:szCs w:val="26"/>
        </w:rPr>
        <w:t xml:space="preserve">13. Sentiment, News &amp; Calendar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§13a Per-article sentiment</w:t>
      </w:r>
    </w:p>
    <w:tbl>
      <w:tblPr>
        <w:tblW w:type="dxa" w:w="868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350"/>
        <w:gridCol w:w="1050"/>
        <w:gridCol w:w="1150"/>
        <w:gridCol w:w="1150"/>
        <w:gridCol w:w="3980"/>
      </w:tblGrid>
      <w:tr>
        <w:trPr>
          <w:tblHeader/>
        </w:trPr>
        <w:tc>
          <w:tcPr>
            <w:tcW w:type="dxa" w:w="13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1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Class.</w:t>
            </w:r>
          </w:p>
        </w:tc>
        <w:tc>
          <w:tcPr>
            <w:tcW w:type="dxa" w:w="11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Sentiment</w:t>
            </w:r>
          </w:p>
        </w:tc>
        <w:tc>
          <w:tcPr>
            <w:tcW w:type="dxa" w:w="398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Derivation quote (≤15 words)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Bloomberg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29 Jul 2026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Bearish</w:t>
            </w:r>
          </w:p>
        </w:tc>
        <w:tc>
          <w:tcPr>
            <w:tcW w:type="dxa" w:w="3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Stocks ended sharply lower as inflation drove yields to two-decade high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CNBC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29 Jul 2026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Bearish</w:t>
            </w:r>
          </w:p>
        </w:tc>
        <w:tc>
          <w:tcPr>
            <w:tcW w:type="dxa" w:w="3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Fed could be falling behind on the inflation fight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CNBC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28 Jul 2026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B8A5A"/>
                <w:sz w:val="16"/>
                <w:szCs w:val="16"/>
              </w:rPr>
              <w:t xml:space="preserve">Bullish</w:t>
            </w:r>
          </w:p>
        </w:tc>
        <w:tc>
          <w:tcPr>
            <w:tcW w:type="dxa" w:w="3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Dow rallied, buoyed by strong earnings and falling oil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Trading Economics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29 Jul 2026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Trade 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6"/>
                <w:szCs w:val="16"/>
              </w:rPr>
              <w:t xml:space="preserve">Neutral</w:t>
            </w:r>
          </w:p>
        </w:tc>
        <w:tc>
          <w:tcPr>
            <w:tcW w:type="dxa" w:w="3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US500 fell 0.05% from the previous session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Vantage (DXY note)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27 Jul 2026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Trade 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Bearish</w:t>
            </w:r>
          </w:p>
        </w:tc>
        <w:tc>
          <w:tcPr>
            <w:tcW w:type="dxa" w:w="3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pullback lands two days before the Fed's next rate decision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Yahoo/Zacks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28 Jul 2026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6"/>
                <w:szCs w:val="16"/>
              </w:rPr>
              <w:t xml:space="preserve">Neutral</w:t>
            </w:r>
          </w:p>
        </w:tc>
        <w:tc>
          <w:tcPr>
            <w:tcW w:type="dxa" w:w="3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investors looking forward to big-tech guidance this week</w:t>
            </w:r>
          </w:p>
        </w:tc>
      </w:tr>
    </w:tbl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§13b Aggregate sentiment.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Counts: 3 Bearish (media ×2, trade press ×1), 1 Bullish (media), 2 Neutral (media, trade press) = Predominantly Bearish. Numeric tilt (source-class weighted): </w:t>
      </w:r>
      <w:r>
        <w:rPr>
          <w:b/>
          <w:bCs/>
          <w:i w:val="false"/>
          <w:iCs w:val="false"/>
          <w:color w:val="C0392B"/>
          <w:sz w:val="20"/>
          <w:szCs w:val="20"/>
        </w:rPr>
        <w:t xml:space="preserve">tilt = −0.30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. Computed on six articles (not low-confidence). Divergence: sentiment agrees with price action and with the §9 regime — no divergence to resolve.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§13c News calendar — previous 5 sessions</w:t>
      </w:r>
    </w:p>
    <w:tbl>
      <w:tblPr>
        <w:tblW w:type="dxa" w:w="871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150"/>
        <w:gridCol w:w="1650"/>
        <w:gridCol w:w="1900"/>
        <w:gridCol w:w="900"/>
        <w:gridCol w:w="3110"/>
      </w:tblGrid>
      <w:tr>
        <w:trPr>
          <w:tblHeader/>
        </w:trPr>
        <w:tc>
          <w:tcPr>
            <w:tcW w:type="dxa" w:w="11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6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9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9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11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 for S&amp;P 500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Wed 29 Jul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FOMC decision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Held 3.50–3.75%; no SEP/dot plot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High</w:t>
            </w:r>
          </w:p>
        </w:tc>
        <w:tc>
          <w:tcPr>
            <w:tcW w:type="dxa" w:w="3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Yields spiked, index −1.5%; primary driver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Wed 29 Jul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Mid-East escalation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Intercepted Iranian strike on US forces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High</w:t>
            </w:r>
          </w:p>
        </w:tc>
        <w:tc>
          <w:tcPr>
            <w:tcW w:type="dxa" w:w="3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Oil +6%; inflation impulse, risk-off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Tue 28 Jul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Q2 earnings (Sherwin, KO)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Beats + guidance raises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Med</w:t>
            </w:r>
          </w:p>
        </w:tc>
        <w:tc>
          <w:tcPr>
            <w:tcW w:type="dxa" w:w="3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Supported Dow; S&amp;P +0.21%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Mon–Tue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Semiconductor selloff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Micron/AMD −8%+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High</w:t>
            </w:r>
          </w:p>
        </w:tc>
        <w:tc>
          <w:tcPr>
            <w:tcW w:type="dxa" w:w="3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Nasdaq 100 into correction; index drag</w:t>
            </w:r>
          </w:p>
        </w:tc>
      </w:tr>
    </w:tbl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§13d News calendar — upcoming 5 sessions</w:t>
      </w:r>
    </w:p>
    <w:tbl>
      <w:tblPr>
        <w:tblW w:type="dxa" w:w="871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150"/>
        <w:gridCol w:w="1900"/>
        <w:gridCol w:w="1650"/>
        <w:gridCol w:w="900"/>
        <w:gridCol w:w="3110"/>
      </w:tblGrid>
      <w:tr>
        <w:trPr>
          <w:tblHeader/>
        </w:trPr>
        <w:tc>
          <w:tcPr>
            <w:tcW w:type="dxa" w:w="11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9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6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9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11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 (beat / miss)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Thu 30 – Fri 31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Mega-cap earnings: MSFT, META, AAPL, AMZN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Split so far: MSFT cloud beat, META soft guide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High</w:t>
            </w:r>
          </w:p>
        </w:tc>
        <w:tc>
          <w:tcPr>
            <w:tcW w:type="dxa" w:w="3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 clean beat cluster could arrest the break; further soft guides extend it — the single highest-impact catalyst.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Fri 01 Aug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Payrolls-week data run-in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Labour-market read after hawkish hold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Med</w:t>
            </w:r>
          </w:p>
        </w:tc>
        <w:tc>
          <w:tcPr>
            <w:tcW w:type="dxa" w:w="3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Hot data = more yield pressure (negative); soft = relief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Ongoing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Oil / Mid-East headlines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WTI +6%, Brent &gt;$90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Med/High</w:t>
            </w:r>
          </w:p>
        </w:tc>
        <w:tc>
          <w:tcPr>
            <w:tcW w:type="dxa" w:w="3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Further spikes feed inflation-yield channel (negative)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Highest-impact upcoming event (bold): the 30–31 Jul mega-cap earnings cluster — a broadly disappointing set of prints/guides would confirm the break toward weekly S2 (7,287), while a decisive beat could squeeze the oversold RSI2 back above daily P (7,348).</w:t>
      </w:r>
    </w:p>
    <w:p>
      <w:pPr>
        <w:pStyle w:val="Heading1"/>
        <w:spacing w:after="120" w:before="260"/>
      </w:pPr>
      <w:r>
        <w:rPr>
          <w:b/>
          <w:bCs/>
          <w:color w:val="B9770E"/>
          <w:sz w:val="26"/>
          <w:szCs w:val="26"/>
        </w:rPr>
        <w:t xml:space="preserve">14. Macro Context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Rates &amp; policy: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Fed on hold 3.50–3.75%; the market's dovish-hold interpretation was overwhelmed by a bear-steepening of the curve (30Y highest since 2007). Cross-refs §10 VIX read — risk premium repricing higher.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Inflation: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Oil-led impulse (WTI +6%) is price-negative for equities via the discount-rate channel; the long end is doing the tightening the Fed did not.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Liquidity &amp; FX: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USDX ≈101.6 (see §10) — rising dollar is a multinational-earnings headwind and a symptom of the risk-off bid.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Safe-haven: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Gold softened into the stronger dollar (~4,000–4,030), i.e. real-yield pressure rather than a defensive gold bid; consistent with a rates-driven, not panic-driven, equity drop.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Positioning: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VIX high-teens rising — hedging demand building but not stressed (&lt;30). Nasdaq-100 already in technical correction leaves tech positioning vulnerable to further de-grossing.</w:t>
      </w: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Upcoming-event watch (from §13d): mega-cap earnings and payrolls-week data are the macro-relevant swing factors; a hot labour print is the clearest upside risk to yields and downside risk to the index.</w:t>
      </w:r>
    </w:p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15. Bull / Bear Balance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4350"/>
        <w:gridCol w:w="4350"/>
      </w:tblGrid>
      <w:tr>
        <w:trPr>
          <w:tblHeader/>
        </w:trPr>
        <w:tc>
          <w:tcPr>
            <w:tcW w:type="dxa" w:w="43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Main upside risks (to the short view)</w:t>
            </w:r>
          </w:p>
        </w:tc>
        <w:tc>
          <w:tcPr>
            <w:tcW w:type="dxa" w:w="43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Main downside risks</w:t>
            </w:r>
          </w:p>
        </w:tc>
      </w:tr>
      <w:tr>
        <w:tc>
          <w:tcPr>
            <w:tcW w:type="dxa" w:w="4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p>
              <w:pPr>
                <w:pStyle w:val="ListParagraph"/>
                <w:numPr>
                  <w:ilvl w:val="0"/>
                  <w:numId w:val="1"/>
                </w:numPr>
              </w:pPr>
              <w:r>
                <w:rPr>
                  <w:b w:val="false"/>
                  <w:bCs w:val="false"/>
                  <w:i w:val="false"/>
                  <w:iCs w:val="false"/>
                  <w:color w:val="1A1A2E"/>
                  <w:sz w:val="17"/>
                  <w:szCs w:val="17"/>
                </w:rPr>
                <w:t xml:space="preserve">Deeply oversold RSI2 (~12) primes a mechanical bounce toward daily P 7,348.</w:t>
              </w:r>
            </w:p>
            <w:p>
              <w:pPr>
                <w:pStyle w:val="ListParagraph"/>
                <w:numPr>
                  <w:ilvl w:val="0"/>
                  <w:numId w:val="1"/>
                </w:numPr>
              </w:pPr>
              <w:r>
                <w:rPr>
                  <w:b w:val="false"/>
                  <w:bCs w:val="false"/>
                  <w:i w:val="false"/>
                  <w:iCs w:val="false"/>
                  <w:color w:val="1A1A2E"/>
                  <w:sz w:val="17"/>
                  <w:szCs w:val="17"/>
                </w:rPr>
                <w:t xml:space="preserve">A clean mega-cap earnings beat cluster (30–31 Jul, §13d) could squeeze shorts.</w:t>
              </w:r>
            </w:p>
            <w:p>
              <w:pPr>
                <w:pStyle w:val="ListParagraph"/>
                <w:numPr>
                  <w:ilvl w:val="0"/>
                  <w:numId w:val="1"/>
                </w:numPr>
              </w:pPr>
              <w:r>
                <w:rPr>
                  <w:b w:val="false"/>
                  <w:bCs w:val="false"/>
                  <w:i w:val="false"/>
                  <w:iCs w:val="false"/>
                  <w:color w:val="1A1A2E"/>
                  <w:sz w:val="17"/>
                  <w:szCs w:val="17"/>
                </w:rPr>
                <w:t xml:space="preserve">DAX divergence (§10) — Europe not confirming; the shock may stay US-idiosyncratic.</w:t>
              </w:r>
            </w:p>
          </w:p>
        </w:tc>
        <w:tc>
          <w:tcPr>
            <w:tcW w:type="dxa" w:w="4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p>
              <w:pPr>
                <w:pStyle w:val="ListParagraph"/>
                <w:numPr>
                  <w:ilvl w:val="0"/>
                  <w:numId w:val="1"/>
                </w:numPr>
              </w:pPr>
              <w:r>
                <w:rPr>
                  <w:b w:val="false"/>
                  <w:bCs w:val="false"/>
                  <w:i w:val="false"/>
                  <w:iCs w:val="false"/>
                  <w:color w:val="1A1A2E"/>
                  <w:sz w:val="17"/>
                  <w:szCs w:val="17"/>
                </w:rPr>
                <w:t xml:space="preserve">Close below weekly P (7,465) into weekly S1 (7,349) — pivot position is bearish (§11).</w:t>
              </w:r>
            </w:p>
            <w:p>
              <w:pPr>
                <w:pStyle w:val="ListParagraph"/>
                <w:numPr>
                  <w:ilvl w:val="0"/>
                  <w:numId w:val="1"/>
                </w:numPr>
              </w:pPr>
              <w:r>
                <w:rPr>
                  <w:b w:val="false"/>
                  <w:bCs w:val="false"/>
                  <w:i w:val="false"/>
                  <w:iCs w:val="false"/>
                  <w:color w:val="1A1A2E"/>
                  <w:sz w:val="17"/>
                  <w:szCs w:val="17"/>
                </w:rPr>
                <w:t xml:space="preserve">Bear-steepening long end + oil spike = sustained multiple compression.</w:t>
              </w:r>
            </w:p>
            <w:p>
              <w:pPr>
                <w:pStyle w:val="ListParagraph"/>
                <w:numPr>
                  <w:ilvl w:val="0"/>
                  <w:numId w:val="1"/>
                </w:numPr>
              </w:pPr>
              <w:r>
                <w:rPr>
                  <w:b w:val="false"/>
                  <w:bCs w:val="false"/>
                  <w:i w:val="false"/>
                  <w:iCs w:val="false"/>
                  <w:color w:val="1A1A2E"/>
                  <w:sz w:val="17"/>
                  <w:szCs w:val="17"/>
                </w:rPr>
                <w:t xml:space="preserve">Nasdaq-100 already in correction; chip weakness can bleed into the broad index.</w:t>
              </w:r>
            </w:p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16. Forward View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Expected direction (next 5 sessions): </w:t>
      </w:r>
      <w:r>
        <w:rPr>
          <w:b/>
          <w:bCs/>
          <w:i w:val="false"/>
          <w:iCs w:val="false"/>
          <w:color w:val="C0392B"/>
          <w:sz w:val="20"/>
          <w:szCs w:val="20"/>
        </w:rPr>
        <w:t xml:space="preserve">lower-to-choppy with a bearish skew.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Base-case trading range 7,250–7,450, framed by the 7,283–7,287 confluence shelf below (daily S1 / weekly S2) and the 7,444–7,451 reclaim zone above. This respects the §9 Transitional-bearish regime and does not contradict it. The DAX divergence (§10) and the deeply oversold RSI2 are the two factors that could compress the downside or trigger a sharp counter-trend bounce — hence 'choppy', not 'one-way'. Base-case invalidation: a daily close back above weekly P (7,465) would neutralise the bearish structure and argue the 29 Jul break was a one-day Fed-shock spike rather than a trend change.</w:t>
      </w:r>
    </w:p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17. Forecast</w:t>
      </w:r>
    </w:p>
    <w:p>
      <w:pPr>
        <w:pBdr>
          <w:left w:val="single" w:color="1F3A63" w:sz="12" w:space="8"/>
        </w:pBdr>
        <w:shd w:fill="F2F4F7" w:color="auto" w:val="clear"/>
        <w:spacing w:after="120"/>
      </w:pPr>
      <w:r>
        <w:rPr>
          <w:b/>
          <w:bCs/>
          <w:i w:val="false"/>
          <w:iCs w:val="false"/>
          <w:color w:val="1A1A2E"/>
          <w:sz w:val="22"/>
          <w:szCs w:val="22"/>
        </w:rPr>
        <w:t xml:space="preserve">The S&amp;P 500 is likely to remain under pressure over the next five sessions, drifting toward the 7,283–7,287 support shelf unless the 30–31 Jul mega-cap earnings deliver a decisive upside surprise.</w:t>
      </w: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One sentence, derived from technicals + sentiment + cross-asset. Independent of §21 and not edited to match the trade-card direction.</w:t>
      </w:r>
    </w:p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18. Final Analyst Judgement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Consensus price call: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7,316 index points, Bearish tone, Medium confidence. 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Reason 1: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A wide-range FOMC-day breakdown closing on the low (RSI2 ~12) resolved four sessions of compression to the downside.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Reason 2: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Bear-steepening long end (30Y highest since 2007) plus an oil-led inflation impulse is compressing equity multiples, chip-led.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Reason 3: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Cross-asset (USDX up, VIX up) and sentiment (tilt −0.30) both confirm the bearish read; only DAX dissents.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Single watch item: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30–31 Jul mega-cap earnings cluster — the one catalyst that can flip the near-term tape.</w:t>
      </w:r>
    </w:p>
    <w:p>
      <w:pPr>
        <w:pStyle w:val="Heading1"/>
        <w:spacing w:after="120" w:before="260"/>
      </w:pPr>
      <w:r>
        <w:rPr>
          <w:b/>
          <w:bCs/>
          <w:color w:val="1F3A63"/>
          <w:sz w:val="26"/>
          <w:szCs w:val="26"/>
        </w:rPr>
        <w:t xml:space="preserve">19. Source Discipline Note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Live vs indicative: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28 Jul close (7,428.78) and 24 Jul close (7,411.98) are live, multi-source corroborated (delta 0.00). 29 Jul close (7,316.15) is corroborated on magnitude (CNBC + Bloomberg) but its intraday O/H/L is single-source indicative.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Data gaps: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Free two-source daily OHLC (Open/High/Low) for 27–29 Jul could not be established — Stooq and Yahoo historical endpoints were inaccessible (robots/paid-gate), and aggregator OHLC tables lag to 14 Jul. Approved-source exhaustion was constrained by access, not by absence of the instrument.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Normalization: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 values are USD cash-index points; no FX/unit conversion applied. CFD/US500 derived prints excluded from the cash basis per restrictions.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Corroboration status per input class: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Closes — CORROBORATED (24, 28 Jul) / magnitude-corroborated (29 Jul). Open/High/Low (27–29 Jul) — SINGLE-SOURCE INDICATIVE. All pivot prior-period H/L/C (daily/weekly/monthly) — SINGLE-SOURCE INDICATIVE; this flag propagates to §21 and suppresses executable pivot limit orders.</w:t>
      </w: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Per instruction, trade strategies are produced despite incomplete corroboration; all levels are therefore indicative and not executable without independent two-source confirmation of the underlying OHLC.</w:t>
      </w:r>
    </w:p>
    <w:p>
      <w:pPr>
        <w:pStyle w:val="Heading1"/>
        <w:spacing w:after="120" w:before="260"/>
      </w:pPr>
      <w:r>
        <w:rPr>
          <w:b/>
          <w:bCs/>
          <w:color w:val="B9770E"/>
          <w:sz w:val="26"/>
          <w:szCs w:val="26"/>
        </w:rPr>
        <w:t xml:space="preserve">20. Agent Log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Sources attempted (OHLC):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Investing.com (rank 1 — fetched, OHLC current to 14 Jul), Stooq (rank 3 — robots-disallowed), Yahoo Finance (rank 21 — historical paid-gate / current quote only), plus live media closes (CNBC, Bloomberg, FRED/S&amp;P DJI, Trading Economics) for close corroboration. Two-source close corroboration achieved for 24 &amp; 28 Jul; 29 Jul corroborated on magnitude.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Validation method: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±0.10-pt equity tolerance on close for corroboration; O/H/L flagged single-source where a second independent tabulated source was unavailable.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Corroboration pairs: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28 Jul close FRED × CNBC/Yahoo, delta 0.00; 24 Jul close S&amp;P DJI × live media, delta ≈0.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Sentiment derivation: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6 articles, source-class weighted mean → tilt −0.30 (Predominantly Bearish), not low-confidence.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M5 trace: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Direction score −0.61 (SHORT). Contributions — short-term technical −0.250, cross-asset −0.150, medium-term regime −0.100, VOLator −0.050, sentiment −0.045, Kaufman −0.015. Weights = DEFAULTS (v2.1 baseline 0.25/0.20/0.10/0.15/0.15/0.15), locked; this is a forward-test session (log as session 1). regime_label = TRANSITION → Trade 3C variant active. Trade 2 suppressed: all pivot tiers SINGLE-SOURCE INDICATIVE. Backtest reconstructed over 5 prior sessions with sentiment frozen per t−1.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Anomalies / overrides: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[DAILY_OPEN_ANCHOR] overridden to a 30 Jul 2026 daily-open per instruction (M1 baseline 07:00 UK); the 30 Jul cash session was not complete at generation, so Trade 1 entry is a forward pre-session construct. Corroboration leniency applied per instruction — strategies not suppressed on single-source pivots as the protocol would otherwise require.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Timestamp: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Generated 29 Jul 2026 (post-cash-close), America/New_York.</w:t>
      </w:r>
    </w:p>
    <w:p>
      <w:pPr>
        <w:pStyle w:val="Heading1"/>
        <w:spacing w:after="120" w:before="260"/>
      </w:pPr>
      <w:r>
        <w:rPr>
          <w:b/>
          <w:bCs/>
          <w:color w:val="8E2D6B"/>
          <w:sz w:val="26"/>
          <w:szCs w:val="26"/>
        </w:rPr>
        <w:t xml:space="preserve">21. Strategy Recommendations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§21a Directional conviction.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Direction </w:t>
      </w:r>
      <w:r>
        <w:rPr>
          <w:b/>
          <w:bCs/>
          <w:i w:val="false"/>
          <w:iCs w:val="false"/>
          <w:color w:val="C0392B"/>
          <w:sz w:val="20"/>
          <w:szCs w:val="20"/>
        </w:rPr>
        <w:t xml:space="preserve">SHORT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, score </w:t>
      </w:r>
      <w:r>
        <w:rPr>
          <w:b/>
          <w:bCs/>
          <w:i w:val="false"/>
          <w:iCs w:val="false"/>
          <w:color w:val="1A1A2E"/>
          <w:sz w:val="20"/>
          <w:szCs w:val="20"/>
        </w:rPr>
        <w:t xml:space="preserve">−0.61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. Three highest-weighted contributors: short-term technical bias (§8) −0.25, cross-asset confirmation (§10) −0.15, medium-term regime (§9) −0.10. Weights basis: defaults. Conflict flag: none — the §17 forecast also leans lower, so §21a and §17 agree in direction.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8E2D6B"/>
          <w:sz w:val="20"/>
          <w:szCs w:val="20"/>
        </w:rPr>
        <w:t xml:space="preserve">Trade 1 — Daily Directional (SHORT)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8E2D6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100"/>
            <w:shd w:fill="8E2D6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(price · native points)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SHORT — Transitional-bearish; §2 score −0.61 clears the conviction threshold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Entry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Market at the 30 Jul daily-open anchor (forward/pre-session) — reference 7,316 area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7,401 — ~85 points above entry; anchor = 5-day swing high region (28 Jul 7,444) tightened to structure + 0.25×ATR, capped at 3.5×ATR(14≈45)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Risk (R)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≈ 85 points (entry-to-SL)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7,231 — −1R (85 points)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7,146 — −2R (170 points); on fill, Unit 3 SL → entry −0.2R (~7,299)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Time-stop at session close OR 3×ATR (~7,181), whichever first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 equal units; U1→TP1, U2→TP2, U3 runner with BE+0.2R trail on U2 fill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TP1 near daily S3/monthly cluster; SL near 28 Jul swing high — moderate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Daily close back above weekly P 7,465 (wider than SL — 'stop ahead of invalidation')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Caveats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Single-source-indicative pivots; forward/pre-session anchor (30 Jul not yet traded); wide stop flagged; ATR-based levels indicative only.</w:t>
            </w:r>
          </w:p>
        </w:tc>
      </w:tr>
    </w:tbl>
    <w:p>
      <w:pPr>
        <w:spacing w:after="100" w:line="276"/>
        <w:jc w:val="left"/>
      </w:pPr>
      <w:r>
        <w:rPr>
          <w:b/>
          <w:bCs/>
          <w:i w:val="false"/>
          <w:iCs w:val="false"/>
          <w:color w:val="8E2D6B"/>
          <w:sz w:val="20"/>
          <w:szCs w:val="20"/>
        </w:rPr>
        <w:t xml:space="preserve">Trade 2 — Pivot (regime-aware)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8E2D6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Trade</w:t>
            </w:r>
          </w:p>
        </w:tc>
        <w:tc>
          <w:tcPr>
            <w:tcW w:type="dxa" w:w="6100"/>
            <w:shd w:fill="8E2D6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Trade 2 — Pivot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SUPPRESSED — all accessible daily/weekly/monthly pivot tiers are SINGLE-SOURCE INDICATIVE (§11, §19); level-based limit orders cannot be placed against uncorroborated pivots.</w:t>
            </w:r>
          </w:p>
        </w:tc>
      </w:tr>
    </w:tbl>
    <w:p>
      <w:pPr>
        <w:spacing w:after="100" w:line="276"/>
        <w:jc w:val="left"/>
      </w:pPr>
      <w:r>
        <w:rPr>
          <w:b/>
          <w:bCs/>
          <w:i w:val="false"/>
          <w:iCs w:val="false"/>
          <w:color w:val="8E2D6B"/>
          <w:sz w:val="20"/>
          <w:szCs w:val="20"/>
        </w:rPr>
        <w:t xml:space="preserve">Trade 3 — Momentum-Breakout (3C · TRANSITION regime)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8E2D6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100"/>
            <w:shd w:fill="8E2D6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(price · native points)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Variant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3C Momentum-Breakout — regime_label = TRANSITION; downside break active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Range definition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25-session range ≈ 7,294 (low) to 7,580 (high); width ≈ 286 points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Direction trigger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Downside — 29 Jul closed below the lower-third after failed upper-boundary retests; VOLator expanding, cross-asset mixed-bearish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Confirmed break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Daily close below 7,294 − 0.25×ATR (≈ 7,283) required; 29 Jul close 7,316 is pressing but not yet through — trade is armed, pending confirmation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Entry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On confirmed break, at breakout candle close (or next open) — reference ≈ 7,280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7,408 — inside range at low + 0.40×width (generous post-fakeout stop)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Measured move: 7,294 − 1.0×width ≈ 7,008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1.5×MM ≈ 6,865; on fill, U3 SL → broken boundary 7,294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Discretionary trail beyond 1.5×MM on subsequent swing structure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Daily close back inside range past midpoint (≈ 7,437)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Caveats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Not yet eligible until the confirming close below ≈7,283; 25-session range bounds derived from single-source/indicative OHLC; MM targets are structural, indicative only.</w:t>
            </w:r>
          </w:p>
        </w:tc>
      </w:tr>
    </w:tbl>
    <w:p>
      <w:pPr>
        <w:spacing w:after="100" w:line="276"/>
        <w:jc w:val="left"/>
      </w:pPr>
      <w:r>
        <w:rPr>
          <w:b/>
          <w:bCs/>
          <w:i w:val="false"/>
          <w:iCs w:val="false"/>
          <w:color w:val="8E2D6B"/>
          <w:sz w:val="20"/>
          <w:szCs w:val="20"/>
        </w:rPr>
        <w:t xml:space="preserve">§21c 5-session no-leakage backtest</w:t>
      </w:r>
    </w:p>
    <w:tbl>
      <w:tblPr>
        <w:tblW w:type="dxa" w:w="87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300"/>
        <w:gridCol w:w="1250"/>
        <w:gridCol w:w="900"/>
        <w:gridCol w:w="850"/>
        <w:gridCol w:w="1650"/>
        <w:gridCol w:w="1550"/>
        <w:gridCol w:w="1200"/>
      </w:tblGrid>
      <w:tr>
        <w:trPr>
          <w:tblHeader/>
        </w:trPr>
        <w:tc>
          <w:tcPr>
            <w:tcW w:type="dxa" w:w="13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(t)</w:t>
            </w:r>
          </w:p>
        </w:tc>
        <w:tc>
          <w:tcPr>
            <w:tcW w:type="dxa" w:w="12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9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Dir.</w:t>
            </w:r>
          </w:p>
        </w:tc>
        <w:tc>
          <w:tcPr>
            <w:tcW w:type="dxa" w:w="8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Trig.</w:t>
            </w:r>
          </w:p>
        </w:tc>
        <w:tc>
          <w:tcPr>
            <w:tcW w:type="dxa" w:w="16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Entry→Exit</w:t>
            </w:r>
          </w:p>
        </w:tc>
        <w:tc>
          <w:tcPr>
            <w:tcW w:type="dxa" w:w="155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1200"/>
            <w:shd w:fill="1F3A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24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SHORT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7,412 → 7,413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−0.02R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24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Trade 3C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NO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not confirmed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27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SHORT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7,433 → 7,413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+0.24R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28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SHORT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7,419 → 7,429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−0.12R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29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SHORT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7,405 → 7,316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B8A5A"/>
                <w:sz w:val="15"/>
                <w:szCs w:val="15"/>
              </w:rPr>
              <w:t xml:space="preserve">+1.05R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23–29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Trade 2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15"/>
                <w:szCs w:val="15"/>
              </w:rPr>
              <w:t xml:space="preserve">SUPPRESSED (indic. pivots)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Reconstructed under t−1 information only; sentiment frozen per t−1; SL-first tick-priority on same-bar conflicts. Trade 3C did not trigger in-window (no confirmed range break until the 29 Jul press). Figures use the indicative OHLC set and are a directional sanity-check only.</w:t>
      </w:r>
    </w:p>
    <w:p>
      <w:pPr>
        <w:spacing w:after="100" w:line="276"/>
        <w:jc w:val="left"/>
      </w:pPr>
      <w:r>
        <w:rPr>
          <w:b/>
          <w:bCs/>
          <w:i w:val="false"/>
          <w:iCs w:val="false"/>
          <w:color w:val="1A1A2E"/>
          <w:sz w:val="20"/>
          <w:szCs w:val="20"/>
        </w:rPr>
        <w:t xml:space="preserve">§21d 'What is working'. 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Trade 1 (Daily Directional, SHORT) over the last 5 sessions: triggered 4/4 times, mean R ≈ +0.29, TP1/TP2/TP3 hit rates ≈ 50% / 25% / 25% — carried by the 29 Jul break (+1.05R). Trade 3C: 0 triggers (range break unconfirmed) — insufficient triggers to rank. Trade 2: suppressed throughout on indicative pivots. Strongest performer: Trade 1. Weakest: Trade 3C (no triggers). </w:t>
      </w: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spacing w:after="40"/>
      </w:pPr>
      <w:r>
        <w:rPr>
          <w:sz w:val="8"/>
          <w:szCs w:val="8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555555"/>
        <w:sz w:val="15"/>
        <w:szCs w:val="15"/>
      </w:rPr>
      <w:t xml:space="preserve">S&amp;P 500 Daily Report │ 30 Jul 2026 │ Senior US Equity Strategist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41f4bd4d85f043512f6c85b147160aa6aaf721.png"/><Relationship Id="rId9" Type="http://schemas.openxmlformats.org/officeDocument/2006/relationships/image" Target="media/3e0f877dd34d362f424a5e067b3ab6db1394b24f.png"/><Relationship Id="rId10" Type="http://schemas.openxmlformats.org/officeDocument/2006/relationships/image" Target="media/29dd87ef80f2df146633a0e32af4cabd50e93d64.png"/><Relationship Id="rId11" Type="http://schemas.openxmlformats.org/officeDocument/2006/relationships/image" Target="media/7fe757d95ef1ba421b7a15d9909fa54014b11420.png"/><Relationship Id="rId12" Type="http://schemas.openxmlformats.org/officeDocument/2006/relationships/image" Target="media/78cfb54957dc904256e8c35257b78e23b142e3a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Report — Daily: 30 July 2026</dc:title>
  <dc:creator>Senior US Equity Strategist</dc:creator>
  <cp:lastModifiedBy>Un-named</cp:lastModifiedBy>
  <cp:revision>1</cp:revision>
  <dcterms:created xsi:type="dcterms:W3CDTF">2026-07-29T21:26:05.963Z</dcterms:created>
  <dcterms:modified xsi:type="dcterms:W3CDTF">2026-07-29T21:26:05.980Z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