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S&amp;P 500 Report — Daily: 30 June 2026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 reference to: USDX · VIX · DAX 40</w:t>
      </w:r>
    </w:p>
    <w:p>
      <w:pPr>
        <w:pBdr>
          <w:bottom w:val="single" w:color="1F4E79" w:sz="8" w:space="2"/>
        </w:pBdr>
        <w:spacing w:after="200"/>
      </w:pPr>
      <w:r>
        <w:rPr>
          <w:i/>
          <w:iCs/>
          <w:color w:val="555555"/>
          <w:sz w:val="18"/>
          <w:szCs w:val="18"/>
        </w:rPr>
        <w:t xml:space="preserve">Senior US Equity Strategist · Trading &amp; risk review (forward-test)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  Executive Snapshot</w:t>
      </w:r>
    </w:p>
    <w:p>
      <w:pPr>
        <w:spacing w:after="120" w:before="0"/>
      </w:pPr>
      <w:r>
        <w:t xml:space="preserve">The S&amp;P 500 cash index enters 30 June 2026 at a defensible consensus of </w:t>
      </w:r>
      <w:r>
        <w:rPr>
          <w:b/>
          <w:bCs/>
        </w:rPr>
        <w:t xml:space="preserve">7,354 index points</w:t>
      </w:r>
      <w:r>
        <w:t xml:space="preserve"> (last validated close, Fri 26 Jun), with market tone </w:t>
      </w:r>
      <w:r>
        <w:rPr>
          <w:b/>
          <w:bCs/>
        </w:rPr>
        <w:t xml:space="preserve">bearish</w:t>
      </w:r>
      <w:r>
        <w:t xml:space="preserve">. Three drivers dominate: a four-session megacap-tech unwind (Apple −6% on hardware price hikes, Micron-led memory volatility, a reported OpenAI IPO delay); a hawkish Federal Reserve under Chair Warsh with markets pricing roughly three rate hikes this year and a stronger dollar at 13-month highs near 101.3; and a rotation into defensives and small caps that has hollowed out index-level breadth. The short-term technical state is Trending–Bearish and the medium-term 25-session structure is also Trending–Bearish, with the close pinned in the bottom decile of the five-week range. The Kaufman efficiency read is Trending Down — Strong (−0.52), confirming the down-regime rather than contradicting it. Directional conviction from the strategy engine is SHORT (score −0.77). The single most important watch item is </w:t>
      </w:r>
      <w:r>
        <w:rPr>
          <w:b/>
          <w:bCs/>
        </w:rPr>
        <w:t xml:space="preserve">Thursday 2 July US non-farm payrolls</w:t>
      </w:r>
      <w:r>
        <w:t xml:space="preserve"> — a hot print hardens the hawkish-Fed/strong-dollar headwind, a soft print is the most credible near-term catalyst for the oversold bounce already visible intraday on 30 June.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 cash session 09:30–16:00 ET; pre/after-market excluded from OHLC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points · USD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June 2026 (America/New_York). Report date overrides the populated instance date.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Daily-open anchor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Overridden for this run to 00:00 UK (per request). Standard cash anchor is the 07:00 UK pre-NY-open window; the override is recorded in the Agent Log (§20).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Note: 30 June is an in-progress session at run time. The validated completed-session block ends Friday 26 June 2026; all OHLC, pivot, and regime mathematics are computed on completed sessions only, per the no-synthesis rule.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680"/>
        <w:gridCol w:w="1680"/>
        <w:gridCol w:w="18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7,354 pts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7,331 – 7,372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 26 Jun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D1457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20" w:before="0"/>
      </w:pPr>
      <w:r>
        <w:t xml:space="preserve">Rationale: the 26 June official close of 7,354.02 is corroborated across multiple independent feeds with zero material delta and sits inside a tight 41-point final-session range, making it the most defensible anchor. The wider 7,331–7,372 band reflects the 26 June intraday high/low. The in-progress 30 June rally (index quoted near 7,436, +1.1%) is a counter-trend bounce off oversold and is treated as live, not validated, data.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400"/>
        <w:gridCol w:w="1500"/>
        <w:gridCol w:w="156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(close)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Dow Jones / FRED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 17:02 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CNBC market wrap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TheStreet live blog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Bloomberg TV (The Close)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≈7,354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CME ES futures (ESM26)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basis-linked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only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(web)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 delayed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7,354.02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close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Six independent observations. Closes corroborate to the cent; intraday high/low for the prior five sessions are reconstructed from session reporting and carry a single-source-indicative flag where a second independent intraday feed could not be confirmed (see §19).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§5  Consensus Build Explanation</w:t>
      </w:r>
    </w:p>
    <w:p>
      <w:pPr>
        <w:spacing w:after="120" w:before="0"/>
      </w:pPr>
      <w:r>
        <w:t xml:space="preserve">All observations are already on the same specification (cash index, USD, index points, regular-session close), so no FX, freight, or grade normalization is required. The weighted-median method down-weights the delayed Yahoo web quote and the basis-linked futures print, both flagged confirmation-only. The official S&amp;P DJI / FRED value and the two real-time market desks (CNBC, TheStreet) agree to the cent and carry the highest weight. The 26 June close of 7,354.02 is therefore adopted as the consensus; the range is set by that session's own high/low rather than cross-source dispersion, which is immaterial here.</w:t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§6 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940"/>
        <w:gridCol w:w="940"/>
        <w:gridCol w:w="940"/>
        <w:gridCol w:w="1040"/>
        <w:gridCol w:w="720"/>
        <w:gridCol w:w="1060"/>
        <w:gridCol w:w="1240"/>
        <w:gridCol w:w="130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7,474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7,486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7,420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7,448.30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D1457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DJI × 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CORROBORATED (close Δ0.00)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7,447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7,458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7,365.46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D1457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DJI × 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CORROBORATED (close Δ0.00)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7,370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7,405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7,358.22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D1457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DJI × TheStreet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CORROBORATED (close Δ0.00)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7,361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7,411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7,357.49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AD1457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DJI × 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CORROBORATED (close Δ0.00)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7,372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7,331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7,354.02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DJI × FRED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CORROBORATED (close Δ0.00)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RSI2 fixed at period 2, computed from the validated close sequence. With closes declining monotonically across the block, mean gain is zero and RSI2 prints 0 (deeply oversold) — a legitimate, not a missing, value. Intraday High/Low are single-source-indicative; they are used for chart context and regime mathematics but the §11 pivot inputs are flagged accordingly (see §19). 26 Jun is Neutral by rule: Close &lt; Open is marginal and RSI2 is not &gt; 50.</w:t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§7  Charts</w:t>
      </w:r>
    </w:p>
    <w:p>
      <w:pPr>
        <w:pStyle w:val="Heading2"/>
        <w:spacing w:after="100" w:before="180"/>
      </w:pPr>
      <w:r>
        <w:t xml:space="preserve">Chart 1 — 5-Day Candlestick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2 — Distance from 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3 — 25-Session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t xml:space="preserve">Chart 4 — Comparative Volatility (VOLator)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Counter volatility series (VIX, USDX, DAX) are scaled illustratively to show co-movement of the risk regime; the S&amp;P 500 series is computed from validated OHLC. VIX tracks the index vol expansion; USDX runs inverse (risk-off dollar bid).</w:t>
      </w:r>
    </w:p>
    <w:p>
      <w:pPr>
        <w:pStyle w:val="Heading2"/>
        <w:spacing w:after="100" w:before="180"/>
      </w:pPr>
      <w:r>
        <w:t xml:space="preserve">Chart 5 — Pivot Structure (Weekly Candles)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§8  Short-Term Technical Analysis</w:t>
      </w:r>
    </w:p>
    <w:p>
      <w:pPr>
        <w:spacing w:after="80" w:before="0"/>
      </w:pPr>
      <w:r>
        <w:rPr>
          <w:b/>
          <w:bCs/>
          <w:color w:val="1F4E79"/>
        </w:rPr>
        <w:t xml:space="preserve">22 Jun  </w:t>
      </w:r>
      <w:r>
        <w:t xml:space="preserve">A bearish marubozu-like body (close near the lows, close location ≈ 43% of range), RSI2 at 0. Semiconductor weakness on a BofA rate-hike note set a one-way tone (see §6).</w:t>
      </w:r>
    </w:p>
    <w:p>
      <w:pPr>
        <w:spacing w:after="80" w:before="0"/>
      </w:pPr>
      <w:r>
        <w:rPr>
          <w:b/>
          <w:bCs/>
          <w:color w:val="1F4E79"/>
        </w:rPr>
        <w:t xml:space="preserve">23 Jun  </w:t>
      </w:r>
      <w:r>
        <w:t xml:space="preserve">The decisive session: a wide-range bearish candle, close location ≈ 14%, −1.44%. The Asian memory-chip rout carried into NY; this is the impulse leg of the down-move.</w:t>
      </w:r>
    </w:p>
    <w:p>
      <w:pPr>
        <w:spacing w:after="80" w:before="0"/>
      </w:pPr>
      <w:r>
        <w:rPr>
          <w:b/>
          <w:bCs/>
          <w:color w:val="1F4E79"/>
        </w:rPr>
        <w:t xml:space="preserve">24 Jun  </w:t>
      </w:r>
      <w:r>
        <w:t xml:space="preserve">Inside-ish range with a long upper wick rejected from 7,405; close ≈ 12% of range. Intraday volatility surged ahead of Micron earnings — supply pressure persists despite the small headline change.</w:t>
      </w:r>
    </w:p>
    <w:p>
      <w:pPr>
        <w:spacing w:after="80" w:before="0"/>
      </w:pPr>
      <w:r>
        <w:rPr>
          <w:b/>
          <w:bCs/>
          <w:color w:val="1F4E79"/>
        </w:rPr>
        <w:t xml:space="preserve">25 Jun  </w:t>
      </w:r>
      <w:r>
        <w:t xml:space="preserve">Doji-adjacent body, close ≈ 11% of range, RSI2 0. Micron's beat could not lift the index as Apple (−6%) and Microsoft (−3%) dragged the megacaps.</w:t>
      </w:r>
    </w:p>
    <w:p>
      <w:pPr>
        <w:spacing w:after="80" w:before="0"/>
      </w:pPr>
      <w:r>
        <w:rPr>
          <w:b/>
          <w:bCs/>
          <w:color w:val="1F4E79"/>
        </w:rPr>
        <w:t xml:space="preserve">26 Jun  </w:t>
      </w:r>
      <w:r>
        <w:t xml:space="preserve">Compression: a narrow 41-point range, near-flat close (−0.05%), close location ≈ 66%. The down-impulse has flattened into a doji — the first sign of seller exhaustion at the lows.</w:t>
      </w:r>
    </w:p>
    <w:p>
      <w:pPr>
        <w:spacing w:after="120" w:before="0"/>
      </w:pPr>
      <w:r>
        <w:rPr>
          <w:b/>
          <w:bCs/>
        </w:rPr>
        <w:t xml:space="preserve">Sequence assessment: </w:t>
      </w:r>
      <w:r>
        <w:t xml:space="preserve">Continuation flattening to Compression. </w:t>
      </w:r>
      <w:r>
        <w:t xml:space="preserve">Sessions 22–24 Jun are a clean directional progression (low overlap, closes traveling one way); 25–26 Jun show range contraction and a doji at the lows. Evidence: overlap ratio rose into the final two sessions while the range collapsed from 108 points (23 Jun) to 41 points (26 Jun).</w:t>
      </w:r>
    </w:p>
    <w:p>
      <w:pPr>
        <w:spacing w:after="120" w:before="0"/>
      </w:pPr>
      <w:r>
        <w:rPr>
          <w:b/>
          <w:bCs/>
        </w:rPr>
        <w:t xml:space="preserve">Nearest support / resistance: </w:t>
      </w:r>
      <w:r>
        <w:t xml:space="preserve">support 7,331 (26 Jun low, also the 5-day swing low); resistance 7,411–7,486 (25 Jun high up to the 5-day swing high).</w:t>
      </w:r>
    </w:p>
    <w:p>
      <w:pPr>
        <w:spacing w:after="120" w:before="0"/>
      </w:pPr>
      <w:r>
        <w:rPr>
          <w:b/>
          <w:bCs/>
        </w:rPr>
        <w:t xml:space="preserve">Judgement label: </w:t>
      </w:r>
      <w:r>
        <w:rPr>
          <w:b/>
          <w:bCs/>
          <w:color w:val="AD1457"/>
        </w:rPr>
        <w:t xml:space="preserve">Bearish continuation</w:t>
      </w:r>
      <w:r>
        <w:t xml:space="preserve"> — with explicit reversal-risk noted from the 26 Jun compression doji. Consistent with the §9 Trending–Bearish regime.</w:t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§9  Medium-Term Regime &amp; VOLator</w:t>
      </w:r>
    </w:p>
    <w:p>
      <w:pPr>
        <w:spacing w:after="120" w:before="0"/>
      </w:pPr>
      <w:r>
        <w:rPr>
          <w:b/>
          <w:bCs/>
        </w:rPr>
        <w:t xml:space="preserve">Regime classification: </w:t>
      </w:r>
      <w:r>
        <w:rPr>
          <w:b/>
          <w:bCs/>
          <w:color w:val="AD1457"/>
        </w:rPr>
        <w:t xml:space="preserve">Trending — Bearish.</w:t>
      </w:r>
      <w:r>
        <w:t xml:space="preserve"> Supporting metrics: overlap ratio 0.63, directional persistence 0.79, range-position bias 0.10 (bottom decile of the 25-session range), VOLator slope positive (+0.24, volatility expanding), median RSI2 across the block in the 0–40 band. The high overlap reflects the late-block compression, but persistence and range position confirm a decisive directional down-leg from the 17 June peak (7,570) into the 7,331–7,354 zone.</w:t>
      </w:r>
    </w:p>
    <w:p>
      <w:pPr>
        <w:spacing w:after="120" w:before="0"/>
      </w:pPr>
      <w:r>
        <w:rPr>
          <w:b/>
          <w:bCs/>
        </w:rPr>
        <w:t xml:space="preserve">Bias: </w:t>
      </w:r>
      <w:r>
        <w:t xml:space="preserve">Bearish.</w:t>
      </w:r>
    </w:p>
    <w:p>
      <w:pPr>
        <w:spacing w:after="120" w:before="0"/>
      </w:pPr>
      <w:r>
        <w:rPr>
          <w:b/>
          <w:bCs/>
        </w:rPr>
        <w:t xml:space="preserve">VOLator current readings: </w:t>
      </w:r>
      <w:r>
        <w:t xml:space="preserve">S&amp;P 500 scaled volatility ≈ +1.0 (top of its own range, expanding). VIX elevated near 18.4 (above the 'elevated' 20 watch line is not yet breached but it is rising); USDX volatility moderate and inverse; DAX volatility expanding in sympathy. Every active counter sits above or at its midpoint.</w:t>
      </w:r>
    </w:p>
    <w:p>
      <w:pPr>
        <w:spacing w:after="120" w:before="0"/>
      </w:pPr>
      <w:r>
        <w:rPr>
          <w:b/>
          <w:bCs/>
        </w:rPr>
        <w:t xml:space="preserve">Preferred trade protocol: </w:t>
      </w:r>
      <w:r>
        <w:t xml:space="preserve">High-conviction trend continuation — pullback entries in the trend (short) direction. Short-term (§8) and medium-term reads agree, so no conflict flag.</w:t>
      </w:r>
    </w:p>
    <w:p>
      <w:pPr>
        <w:spacing w:after="120" w:before="0"/>
      </w:pPr>
      <w:r>
        <w:rPr>
          <w:b/>
          <w:bCs/>
        </w:rPr>
        <w:t xml:space="preserve">Kaufman confirmation: </w:t>
      </w:r>
      <w:r>
        <w:t xml:space="preserve">KER −0.52, Trending Down — Strong. Agrees with the regime synthesis and raises confidence. No contradiction to resolve.</w:t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660"/>
        <w:gridCol w:w="15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stronger dollar (13-mo highs ~101.3) tightens global financial conditions and translates multinational earnings lower.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Headwind; consistent with bearish bias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Implied-vol expansion signals demand for downside protection / risk-off positioning.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regime negative for the index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Falling/Flat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Common global-risk factor; European equity confirms or contradicts the US risk read.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 risk-off, not US-idiosyncratic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Aggregate cross-asset confirmation: </w:t>
      </w:r>
      <w:r>
        <w:rPr>
          <w:b/>
          <w:bCs/>
          <w:color w:val="2E7D32"/>
        </w:rPr>
        <w:t xml:space="preserve">CONFIRM</w:t>
      </w:r>
      <w:r>
        <w:t xml:space="preserve"> — all three active counters align with the Trending–Bearish synthesis; none contradicts. No contradiction flag is raised.</w:t>
      </w:r>
    </w:p>
    <w:p>
      <w:pPr>
        <w:pBdr>
          <w:bottom w:val="single" w:color="2E7D32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§11  Floor Pivot Analysis</w:t>
      </w:r>
    </w:p>
    <w:p>
      <w:pPr>
        <w:pStyle w:val="Heading2"/>
        <w:spacing w:after="100" w:before="180"/>
      </w:pPr>
      <w:r>
        <w:t xml:space="preserve">Daily (from 26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/ Price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7,496.7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   7,332.7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7,455.7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   7,311.3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7,414.7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  7,291.7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7,393.3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   7,250.7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7,373.7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S5   7,209.7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7,352.3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t xml:space="preserve">Weekly (from W/E 26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/ Price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7,604.7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   7,294.7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7,545.3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   7,235.3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7,449.7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  7,139.7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7,390.3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t xml:space="preserve">Monthly (June block H/L/C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/ Price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7,657.3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   7,266.7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7,505.7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   7,179.3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7,418.3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  7,027.7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Source status: </w:t>
      </w:r>
      <w:r>
        <w:t xml:space="preserve">prior-period H/L/C closes are corroborated; intraday H/L feeding the pivots are single-source-indicative (see §19). All pivot levels therefore carry the indicative qualifier and are propagated to the §21 strategy suppression logic.</w:t>
      </w:r>
    </w:p>
    <w:p>
      <w:pPr>
        <w:spacing w:after="120" w:before="0"/>
      </w:pPr>
      <w:r>
        <w:rPr>
          <w:b/>
          <w:bCs/>
        </w:rPr>
        <w:t xml:space="preserve">Position narrative: </w:t>
      </w:r>
      <w:r>
        <w:t xml:space="preserve">the 26 June close (7,354.02) sits almost exactly on the daily pivot P (7,352.3) and just below the weekly P (7,390.3) and monthly P (7,418.3) — a clean stack of pivots overhead, all bearish-confirming. First support is daily S1 7,332.7 (≈ the 5-day swing low 7,331); first resistance is daily R1 7,373.7. No sub-0.05% three-timeframe confluence zone is present.</w:t>
      </w:r>
    </w:p>
    <w:p>
      <w:pPr>
        <w:pBdr>
          <w:bottom w:val="single" w:color="AD1457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§12  Key Market Considerations</w:t>
      </w:r>
    </w:p>
    <w:p>
      <w:pPr>
        <w:spacing w:after="30" w:before="0"/>
      </w:pPr>
      <w:r>
        <w:rPr>
          <w:b/>
          <w:bCs/>
          <w:color w:val="1F4E79"/>
        </w:rPr>
        <w:t xml:space="preserve">Demand / Earnings:  </w:t>
      </w:r>
      <w:r>
        <w:t xml:space="preserve">Q2 2026 S&amp;P earnings growth tracking ~23% with a bottom-up target well above spot, but megacap leadership is fracturing (Apple, Microsoft hardware price hikes; OpenAI IPO-delay chatter). Structural support, cyclical drag.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Neutral-to-negative (cyclical)</w:t>
      </w:r>
    </w:p>
    <w:p>
      <w:pPr>
        <w:spacing w:after="30" w:before="0"/>
      </w:pPr>
      <w:r>
        <w:rPr>
          <w:b/>
          <w:bCs/>
          <w:color w:val="1F4E79"/>
        </w:rPr>
        <w:t xml:space="preserve">Supply / Positioning:  </w:t>
      </w:r>
      <w:r>
        <w:t xml:space="preserve">Quarter-end rebalancing by pensions and sovereign funds amplified the tech selloff; breadth narrowed as defensives and small caps absorbed flows.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Price-negative (cyclical)</w:t>
      </w:r>
    </w:p>
    <w:p>
      <w:pPr>
        <w:spacing w:after="30" w:before="0"/>
      </w:pPr>
      <w:r>
        <w:rPr>
          <w:b/>
          <w:bCs/>
          <w:color w:val="1F4E79"/>
        </w:rPr>
        <w:t xml:space="preserve">Substitution / Spreads:  </w:t>
      </w:r>
      <w:r>
        <w:t xml:space="preserve">Rotation away from the S&amp;P's tech-heavy weighting toward the Dow (industrials, healthcare) and Russell 2000; the index underperformed its peers on the week (−2%).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Price-negative for the cap-weighted index (cyclical)</w:t>
      </w:r>
    </w:p>
    <w:p>
      <w:pPr>
        <w:spacing w:after="30" w:before="0"/>
      </w:pPr>
      <w:r>
        <w:rPr>
          <w:b/>
          <w:bCs/>
          <w:color w:val="1F4E79"/>
        </w:rPr>
        <w:t xml:space="preserve">Policy / Rates:  </w:t>
      </w:r>
      <w:r>
        <w:t xml:space="preserve">Hawkish Fed under Chair Warsh; markets price ~three hikes in 2026, first move odds ~60% by September; PCE 4.1% sticky. Higher-for-longer compresses equity multiples.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Price-negative (structural)</w:t>
      </w:r>
    </w:p>
    <w:p>
      <w:pPr>
        <w:spacing w:after="30" w:before="0"/>
      </w:pPr>
      <w:r>
        <w:rPr>
          <w:b/>
          <w:bCs/>
          <w:color w:val="1F4E79"/>
        </w:rPr>
        <w:t xml:space="preserve">Macro / FX:  </w:t>
      </w:r>
      <w:r>
        <w:t xml:space="preserve">Dollar at 13-month highs (~101.3) is a translation headwind for the index's 28% foreign revenue base; 10-year yield easing toward 4.4% on the oil drop is a modest offset.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Net price-negative (cyclical)</w:t>
      </w:r>
    </w:p>
    <w:p>
      <w:pPr>
        <w:spacing w:after="30" w:before="0"/>
      </w:pPr>
      <w:r>
        <w:rPr>
          <w:b/>
          <w:bCs/>
          <w:color w:val="1F4E79"/>
        </w:rPr>
        <w:t xml:space="preserve">Near-term catalysts:  </w:t>
      </w:r>
      <w:r>
        <w:t xml:space="preserve">Thursday 2 July non-farm payrolls is the dominant event within the horizon; Nike earnings; ongoing US-Iran / Strait of Hormuz headlines driving oil and risk sentiment. </w:t>
      </w:r>
    </w:p>
    <w:p>
      <w:pPr>
        <w:spacing w:after="120" w:before="0"/>
      </w:pPr>
      <w:r>
        <w:rPr>
          <w:i/>
          <w:iCs/>
          <w:sz w:val="18"/>
          <w:szCs w:val="18"/>
        </w:rPr>
        <w:t xml:space="preserve">Direction: </w:t>
      </w:r>
      <w:r>
        <w:rPr>
          <w:i/>
          <w:iCs/>
          <w:color w:val="AD1457"/>
          <w:sz w:val="18"/>
          <w:szCs w:val="18"/>
        </w:rPr>
        <w:t xml:space="preserve">Two-way risk (cyclical)</w:t>
      </w:r>
    </w:p>
    <w:p>
      <w:pPr>
        <w:pBdr>
          <w:bottom w:val="single" w:color="AD1457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§13  Sentiment, News &amp; Calendar</w:t>
      </w:r>
    </w:p>
    <w:p>
      <w:pPr>
        <w:pStyle w:val="Heading2"/>
        <w:spacing w:after="100" w:before="180"/>
      </w:pPr>
      <w:r>
        <w:t xml:space="preserve">§13a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2050"/>
        <w:gridCol w:w="1250"/>
        <w:gridCol w:w="1550"/>
        <w:gridCol w:w="186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CNBC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Nasdaq posts fifth losing session as chip stocks tumble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“rotated out of key technology stocks into more defensive areas”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TheStreet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Nasdaq, S&amp;P tread water amid tech sell-off, OpenAI IPO delay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“stocks were lower amid a global tech sell-off”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Schwab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Stocks rebound early, awaiting fresh jobs data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“S&amp;P 500 is just 3% off all-time highs”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Goldman (via CNBC)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‘Still in buy-dip mode’ — Flood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“general trend for this market is higher, dips present opportunities”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BofA Global Research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Constructive on memory's role in AI (Micron)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“reinforcing our constructive view on memory's role in AI”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Bloomberg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halts four-day drop to end jittery week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“halts four-day drop … jittery week”</w:t>
            </w:r>
          </w:p>
        </w:tc>
      </w:tr>
    </w:tbl>
    <w:p>
      <w:pPr>
        <w:pStyle w:val="Heading2"/>
        <w:spacing w:after="100" w:before="180"/>
      </w:pPr>
      <w:r>
        <w:t xml:space="preserve">§13b  Aggregate Sentiment Summary</w:t>
      </w:r>
    </w:p>
    <w:p>
      <w:pPr>
        <w:spacing w:after="120" w:before="0"/>
      </w:pPr>
      <w:r>
        <w:t xml:space="preserve">Counts: 2 Bullish (institutional), 2 Bearish (media), 2 Mixed (media). Categorical label: </w:t>
      </w:r>
      <w:r>
        <w:rPr>
          <w:b/>
          <w:bCs/>
        </w:rPr>
        <w:t xml:space="preserve">Mixed-to-Bearish.</w:t>
      </w:r>
      <w:r>
        <w:t xml:space="preserve"> Numeric tilt (source-class-weighted): </w:t>
      </w:r>
      <w:r>
        <w:rPr>
          <w:b/>
          <w:bCs/>
          <w:color w:val="AD1457"/>
        </w:rPr>
        <w:t xml:space="preserve">−0.30</w:t>
      </w:r>
      <w:r>
        <w:t xml:space="preserve">. The two institutional 'buy-the-dip' notes carry full weight but are outweighed by the media-level bearish tape plus the structural hawkish-Fed read; the mixed articles net to zero. </w:t>
      </w:r>
    </w:p>
    <w:p>
      <w:pPr>
        <w:spacing w:after="120" w:before="0"/>
      </w:pPr>
      <w:r>
        <w:rPr>
          <w:b/>
          <w:bCs/>
        </w:rPr>
        <w:t xml:space="preserve">Divergence flag: </w:t>
      </w:r>
      <w:r>
        <w:t xml:space="preserve">price action (falling) agrees with the aggregate bearish media tilt; the institutional buy-the-dip view diverges from price. Given the Trending–Bearish regime (§9), price/tape is the more reliable near-term signal — the institutional view is a swing-horizon call. Categorical label and tilt agree in sign.</w:t>
      </w:r>
    </w:p>
    <w:p>
      <w:pPr>
        <w:pStyle w:val="Heading2"/>
        <w:spacing w:after="100" w:before="180"/>
      </w:pPr>
      <w:r>
        <w:t xml:space="preserve">§13c  News Calendar — Previous Period (22–26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200"/>
        <w:gridCol w:w="2300"/>
        <w:gridCol w:w="1050"/>
        <w:gridCol w:w="256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23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Asian memory-chip rout / BofA rate-hike note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Semis lead; Micron −13%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−1.44%; impulse leg of the down-move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 24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Micron earnings (after close)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 $41.5bn, EPS $25.11 beat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Intraday vol surge; failed to lift index next day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25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PCE (in-line); Apple/MSFT price hikes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PCE 4.1% headline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Megacaps dragged; S&amp;P −0.01%, Dow to record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 26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 IPO-delay report; quarter-end rebalance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NYT sourcing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 tech selloff; S&amp;P −0.05%, −2% on week</w:t>
            </w:r>
          </w:p>
        </w:tc>
      </w:tr>
    </w:tbl>
    <w:p>
      <w:pPr>
        <w:pStyle w:val="Heading2"/>
        <w:spacing w:after="100" w:before="180"/>
      </w:pPr>
      <w:r>
        <w:t xml:space="preserve">§13d 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200"/>
        <w:gridCol w:w="2300"/>
        <w:gridCol w:w="1050"/>
        <w:gridCol w:w="256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30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Quarter / month-end close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S&amp;P −2% for June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Rebalancing flows two-way; oversold bounce live intraday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30 Jun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Nike earnings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Consumer bellwether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on discretionary demand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2 Jul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Non-Farm Payrolls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Hawkish-Fed backdrop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Beat → harder dollar/rates, bearish; miss → rate-hike repricing, bullish bounce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2 Jul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 / jobless claims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Pre-holiday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 or offsets the NFP read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Highest-impact upcoming event: </w:t>
      </w:r>
      <w:r>
        <w:rPr>
          <w:b/>
          <w:bCs/>
          <w:color w:val="AD1457"/>
        </w:rPr>
        <w:t xml:space="preserve">Thursday 2 July Non-Farm Payrolls</w:t>
      </w:r>
      <w:r>
        <w:t xml:space="preserve"> — a hot print reinforces the hawkish-Fed/strong-dollar headwind and extends the down-regime, while a soft print is the single most credible trigger to convert the 30 June oversold bounce into a genuine reversal.</w:t>
      </w:r>
    </w:p>
    <w:p>
      <w:pPr>
        <w:pBdr>
          <w:bottom w:val="single" w:color="AD1457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Rates &amp; policy: </w:t>
      </w:r>
      <w:r>
        <w:t xml:space="preserve">hawkish Fed (Chair Warsh); ~three 2026 hikes priced, first-move odds ~60% by September. Cross-references the rising VIX read in §10 — both risk-negative for the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Inflation: </w:t>
      </w:r>
      <w:r>
        <w:t xml:space="preserve">May PCE 4.1% headline, sticky and above target. Price-negative (multiple compression).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Safe-haven / real yields: </w:t>
      </w:r>
      <w:r>
        <w:t xml:space="preserve">10-year yield easing toward 4.4% as oil fell is a modest offset, but real yields remain elevated under the hawkish stance — net neutral-to-negative.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Liquidity &amp; FX: </w:t>
      </w:r>
      <w:r>
        <w:t xml:space="preserve">USDX rising to 13-month highs (§10) tightens conditions and translates the index's 28% foreign revenue lower. Price-negative.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Energy: </w:t>
      </w:r>
      <w:r>
        <w:t xml:space="preserve">WTI/Brent fell sharply (Brent −4.3% on 24 Jun) on US-Iran de-escalation hopes; lower oil eases the inflation impulse but signals demand concern — mixed for equities.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Positioning: </w:t>
      </w:r>
      <w:r>
        <w:t xml:space="preserve">quarter-end rebalancing, narrow breadth, VIX ~18.4 and rising. Watch item from §13d: a hot NFP would push the dollar and yields higher and pressure the index further.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Oversold mean-reversion: RSI2 pinned at 0, 26 Jun compression doji at the 5-day swing low (7,331) — the 30 Jun intraday rally (+1.1%) is already expressing this.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Soft 2 Jul NFP repricing Fed-hike odds lower (the §13d highest-impact event).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Institutional 'buy-the-dip' flows (Goldman, BofA) plus index only ~3% off all-time highs.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Pivot reclaim: a daily close back above weekly P 7,390 would neutralise the bearish stack.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Trend continuation from a confirmed Trending–Bearish regime (KER −0.52); close pinned in the bottom decile of the 25-day range.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Hawkish Fed + 13-month-high dollar (§14) as a persistent multiple-compression headwind.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Narrow breadth / megacap leadership fracturing (Apple, Microsoft, OpenAI-IPO overhang).</w:t>
            </w:r>
          </w:p>
          <w:p>
            <w:pPr>
              <w:spacing w:after="40" w:before="0"/>
            </w:pPr>
            <w:r>
              <w:rPr>
                <w:sz w:val="18"/>
                <w:szCs w:val="18"/>
              </w:rPr>
              <w:t xml:space="preserve">A break of 7,331 swing-low/S1 opens daily S2 7,311 then weekly S1 7,295.</w:t>
            </w:r>
          </w:p>
        </w:tc>
      </w:tr>
    </w:tbl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§16  Forward View</w:t>
      </w:r>
    </w:p>
    <w:p>
      <w:pPr>
        <w:spacing w:after="120" w:before="0"/>
      </w:pPr>
      <w:r>
        <w:t xml:space="preserve">Expected direction over the next five sessions: </w:t>
      </w:r>
      <w:r>
        <w:rPr>
          <w:b/>
          <w:bCs/>
        </w:rPr>
        <w:t xml:space="preserve">lower-to-sideways with elevated two-way risk.</w:t>
      </w:r>
      <w:r>
        <w:t xml:space="preserve"> The dominant Trending–Bearish regime favours rallies being sold toward the 7,373 (daily R1) – 7,390 (weekly P) band. Expected trading range 7,295–7,420. Base case is a retest of 7,331 swing-low support; a daily close below 7,311 (daily S2) confirms continuation toward weekly S1 7,295. </w:t>
      </w:r>
    </w:p>
    <w:p>
      <w:pPr>
        <w:spacing w:after="120" w:before="0"/>
      </w:pPr>
      <w:r>
        <w:rPr>
          <w:i/>
          <w:iCs/>
        </w:rPr>
        <w:t xml:space="preserve">This view respects the §9 technical regime. </w:t>
      </w:r>
      <w:r>
        <w:t xml:space="preserve">It is flagged, however, that the in-progress 30 June session is rallying hard intraday (~+1.1%) — a counter-trend oversold bounce. The base case is invalidated to the upside on a daily close back above weekly P 7,390, which would turn the bearish pivot stack and argue for a swing back toward 7,449 (weekly R1). The 2 July payrolls print is the most likely arbiter.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§17  Forecast</w:t>
      </w:r>
    </w:p>
    <w:p>
      <w:pPr>
        <w:spacing w:after="120" w:before="0"/>
      </w:pPr>
      <w:r>
        <w:rPr>
          <w:b/>
          <w:bCs/>
        </w:rPr>
        <w:t xml:space="preserve">Forecast: </w:t>
      </w:r>
      <w:r>
        <w:rPr>
          <w:i/>
          <w:iCs/>
        </w:rPr>
        <w:t xml:space="preserve">The S&amp;P 500 is biased lower toward 7,331 then 7,311 over the coming sessions as the Trending–Bearish regime, hawkish-Fed dollar strength, and bearish cross-asset confirmation outweigh an oversold bounce that requires a soft payrolls print to sustain.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§18  Final Analyst Judgement</w:t>
      </w:r>
    </w:p>
    <w:p>
      <w:pPr>
        <w:spacing w:after="120" w:before="0"/>
      </w:pPr>
      <w:r>
        <w:rPr>
          <w:b/>
          <w:bCs/>
        </w:rPr>
        <w:t xml:space="preserve">Consensus price call: </w:t>
      </w:r>
      <w:r>
        <w:t xml:space="preserve">7,354 index points, bearish tone, High confidence.</w:t>
      </w:r>
    </w:p>
    <w:p>
      <w:pPr>
        <w:spacing w:after="120" w:before="0"/>
      </w:pPr>
      <w:r>
        <w:rPr>
          <w:b/>
          <w:bCs/>
        </w:rPr>
        <w:t xml:space="preserve">Three most important reasons: </w:t>
      </w:r>
      <w:r>
        <w:t xml:space="preserve">(1) a confirmed Trending–Bearish regime across both the 5-day and 25-session windows with KER −0.52 corroboration; (2) a hawkish Fed and 13-month-high dollar imposing a structural multiple-compression headwind; (3) unanimous bearish cross-asset confirmation (USDX up, VIX up, DAX soft).</w:t>
      </w:r>
    </w:p>
    <w:p>
      <w:pPr>
        <w:spacing w:after="120" w:before="0"/>
      </w:pPr>
      <w:r>
        <w:rPr>
          <w:b/>
          <w:bCs/>
        </w:rPr>
        <w:t xml:space="preserve">Single watch item: </w:t>
      </w:r>
      <w:r>
        <w:t xml:space="preserve">Thursday 2 July US Non-Farm Payrolls.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Live vs indicative: session closes for 22–26 Jun are CORROBORATED (two independent sources, zero delta). Intraday High/Low for those sessions are SINGLE-SOURCE — indicative only; they are used for chart context and regime mathematics but not as definitive settlement 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Pivot inputs: because the prior-period intraday H/L are single-source-indicative, all daily/weekly/monthly pivot levels carry the indicative qualifier and are flagged to the §21 strategy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 the run instruction, strategy recommendations are NOT suppressed on corroboration grounds; the indicative status is disclosed on every affected trade card instead (corroboration leniency applied — see §20).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30 June in-progress quote (~7,436) is live, not validated, and is excluded from all OHLC, pivot, and regime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Corroboration status by instrument: S&amp;P 500 close CORROBORATED; USDX, VIX, DAX directional reads sourced from market data feeds for cross-asset context only.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Run configuration overrides: as-of/report date set to 30 June 2026 (instance default 29 April 2026 overridden per request); daily-open anchor overridden to 00:00 UK (instance default 07:00 UK) per request — recorded here as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Sources attempted for S&amp;P 500 close: S&amp;P DJI/FRED, CNBC, TheStreet, Bloomberg, Yahoo (web), CME ES (confirmation). Corroborated pair: S&amp;P DJI × CNBC, delta 0.00 pts, tolerance ±0.10 pts. Intraday H/L: single-source for the five-session block — logged by session date in §19.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Direction-score weights basis: DEFAULTS (0.25 / 0.20 / 0.10 / 0.15 / 0.15 / 0.15), unchanged; within the 20-session weight-lock window. No tuning applied.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Direction score −0.77 → SHORT. Contributing signals: short-term technical bias −1×0.25, medium-term regime −1×0.20, cross-asset CONFIRM −1×0.15, sentiment tilt −0.30×0.15, Kaufman −0.52×0.15, VOLator −0.5×0.10.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Sentiment tilt provenance: M-stage §13b primary-asset value −0.30, computed on six articles (above the three-article low-confidence threshold). Source-class weighting applied (institutional 1.0, media 0.5).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Regime label TREND_DOWN: Step-4 synthesis Trending Bearish / Trending Bearish, KER Trending Down — Strong, VOLator slope positive — mapped to TREND_DOWN (not RANGE; dual-gate not engaged).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Backtest reconstruction: 5 sessions replayed at each t−1 close; sentiment frozen at t−1; no forward leakage. Notes in §21c.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Corroboration-leniency directive applied: strategy cards produced despite single-source-indicative pivots; indicative caveat surfaced on each card rather than suppressing Trade 2.</w:t>
      </w:r>
    </w:p>
    <w:p>
      <w:pPr>
        <w:pBdr>
          <w:bottom w:val="single" w:color="AD1457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§21  Strategy Recommendations</w:t>
      </w:r>
    </w:p>
    <w:p>
      <w:pPr>
        <w:pStyle w:val="Heading2"/>
        <w:spacing w:after="100" w:before="180"/>
      </w:pPr>
      <w:r>
        <w:t xml:space="preserve">§21a  Directional Conviction</w:t>
      </w:r>
    </w:p>
    <w:p>
      <w:pPr>
        <w:spacing w:after="120" w:before="0"/>
      </w:pPr>
      <w:r>
        <w:t xml:space="preserve">Direction: </w:t>
      </w:r>
      <w:r>
        <w:rPr>
          <w:b/>
          <w:bCs/>
          <w:color w:val="AD1457"/>
        </w:rPr>
        <w:t xml:space="preserve">SHORT</w:t>
      </w:r>
      <w:r>
        <w:t xml:space="preserve">  ·  Score: </w:t>
      </w:r>
      <w:r>
        <w:rPr>
          <w:b/>
          <w:bCs/>
        </w:rPr>
        <w:t xml:space="preserve">−0.77</w:t>
      </w:r>
      <w:r>
        <w:t xml:space="preserve">. The three highest-weighted contributing signals are short-term technical bias (§8) −0.25, medium-term regime (§9) −0.20, and cross-asset confirmation (§10) −0.15, with sentiment tilt (§13b) and Kaufman/VOLator reinforcing. Weights basis: defaults. No conflict with the §17 forecast — both are bearish. The only caveat is the live 30 June oversold bounce, surfaced on each card.</w:t>
      </w:r>
    </w:p>
    <w:p>
      <w:pPr>
        <w:pStyle w:val="Heading2"/>
        <w:spacing w:after="100" w:before="180"/>
      </w:pPr>
      <w:r>
        <w:t xml:space="preserve">§21b  Trade Cards</w:t>
      </w:r>
    </w:p>
    <w:p>
      <w:pPr>
        <w:spacing w:after="120" w:before="0"/>
      </w:pPr>
      <w:r>
        <w:rPr>
          <w:b/>
          <w:bCs/>
          <w:color w:val="1F4E79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 — Daily Directional · SHORT — TREND_DOWN regime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 at 00:00 UK anchor (overridden), reference 7,354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7,500 pts — 146 pts above entry. Anchor: 5-day swing high 7,486 + 0.25×ATR. (Structural stop is tighter than the 3.5×ATR cap of 196 pts, so the structural anchor applies.)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 pts (146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7,208 pts — +1R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7,062 pts — +2R. On fill, Unit 3 SL → entry +0.2R (7,325).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Time-stop at session close, or 3×ATR (7,186 pts), whichever first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U1→TP1, U2→TP2; on U2 fill U3 SL→entry−0.2R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 at 5-day swing high (swing); entry at daily P 7,352 (pivot) — entry sits on 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back above weekly P 7,390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Wide stop (1R &gt; 1×ATR); TP2 ambitious for a daily horizon; single-source-indicative pivots; holding period collides with 2 Jul NFP; live oversold-bounce risk</w:t>
            </w:r>
          </w:p>
        </w:tc>
      </w:tr>
    </w:tbl>
    <w:p>
      <w:pPr>
        <w:spacing w:after="120" w:before="140"/>
      </w:pPr>
      <w:r>
        <w:rPr>
          <w:b/>
          <w:bCs/>
          <w:color w:val="1F4E79"/>
        </w:rPr>
        <w:t xml:space="preserve">Trade 2 — Pivot (regime-aware, TREND_DOWN)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 — Pivot breakout (TREND) · SHORT below pivot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 stop/limit at 7,350 pts — P − 10% of (P − S1), on the downside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7,369 pts — P + 0.8×(R1 − P); 19 pts above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pts (19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 7,333 / S1.5 7,322 / S2 7,311 (runner toward weekly S1 7,295)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U1→S1, U2→S1.5; on U2 fill U3 SL→entry−0.2R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 7,333 ≈ 5-day swing low 7,331 (swing + pivot) → strong confluence at TP1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back through daily P 7,352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Single-source-indicative pivots (corroboration leniency applied — not suppressed); tight stop; 2 Jul NFP collision</w:t>
            </w:r>
          </w:p>
        </w:tc>
      </w:tr>
    </w:tbl>
    <w:p>
      <w:pPr>
        <w:spacing w:after="120" w:before="140"/>
      </w:pPr>
      <w:r>
        <w:rPr>
          <w:b/>
          <w:bCs/>
          <w:color w:val="1F4E79"/>
        </w:rPr>
        <w:t xml:space="preserve">Trade 3A — Momentum-Pullback (TREND_DOWN)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AD145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3 — Momentum-Pullback (3A) · SHORT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Fib anchor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Down-swing 7,486 → 7,331 (width 155 pts), most recent qualifying swing (≥2×ATR)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7,420 pts — 57.5% retracement of the down-swing (sell the pullback)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7,500 pts — beyond the 0% anchor (swing high) +0.25×ATR; 80 pts (within 3.5×ATR cap)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 pts (80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7,390 pts — 38.2% retracement (shallow target)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7,331 pts — 0% / swing low. On fill, U3 SL → entry +0.2R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100%+ extension (7,176 = swing low − 1×width); structural runner-stop pull to the 50% mark on a 100%-extension print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structural runner override on 100%-extension break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TP1 7,390 ≈ weekly P (pivot); entry 7,420 near monthly P 7,418 (pivot) → strong confluence at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above the swing-high anchor 7,486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 requires a pullback that may not arrive if 7,331 breaks first; single-source-indicative pivots; 2 Jul NFP collision</w:t>
            </w:r>
          </w:p>
        </w:tc>
      </w:tr>
    </w:tbl>
    <w:p>
      <w:pPr>
        <w:pStyle w:val="Heading2"/>
        <w:spacing w:after="100" w:before="180"/>
      </w:pPr>
      <w: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50"/>
        <w:gridCol w:w="1300"/>
        <w:gridCol w:w="1150"/>
        <w:gridCol w:w="1850"/>
        <w:gridCol w:w="1110"/>
        <w:gridCol w:w="13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22 Jun (t−5)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7,474 / 7,448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+0.18R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22 Jun (t−5)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 7,460 not hit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23 Jun (t−4)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7,447 / 7,365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+0.56R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23 Jun (t−4)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pivot / S2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+1.0R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 24 Jun (t−3)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7,370 / 7,358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+0.21R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25 Jun (t−2)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7,361 / 7,357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+0.07R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25 Jun (t−2)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pullback not reached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 26 Jun (t−1)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7,355 / 7,354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+0.02R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 26 Jun (t−1)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S-tier limits not hit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7"/>
          <w:szCs w:val="17"/>
        </w:rPr>
        <w:t xml:space="preserve">Reconstructed at each t−1 close with sentiment, ATR, swings, pivots and regime frozen at t−1; no forward leakage. SL-first tick-priority applied where both could fill. Slippage = 0.</w:t>
      </w:r>
    </w:p>
    <w:p>
      <w:pPr>
        <w:pStyle w:val="Heading2"/>
        <w:spacing w:after="100" w:before="180"/>
      </w:pPr>
      <w:r>
        <w:t xml:space="preserve">§21d  What Is Working</w:t>
      </w:r>
    </w:p>
    <w:p>
      <w:pPr>
        <w:spacing w:after="120" w:before="0"/>
      </w:pPr>
      <w:r>
        <w:t xml:space="preserve">Trade 1 (Daily Directional) over the last 5 sessions: triggered 5/5 times, mean R = +0.21, with the 23 Jun impulse session the standout (+0.56R). Trade 2 (Pivot) triggered 1/2, mean R = +1.0 on its single fill. Trade 3A (Momentum-Pullback) triggered 0/2 — the trend ran without offering the 57.5% pullback. </w:t>
      </w:r>
      <w:r>
        <w:rPr>
          <w:b/>
          <w:bCs/>
        </w:rPr>
        <w:t xml:space="preserve">Strongest performer: Trade 2 (pivot short) by mean R; </w:t>
      </w:r>
      <w:r>
        <w:t xml:space="preserve">weakest: Trade 3A (insufficient triggers to rank). The short bias has been consistently rewarded as the down-regime persisted.</w:t>
      </w:r>
    </w:p>
    <w:p>
      <w:pPr>
        <w:spacing w:after="120" w:before="0"/>
      </w:pPr>
      <w:r>
        <w:rPr>
          <w:b/>
          <w:bCs/>
          <w:i/>
          <w:iCs/>
        </w:rPr>
        <w:t xml:space="preserve">Limitations: </w:t>
      </w:r>
      <w:r>
        <w:rPr>
          <w:i/>
          <w:iCs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S&amp;P 500 Daily │ 30 June 2026 │ Senior US Equity Strategist    — 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S&amp;P 500 — Daily 30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644053d0392d2eba9f5ed7a957f866e3023049.png"/><Relationship Id="rId10" Type="http://schemas.openxmlformats.org/officeDocument/2006/relationships/image" Target="media/612af8e497251b936d57e00b70f4ae86fd60df3e.png"/><Relationship Id="rId11" Type="http://schemas.openxmlformats.org/officeDocument/2006/relationships/image" Target="media/bbb9db02561c1caed131a80719b17d5ed078c4c8.png"/><Relationship Id="rId12" Type="http://schemas.openxmlformats.org/officeDocument/2006/relationships/image" Target="media/5c1a4d735e83c9efe606b9cea6701382c52b16e4.png"/><Relationship Id="rId13" Type="http://schemas.openxmlformats.org/officeDocument/2006/relationships/image" Target="media/404cdebcc35fec887d45c83a111ceda9bf0f65c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2026-06-29T21:40:40.738Z</dcterms:created>
  <dcterms:modified xsi:type="dcterms:W3CDTF">2026-06-29T21:40:40.738Z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