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6E"/>
          <w:sz w:val="34"/>
          <w:szCs w:val="34"/>
        </w:rPr>
        <w:t xml:space="preserve">S&amp;P 500 Report — Daily: 31 July 2026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With reference to: USDX · VIX · DAX 40</w:t>
      </w:r>
    </w:p>
    <w:p>
      <w:pPr>
        <w:pBdr>
          <w:bottom w:val="single" w:color="1F3A6E" w:sz="6" w:space="6"/>
        </w:pBdr>
        <w:spacing w:after="160"/>
      </w:pPr>
      <w:r>
        <w:t xml:space="preserve"/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  Executive Snapshot</w:t>
      </w:r>
    </w:p>
    <w:p>
      <w:pPr>
        <w:spacing w:after="120"/>
      </w:pPr>
      <w:r>
        <w:rPr>
          <w:sz w:val="20"/>
          <w:szCs w:val="20"/>
        </w:rPr>
        <w:t xml:space="preserve">The S&amp;P 500 cash index closed the 30 July session at 7,437.63, having whipsawed through a two-day round trip: a sharp 1.52% Fed-decision selloff to 7,316.15 on 29 July was fully reversed by a 1.66% Microsoft-led rebound the next session. The most defensible consensus level for the index as of the 31 July open anchor (07:00 UK) is 7,437.63, with a plausible near-term band of roughly 7,405–7,470. Market tone is balanced-to-cautiously-constructive. The three dominant drivers are: (i) mega-cap earnings dispersion — Microsoft's ~16% Azure-driven surge against Meta's ~8–10% guidance-miss slide; (ii) a hawkish-hold Federal Reserve that lifted the 30-year yield above 5.2% and left a residual rate-hike tail priced; and (iii) a rapid volatility unwind, with VIX collapsing from 20.66 to 17.09. Short-term technical read: Indecision resolving higher — reversal-from-oversold. Medium-term regime: Transitional with a bearish structural tilt (index below its 50-day average since 23 July). Kaufman classification: Trending Down — Moderate (efficiency ratio ≈ −0.16). Single most important watch item: the post-close mega-cap prints (Apple, Amazon) and Friday's payrolls/PCE follow-through, either of which can invalidate the one-day rebound. Directional conviction from the strategy engine is marginally net-long (score +0.08), below the standard conviction gate — see §21.</w:t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Attribute</w:t>
            </w:r>
          </w:p>
        </w:tc>
        <w:tc>
          <w:tcPr>
            <w:tcW w:type="dxa" w:w="696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Asset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500 cash index (^GSPC) — large-cap US equity benchmark, 503 constituents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Price basis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Calculated cash index level (continuous), NYSE/NASDAQ regular session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Delivery/session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Regular cash session 09:30–16:00 ET (14:30–21:00 UK)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Index points / USD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Daily-open anchor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07:00 UK — European pre-NY-open window (per run configuration)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As-of date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 July 2026 (America/New_York) — last completed session 30 July 2026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sessions (24, 27, 28, 29, 30 July 2026)</w:t>
            </w:r>
          </w:p>
        </w:tc>
      </w:tr>
    </w:tbl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300"/>
        <w:gridCol w:w="1500"/>
        <w:gridCol w:w="1400"/>
        <w:gridCol w:w="1100"/>
        <w:gridCol w:w="1100"/>
        <w:gridCol w:w="2960"/>
      </w:tblGrid>
      <w:tr>
        <w:trPr>
          <w:tblHeader/>
        </w:trPr>
        <w:tc>
          <w:tcPr>
            <w:tcW w:type="dxa" w:w="13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Consensus</w:t>
            </w:r>
          </w:p>
        </w:tc>
        <w:tc>
          <w:tcPr>
            <w:tcW w:type="dxa" w:w="15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Range</w:t>
            </w:r>
          </w:p>
        </w:tc>
        <w:tc>
          <w:tcPr>
            <w:tcW w:type="dxa" w:w="14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Basis</w:t>
            </w:r>
          </w:p>
        </w:tc>
        <w:tc>
          <w:tcPr>
            <w:tcW w:type="dxa" w:w="11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Confidence</w:t>
            </w:r>
          </w:p>
        </w:tc>
        <w:tc>
          <w:tcPr>
            <w:tcW w:type="dxa" w:w="11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Tone</w:t>
            </w:r>
          </w:p>
        </w:tc>
        <w:tc>
          <w:tcPr>
            <w:tcW w:type="dxa" w:w="296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7,437.63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7,405 – 7,470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close 30 Jul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High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Balanced</w:t>
            </w:r>
          </w:p>
        </w:tc>
        <w:tc>
          <w:tcPr>
            <w:tcW w:type="dxa" w:w="2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Close corroborated across multiple independent feeds within the ±0.10-pt equity-index tolerance; last-trade of the most recent completed session.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The 30 July close of 7,437.63 is accepted as the consensus level: it is the last validated cash-session print and was corroborated by two or more independent sources within the equity-index tolerance band. The intraday range (7,333.50 low to 7,443.90 high) frames the immediate structure; the rebound recovered slightly more than the entirety of the prior day's decline.</w:t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500"/>
        <w:gridCol w:w="1250"/>
        <w:gridCol w:w="1450"/>
        <w:gridCol w:w="1150"/>
        <w:gridCol w:w="1150"/>
        <w:gridCol w:w="900"/>
        <w:gridCol w:w="1960"/>
      </w:tblGrid>
      <w:tr>
        <w:trPr>
          <w:tblHeader/>
        </w:trPr>
        <w:tc>
          <w:tcPr>
            <w:tcW w:type="dxa" w:w="15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Source</w:t>
            </w:r>
          </w:p>
        </w:tc>
        <w:tc>
          <w:tcPr>
            <w:tcW w:type="dxa" w:w="12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Date/Time</w:t>
            </w:r>
          </w:p>
        </w:tc>
        <w:tc>
          <w:tcPr>
            <w:tcW w:type="dxa" w:w="14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Raw Quote</w:t>
            </w:r>
          </w:p>
        </w:tc>
        <w:tc>
          <w:tcPr>
            <w:tcW w:type="dxa" w:w="11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Normalized</w:t>
            </w:r>
          </w:p>
        </w:tc>
        <w:tc>
          <w:tcPr>
            <w:tcW w:type="dxa" w:w="11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Basis</w:t>
            </w:r>
          </w:p>
        </w:tc>
        <w:tc>
          <w:tcPr>
            <w:tcW w:type="dxa" w:w="9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Class.</w:t>
            </w:r>
          </w:p>
        </w:tc>
        <w:tc>
          <w:tcPr>
            <w:tcW w:type="dxa" w:w="196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Dow Jones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 (close)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7,437.63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7,437.63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Official index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Index provider — top of hierarchy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 17:xx ET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7,437.63 (+1.66%)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7,437.63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close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Corroborates official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Yahoo Finance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 close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7,437.63 (+121.48)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7,437.63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close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Delta 0.00 vs S&amp;P DJI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FRED (S&amp;P DJI)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 Jul close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7,428.78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7,428.78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Official close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Prior-session anchor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Washington Post / AP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 Jul close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7,413.18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7,413.18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close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Corroborates 27 Jul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Global / CappNotes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 close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close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Corroborates 24 Jul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Jun–14 Jul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OHLC table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as-published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OHLC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Direct.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Indicator-seeding context window</w:t>
            </w:r>
          </w:p>
        </w:tc>
      </w:tr>
    </w:tbl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§5  Consensus Build Explanation</w:t>
      </w:r>
    </w:p>
    <w:p>
      <w:pPr>
        <w:spacing w:after="120"/>
      </w:pPr>
      <w:r>
        <w:rPr>
          <w:sz w:val="20"/>
          <w:szCs w:val="20"/>
        </w:rPr>
        <w:t xml:space="preserve">All observations are native to the same specification (S&amp;P 500 cash index, USD, index points) so no FX, freight, or grade normalization is required. The consensus applies a recency- and credibility-weighted median: the index provider (S&amp;P Dow Jones) and the official FRED series anchor each session's close, with exchange-adjacent aggregators (CNBC, Yahoo, AP/WaPo) used purely to corroborate within the ±0.10-point equity-index tolerance. Where a source reported only a percentage change, it was reconciled against the absolute close and retained only when the two agreed. CFD/derived quotes (e.g., US500 spread indices showing ~7,416 intraday) were excluded from the cash OHLC per the run restrictions — they are permitted for directional colour only. Every daily close in the 5-session window achieved two-source corroboration; the intraday open/high/low for the three quieter sessions (24, 27, 28 July) could not be independently double-sourced at tick precision and are therefore flagged single-source — indicative only in §6, and are excluded from pivot prior-period inputs where a corroborated alternative exists.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E6B3A"/>
          <w:sz w:val="26"/>
          <w:szCs w:val="26"/>
        </w:rPr>
        <w:t xml:space="preserve">§6  Validated OHLC + RSI2 Table (5-Day)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820"/>
        <w:gridCol w:w="850"/>
        <w:gridCol w:w="850"/>
        <w:gridCol w:w="850"/>
        <w:gridCol w:w="880"/>
        <w:gridCol w:w="620"/>
        <w:gridCol w:w="860"/>
        <w:gridCol w:w="780"/>
        <w:gridCol w:w="820"/>
        <w:gridCol w:w="860"/>
        <w:gridCol w:w="1170"/>
      </w:tblGrid>
      <w:tr>
        <w:trPr>
          <w:tblHeader/>
        </w:trPr>
        <w:tc>
          <w:tcPr>
            <w:tcW w:type="dxa" w:w="82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Date</w:t>
            </w:r>
          </w:p>
        </w:tc>
        <w:tc>
          <w:tcPr>
            <w:tcW w:type="dxa" w:w="85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Open</w:t>
            </w:r>
          </w:p>
        </w:tc>
        <w:tc>
          <w:tcPr>
            <w:tcW w:type="dxa" w:w="85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High</w:t>
            </w:r>
          </w:p>
        </w:tc>
        <w:tc>
          <w:tcPr>
            <w:tcW w:type="dxa" w:w="85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Low</w:t>
            </w:r>
          </w:p>
        </w:tc>
        <w:tc>
          <w:tcPr>
            <w:tcW w:type="dxa" w:w="88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Close</w:t>
            </w:r>
          </w:p>
        </w:tc>
        <w:tc>
          <w:tcPr>
            <w:tcW w:type="dxa" w:w="62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RSI2</w:t>
            </w:r>
          </w:p>
        </w:tc>
        <w:tc>
          <w:tcPr>
            <w:tcW w:type="dxa" w:w="86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Trend</w:t>
            </w:r>
          </w:p>
        </w:tc>
        <w:tc>
          <w:tcPr>
            <w:tcW w:type="dxa" w:w="78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Src A</w:t>
            </w:r>
          </w:p>
        </w:tc>
        <w:tc>
          <w:tcPr>
            <w:tcW w:type="dxa" w:w="82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Src B</w:t>
            </w:r>
          </w:p>
        </w:tc>
        <w:tc>
          <w:tcPr>
            <w:tcW w:type="dxa" w:w="86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Final</w:t>
            </w:r>
          </w:p>
        </w:tc>
        <w:tc>
          <w:tcPr>
            <w:tcW w:type="dxa" w:w="117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Validation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7409.30*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7433.10*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7397.20*</w:t>
            </w:r>
          </w:p>
        </w:tc>
        <w:tc>
          <w:tcPr>
            <w:tcW w:type="dxa" w:w="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7411.98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13.2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Neutral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Aggregator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Cross-feed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7411.98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5"/>
                <w:szCs w:val="15"/>
              </w:rPr>
              <w:t xml:space="preserve">SINGLE-SOURCE (indic.)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 Jul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7412.00*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7440.60*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7401.50*</w:t>
            </w:r>
          </w:p>
        </w:tc>
        <w:tc>
          <w:tcPr>
            <w:tcW w:type="dxa" w:w="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7413.18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14.4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Neutral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Aggregator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Cross-feed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7413.18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5"/>
                <w:szCs w:val="15"/>
              </w:rPr>
              <w:t xml:space="preserve">SINGLE-SOURCE (indic.)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 Jul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7418.00*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7455.30*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7405.10*</w:t>
            </w:r>
          </w:p>
        </w:tc>
        <w:tc>
          <w:tcPr>
            <w:tcW w:type="dxa" w:w="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7428.78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37.2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Neutral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Aggregator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Cross-feed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7428.78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5"/>
                <w:szCs w:val="15"/>
              </w:rPr>
              <w:t xml:space="preserve">SINGLE-SOURCE (indic.)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 Jul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7418.16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7433.60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7307.90</w:t>
            </w:r>
          </w:p>
        </w:tc>
        <w:tc>
          <w:tcPr>
            <w:tcW w:type="dxa" w:w="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7316.15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7.7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Bearish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DJI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CNBC/Yahoo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7316.15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5"/>
                <w:szCs w:val="15"/>
              </w:rPr>
              <w:t xml:space="preserve">CORROBORATED Δ≤0.10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7333.50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7443.90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7333.50</w:t>
            </w:r>
          </w:p>
        </w:tc>
        <w:tc>
          <w:tcPr>
            <w:tcW w:type="dxa" w:w="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7437.63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66.0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Bullish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DJI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CNBC/Yahoo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7437.63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5"/>
                <w:szCs w:val="15"/>
              </w:rPr>
              <w:t xml:space="preserve">CORROBORATED Δ≤0.10</w:t>
            </w:r>
          </w:p>
        </w:tc>
      </w:tr>
    </w:tbl>
    <w:p>
      <w:pPr>
        <w:spacing w:after="120" w:before="80"/>
      </w:pPr>
      <w:r>
        <w:rPr>
          <w:i/>
          <w:iCs/>
          <w:color w:val="666666"/>
          <w:sz w:val="16"/>
          <w:szCs w:val="16"/>
        </w:rPr>
        <w:t xml:space="preserve">* Open/High/Low for 24–28 Jul are single-source indicative only (close corroborated). Indicative intraday fields are excluded from pivot prior-period calculations per source discipline. RSI2 fixed at period 2, computed from the validated close sequence.</w:t>
      </w:r>
    </w:p>
    <w:p>
      <w:pPr>
        <w:spacing w:after="110" w:before="220"/>
      </w:pPr>
      <w:r>
        <w:rPr>
          <w:b/>
          <w:bCs/>
          <w:color w:val="1E6B3A"/>
          <w:sz w:val="26"/>
          <w:szCs w:val="26"/>
        </w:rPr>
        <w:t xml:space="preserve">§7  Charts</w:t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Chart 1 — 5-Session Candlestick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Chart 2 — Distance from Open (Open=0)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Chart 3 — ~25-Session Structure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Chart 4 — VOLator Comparative Volatility</w:t>
      </w:r>
    </w:p>
    <w:p>
      <w:pPr>
        <w:spacing w:after="80" w:before="60"/>
        <w:jc w:val="center"/>
      </w:pPr>
      <w:r>
        <w:drawing>
          <wp:inline distT="0" distB="0" distL="0" distR="0">
            <wp:extent cx="5524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Chart 5 — Daily Floor Pivots with Weekly Candles</w:t>
      </w:r>
    </w:p>
    <w:p>
      <w:pPr>
        <w:spacing w:after="80" w:before="6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b/>
          <w:bCs/>
          <w:color w:val="1E6B3A"/>
          <w:sz w:val="26"/>
          <w:szCs w:val="26"/>
        </w:rPr>
        <w:t xml:space="preserve">§8  Short-Term Technical Analysis</w:t>
      </w:r>
    </w:p>
    <w:p>
      <w:pPr>
        <w:spacing w:after="120"/>
      </w:pPr>
      <w:r>
        <w:rPr>
          <w:sz w:val="20"/>
          <w:szCs w:val="20"/>
        </w:rPr>
        <w:t xml:space="preserve">Session-by-session (see §6):</w:t>
      </w:r>
    </w:p>
    <w:p>
      <w:pPr>
        <w:spacing w:after="120"/>
      </w:pPr>
      <w:r>
        <w:rPr>
          <w:sz w:val="20"/>
          <w:szCs w:val="20"/>
        </w:rPr>
        <w:t xml:space="preserve">24 Jul — Near-doji bullish body closing ~40% up the range; RSI2 deeply oversold (13.2) yet price flat. A quiet stabilization candle after the prior week's chip-led drop. Signals fatigue in the downtrend but no demand thrust.</w:t>
      </w:r>
    </w:p>
    <w:p>
      <w:pPr>
        <w:spacing w:after="120"/>
      </w:pPr>
      <w:r>
        <w:rPr>
          <w:sz w:val="20"/>
          <w:szCs w:val="20"/>
        </w:rPr>
        <w:t xml:space="preserve">27 Jul — Second flat close (+1.2 pts), small body, upper-half close; RSI2 still washed-out (14.4). Indecision: buyers and sellers balanced with Nvidia/chip weakness capping upside.</w:t>
      </w:r>
    </w:p>
    <w:p>
      <w:pPr>
        <w:spacing w:after="120"/>
      </w:pPr>
      <w:r>
        <w:rPr>
          <w:sz w:val="20"/>
          <w:szCs w:val="20"/>
        </w:rPr>
        <w:t xml:space="preserve">28 Jul — Bullish body, close near the session high (~90% of range), RSI2 lifts to 37.2. The first constructive candle of the window; breadth positive beneath a chip-dragged index.</w:t>
      </w:r>
    </w:p>
    <w:p>
      <w:pPr>
        <w:spacing w:after="120"/>
      </w:pPr>
      <w:r>
        <w:rPr>
          <w:sz w:val="20"/>
          <w:szCs w:val="20"/>
        </w:rPr>
        <w:t xml:space="preserve">29 Jul — Large bearish marubozu-like candle: open 7,418.16, close 7,316.15 near the low, RSI2 crushed to 7.7. The Fed hawkish-hold and 30-year yield spike above 5.2% drove a broad-based liquidation — the dominant candle of the window.</w:t>
      </w:r>
    </w:p>
    <w:p>
      <w:pPr>
        <w:spacing w:after="120"/>
      </w:pPr>
      <w:r>
        <w:rPr>
          <w:sz w:val="20"/>
          <w:szCs w:val="20"/>
        </w:rPr>
        <w:t xml:space="preserve">30 Jul — Wide-range bullish reversal: open at the prior low, close 7,437.63 near the high, engulfing the entire 29 Jul body; RSI2 snaps to 66.0. Microsoft's Azure surge and a chip-stock rebound fuelled a V-shaped recovery.</w:t>
      </w:r>
    </w:p>
    <w:p>
      <w:pPr>
        <w:spacing w:after="120"/>
      </w:pPr>
      <w:r>
        <w:rPr>
          <w:sz w:val="20"/>
          <w:szCs w:val="20"/>
        </w:rPr>
        <w:t xml:space="preserve">Sequence assessment: Indecision → Exhaustion → Reversal. The two flat closes, an oversold capitulation, and a same-magnitude engulfing rebound constitute a bullish outside-day reversal off an oversold base. Nearest support (from the validated window): 7,307.90 (29 Jul low) then 7,397–7,401 minor shelf. Nearest resistance: 7,455.30 (28 Jul high) then the 7,543 gap-zone above the window.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Judgement label: </w:t>
      </w:r>
      <w:r>
        <w:rPr>
          <w:sz w:val="20"/>
          <w:szCs w:val="20"/>
        </w:rPr>
        <w:t xml:space="preserve">Indecision resolving to reversal — bullish, pending confirmation. </w:t>
      </w:r>
      <w:r>
        <w:rPr>
          <w:i/>
          <w:iCs/>
          <w:sz w:val="20"/>
          <w:szCs w:val="20"/>
        </w:rPr>
        <w:t xml:space="preserve">Consistent with the §9 Transitional regime read (the reversal is not yet a trend).</w:t>
      </w:r>
    </w:p>
    <w:p>
      <w:pPr>
        <w:spacing w:after="110" w:before="220"/>
      </w:pPr>
      <w:r>
        <w:rPr>
          <w:b/>
          <w:bCs/>
          <w:color w:val="1E6B3A"/>
          <w:sz w:val="26"/>
          <w:szCs w:val="26"/>
        </w:rPr>
        <w:t xml:space="preserve">§9  Medium-Term Regime &amp; VOLator</w:t>
      </w:r>
    </w:p>
    <w:p>
      <w:pPr>
        <w:spacing w:after="120"/>
      </w:pPr>
      <w:r>
        <w:rPr>
          <w:sz w:val="20"/>
          <w:szCs w:val="20"/>
        </w:rPr>
        <w:t xml:space="preserve">Regime classification: Transitional (bearish structural tilt). Supporting metrics over the ~25-session window: elevated overlap between sessions, weak directional persistence (net −1.9% from the 7,579.93 high on 10 Jul to the 7,437.63 close), VOLator slope mildly positive (+0.10 — vol expanding on the selloff/rebound), median RSI2 in the low-30s (bearish-skew), and range-position bias below the mid. The index has traded below its 50-day moving average since 23 July while holding above the 200-day, the textbook signature of a transition rather than an established downtrend.</w:t>
      </w:r>
    </w:p>
    <w:p>
      <w:pPr>
        <w:spacing w:after="120"/>
      </w:pPr>
      <w:r>
        <w:rPr>
          <w:sz w:val="20"/>
          <w:szCs w:val="20"/>
        </w:rPr>
        <w:t xml:space="preserve">Bias: Neutral-to-bearish on structure, offset by a strong one-session bullish impulse.</w:t>
      </w:r>
    </w:p>
    <w:p>
      <w:pPr>
        <w:spacing w:after="120"/>
      </w:pPr>
      <w:r>
        <w:rPr>
          <w:sz w:val="20"/>
          <w:szCs w:val="20"/>
        </w:rPr>
        <w:t xml:space="preserve">VOLator current readings (scaled −1…+1): S&amp;P 500 ≈ +1.0 (elevated, expanding); VIX ≈ high-then-falling (spiked into 29 Jul, collapsed 30 Jul); USDX ≈ +0.3 (easing from a spike); DAX 40 ≈ +0.4 (moderate, stable). The primary sits at the top of its scaled band — realized volatility is high and only just beginning to contract.</w:t>
      </w:r>
    </w:p>
    <w:p>
      <w:pPr>
        <w:spacing w:after="120"/>
      </w:pPr>
      <w:r>
        <w:rPr>
          <w:sz w:val="20"/>
          <w:szCs w:val="20"/>
        </w:rPr>
        <w:t xml:space="preserve">Preferred trade protocol: because a bearish medium-term structure conflicts with a bullish short-term reversal, the combined protocol is reduced-conviction / trade-the-reversal-with-tight-invalidation rather than trend-following. The conflict is explicit and feeds §16.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Kaufman confirmation: </w:t>
      </w:r>
      <w:r>
        <w:rPr>
          <w:sz w:val="20"/>
          <w:szCs w:val="20"/>
        </w:rPr>
        <w:t xml:space="preserve">efficiency ratio ≈ −0.16 → Trending Down — Moderate (|KER| &gt; 0.13). This contradicts the fresh bullish candle and agrees with the bearish structural tilt. Where KER and the one-day reversal disagree, KER (a 13-session measure) takes precedence for regime labelling; the reversal is treated as a tactical signal, not a regime change.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E6B3A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500"/>
        <w:gridCol w:w="1250"/>
        <w:gridCol w:w="3050"/>
        <w:gridCol w:w="1350"/>
        <w:gridCol w:w="2210"/>
      </w:tblGrid>
      <w:tr>
        <w:trPr>
          <w:tblHeader/>
        </w:trPr>
        <w:tc>
          <w:tcPr>
            <w:tcW w:type="dxa" w:w="15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Counter</w:t>
            </w:r>
          </w:p>
        </w:tc>
        <w:tc>
          <w:tcPr>
            <w:tcW w:type="dxa" w:w="12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5-day dir.</w:t>
            </w:r>
          </w:p>
        </w:tc>
        <w:tc>
          <w:tcPr>
            <w:tcW w:type="dxa" w:w="30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Mechanism</w:t>
            </w:r>
          </w:p>
        </w:tc>
        <w:tc>
          <w:tcPr>
            <w:tcW w:type="dxa" w:w="13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Confirmation</w:t>
            </w:r>
          </w:p>
        </w:tc>
        <w:tc>
          <w:tcPr>
            <w:tcW w:type="dxa" w:w="221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Implication for S&amp;P 500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USDX (Dollar Index)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 then easing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stronger dollar compresses multinational earnings translation; the 30 Jul pullback to ~100.98 from a ~101.6 spike relieves that headwind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 (rebound)</w:t>
            </w:r>
          </w:p>
        </w:tc>
        <w:tc>
          <w:tcPr>
            <w:tcW w:type="dxa" w:w="22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Dollar easing is mildly supportive of the equity bounce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Falling sharply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Implied-vol gauge; a drop from 20.66 to 17.09 signals fear unwind and re-risking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</w:t>
            </w:r>
          </w:p>
        </w:tc>
        <w:tc>
          <w:tcPr>
            <w:tcW w:type="dxa" w:w="22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 collapse underwrites the rebound; below the 20 'elevated' threshold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DAX 40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Flat / firm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European risk proxy; held ~25,400–25,500 through the US whipsaw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Neutral-to-confirm</w:t>
            </w:r>
          </w:p>
        </w:tc>
        <w:tc>
          <w:tcPr>
            <w:tcW w:type="dxa" w:w="22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European risk-off contagion — consistent with a US-idiosyncratic dip</w:t>
            </w:r>
          </w:p>
        </w:tc>
      </w:tr>
    </w:tbl>
    <fill>E6F0E8</fill>
    <w:p>
      <w:pPr>
        <w:spacing w:after="120"/>
      </w:pPr>
      <w:r>
        <w:rPr>
          <w:sz w:val="20"/>
          <w:szCs w:val="20"/>
        </w:rPr>
        <w:t xml:space="preserve">Aggregate cross-asset read: CONFIRM. Two of three counters confirm the risk-on reversal (VIX, USDX) and none contradicts (DAX neutral). No contradiction flag is raised. This CONFIRM feeds the §21 direction score as the strongest single positive contributor.</w:t>
      </w:r>
    </w:p>
    <w:p>
      <w:pPr>
        <w:spacing w:after="110" w:before="220"/>
      </w:pPr>
      <w:r>
        <w:rPr>
          <w:b/>
          <w:bCs/>
          <w:color w:val="1E6B3A"/>
          <w:sz w:val="26"/>
          <w:szCs w:val="26"/>
        </w:rPr>
        <w:t xml:space="preserve">§11  Floor Pivot Analysis</w:t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Daily pivots (from 30 Jul H/L/C — corroborated close, high/low indicative)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Level</w:t>
            </w:r>
          </w:p>
        </w:tc>
        <w:tc>
          <w:tcPr>
            <w:tcW w:type="dxa" w:w="736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Value (pts)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R5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7807.72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R4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7697.32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7586.92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7515.41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7476.52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7"/>
                <w:szCs w:val="17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7"/>
                <w:szCs w:val="17"/>
              </w:rPr>
              <w:t xml:space="preserve">7405.01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7366.12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7294.61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7255.72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S4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7145.32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S5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7034.92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Position narrative (daily): the 30 Jul close (7,437.63) sits above the daily pivot P (7,405.01) and just below R1 (7,476.52) — a mildly bullish location. Immediate support is P then S1 (7,366.12); immediate resistance is R1 then R2 (7,515.41).</w:t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Weekly pivots (prior-week H/L/C — indicative)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Level</w:t>
            </w:r>
          </w:p>
        </w:tc>
        <w:tc>
          <w:tcPr>
            <w:tcW w:type="dxa" w:w="736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Value (pts)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R5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8231.07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R4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7998.22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7765.37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7653.06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7532.52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7"/>
                <w:szCs w:val="17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7"/>
                <w:szCs w:val="17"/>
              </w:rPr>
              <w:t xml:space="preserve">7420.21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7299.67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7187.36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7066.82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S4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6833.97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S5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6601.12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Weekly close sits above weekly P (7,420.21) and beneath R1 (7,532.52). Confluence watch: daily R1 (7,476.52) and weekly R1 (7,532.52) bracket the 7,476–7,532 supply band that capped price before the selloff.</w:t>
      </w:r>
    </w:p>
    <w:p>
      <w:pPr>
        <w:spacing w:after="80" w:before="140"/>
      </w:pPr>
      <w:r>
        <w:rPr>
          <w:b/>
          <w:bCs/>
          <w:color w:val="1E6B3A"/>
          <w:sz w:val="22"/>
          <w:szCs w:val="22"/>
        </w:rPr>
        <w:t xml:space="preserve">Monthly pivots (prior-month H/L/C — indicative)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Level</w:t>
            </w:r>
          </w:p>
        </w:tc>
        <w:tc>
          <w:tcPr>
            <w:tcW w:type="dxa" w:w="7360"/>
            <w:shd w:fill="E6F0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6"/>
                <w:szCs w:val="16"/>
              </w:rPr>
              <w:t xml:space="preserve">Value (pts)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R5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8295.68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R4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8059.85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7824.02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7677.01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E244D"/>
                <w:sz w:val="17"/>
                <w:szCs w:val="17"/>
              </w:rPr>
              <w:t xml:space="preserve">7588.19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7"/>
                <w:szCs w:val="17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7"/>
                <w:szCs w:val="17"/>
              </w:rPr>
              <w:t xml:space="preserve">7441.18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7352.36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7205.35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7116.53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S4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6880.70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S5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6B3A"/>
                <w:sz w:val="17"/>
                <w:szCs w:val="17"/>
              </w:rPr>
              <w:t xml:space="preserve">6644.87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The close is essentially at monthly P (7,441.18) — a balanced monthly location. No three-timeframe confluence within 0.05% is present; the nearest cluster is monthly P / weekly R-zone near 7,440–7,530. All pivot tables are flagged indicative because prior-period high/low inputs are single-source; the strategy module treats level-based orders accordingly (see §19, §21).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§12  Key Market Considerations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Earnings (mega-cap dispersion) — </w:t>
      </w:r>
      <w:r>
        <w:rPr>
          <w:sz w:val="20"/>
          <w:szCs w:val="20"/>
        </w:rPr>
        <w:t xml:space="preserve">Cyclical, price-supportive on balance. Microsoft's ~43% cloud-revenue growth drove a ~16% surge and a record one-day market-value gain; Meta fell ~8–10% on a guidance miss. The index-level effect was net positive because Microsoft's weight and the chip-stock sympathy rally (Micron, Sandisk +9%) outweighed Meta. Apple and Amazon report after the 30 Jul close — the key unresolved catalyst.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Monetary policy / rates — </w:t>
      </w:r>
      <w:r>
        <w:rPr>
          <w:sz w:val="20"/>
          <w:szCs w:val="20"/>
        </w:rPr>
        <w:t xml:space="preserve">Cyclical, price-negative. The Fed held on 29 Jul but the reaction was hawkish: the 30-year yield pushed above 5.2% (highest since 2007) and markets kept a ~one-third tail on a September hike. Higher long-end yields pressure equity valuations and were the proximate cause of the 29 Jul selloff.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Volatility / positioning — </w:t>
      </w:r>
      <w:r>
        <w:rPr>
          <w:sz w:val="20"/>
          <w:szCs w:val="20"/>
        </w:rPr>
        <w:t xml:space="preserve">Cyclical, turning supportive. VIX fell from 20.66 to 17.09, back below the 20 'elevated' line; the Nasdaq-100 had briefly entered a technical correction on 29 Jul, leaving positioning lighter into the rebound.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Substitution / cross-asset — </w:t>
      </w:r>
      <w:r>
        <w:rPr>
          <w:sz w:val="20"/>
          <w:szCs w:val="20"/>
        </w:rPr>
        <w:t xml:space="preserve">Neutral. The DAX held firm and the dollar eased; no rotation signal argues against US large-cap here beyond the intra-index rotation out of expensive AI-capex names.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Geopolitics / energy — </w:t>
      </w:r>
      <w:r>
        <w:rPr>
          <w:sz w:val="20"/>
          <w:szCs w:val="20"/>
        </w:rPr>
        <w:t xml:space="preserve">Cyclical, mildly negative. Renewed US–Iran friction and an oil bounce earlier in the week are a latent risk premium, though oil later retreated. Structural only if it re-escalates.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Near-term catalysts (from §13d) — </w:t>
      </w:r>
      <w:r>
        <w:rPr>
          <w:sz w:val="20"/>
          <w:szCs w:val="20"/>
        </w:rPr>
        <w:t xml:space="preserve">Apple/Amazon earnings (post-30 Jul close), Q2 GDP, weekly jobless claims, and June PCE (the Fed's preferred gauge). Any upside PCE surprise re-arms the hawkish-Fed narrative that caused the 29 Jul drop.</w:t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§13  Sentiment, News &amp; Calendar</w:t>
      </w:r>
    </w:p>
    <w:p>
      <w:pPr>
        <w:spacing w:after="80" w:before="140"/>
      </w:pPr>
      <w:r>
        <w:rPr>
          <w:b/>
          <w:bCs/>
          <w:color w:val="1F3A6E"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250"/>
        <w:gridCol w:w="780"/>
        <w:gridCol w:w="2900"/>
        <w:gridCol w:w="900"/>
        <w:gridCol w:w="980"/>
        <w:gridCol w:w="2550"/>
      </w:tblGrid>
      <w:tr>
        <w:trPr>
          <w:tblHeader/>
        </w:trPr>
        <w:tc>
          <w:tcPr>
            <w:tcW w:type="dxa" w:w="12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Source</w:t>
            </w:r>
          </w:p>
        </w:tc>
        <w:tc>
          <w:tcPr>
            <w:tcW w:type="dxa" w:w="7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Date</w:t>
            </w:r>
          </w:p>
        </w:tc>
        <w:tc>
          <w:tcPr>
            <w:tcW w:type="dxa" w:w="29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Headline (abridged)</w:t>
            </w:r>
          </w:p>
        </w:tc>
        <w:tc>
          <w:tcPr>
            <w:tcW w:type="dxa" w:w="9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Class.</w:t>
            </w:r>
          </w:p>
        </w:tc>
        <w:tc>
          <w:tcPr>
            <w:tcW w:type="dxa" w:w="9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Sentiment</w:t>
            </w:r>
          </w:p>
        </w:tc>
        <w:tc>
          <w:tcPr>
            <w:tcW w:type="dxa" w:w="25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Derivation quote (≤15 words)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Nasdaq soars, Dow &amp; S&amp;P rebound as Microsoft posts record value gain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Bullish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“US stocks staged a major comeback … Microsoft leading a tech rally”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Bloomberg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Dip buyers emerge on speculation AI trade has more room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Bullish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“dip buyers emerged … AI trade … has more room to run”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 Jul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Dow drops 1,100 points for worst day since April 2025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Bearish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“fear the Fed is falling behind on inflation”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Baltimore Sun / AP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Wall Street recovers more than half of prior day's loss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Bullish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“recovered more than half its drop … worst in seven weeks”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Motley Fool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Microsoft soars 15%, boosting tech stocks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Bullish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“technology stocks rally … Microsoft soared 15.5%”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CapGroup/CappNotes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begins to cluster with second &gt;1% loss in July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Bearish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“hunker down with 6 trading days left in the month”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 equities rebounded amid earnings, chip respite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Bullish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“US equities rebounded … respite for chip stocks”</w:t>
            </w:r>
          </w:p>
        </w:tc>
      </w:tr>
    </w:tbl>
    <w:p>
      <w:pPr>
        <w:spacing w:after="80" w:before="140"/>
      </w:pPr>
      <w:r>
        <w:rPr>
          <w:b/>
          <w:bCs/>
          <w:color w:val="1F3A6E"/>
          <w:sz w:val="22"/>
          <w:szCs w:val="22"/>
        </w:rPr>
        <w:t xml:space="preserve">§13b  Aggregate Sentiment Summary</w:t>
      </w:r>
    </w:p>
    <w:p>
      <w:pPr>
        <w:spacing w:after="120"/>
      </w:pPr>
      <w:r>
        <w:rPr>
          <w:sz w:val="20"/>
          <w:szCs w:val="20"/>
        </w:rPr>
        <w:t xml:space="preserve">Counts: 5 Bullish (3 media, 1 media, 1 trade press) · 2 Bearish (1 media, 1 trade press) = Predominantly Bullish. Numeric tilt: weighting Bullish=+1 / Bearish=−1 by source class (Trade Press 0.7, Media 0.5): Σw·s = (0.5·+1)×4 + (0.7·+1) − (0.5) − (0.7) = +1.20; Σw = 0.5×5 + 0.7×2 = 3.9 → tilt = +0.31.</w:t>
      </w:r>
    </w:p>
    <w:p>
      <w:pPr>
        <w:spacing w:after="120" w:before="0"/>
      </w:pPr>
      <w:r>
        <w:rPr>
          <w:b/>
          <w:bCs/>
          <w:color w:val="1E6B3A"/>
          <w:sz w:val="20"/>
          <w:szCs w:val="20"/>
        </w:rPr>
        <w:t xml:space="preserve">Reported as: Predominantly Bullish (tilt = +0.31). </w:t>
      </w:r>
      <w:r>
        <w:rPr>
          <w:sz w:val="20"/>
          <w:szCs w:val="20"/>
        </w:rPr>
        <w:t xml:space="preserve">Divergence flag: sentiment agrees with the 30 Jul price action and the short-term reversal (§8) but conflicts with the bearish medium-term regime/KER (§9). In a Transitional regime the near-term sentiment signal is given tactical weight while the structural KER caps conviction. Not a low-confidence reading (7 articles).</w:t>
      </w:r>
    </w:p>
    <w:p>
      <w:pPr>
        <w:spacing w:after="80" w:before="140"/>
      </w:pPr>
      <w:r>
        <w:rPr>
          <w:b/>
          <w:bCs/>
          <w:color w:val="1F3A6E"/>
          <w:sz w:val="22"/>
          <w:szCs w:val="22"/>
        </w:rPr>
        <w:t xml:space="preserve">§13c  News Calendar — Previous Period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050"/>
        <w:gridCol w:w="1900"/>
        <w:gridCol w:w="1750"/>
        <w:gridCol w:w="780"/>
        <w:gridCol w:w="3880"/>
      </w:tblGrid>
      <w:tr>
        <w:trPr>
          <w:tblHeader/>
        </w:trPr>
        <w:tc>
          <w:tcPr>
            <w:tcW w:type="dxa" w:w="10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Date</w:t>
            </w:r>
          </w:p>
        </w:tc>
        <w:tc>
          <w:tcPr>
            <w:tcW w:type="dxa" w:w="19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Event</w:t>
            </w:r>
          </w:p>
        </w:tc>
        <w:tc>
          <w:tcPr>
            <w:tcW w:type="dxa" w:w="17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Prior/Context</w:t>
            </w:r>
          </w:p>
        </w:tc>
        <w:tc>
          <w:tcPr>
            <w:tcW w:type="dxa" w:w="7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Impact</w:t>
            </w:r>
          </w:p>
        </w:tc>
        <w:tc>
          <w:tcPr>
            <w:tcW w:type="dxa" w:w="38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Implication for S&amp;P 500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24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Flash PMIs; blue-chip earnings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activity 8-mo high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Flat close 7,411.98; stabilization after chip-led drop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27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US–Iran strike pause; oil slide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Brent −6.3% to ~85.87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+0.02% to 7,413.18; oil relief offsets chip weakness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28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Chip rout (SK Hynix/Samsung −10%+)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Asia semis correction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+0.21% to 7,428.78; resilient beneath chip drag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29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FOMC hold; 30-yr yield &gt;5.2%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Hawkish hold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−1.52% to 7,316.15 — worst day since Apr 2025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30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MSFT +16% Azure; META −8/10%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Mega-cap earnings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+1.66% to 7,437.63 — V-reversal</w:t>
            </w:r>
          </w:p>
        </w:tc>
      </w:tr>
    </w:tbl>
    <w:p>
      <w:pPr>
        <w:spacing w:after="80" w:before="140"/>
      </w:pPr>
      <w:r>
        <w:rPr>
          <w:b/>
          <w:bCs/>
          <w:color w:val="1F3A6E"/>
          <w:sz w:val="22"/>
          <w:szCs w:val="22"/>
        </w:rPr>
        <w:t xml:space="preserve">§13d  News Calendar — Upcoming Period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050"/>
        <w:gridCol w:w="1900"/>
        <w:gridCol w:w="1750"/>
        <w:gridCol w:w="780"/>
        <w:gridCol w:w="3880"/>
      </w:tblGrid>
      <w:tr>
        <w:trPr>
          <w:tblHeader/>
        </w:trPr>
        <w:tc>
          <w:tcPr>
            <w:tcW w:type="dxa" w:w="10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Date</w:t>
            </w:r>
          </w:p>
        </w:tc>
        <w:tc>
          <w:tcPr>
            <w:tcW w:type="dxa" w:w="19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Event</w:t>
            </w:r>
          </w:p>
        </w:tc>
        <w:tc>
          <w:tcPr>
            <w:tcW w:type="dxa" w:w="17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Context</w:t>
            </w:r>
          </w:p>
        </w:tc>
        <w:tc>
          <w:tcPr>
            <w:tcW w:type="dxa" w:w="7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Impact</w:t>
            </w:r>
          </w:p>
        </w:tc>
        <w:tc>
          <w:tcPr>
            <w:tcW w:type="dxa" w:w="38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Implication (beat / miss)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30 Jul a.h.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Apple &amp; Amazon earnings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Post-close mega-cap prints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7"/>
                <w:szCs w:val="17"/>
              </w:rPr>
              <w:t xml:space="preserve">High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Beat → extends the rebound and validates 7,437 hold; miss → re-tests 7,366 / 7,308 support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June PCE (Fed's gauge)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 last 3.4% y/y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Hot → re-arms hawkish-Fed selloff; cool → yields ease, supports equities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Q2 GDP; jobless claims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Growth/labour check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growth + contained claims = soft-landing bid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Early Aug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Nonfarm payrolls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Labour-market read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Hot wages → yield/vol risk; cooling → rate-cut hopes revive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Highest-impact upcoming event (bold above): Apple &amp; Amazon earnings. A double beat would confirm the mega-cap earnings engine and likely hold the index above the 7,405 pivot; a double miss would reopen the 29 Jul low at 7,307.90 and invalidate the reversal thesis.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§14  Macro Context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Rates &amp; monetary policy — </w:t>
      </w:r>
      <w:r>
        <w:rPr>
          <w:sz w:val="20"/>
          <w:szCs w:val="20"/>
        </w:rPr>
        <w:t xml:space="preserve">The Fed's hawkish hold and the 30-year yield above 5.2% are the dominant macro pressure. Cross-referencing the VIX read from §10, the vol spike-then-collapse shows the market first pricing policy risk, then fading it as earnings reassured. Net: a rate overhang capping multiples even as equities rebounded.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Inflation — </w:t>
      </w:r>
      <w:r>
        <w:rPr>
          <w:sz w:val="20"/>
          <w:szCs w:val="20"/>
        </w:rPr>
        <w:t xml:space="preserve">Core PCE near 3.4% y/y keeps the inflation-above-target narrative alive; price-negative for the index into the 31 Jul PCE print. This is the single macro variable most able to reverse the rebound.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Liquidity &amp; FX — </w:t>
      </w:r>
      <w:r>
        <w:rPr>
          <w:sz w:val="20"/>
          <w:szCs w:val="20"/>
        </w:rPr>
        <w:t xml:space="preserve">Citing the USDX read from §10: the dollar eased from a ~101.6 spike to ~100.98, a mild tailwind for multinational earnings translation and consistent with the risk-on tape.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Safe-haven / real yields — </w:t>
      </w:r>
      <w:r>
        <w:rPr>
          <w:sz w:val="20"/>
          <w:szCs w:val="20"/>
        </w:rPr>
        <w:t xml:space="preserve">Gold firmed to ~4,162 even as equities rose, indicating residual hedging demand rather than a clean risk-on all-clear — a caution flag beneath the rebound.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Positioning — </w:t>
      </w:r>
      <w:r>
        <w:rPr>
          <w:sz w:val="20"/>
          <w:szCs w:val="20"/>
        </w:rPr>
        <w:t xml:space="preserve">The Nasdaq-100 briefly entered a technical correction on 29 Jul; the subsequent 8% semiconductor bounce implies short-covering and lightened positioning going into the rebound. VIX at 17.09 confirms de-stressed conditions.</w:t>
      </w:r>
    </w:p>
    <w:p>
      <w:pPr>
        <w:spacing w:after="120"/>
      </w:pPr>
      <w:r>
        <w:rPr>
          <w:sz w:val="20"/>
          <w:szCs w:val="20"/>
        </w:rPr>
        <w:t xml:space="preserve">Watch item (from §13d): June PCE is the macro variable most likely to surprise and move the rate/vol complex; a hot print reinstates the §9 bearish structure with force.</w:t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Upside risks (bull)</w:t>
            </w:r>
          </w:p>
        </w:tc>
        <w:tc>
          <w:tcPr>
            <w:tcW w:type="dxa" w:w="46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Downside risks (bear)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Microsoft-led earnings momentum + chip-sympathy rally broadens the tape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Hot June PCE (31 Jul) re-arms the hawkish-Fed selloff that drove 29 Jul −1.52%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 back below 20 and falling — vol unwind supports multiple expansion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30-yr yield &gt;5.2% keeps a structural valuation cap; a further yield spike hits equities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Close holds above daily pivot 7,405 and monthly pivot 7,441 (see §11)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Apple/Amazon earnings miss reopens 7,366 → 7,307.90 (29 Jul low) support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Cross-asset CONFIRM (§10): USDX easing, DAX firm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KER −0.16 (§9) — medium-term structure still bearish; rebound may be a counter-trend bounce</w:t>
            </w:r>
          </w:p>
        </w:tc>
      </w:tr>
    </w:tbl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§16  Forward View</w:t>
      </w:r>
    </w:p>
    <w:p>
      <w:pPr>
        <w:spacing w:after="120"/>
      </w:pPr>
      <w:r>
        <w:rPr>
          <w:sz w:val="20"/>
          <w:szCs w:val="20"/>
        </w:rPr>
        <w:t xml:space="preserve">Expected direction over the next five sessions: mildly constructive but two-sided, contingent on the 31 Jul PCE and the Apple/Amazon prints. Base-case trading range 7,340–7,530: the lower bound is the 29 Jul reaction low / daily-S1 zone; the upper bound is the weekly-R1 supply shelf that capped the pre-selloff market. This view respects the §9 Transitional regime — it does not extrapolate the one-day reversal into a trend. Base-case invalidation: a daily close back below 7,366 (daily S1) reopens the 7,307.90 low and shifts the read back to the bearish structural path; conversely a daily close above 7,532 (weekly R1) would upgrade the reversal toward trend. This forward view is consistent with, and does not contradict, the medium-term regime classification; the short-term/medium-term conflict is flagged explicitly (see §9).</w:t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§17  Forecast</w:t>
      </w:r>
    </w:p>
    <w:p>
      <w:pPr>
        <w:pBdr>
          <w:top w:val="single" w:color="1F3A6E" w:sz="4"/>
          <w:bottom w:val="single" w:color="1F3A6E" w:sz="4"/>
          <w:left w:val="single" w:color="1F3A6E" w:sz="4"/>
          <w:right w:val="single" w:color="1F3A6E" w:sz="4"/>
        </w:pBdr>
        <w:shd w:fill="EAEFF7" w:color="auto" w:val="clear"/>
        <w:spacing w:after="120"/>
      </w:pPr>
      <w:r>
        <w:rPr>
          <w:b/>
          <w:bCs/>
          <w:i/>
          <w:iCs/>
          <w:color w:val="1F3A6E"/>
          <w:sz w:val="21"/>
          <w:szCs w:val="21"/>
        </w:rPr>
        <w:t xml:space="preserve">With volatility unwinding and cross-asset counters confirming the bullish reversal but a bearish 13-session efficiency ratio still in force, the S&amp;P 500 grinds modestly higher toward the 7,476–7,532 pivot-resistance band while remaining vulnerable to a hot PCE print.</w:t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§18  Final Analyst Judgement</w:t>
      </w:r>
    </w:p>
    <w:p>
      <w:pPr>
        <w:spacing w:after="120"/>
      </w:pPr>
      <w:r>
        <w:rPr>
          <w:sz w:val="20"/>
          <w:szCs w:val="20"/>
        </w:rPr>
        <w:t xml:space="preserve">Consensus price call: 7,437.63 (High confidence — close corroborated within tolerance). Market tone: balanced, tilting cautiously constructive. The three most important reasons: (1) a same-magnitude bullish engulfing reversal off an oversold base (§8), (2) a decisive volatility unwind with cross-asset CONFIRM (§10, §14), and (3) mega-cap earnings momentum led by Microsoft (§12) — set against the offsetting bearish 13-session KER (§9). Single watch item: the June PCE print alongside Apple/Amazon earnings; a hot inflation number is the most probable trigger to invalidate the rebound and reinstate the bearish structure.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§19  Source Discipline Note</w:t>
      </w:r>
    </w:p>
    <w:p>
      <w:pPr>
        <w:spacing w:after="120"/>
      </w:pPr>
      <w:r>
        <w:rPr>
          <w:sz w:val="20"/>
          <w:szCs w:val="20"/>
        </w:rPr>
        <w:t xml:space="preserve">Live vs indicative. All five session closes in the window are live, corroborated within the ±0.10-point equity-index tolerance by two or more independent feeds (S&amp;P Dow Jones / FRED official against CNBC, Yahoo, AP/WaPo). Intraday open/high/low for 24, 27, and 28 July are single-source indicative only and are excluded from pivot prior-period inputs and from any definitive settlement reference.</w:t>
      </w:r>
    </w:p>
    <w:p>
      <w:pPr>
        <w:spacing w:after="120"/>
      </w:pPr>
      <w:r>
        <w:rPr>
          <w:sz w:val="20"/>
          <w:szCs w:val="20"/>
        </w:rPr>
        <w:t xml:space="preserve">Data gaps. Tick-level intraday OHLC for the three quieter sessions could not be independently double-sourced; CFD/derived US500 quotes were available but are excluded from the cash basis by the run restrictions (permitted for directional colour only). No fabricated or interpolated values were used; where corroboration was unavailable the field is flagged rather than filled.</w:t>
      </w:r>
    </w:p>
    <w:p>
      <w:pPr>
        <w:spacing w:after="120"/>
      </w:pPr>
      <w:r>
        <w:rPr>
          <w:sz w:val="20"/>
          <w:szCs w:val="20"/>
        </w:rPr>
        <w:t xml:space="preserve">Corroboration status per instrument. S&amp;P 500 close: CORROBORATED. VIX (17.09 / 20.66): CORROBORATED directional. USDX (~100.98): CORROBORATED directional. DAX 40 (~25,404–25,511): CORROBORATED directional. Pivot prior-period high/low: SINGLE-SOURCE INDICATIVE — this flag is propagated to the strategy module, which treats level-based limit orders against these pivots with caution (see §21).</w:t>
      </w:r>
    </w:p>
    <w:p>
      <w:pPr>
        <w:spacing w:after="110" w:before="220"/>
      </w:pPr>
      <w:r>
        <w:rPr>
          <w:b/>
          <w:bCs/>
          <w:color w:val="1F3A6E"/>
          <w:sz w:val="26"/>
          <w:szCs w:val="26"/>
        </w:rPr>
        <w:t xml:space="preserve">§20  Agent Log</w:t>
      </w:r>
    </w:p>
    <w:p>
      <w:pPr>
        <w:spacing w:after="120"/>
      </w:pPr>
      <w:r>
        <w:rPr>
          <w:sz w:val="20"/>
          <w:szCs w:val="20"/>
        </w:rPr>
        <w:t xml:space="preserve">Sources attempted (closes): S&amp;P Dow Jones / S&amp;P Global (index provider, corroborated); FRED official S&amp;P 500 series (28 Jul 7,428.78, corroborated); CNBC market wraps (24/27/28/29/30 Jul); Yahoo Finance quote/history (^GSPC, close 7,437.63 delta 0.00 vs provider); Washington Post / Associated Press (27 Jul 7,413.18); CappNotes / S&amp;P Global (24 Jul 7,411.98); Investing.com historical table (context window 30 Jun–14 Jul for indicator seeding). Counters: TradingEconomics (USDX 100.98; US500 directional), Yahoo (VIX, DAX), Motley Fool / Bloomberg (30 Jul intraday colour).</w:t>
      </w:r>
    </w:p>
    <w:p>
      <w:pPr>
        <w:spacing w:after="120"/>
      </w:pPr>
      <w:r>
        <w:rPr>
          <w:sz w:val="20"/>
          <w:szCs w:val="20"/>
        </w:rPr>
        <w:t xml:space="preserve">Validation method: weighted-median close reconciliation; equity-index tolerance ±0.10 pt for close corroboration. Corroboration pairs: 30 Jul — S&amp;P DJI × CNBC/Yahoo (Δ 0.00); 28 Jul — FRED × Yahoo (Δ 0.00); 27 Jul — CNBC × AP/WaPo (Δ 0.00); 24 Jul — S&amp;P Global × CappNotes (Δ 0.00). Single-source fields logged: Open/High/Low for 24 Jul, 27 Jul, 28 Jul (indicative).</w:t>
      </w:r>
    </w:p>
    <w:p>
      <w:pPr>
        <w:spacing w:after="120"/>
      </w:pPr>
      <w:r>
        <w:rPr>
          <w:sz w:val="20"/>
          <w:szCs w:val="20"/>
        </w:rPr>
        <w:t xml:space="preserve">Sentiment derivation: 7 articles classified from explicit language with ≤15-word derivation quotes (§13a); aggregate Predominantly Bullish, numeric tilt +0.31 (source-class weighted). Forecast reasoning: derived from the regime integration note (Transitional, KER −0.16) plus the +0.31 sentiment tilt and cross-asset CONFIRM — one sentence, no hedging (§17).</w:t>
      </w:r>
    </w:p>
    <w:p>
      <w:pPr>
        <w:spacing w:after="120" w:before="0"/>
      </w:pPr>
      <w:r>
        <w:rPr>
          <w:b/>
          <w:bCs/>
          <w:color w:val="8E244D"/>
          <w:sz w:val="20"/>
          <w:szCs w:val="20"/>
        </w:rPr>
        <w:t xml:space="preserve">Strategy trace (§21): </w:t>
      </w:r>
      <w:r>
        <w:rPr>
          <w:sz w:val="20"/>
          <w:szCs w:val="20"/>
        </w:rPr>
        <w:t xml:space="preserve">direction-score weights basis = defaults (v2.1 baseline, unchanged). Direction score = +0.08. Under the standard rule Trade 1 would be SUPPRESSED (|0.08| &lt; 0.25 conviction threshold). Per an explicit run-time instruction to produce a trading strategy even where corroboration/conviction is weak, the suppression was OVERRIDDEN and Trade 1 is issued with reduced size and a 'below-threshold — discretionary override' caveat. Trades 2 and 3 are regime-driven and produce regardless. Daily-open anchor override applied: 07:00 UK (as configured). Backtest reconstructed over 5 sessions with t−1 sentiment/regime freeze and no forward leakage. Anomaly: single-source-indicative pivots flagged to Trade 2.</w:t>
      </w:r>
    </w:p>
    <w:p>
      <w:pPr>
        <w:spacing w:after="120"/>
      </w:pPr>
      <w:r>
        <w:rPr>
          <w:sz w:val="20"/>
          <w:szCs w:val="20"/>
        </w:rPr>
        <w:t xml:space="preserve">Timestamp: generated 31 July 2026, 07:00 UK anchor · America/New_York snapshot as-of 30 July close.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8E244D"/>
          <w:sz w:val="26"/>
          <w:szCs w:val="26"/>
        </w:rPr>
        <w:t xml:space="preserve">§21  Strategy Recommendations</w:t>
      </w:r>
    </w:p>
    <w:p>
      <w:pPr>
        <w:spacing w:after="80" w:before="140"/>
      </w:pPr>
      <w:r>
        <w:rPr>
          <w:b/>
          <w:bCs/>
          <w:color w:val="8E244D"/>
          <w:sz w:val="22"/>
          <w:szCs w:val="22"/>
        </w:rPr>
        <w:t xml:space="preserve">§21a  Directional Conviction</w:t>
      </w:r>
    </w:p>
    <w:p>
      <w:pPr>
        <w:spacing w:after="120"/>
      </w:pPr>
      <w:r>
        <w:rPr>
          <w:sz w:val="20"/>
          <w:szCs w:val="20"/>
        </w:rPr>
        <w:t xml:space="preserve">Direction: LONG (marginal). Score: +0.08 (signed, −1…+1). Three highest-weighted contributing signals: short-term technical bias (§8) +0.11, cross-asset confirmation (§10) +0.075, sentiment tilt (§13b) +0.03; offset by Kaufman classification (§9) −0.05 and medium-term regime −0.06. Weights basis: defaults. Conflict flag: the marginal long score aligns with the §17 forecast's modest-upside lean, so no direction conflict — but the score sits below the 0.25 conviction gate. Per run instruction, Trade 1 is produced under discretionary override rather than suppressed; conviction is LOW and size is reduced accordingly.</w:t>
      </w:r>
    </w:p>
    <w:p>
      <w:pPr>
        <w:spacing w:after="80" w:before="140"/>
      </w:pPr>
      <w:r>
        <w:rPr>
          <w:b/>
          <w:bCs/>
          <w:color w:val="8E244D"/>
          <w:sz w:val="22"/>
          <w:szCs w:val="22"/>
        </w:rPr>
        <w:t xml:space="preserve">§21b  Trade Cards</w:t>
      </w:r>
    </w:p>
    <w:p>
      <w:pPr>
        <w:spacing w:after="120" w:before="0"/>
      </w:pPr>
      <w:r>
        <w:rPr>
          <w:b/>
          <w:bCs/>
          <w:color w:val="8E244D"/>
          <w:sz w:val="20"/>
          <w:szCs w:val="20"/>
        </w:rPr>
        <w:t xml:space="preserve">Trade 1 — Daily Directional (LONG, discretionary override)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F5E6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6"/>
                <w:szCs w:val="16"/>
              </w:rPr>
              <w:t xml:space="preserve">Field</w:t>
            </w:r>
          </w:p>
        </w:tc>
        <w:tc>
          <w:tcPr>
            <w:tcW w:type="dxa" w:w="7660"/>
            <w:shd w:fill="F5E6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 — reversal off oversold; below-threshold discretionary override (score +0.08)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Buy stop at 7,455 (28 Jul swing high) on confirmed break, OR market at 07:00 UK anchor ≈ 7,438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7,366 (daily S1) — 72 points below a 7,438 entry (structural anchor: daily S1 / below-pivot shelf)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72 points (from 7,438 to 7,366)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+1R = 7,510 (≈ weekly R1 approach)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+2R = 7,582 (monthly R3 / gap-fill zone)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Time-stop at session close + 3×ATR(14) cap (ATR ≈ 82 pts); trail on Unit 2 fill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equal units; U1 exits TP1; U2 exits TP2; on U2 fill, U3 stop → entry + 0.2R (7,452)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 near 28 Jul high 7,455 (swing); stop at daily S1 7,366 (pivot); TP1 near weekly R1 7,532 band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close back below 7,366 breaks the reversal narrative (coincides with SL)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below-threshold discretionary override — reduced size; single-source-indicative pivots; holding period collides with PCE (31 Jul) Tier-1 event</w:t>
            </w:r>
          </w:p>
        </w:tc>
      </w:tr>
    </w:tbl>
    <w:p>
      <w:pPr>
        <w:spacing w:after="120" w:before="0"/>
      </w:pPr>
      <w:r>
        <w:rPr>
          <w:b/>
          <w:bCs/>
          <w:color w:val="8E244D"/>
          <w:sz w:val="20"/>
          <w:szCs w:val="20"/>
        </w:rPr>
        <w:t xml:space="preserve">Trade 2 — Pivot (regime-aware)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F5E6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6"/>
                <w:szCs w:val="16"/>
              </w:rPr>
              <w:t xml:space="preserve">Field</w:t>
            </w:r>
          </w:p>
        </w:tc>
        <w:tc>
          <w:tcPr>
            <w:tcW w:type="dxa" w:w="7660"/>
            <w:shd w:fill="F5E6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type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 — Pivot; TRANSITION regime → fade extremes toward P with tight risk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 at support / SHORT at resistance (range-fade bias)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Buy limit 7,405 (daily P) with confirmation; alt buy 7,366 (S1). Sell limit 7,515 (R2) on rejection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Long: 7,340 (below S1 buffer, ~65 pts). Short: 7,548 (above R2 buffer)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≈65 points (long leg)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/ TP2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 → P-to-R1: TP1 7,476 (R1), TP2 7,515 (R2). Runner to pivot P on reversal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SINGLE-SOURCE INDICATIVE pivots (§19) — level orders are discretionary, not auto-placed; reduce size</w:t>
            </w:r>
          </w:p>
        </w:tc>
      </w:tr>
    </w:tbl>
    <w:p>
      <w:pPr>
        <w:spacing w:after="120" w:before="0"/>
      </w:pPr>
      <w:r>
        <w:rPr>
          <w:b/>
          <w:bCs/>
          <w:color w:val="8E244D"/>
          <w:sz w:val="20"/>
          <w:szCs w:val="20"/>
        </w:rPr>
        <w:t xml:space="preserve">Trade 3 — Momentum-Pullback (3A)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F5E6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6"/>
                <w:szCs w:val="16"/>
              </w:rPr>
              <w:t xml:space="preserve">Field</w:t>
            </w:r>
          </w:p>
        </w:tc>
        <w:tc>
          <w:tcPr>
            <w:tcW w:type="dxa" w:w="7660"/>
            <w:shd w:fill="F5E6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8E244D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type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3A — Momentum-Pullback (TRANSITION with fresh bullish impulse → buy the first pullback)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 on a shallow pullback into the 7,405–7,415 zone after the 30 Jul thrust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Buy limit 7,412 (prior-session shelf / fib 38.2% of 7,308→7,444 leg ≈ 7,392–7,412)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7,360 — 52 points below entry (below 38.2–50% retrace and daily S1)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 points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/ TP2 / runner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7,464 (+1R, 28 Jul high area); TP2 7,516 (+2R, R2); runner on 100%+ extension / break of 7,532 weekly R1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units; U1→TP1, U2→TP2; on U2 fill U3 stop → entry +0.2R; 3A structural runner override on 100%-ext break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38.2% fib + daily P (7,405) + prior shelf = strong confluence at ~7,405–7,412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Close below 7,360 (loss of the reversal-leg midpoint) negates momentum-pullback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collides with 31 Jul PCE / Apple-Amazon earnings; indicative pivots; low-conviction regime</w:t>
            </w:r>
          </w:p>
        </w:tc>
      </w:tr>
    </w:tbl>
    <w:p>
      <w:pPr>
        <w:spacing w:after="80" w:before="140"/>
      </w:pPr>
      <w:r>
        <w:rPr>
          <w:b/>
          <w:bCs/>
          <w:color w:val="8E244D"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250"/>
        <w:gridCol w:w="1200"/>
        <w:gridCol w:w="1150"/>
        <w:gridCol w:w="780"/>
        <w:gridCol w:w="2100"/>
        <w:gridCol w:w="1200"/>
        <w:gridCol w:w="700"/>
      </w:tblGrid>
      <w:tr>
        <w:trPr>
          <w:tblHeader/>
        </w:trPr>
        <w:tc>
          <w:tcPr>
            <w:tcW w:type="dxa" w:w="12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Date (t−N)</w:t>
            </w:r>
          </w:p>
        </w:tc>
        <w:tc>
          <w:tcPr>
            <w:tcW w:type="dxa" w:w="12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Strategy</w:t>
            </w:r>
          </w:p>
        </w:tc>
        <w:tc>
          <w:tcPr>
            <w:tcW w:type="dxa" w:w="115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Dir.</w:t>
            </w:r>
          </w:p>
        </w:tc>
        <w:tc>
          <w:tcPr>
            <w:tcW w:type="dxa" w:w="78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Trig.</w:t>
            </w:r>
          </w:p>
        </w:tc>
        <w:tc>
          <w:tcPr>
            <w:tcW w:type="dxa" w:w="21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Entry/Exit</w:t>
            </w:r>
          </w:p>
        </w:tc>
        <w:tc>
          <w:tcPr>
            <w:tcW w:type="dxa" w:w="12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Outcome (R)</w:t>
            </w:r>
          </w:p>
        </w:tc>
        <w:tc>
          <w:tcPr>
            <w:tcW w:type="dxa" w:w="700"/>
            <w:shd w:fill="EAEF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F3A6E"/>
                <w:sz w:val="16"/>
                <w:szCs w:val="16"/>
              </w:rPr>
              <w:t xml:space="preserve">Days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 (t−5)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 not reached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 (t−5)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7,400 → 7,412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+0.2R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 Jul (t−4)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SUPPRESSED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score |0.12|&lt;0.25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 Jul (t−4)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7,405 → 7,429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+0.4R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 Jul (t−3)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7,428 → 7,316 (SL)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−1.0R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 Jul (t−3)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7,455 → 7,428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+0.4R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 Jul (t−2)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7,405 → 7,316 (SL)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−1.0R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 Jul (t−2)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7,366 → 7,316 (SL)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−1.0R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 (t−1)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7,340 → 7,438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+1.4R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 Jul (t−1)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7,360 → 7,438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+1.5R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</w:tbl>
    <fill>F5E6EC</fill>
    <w:p>
      <w:pPr>
        <w:spacing w:after="80" w:before="140"/>
      </w:pPr>
      <w:r>
        <w:rPr>
          <w:b/>
          <w:bCs/>
          <w:color w:val="8E244D"/>
          <w:sz w:val="22"/>
          <w:szCs w:val="22"/>
        </w:rPr>
        <w:t xml:space="preserve">§21d  'What Is Working' Aggregate</w:t>
      </w:r>
    </w:p>
    <w:p>
      <w:pPr>
        <w:spacing w:after="120"/>
      </w:pPr>
      <w:r>
        <w:rPr>
          <w:sz w:val="20"/>
          <w:szCs w:val="20"/>
        </w:rPr>
        <w:t xml:space="preserve">Trade 1 over the last 5 sessions: triggered 3/5 times, mean R = +0.13, hit rates TP1/TP2/TP3 ≈ 33% / 0% / 0%. Trade 2: triggered 3/5, mean R = −0.13, hit rates 33% / 0% / 0%. Trade 3A: triggered 3/5, mean R = +0.30, hit rates 33% / 33% / 0%. Strongest performer: Trade 3A (Momentum-Pullback), which best captured the 30 Jul reversal leg. Weakest performer: Trade 2 (Pivot), dragged by the 29 Jul knife-through of support during the Fed selloff — the hazard of level-fading in a Transitional regime.</w:t>
      </w:r>
    </w:p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A6E" w:sz="4" w:space="6"/>
        </w:pBdr>
        <w:spacing w:before="160"/>
      </w:pPr>
      <w:r>
        <w:rPr>
          <w:i/>
          <w:iCs/>
          <w:color w:val="666666"/>
          <w:sz w:val="16"/>
          <w:szCs w:val="16"/>
        </w:rPr>
        <w:t xml:space="preserve">S&amp;P 500 Daily Report │ 31 July 2026 │ Senior US Equity Strategist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9af4b79975450996be713ea8cf6c0d6f52d842.png"/><Relationship Id="rId8" Type="http://schemas.openxmlformats.org/officeDocument/2006/relationships/image" Target="media/a2576fe88c35bd37d9b353bfd7d51c072166669a.png"/><Relationship Id="rId9" Type="http://schemas.openxmlformats.org/officeDocument/2006/relationships/image" Target="media/7439fd125655358530f64fd77e19d80f0230ab4d.png"/><Relationship Id="rId10" Type="http://schemas.openxmlformats.org/officeDocument/2006/relationships/image" Target="media/c97349c63d63053d887baae629415f78ddadac9d.png"/><Relationship Id="rId11" Type="http://schemas.openxmlformats.org/officeDocument/2006/relationships/image" Target="media/968db0feb85e6195d2be3576d842beca6acdfbd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2026-07-30T21:53:49.286Z</dcterms:created>
  <dcterms:modified xsi:type="dcterms:W3CDTF">2026-07-30T21:53:49.297Z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