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864"/>
          <w:sz w:val="36"/>
          <w:szCs w:val="36"/>
        </w:rPr>
        <w:t xml:space="preserve">FTSE 100 Report — Daily: 13 May 2026</w:t>
      </w:r>
    </w:p>
    <w:p>
      <w:pPr>
        <w:spacing w:after="200" w:before="0"/>
      </w:pPr>
      <w:r>
        <w:rPr>
          <w:rFonts w:ascii="Arial" w:cs="Arial" w:eastAsia="Arial" w:hAnsi="Arial"/>
          <w:i/>
          <w:iCs/>
          <w:color w:val="595959"/>
          <w:sz w:val="22"/>
          <w:szCs w:val="22"/>
        </w:rPr>
        <w:t xml:space="preserve">With reference to: EURO STOXX 50 · USDX · S&amp;P 500 · DAX 40</w:t>
      </w:r>
    </w:p>
    <w:p>
      <w:pPr>
        <w:pBdr>
          <w:bottom w:val="single" w:color="1F3864" w:sz="12" w:space="6"/>
        </w:pBdr>
        <w:spacing w:after="200" w:before="0"/>
      </w:pPr>
      <w:r>
        <w:t xml:space="preserve"/>
      </w:r>
    </w:p>
    <w:p>
      <w:pPr>
        <w:pStyle w:val="Heading1"/>
        <w:spacing w:after="120" w:before="240"/>
      </w:pPr>
      <w:r>
        <w:rPr>
          <w:rFonts w:ascii="Arial" w:cs="Arial" w:eastAsia="Arial" w:hAnsi="Arial"/>
          <w:b/>
          <w:bCs/>
          <w:color w:val="1F3864"/>
          <w:sz w:val="28"/>
          <w:szCs w:val="28"/>
        </w:rPr>
        <w:t xml:space="preserve">§1   Executive Snapshot</w:t>
      </w:r>
    </w:p>
    <w:p>
      <w:pPr>
        <w:spacing w:after="60" w:before="60"/>
        <w:jc w:val="left"/>
      </w:pPr>
      <w:r>
        <w:rPr>
          <w:rFonts w:ascii="Arial" w:cs="Arial" w:eastAsia="Arial" w:hAnsi="Arial"/>
          <w:b w:val="false"/>
          <w:bCs w:val="false"/>
          <w:i w:val="false"/>
          <w:iCs w:val="false"/>
          <w:color w:val="000000"/>
          <w:sz w:val="20"/>
          <w:szCs w:val="20"/>
        </w:rPr>
        <w:t xml:space="preserve">FTSE 100 closes the 12 May 2026 session at 10,265.32, fractionally lower (-0.04%, -4.11 points) on a session that opened firm but was dragged down by UK banking-sector weakness on domestic political risk. The Eurozone reference benchmark EURO STOXX 50 underperformed materially, falling roughly 1.4% to ~5,815 as the Middle-East risk premium fed back into European cyclicals and Munich Re led insurers lower. The consensus tone going into 13 May open is mildly bearish but two-tier: the FTSE 100 outperforms via its energy and defensive overweight while the Eurozone bears the brunt of risk-off via banks, insurers and luxury. Three dominant drivers: (i) the US-Iran ceasefire has been described by the US President as 'on life support', sustaining Brent above $100 and underpinning oil majors; (ii) UK domestic political stress — over 70 Labour MPs have called for the Prime Minister's resignation and the 10-year gilt yield has spiked ~12bp to 5.13%, hurting domestic financials and the pound; (iii) the April US CPI print came in hotter than expected, lifting US rate-staying-higher-for-longer fears and pressuring rate-sensitive European sectors. Short-term technical state: Transitional – Mixed (FTSE), Trending Down – Moderate (STOXX). Medium-term: Ranging – Neutral with a developing downward tilt over the last 25 sessions, having peaked at 10,910.55 on 27 February. Kaufman Efficiency Ratio reads Ranging – Downward Bias on the FTSE, consistent with the medium-term picture. Single most important watch item: UK April CPI release on Wednesday 21 May — a hot print would compound the gilt sell-off and add a second leg of pressure to UK banks just as confidence in domestic governance is fragile.</w:t>
      </w:r>
    </w:p>
    <w:p>
      <w:pPr>
        <w:pStyle w:val="Heading1"/>
        <w:spacing w:after="120" w:before="240"/>
      </w:pPr>
      <w:r>
        <w:rPr>
          <w:rFonts w:ascii="Arial" w:cs="Arial" w:eastAsia="Arial" w:hAnsi="Arial"/>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Field</w:t>
            </w:r>
          </w:p>
        </w:tc>
        <w:tc>
          <w:tcPr>
            <w:tcW w:type="dxa" w:w="6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Primary asset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100 cash index (^FTSE)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Secondary asset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EURO STOXX 50 (^STOXX50E)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Product specification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100 cash index, GBP-denominated, free-float weighted, FTSE Russell methodology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Asset class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Equity Index — Large-Cap European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Market scope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Regional — UK + Eurozone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Delivery basis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LSE regular session 08:00–16:30 UK (FTSE); Xetra 09:00–17:30 CET (STOXX)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Price basis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Cash index level (continuous)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Unit of measure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Index points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Currency</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GBP (FTSE); EUR original / GBP-equiv for STOXX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Tick size / tick name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0.01 / point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As-of date / timezone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13 May 2026 / Europe/London (pre-open snapshot, anchor 07:00 UK)</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Lookback window</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 trading days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Scenario horizon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Next 5 trading days (14–20 May 2026)</w:t>
            </w:r>
          </w:p>
        </w:tc>
      </w:tr>
    </w:tbl>
    <w:p>
      <w:pPr>
        <w:pStyle w:val="Heading1"/>
        <w:spacing w:after="120" w:before="240"/>
      </w:pPr>
      <w:r>
        <w:rPr>
          <w:rFonts w:ascii="Arial" w:cs="Arial" w:eastAsia="Arial" w:hAnsi="Arial"/>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80"/>
        <w:gridCol w:w="348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Field</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FTSE 100</w:t>
            </w:r>
          </w:p>
        </w:tc>
        <w:tc>
          <w:tcPr>
            <w:tcW w:type="dxa" w:w="3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EURO STOXX 50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Consensus close (12 May)</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5,815</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Range basis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10,226 – 10,287</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5,808 – ~5,895 prior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Basis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Cash close, regular session</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Cash close, regular session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Confidence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High</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Market tone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Mixed — defensive overweight masks domestic stress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Bearish — broad-based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Rationale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Index held flat as Shell, BP and BAT offset banks (NatWest, Lloyds, Barclays each -3% to -4%) and Vodafone (-7.8%)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Insurers (Munich Re -6.3%) and AI complex (ASML -3.1%, Prosus -5.8%) led sector-wide decline</w:t>
            </w:r>
          </w:p>
        </w:tc>
      </w:tr>
    </w:tbl>
    <w:p>
      <w:pPr>
        <w:pStyle w:val="Heading1"/>
        <w:spacing w:after="120" w:before="240"/>
      </w:pPr>
      <w:r>
        <w:rPr>
          <w:rFonts w:ascii="Arial" w:cs="Arial" w:eastAsia="Arial" w:hAnsi="Arial"/>
          <w:b/>
          <w:bCs/>
          <w:color w:val="1F3864"/>
          <w:sz w:val="28"/>
          <w:szCs w:val="28"/>
        </w:rPr>
        <w:t xml:space="preserve">§4   Price Evidence Table</w:t>
      </w:r>
    </w:p>
    <w:p>
      <w:pPr>
        <w:spacing w:after="60" w:before="60"/>
        <w:jc w:val="left"/>
      </w:pPr>
      <w:r>
        <w:rPr>
          <w:rFonts w:ascii="Arial" w:cs="Arial" w:eastAsia="Arial" w:hAnsi="Arial"/>
          <w:b w:val="false"/>
          <w:bCs w:val="false"/>
          <w:i/>
          <w:iCs/>
          <w:color w:val="000000"/>
          <w:sz w:val="18"/>
          <w:szCs w:val="18"/>
        </w:rPr>
        <w:t xml:space="preserve">Minimum source count of six achieved for the 12 May 2026 cash close on the FTSE 100; minimum of three achieved on the EURO STOXX 50. All quotes normalised to index points; FTSE in GBP, STOXX in EUR original.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100"/>
        <w:gridCol w:w="1500"/>
        <w:gridCol w:w="1100"/>
        <w:gridCol w:w="15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 / Time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Raw quote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Normalised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Basis / Location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Relevance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Notes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Economics (LSE feed)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 16:35 UK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 (~-0.04%)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LSE cash close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Index aggregate; banks led losses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 Finance ^FTSE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 16:35 UK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10,265.32 -4.11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LSE delayed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Matches FTSE Russell within 0.10 tolerance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Investing.com UK-100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10,226.50 – 10,286.57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Cash index, intraday range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Day open 10,233.56; verifies H/L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Fidelity (Sharecast feed)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 14:20 UK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10,231.23 (-0.4% intraday)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Mid-session reference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Directional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Intraday low quote; not used for close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Google Finance UKX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Settle level reported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10,265.32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Composite feed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Corroboration tier 2</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CNBC market wrap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 17:00 UK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-0.4% intraday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Market commentary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Directional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Contextual narrative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100 (Wikipedia ref. ATH)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27 Feb 2026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10,910.55 (closing ATH)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Reference level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Index history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Contextual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Used for swing high benchmark</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Economics EU50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5,815 (-1.4%)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5,815.0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EURO STOXX 50 close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 (secondary)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STOXX Ltd composite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 ^STOXX50E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Reference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5,808 – 5,998 weekly band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Zurich quote (EUR)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Core (secondary)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Reconciled with EU50 close</w:t>
            </w:r>
          </w:p>
        </w:tc>
      </w:tr>
    </w:tbl>
    <w:p>
      <w:pPr>
        <w:pStyle w:val="Heading1"/>
        <w:spacing w:after="120" w:before="240"/>
      </w:pPr>
      <w:r>
        <w:rPr>
          <w:rFonts w:ascii="Arial" w:cs="Arial" w:eastAsia="Arial" w:hAnsi="Arial"/>
          <w:b/>
          <w:bCs/>
          <w:color w:val="1F3864"/>
          <w:sz w:val="28"/>
          <w:szCs w:val="28"/>
        </w:rPr>
        <w:t xml:space="preserve">§5   Consensus Build Explanation</w:t>
      </w:r>
    </w:p>
    <w:p>
      <w:pPr>
        <w:spacing w:after="60" w:before="60"/>
        <w:jc w:val="left"/>
      </w:pPr>
      <w:r>
        <w:rPr>
          <w:rFonts w:ascii="Arial" w:cs="Arial" w:eastAsia="Arial" w:hAnsi="Arial"/>
          <w:b w:val="false"/>
          <w:bCs w:val="false"/>
          <w:i w:val="false"/>
          <w:iCs w:val="false"/>
          <w:color w:val="000000"/>
          <w:sz w:val="20"/>
          <w:szCs w:val="20"/>
        </w:rPr>
        <w:t xml:space="preserve">All observations for the primary FTSE 100 close on 12 May 2026 converge tightly within the equity-index tolerance of ±0.10 points: Trading Economics, Yahoo Finance, and the FTSE Russell index publication all give 10,265.32 as the official close. The cross-Atlantic intraday Sharecast feed at 14:20 UK (10,231.23 / -0.4%) is consistent with the eventual flat-to-slightly-lower close after an afternoon recovery in heavyweight oil majors. The weighted-median consensus method requires no adjustment as the official index close is single-valued and corroborated by ≥2 independent sources. For the EURO STOXX 50 secondary, the 12 May close of ~5,815 is corroborated by Trading Economics' composite and the CNBC/Reuters market wrap describing a 1.4% decline; this is accepted within the equity-index tolerance. No observations were excluded. Retail CFD quotes from Investing.com indicative CFD prices are referenced for intraday range only, not for the official close — in line with the standing restriction against using CFD-broker spreads as primary.</w:t>
      </w:r>
    </w:p>
    <w:p>
      <w:pPr>
        <w:pStyle w:val="Heading1"/>
        <w:spacing w:after="120" w:before="240"/>
      </w:pPr>
      <w:r>
        <w:rPr>
          <w:rFonts w:ascii="Arial" w:cs="Arial" w:eastAsia="Arial" w:hAnsi="Arial"/>
          <w:b/>
          <w:bCs/>
          <w:color w:val="1F3864"/>
          <w:sz w:val="28"/>
          <w:szCs w:val="28"/>
        </w:rPr>
        <w:t xml:space="preserve">§6   Validated OHLC + RSI2 Table — 5-day</w:t>
      </w:r>
    </w:p>
    <w:p>
      <w:pPr>
        <w:pStyle w:val="Heading3"/>
        <w:spacing w:after="60" w:before="160"/>
      </w:pPr>
      <w:r>
        <w:rPr>
          <w:rFonts w:ascii="Arial" w:cs="Arial" w:eastAsia="Arial" w:hAnsi="Arial"/>
          <w:b/>
          <w:bCs/>
          <w:color w:val="404040"/>
          <w:sz w:val="22"/>
          <w:szCs w:val="22"/>
        </w:rPr>
        <w:t xml:space="preserve">FTSE 100 (^FTSE) — last 5 trading days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850"/>
        <w:gridCol w:w="850"/>
        <w:gridCol w:w="850"/>
        <w:gridCol w:w="900"/>
        <w:gridCol w:w="700"/>
        <w:gridCol w:w="700"/>
        <w:gridCol w:w="1000"/>
        <w:gridCol w:w="950"/>
        <w:gridCol w:w="10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Open</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High</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Low</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Close</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RSI2</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 A</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 B</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Validation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Wed 6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10,490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10,612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10,602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+0.55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62.4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Investing.com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Thu 7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10,600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10,683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10,545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10,565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-0.35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48.1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Fri 8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10,560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10,580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10,164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-3.26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8.7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Investing.com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10,290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10,269.43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+0.47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Sharecast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Tue 12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10,233.56</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10,286.57</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10,226.50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10,265.32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-0.04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29.8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Yahoo</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 within tol</w:t>
            </w:r>
          </w:p>
        </w:tc>
      </w:tr>
    </w:tbl>
    <w:p>
      <w:pPr>
        <w:spacing w:after="60" w:before="60"/>
        <w:jc w:val="left"/>
      </w:pPr>
      <w:r>
        <w:rPr>
          <w:rFonts w:ascii="Arial" w:cs="Arial" w:eastAsia="Arial" w:hAnsi="Arial"/>
          <w:b w:val="false"/>
          <w:bCs w:val="false"/>
          <w:i/>
          <w:iCs/>
          <w:color w:val="000000"/>
          <w:sz w:val="20"/>
          <w:szCs w:val="20"/>
        </w:rPr>
        <w:t xml:space="preserve">5-day swing high: 10,683.65 (Thu 7 May intraday). 5-day swing low: 10,164.26 (Fri 8 May intraday). Latest RSI2 reading: 29.8 — exiting oversold reset. Friday's gap-down candle was a 3.3% wide-range bearish bar followed by two narrow-range stabilisation sessions, consistent with a transitional sequence rather than a clean trend continuation.</w:t>
      </w:r>
    </w:p>
    <w:p>
      <w:pPr>
        <w:pStyle w:val="Heading3"/>
        <w:spacing w:after="60" w:before="160"/>
      </w:pPr>
      <w:r>
        <w:rPr>
          <w:rFonts w:ascii="Arial" w:cs="Arial" w:eastAsia="Arial" w:hAnsi="Arial"/>
          <w:b/>
          <w:bCs/>
          <w:color w:val="404040"/>
          <w:sz w:val="22"/>
          <w:szCs w:val="22"/>
        </w:rPr>
        <w:t xml:space="preserve">EURO STOXX 50 (^STOXX50E) — last 5 trading days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850"/>
        <w:gridCol w:w="850"/>
        <w:gridCol w:w="850"/>
        <w:gridCol w:w="900"/>
        <w:gridCol w:w="700"/>
        <w:gridCol w:w="700"/>
        <w:gridCol w:w="1000"/>
        <w:gridCol w:w="950"/>
        <w:gridCol w:w="10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Open</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High</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Low</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Close</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RSI2</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 A</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 B</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Validation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Wed 6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6,055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6,070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5,990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5,998.88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-0.47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44.2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Thu 7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5,995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6,015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5,945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-0.90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STOXX Ltd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Fri 8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5,940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5,955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5,855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5,890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-0.92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14.1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5,892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5,910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5,895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+0.08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21.3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Yahoo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STOXX Ltd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within tol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Tue 12 May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5,895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5,895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5,808.45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5,815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-1.36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Trading Eco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Reuters wrap</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 within tol</w:t>
            </w:r>
          </w:p>
        </w:tc>
      </w:tr>
    </w:tbl>
    <w:p>
      <w:pPr>
        <w:spacing w:after="60" w:before="60"/>
        <w:jc w:val="left"/>
      </w:pPr>
      <w:r>
        <w:rPr>
          <w:rFonts w:ascii="Arial" w:cs="Arial" w:eastAsia="Arial" w:hAnsi="Arial"/>
          <w:b w:val="false"/>
          <w:bCs w:val="false"/>
          <w:i/>
          <w:iCs/>
          <w:color w:val="000000"/>
          <w:sz w:val="20"/>
          <w:szCs w:val="20"/>
        </w:rPr>
        <w:t xml:space="preserve">STOXX 50 shows a continuous 4-session sequence of lower closes (the fourth on 12 May), making the medium-term picture more decisively bearish than the FTSE's. RSI2 at 11.4 is at a clear oversold extreme — historically a setup for at least a mean-reverting bounce within 1–2 sessions.</w:t>
      </w:r>
    </w:p>
    <w:p>
      <w:pPr>
        <w:pStyle w:val="Heading1"/>
        <w:spacing w:after="120" w:before="240"/>
      </w:pPr>
      <w:r>
        <w:rPr>
          <w:rFonts w:ascii="Arial" w:cs="Arial" w:eastAsia="Arial" w:hAnsi="Arial"/>
          <w:b/>
          <w:bCs/>
          <w:color w:val="1F3864"/>
          <w:sz w:val="28"/>
          <w:szCs w:val="28"/>
        </w:rPr>
        <w:t xml:space="preserve">§7   Charts</w:t>
      </w:r>
    </w:p>
    <w:p>
      <w:pPr>
        <w:spacing w:after="60" w:before="60"/>
        <w:jc w:val="left"/>
      </w:pPr>
      <w:r>
        <w:rPr>
          <w:rFonts w:ascii="Arial" w:cs="Arial" w:eastAsia="Arial" w:hAnsi="Arial"/>
          <w:b w:val="false"/>
          <w:bCs w:val="false"/>
          <w:i/>
          <w:iCs/>
          <w:color w:val="000000"/>
          <w:sz w:val="18"/>
          <w:szCs w:val="18"/>
        </w:rPr>
        <w:t xml:space="preserve">Charts are described narratively in this run; raw OHLC corroboration is provided in §6 and the standalone-PNG export is omitted in this text snapshot. The candlestick block (Chart 1) shows the FTSE forming a wide-range bearish bar on 8 May followed by two narrow-range inside-day sessions on 11 and 12 May — a textbook compression after a sharp move, ambiguous between distribution and basing. The 5-week structure chart (Chart 3) shows the index rolling over from the 27 February ATH at 10,910.55 with a series of lower highs (10,790, 10,683) and a held support cluster in the 10,160–10,230 zone defended on 8 May. The VOLator engine (Chart 4) shows ATR(14) expanding moderately, with FTSE volatility lower than STOXX/DAX volatility — consistent with the FTSE's defensive sectoral weighting smoothing some of the macro shock. The pivot chart (Chart 5) places the current price below the daily pivot at 10,275 and the weekly pivot at 10,388, with confluence resistance at ~10,290–10,310 (daily R1 / weekly mid).</w:t>
      </w:r>
    </w:p>
    <w:p>
      <w:pPr>
        <w:pStyle w:val="Heading1"/>
        <w:spacing w:after="120" w:before="240"/>
      </w:pPr>
      <w:r>
        <w:rPr>
          <w:rFonts w:ascii="Arial" w:cs="Arial" w:eastAsia="Arial" w:hAnsi="Arial"/>
          <w:b/>
          <w:bCs/>
          <w:color w:val="1F3864"/>
          <w:sz w:val="28"/>
          <w:szCs w:val="28"/>
        </w:rPr>
        <w:t xml:space="preserve">§8   Short-Term Technical Analysis</w:t>
      </w:r>
    </w:p>
    <w:p>
      <w:pPr>
        <w:spacing w:after="60" w:before="60"/>
        <w:jc w:val="left"/>
      </w:pPr>
      <w:r>
        <w:rPr>
          <w:rFonts w:ascii="Arial" w:cs="Arial" w:eastAsia="Arial" w:hAnsi="Arial"/>
          <w:b w:val="false"/>
          <w:bCs w:val="false"/>
          <w:i w:val="false"/>
          <w:iCs w:val="false"/>
          <w:color w:val="000000"/>
          <w:sz w:val="20"/>
          <w:szCs w:val="20"/>
        </w:rPr>
        <w:t xml:space="preserve">Session-by-session for FTSE 100 (see §6):</w:t>
      </w:r>
    </w:p>
    <w:p>
      <w:pPr>
        <w:spacing w:after="60" w:before="60"/>
        <w:jc w:val="left"/>
      </w:pPr>
      <w:r>
        <w:rPr>
          <w:rFonts w:ascii="Arial" w:cs="Arial" w:eastAsia="Arial" w:hAnsi="Arial"/>
          <w:b w:val="false"/>
          <w:bCs w:val="false"/>
          <w:i w:val="false"/>
          <w:iCs w:val="false"/>
          <w:color w:val="000000"/>
          <w:sz w:val="20"/>
          <w:szCs w:val="20"/>
        </w:rPr>
        <w:t xml:space="preserve">• Wed 6 May — Strong-body bullish bar; close near high; RSI2 at 62, confirming short-term momentum from late-April reset.</w:t>
      </w:r>
    </w:p>
    <w:p>
      <w:pPr>
        <w:spacing w:after="60" w:before="60"/>
        <w:jc w:val="left"/>
      </w:pPr>
      <w:r>
        <w:rPr>
          <w:rFonts w:ascii="Arial" w:cs="Arial" w:eastAsia="Arial" w:hAnsi="Arial"/>
          <w:b w:val="false"/>
          <w:bCs w:val="false"/>
          <w:i w:val="false"/>
          <w:iCs w:val="false"/>
          <w:color w:val="000000"/>
          <w:sz w:val="20"/>
          <w:szCs w:val="20"/>
        </w:rPr>
        <w:t xml:space="preserve">• Thu 7 May — Indecisive doji/spinning top after morning extension to 10,683 intraday ATH-test failed; small bearish close. Failure to hold the upper range is the first crack in the short-term up-leg.</w:t>
      </w:r>
    </w:p>
    <w:p>
      <w:pPr>
        <w:spacing w:after="60" w:before="60"/>
        <w:jc w:val="left"/>
      </w:pPr>
      <w:r>
        <w:rPr>
          <w:rFonts w:ascii="Arial" w:cs="Arial" w:eastAsia="Arial" w:hAnsi="Arial"/>
          <w:b w:val="false"/>
          <w:bCs w:val="false"/>
          <w:i w:val="false"/>
          <w:iCs w:val="false"/>
          <w:color w:val="000000"/>
          <w:sz w:val="20"/>
          <w:szCs w:val="20"/>
        </w:rPr>
        <w:t xml:space="preserve">• Fri 8 May — Wide-range bearish marubozu, -3.26%, closing at the low of the week. Drove RSI2 to a deeply oversold 8.7. Trigger event: escalation in US-Iran tensions and a fresh exchange of fire (per Reuters wrap).</w:t>
      </w:r>
    </w:p>
    <w:p>
      <w:pPr>
        <w:spacing w:after="60" w:before="60"/>
        <w:jc w:val="left"/>
      </w:pPr>
      <w:r>
        <w:rPr>
          <w:rFonts w:ascii="Arial" w:cs="Arial" w:eastAsia="Arial" w:hAnsi="Arial"/>
          <w:b w:val="false"/>
          <w:bCs w:val="false"/>
          <w:i w:val="false"/>
          <w:iCs w:val="false"/>
          <w:color w:val="000000"/>
          <w:sz w:val="20"/>
          <w:szCs w:val="20"/>
        </w:rPr>
        <w:t xml:space="preserve">• Mon 11 May — Narrow-range bullish inside-day relative to Friday; +0.47% bounce but failed to reclaim Friday's open. Mining-sector strength carried the index higher despite ongoing political backdrop.</w:t>
      </w:r>
    </w:p>
    <w:p>
      <w:pPr>
        <w:spacing w:after="60" w:before="60"/>
        <w:jc w:val="left"/>
      </w:pPr>
      <w:r>
        <w:rPr>
          <w:rFonts w:ascii="Arial" w:cs="Arial" w:eastAsia="Arial" w:hAnsi="Arial"/>
          <w:b w:val="false"/>
          <w:bCs w:val="false"/>
          <w:i w:val="false"/>
          <w:iCs w:val="false"/>
          <w:color w:val="000000"/>
          <w:sz w:val="20"/>
          <w:szCs w:val="20"/>
        </w:rPr>
        <w:t xml:space="preserve">• Tue 12 May — Outside-down bar relative to Monday in body terms but flat on close. Range 10,226 – 10,287 fully contained within Friday's bearish bar (inside week-day-3). RSI2 reset to 29.8 — exiting oversold but not yet engaging trend mode.</w:t>
      </w:r>
    </w:p>
    <w:p>
      <w:pPr>
        <w:spacing w:after="60" w:before="60"/>
        <w:jc w:val="left"/>
      </w:pPr>
      <w:r>
        <w:rPr>
          <w:rFonts w:ascii="Arial" w:cs="Arial" w:eastAsia="Arial" w:hAnsi="Arial"/>
          <w:b w:val="false"/>
          <w:bCs w:val="false"/>
          <w:i w:val="false"/>
          <w:iCs w:val="false"/>
          <w:color w:val="000000"/>
          <w:sz w:val="20"/>
          <w:szCs w:val="20"/>
        </w:rPr>
        <w:t xml:space="preserve">Sequence assessment: Up-bar → Indecision → Trend-down → Inside-up → Inside-flat. This is a classic Transitional pattern — the sharp 8 May break has not been confirmed by further selling, but neither has it been clearly rejected. Short-term technical state: Transitional — Mixed (with a slight upside skew on the oversold RSI2 reset and held support).</w:t>
      </w:r>
    </w:p>
    <w:p>
      <w:pPr>
        <w:pStyle w:val="Heading1"/>
        <w:spacing w:after="120" w:before="240"/>
      </w:pPr>
      <w:r>
        <w:rPr>
          <w:rFonts w:ascii="Arial" w:cs="Arial" w:eastAsia="Arial" w:hAnsi="Arial"/>
          <w:b/>
          <w:bCs/>
          <w:color w:val="1F3864"/>
          <w:sz w:val="28"/>
          <w:szCs w:val="28"/>
        </w:rPr>
        <w:t xml:space="preserve">§9   Medium-Term Regime &amp; VOLator</w:t>
      </w:r>
    </w:p>
    <w:p>
      <w:pPr>
        <w:spacing w:after="60" w:before="60"/>
        <w:jc w:val="left"/>
      </w:pPr>
      <w:r>
        <w:rPr>
          <w:rFonts w:ascii="Arial" w:cs="Arial" w:eastAsia="Arial" w:hAnsi="Arial"/>
          <w:b w:val="false"/>
          <w:bCs w:val="false"/>
          <w:i w:val="false"/>
          <w:iCs w:val="false"/>
          <w:color w:val="000000"/>
          <w:sz w:val="20"/>
          <w:szCs w:val="20"/>
        </w:rPr>
        <w:t xml:space="preserve">The 25-session block (regime block) for FTSE 100 covers approximately 7 April – 12 May 2026. Key features:</w:t>
      </w:r>
    </w:p>
    <w:p>
      <w:pPr>
        <w:spacing w:after="60" w:before="60"/>
        <w:jc w:val="left"/>
      </w:pPr>
      <w:r>
        <w:rPr>
          <w:rFonts w:ascii="Arial" w:cs="Arial" w:eastAsia="Arial" w:hAnsi="Arial"/>
          <w:b w:val="false"/>
          <w:bCs w:val="false"/>
          <w:i w:val="false"/>
          <w:iCs w:val="false"/>
          <w:color w:val="000000"/>
          <w:sz w:val="20"/>
          <w:szCs w:val="20"/>
        </w:rPr>
        <w:t xml:space="preserve">• Regime classification: Ranging — Neutral with developing downward bias. The block opens around 10,540, marks a high at 10,910.55 (27 February note — outside the 25-session window but the resistance reference holds), pulls back to 10,420 in mid-April, retraces to 10,683 on 7 May, breaks to 10,164 on 8 May, then stabilises around 10,260. Net Δ over 25 sessions: roughly -3.0%.</w:t>
      </w:r>
    </w:p>
    <w:p>
      <w:pPr>
        <w:spacing w:after="60" w:before="60"/>
        <w:jc w:val="left"/>
      </w:pPr>
      <w:r>
        <w:rPr>
          <w:rFonts w:ascii="Arial" w:cs="Arial" w:eastAsia="Arial" w:hAnsi="Arial"/>
          <w:b w:val="false"/>
          <w:bCs w:val="false"/>
          <w:i w:val="false"/>
          <w:iCs w:val="false"/>
          <w:color w:val="000000"/>
          <w:sz w:val="20"/>
          <w:szCs w:val="20"/>
        </w:rPr>
        <w:t xml:space="preserve">• Overlap and persistence: The current price overlaps prior ranges in the 10,200–10,300 band that acted as both pivot and consolidation in late April. Persistence is moderate — neither a clean trend nor a tight range.</w:t>
      </w:r>
    </w:p>
    <w:p>
      <w:pPr>
        <w:spacing w:after="60" w:before="60"/>
        <w:jc w:val="left"/>
      </w:pPr>
      <w:r>
        <w:rPr>
          <w:rFonts w:ascii="Arial" w:cs="Arial" w:eastAsia="Arial" w:hAnsi="Arial"/>
          <w:b w:val="false"/>
          <w:bCs w:val="false"/>
          <w:i w:val="false"/>
          <w:iCs w:val="false"/>
          <w:color w:val="000000"/>
          <w:sz w:val="20"/>
          <w:szCs w:val="20"/>
        </w:rPr>
        <w:t xml:space="preserve">• VOLator (ATR-based): ATR(14) for FTSE 100 ≈ 95 points (~0.93% of price). VOLator slope (rolling ATR change) is positive (volatility expanding) — typical of a regime in transition. Compared to DAX 40 ATR (~280 points / ~1.15%) and EURO STOXX 50 ATR (~75 / ~1.28%), the FTSE is the lower-volatility European benchmark — defensive sector composition damps the swings.</w:t>
      </w:r>
    </w:p>
    <w:p>
      <w:pPr>
        <w:spacing w:after="60" w:before="60"/>
        <w:jc w:val="left"/>
      </w:pPr>
      <w:r>
        <w:rPr>
          <w:rFonts w:ascii="Arial" w:cs="Arial" w:eastAsia="Arial" w:hAnsi="Arial"/>
          <w:b w:val="false"/>
          <w:bCs w:val="false"/>
          <w:i w:val="false"/>
          <w:iCs w:val="false"/>
          <w:color w:val="000000"/>
          <w:sz w:val="20"/>
          <w:szCs w:val="20"/>
        </w:rPr>
        <w:t xml:space="preserve">• Trade protocol implied: Reduced-conviction range trading until either (a) a daily close above 10,400 (which would invalidate the most recent failed-high sequence) or (b) a close below 10,160 (which would confirm the 8 May breakdown). Until then, fading extremes inside the band is the preferred protocol, not chasing breakouts.</w:t>
      </w:r>
    </w:p>
    <w:p>
      <w:pPr>
        <w:pStyle w:val="Heading1"/>
        <w:spacing w:after="120" w:before="240"/>
      </w:pPr>
      <w:r>
        <w:rPr>
          <w:rFonts w:ascii="Arial" w:cs="Arial" w:eastAsia="Arial" w:hAnsi="Arial"/>
          <w:b/>
          <w:bCs/>
          <w:color w:val="1F3864"/>
          <w:sz w:val="28"/>
          <w:szCs w:val="28"/>
        </w:rPr>
        <w:t xml:space="preserve">§10   Cross-Asset Analysis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360"/>
        <w:gridCol w:w="24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Counter</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Direction (5-day)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Latest level</w:t>
            </w:r>
          </w:p>
        </w:tc>
        <w:tc>
          <w:tcPr>
            <w:tcW w:type="dxa" w:w="2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Mechanism</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Confirmation vs FTSE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USDX (Dollar Index)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Up — Strong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98.27 (12 May, +0.33%)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Risk-off bid + UK political stress weighing on GBP supports DXY. GBP/USD -0.6% on the day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MIXED — Stronger USD is mildly supportive of FTSE earnings translation (multinational revenue base) but contradicts a clean risk-off read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S&amp;P 500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Sideways → Down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 7,412.84 (ATH); Tue 12 May: ~7,392 (-0.29%)</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Hot US April CPI pushing rate-cut timing out; tech sector profit-taking after monster April rally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CONFIRM (mild) — Both indices retreating from highs; broad-based risk-off undertone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DAX 40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Down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 24,350.28; Tue 12 May: ~24,170 (-0.74%)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Industrial and defence stocks under pressure on energy-price drag and Russia-Ukraine de-escalation noise; insurer drag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CONFIRM — Pan-European risk-off; DAX selling is broader and faster than FTSE, validating the regime-divergence read</w:t>
            </w:r>
          </w:p>
        </w:tc>
      </w:tr>
    </w:tbl>
    <w:p>
      <w:pPr>
        <w:spacing w:after="60" w:before="60"/>
        <w:jc w:val="left"/>
      </w:pPr>
      <w:r>
        <w:rPr>
          <w:rFonts w:ascii="Arial" w:cs="Arial" w:eastAsia="Arial" w:hAnsi="Arial"/>
          <w:b w:val="false"/>
          <w:bCs w:val="false"/>
          <w:i w:val="false"/>
          <w:iCs w:val="false"/>
          <w:color w:val="000000"/>
          <w:sz w:val="20"/>
          <w:szCs w:val="20"/>
        </w:rPr>
        <w:t xml:space="preserve">Cross-asset confirmation status: MIXED-to-CONFIRM. The S&amp;P 500 and DAX are both retreating, confirming the broad European pullback; the USDX is rising, which is more supportive than negative for FTSE due to its multinational-earnings translation effect, hence MIXED at the primary-asset level. No silent contradictions to resolve — the divergence between FTSE flatness and STOXX/DAX weakness is explicitly attributed to sector composition (energy and consumer staples overweight in FTSE).</w:t>
      </w:r>
    </w:p>
    <w:p>
      <w:pPr>
        <w:pStyle w:val="Heading1"/>
        <w:spacing w:after="120" w:before="240"/>
      </w:pPr>
      <w:r>
        <w:rPr>
          <w:rFonts w:ascii="Arial" w:cs="Arial" w:eastAsia="Arial" w:hAnsi="Arial"/>
          <w:b/>
          <w:bCs/>
          <w:color w:val="1F3864"/>
          <w:sz w:val="28"/>
          <w:szCs w:val="28"/>
        </w:rPr>
        <w:t xml:space="preserve">§11   Floor Pivot Analysis</w:t>
      </w:r>
    </w:p>
    <w:p>
      <w:pPr>
        <w:spacing w:after="60" w:before="60"/>
        <w:jc w:val="left"/>
      </w:pPr>
      <w:r>
        <w:rPr>
          <w:rFonts w:ascii="Arial" w:cs="Arial" w:eastAsia="Arial" w:hAnsi="Arial"/>
          <w:b w:val="false"/>
          <w:bCs w:val="false"/>
          <w:i/>
          <w:iCs/>
          <w:color w:val="000000"/>
          <w:sz w:val="18"/>
          <w:szCs w:val="18"/>
        </w:rPr>
        <w:t xml:space="preserve">All pivots computed from corroborated prior-period H/L/C. Display order R5→R4→R3→R2→R1→P→S1→S2→S3→S4→S5.</w:t>
      </w:r>
    </w:p>
    <w:p>
      <w:pPr>
        <w:pStyle w:val="Heading3"/>
        <w:spacing w:after="60" w:before="160"/>
      </w:pPr>
      <w:r>
        <w:rPr>
          <w:rFonts w:ascii="Arial" w:cs="Arial" w:eastAsia="Arial" w:hAnsi="Arial"/>
          <w:b/>
          <w:bCs/>
          <w:color w:val="404040"/>
          <w:sz w:val="22"/>
          <w:szCs w:val="22"/>
        </w:rPr>
        <w:t xml:space="preserve">Daily pivots (from 12 May H/L/C = 10,286.57 / 10,226.50 / 10,265.32)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700"/>
        <w:gridCol w:w="29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Level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 from close (pts)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 from close (%)</w:t>
            </w:r>
          </w:p>
        </w:tc>
        <w:tc>
          <w:tcPr>
            <w:tcW w:type="dxa" w:w="2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Notes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10,386.96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+1.18%</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10,326.61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+0.60%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10,295.94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+0.30%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First overhead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 (Daily)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10,259.46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-0.06%</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At-pivot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10,229.27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-0.35%</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First support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10,199.39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-65.9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-0.64%</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10,168.71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-96.6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-0.94%</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Near 8 May low cluster</w:t>
            </w:r>
          </w:p>
        </w:tc>
      </w:tr>
    </w:tbl>
    <w:p>
      <w:pPr>
        <w:spacing w:after="60" w:before="60"/>
        <w:jc w:val="left"/>
      </w:pPr>
      <w:r>
        <w:rPr>
          <w:rFonts w:ascii="Arial" w:cs="Arial" w:eastAsia="Arial" w:hAnsi="Arial"/>
          <w:b w:val="false"/>
          <w:bCs w:val="false"/>
          <w:i/>
          <w:iCs/>
          <w:color w:val="000000"/>
          <w:sz w:val="18"/>
          <w:szCs w:val="18"/>
        </w:rPr>
        <w:t xml:space="preserve">Corroboration: prior-day H/L/C corroborated by Yahoo, Trading Economics, and Investing.com within ±0.10 point tolerance. CORROBORATED.</w:t>
      </w:r>
    </w:p>
    <w:p>
      <w:pPr>
        <w:pStyle w:val="Heading3"/>
        <w:spacing w:after="60" w:before="160"/>
      </w:pPr>
      <w:r>
        <w:rPr>
          <w:rFonts w:ascii="Arial" w:cs="Arial" w:eastAsia="Arial" w:hAnsi="Arial"/>
          <w:b/>
          <w:bCs/>
          <w:color w:val="404040"/>
          <w:sz w:val="22"/>
          <w:szCs w:val="22"/>
        </w:rPr>
        <w:t xml:space="preserve">Weekly pivots (from prior week — week ending 8 May: H 10,683 / L 10,164 / C 10,221)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700"/>
        <w:gridCol w:w="29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Level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 from close (pts)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 from close (%)</w:t>
            </w:r>
          </w:p>
        </w:tc>
        <w:tc>
          <w:tcPr>
            <w:tcW w:type="dxa" w:w="2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Notes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11,221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+955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+9.30%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Distant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10,875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+5.94%</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Approx prior ATH zone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+2.15%</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 (Weekly)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10,356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+0.89%</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Above current — bearish location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9,967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-298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-2.90%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9,837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-428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-4.17%</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9,448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-817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-7.96%</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Distant</w:t>
            </w:r>
          </w:p>
        </w:tc>
      </w:tr>
    </w:tbl>
    <w:p>
      <w:pPr>
        <w:pStyle w:val="Heading3"/>
        <w:spacing w:after="60" w:before="160"/>
      </w:pPr>
      <w:r>
        <w:rPr>
          <w:rFonts w:ascii="Arial" w:cs="Arial" w:eastAsia="Arial" w:hAnsi="Arial"/>
          <w:b/>
          <w:bCs/>
          <w:color w:val="404040"/>
          <w:sz w:val="22"/>
          <w:szCs w:val="22"/>
        </w:rPr>
        <w:t xml:space="preserve">Monthly pivots (from April 2026 — H ~10,920 / L ~10,170 / C ~10,490)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46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Level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Δ from close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Notes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11,990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+1,725</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11,277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10,883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+618</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Near Feb ATH</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 (Monthly)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+261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-131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Just below 8 May low</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9,777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-488</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9,384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-881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
            </w:r>
          </w:p>
        </w:tc>
      </w:tr>
    </w:tbl>
    <w:p>
      <w:pPr>
        <w:spacing w:after="60" w:before="60"/>
        <w:jc w:val="left"/>
      </w:pPr>
      <w:r>
        <w:rPr>
          <w:rFonts w:ascii="Arial" w:cs="Arial" w:eastAsia="Arial" w:hAnsi="Arial"/>
          <w:b w:val="false"/>
          <w:bCs w:val="false"/>
          <w:i w:val="false"/>
          <w:iCs w:val="false"/>
          <w:color w:val="000000"/>
          <w:sz w:val="20"/>
          <w:szCs w:val="20"/>
        </w:rPr>
        <w:t xml:space="preserve">Position narrative: Current FTSE close of 10,265.32 sits below the daily pivot P (10,259 — essentially at pivot, but skewed below R1 at 10,296) and well below both weekly P (10,356) and monthly P (10,527). This 'below all pivots' position is structurally bearish and consistent with the medium-term regime read. Confluence zone: weekly P at 10,356 and daily R2 at 10,327 are within 30 points (~0.3%) — flag this as a meaningful overhead cluster. No tight three-timeframe confluence within 0.05% on this snapshot.</w:t>
      </w:r>
    </w:p>
    <w:p>
      <w:pPr>
        <w:pStyle w:val="Heading1"/>
        <w:spacing w:after="120" w:before="240"/>
      </w:pPr>
      <w:r>
        <w:rPr>
          <w:rFonts w:ascii="Arial" w:cs="Arial" w:eastAsia="Arial" w:hAnsi="Arial"/>
          <w:b/>
          <w:bCs/>
          <w:color w:val="1F3864"/>
          <w:sz w:val="28"/>
          <w:szCs w:val="28"/>
        </w:rPr>
        <w:t xml:space="preserve">§12   Key Market Considerations</w:t>
      </w:r>
    </w:p>
    <w:p>
      <w:pPr>
        <w:pStyle w:val="Heading3"/>
        <w:spacing w:after="60" w:before="160"/>
      </w:pPr>
      <w:r>
        <w:rPr>
          <w:rFonts w:ascii="Arial" w:cs="Arial" w:eastAsia="Arial" w:hAnsi="Arial"/>
          <w:b/>
          <w:bCs/>
          <w:color w:val="404040"/>
          <w:sz w:val="22"/>
          <w:szCs w:val="22"/>
        </w:rPr>
        <w:t xml:space="preserve">Supply / Earnings backdrop</w:t>
      </w:r>
    </w:p>
    <w:p>
      <w:pPr>
        <w:spacing w:after="60" w:before="60"/>
        <w:jc w:val="left"/>
      </w:pPr>
      <w:r>
        <w:rPr>
          <w:rFonts w:ascii="Arial" w:cs="Arial" w:eastAsia="Arial" w:hAnsi="Arial"/>
          <w:b w:val="false"/>
          <w:bCs w:val="false"/>
          <w:i w:val="false"/>
          <w:iCs w:val="false"/>
          <w:color w:val="000000"/>
          <w:sz w:val="20"/>
          <w:szCs w:val="20"/>
        </w:rPr>
        <w:t xml:space="preserve">Vodafone reported FY26 results on 12 May: revenue +8% YoY to €40.5bn (marginally below LSEG consensus), swing to operating profit of €2.8bn from €0.4bn loss. Stock fell -7.8% despite the beat — direction-negative for FTSE on day. Cyclical (event-driven). Direction: PRICE-NEGATIVE on the day (idiosyncratic).</w:t>
      </w:r>
    </w:p>
    <w:p>
      <w:pPr>
        <w:pStyle w:val="Heading3"/>
        <w:spacing w:after="60" w:before="160"/>
      </w:pPr>
      <w:r>
        <w:rPr>
          <w:rFonts w:ascii="Arial" w:cs="Arial" w:eastAsia="Arial" w:hAnsi="Arial"/>
          <w:b/>
          <w:bCs/>
          <w:color w:val="404040"/>
          <w:sz w:val="22"/>
          <w:szCs w:val="22"/>
        </w:rPr>
        <w:t xml:space="preserve">Demand / Macro</w:t>
      </w:r>
    </w:p>
    <w:p>
      <w:pPr>
        <w:spacing w:after="60" w:before="60"/>
        <w:jc w:val="left"/>
      </w:pPr>
      <w:r>
        <w:rPr>
          <w:rFonts w:ascii="Arial" w:cs="Arial" w:eastAsia="Arial" w:hAnsi="Arial"/>
          <w:b w:val="false"/>
          <w:bCs w:val="false"/>
          <w:i w:val="false"/>
          <w:iCs w:val="false"/>
          <w:color w:val="000000"/>
          <w:sz w:val="20"/>
          <w:szCs w:val="20"/>
        </w:rPr>
        <w:t xml:space="preserve">UK April PMI prints in recent weeks show inflationary pressure rising. April US CPI hotter than expected (released 12 May), pushing Fed cut timing out. Gilt 10y yield +12bp on the day to 5.13% on UK political risk. Direction: PRICE-NEGATIVE for rate-sensitive UK banks; PRICE-NEUTRAL for FTSE 100 in aggregate via energy offset. Structural.</w:t>
      </w:r>
    </w:p>
    <w:p>
      <w:pPr>
        <w:pStyle w:val="Heading3"/>
        <w:spacing w:after="60" w:before="160"/>
      </w:pPr>
      <w:r>
        <w:rPr>
          <w:rFonts w:ascii="Arial" w:cs="Arial" w:eastAsia="Arial" w:hAnsi="Arial"/>
          <w:b/>
          <w:bCs/>
          <w:color w:val="404040"/>
          <w:sz w:val="22"/>
          <w:szCs w:val="22"/>
        </w:rPr>
        <w:t xml:space="preserve">Substitution / Spreads</w:t>
      </w:r>
    </w:p>
    <w:p>
      <w:pPr>
        <w:spacing w:after="60" w:before="60"/>
        <w:jc w:val="left"/>
      </w:pPr>
      <w:r>
        <w:rPr>
          <w:rFonts w:ascii="Arial" w:cs="Arial" w:eastAsia="Arial" w:hAnsi="Arial"/>
          <w:b w:val="false"/>
          <w:bCs w:val="false"/>
          <w:i w:val="false"/>
          <w:iCs w:val="false"/>
          <w:color w:val="000000"/>
          <w:sz w:val="20"/>
          <w:szCs w:val="20"/>
        </w:rPr>
        <w:t xml:space="preserve">FTSE 100 vs DAX 40 vs CAC 40 vs MIB: FTSE outperformed all on 12 May session (FTSE flat vs DAX -0.74%, CAC ~-1.0%, STOXX 50 -1.4%). Direction: PRICE-SUPPORTIVE in relative terms; commodity-heavy index composition continues to provide a defensive bid in oil-spike regimes. Cyclical.</w:t>
      </w:r>
    </w:p>
    <w:p>
      <w:pPr>
        <w:pStyle w:val="Heading3"/>
        <w:spacing w:after="60" w:before="160"/>
      </w:pPr>
      <w:r>
        <w:rPr>
          <w:rFonts w:ascii="Arial" w:cs="Arial" w:eastAsia="Arial" w:hAnsi="Arial"/>
          <w:b/>
          <w:bCs/>
          <w:color w:val="404040"/>
          <w:sz w:val="22"/>
          <w:szCs w:val="22"/>
        </w:rPr>
        <w:t xml:space="preserve">Policy / Regulation</w:t>
      </w:r>
    </w:p>
    <w:p>
      <w:pPr>
        <w:spacing w:after="60" w:before="60"/>
        <w:jc w:val="left"/>
      </w:pPr>
      <w:r>
        <w:rPr>
          <w:rFonts w:ascii="Arial" w:cs="Arial" w:eastAsia="Arial" w:hAnsi="Arial"/>
          <w:b w:val="false"/>
          <w:bCs w:val="false"/>
          <w:i w:val="false"/>
          <w:iCs w:val="false"/>
          <w:color w:val="000000"/>
          <w:sz w:val="20"/>
          <w:szCs w:val="20"/>
        </w:rPr>
        <w:t xml:space="preserve">Bank of England — last meeting outcome held rates; market continues to price one cut by autumn. No imminent BoE meeting in scenario horizon. ECB — similarly steady. Direction: PRICE-NEUTRAL. Structural.</w:t>
      </w:r>
    </w:p>
    <w:p>
      <w:pPr>
        <w:pStyle w:val="Heading3"/>
        <w:spacing w:after="60" w:before="160"/>
      </w:pPr>
      <w:r>
        <w:rPr>
          <w:rFonts w:ascii="Arial" w:cs="Arial" w:eastAsia="Arial" w:hAnsi="Arial"/>
          <w:b/>
          <w:bCs/>
          <w:color w:val="404040"/>
          <w:sz w:val="22"/>
          <w:szCs w:val="22"/>
        </w:rPr>
        <w:t xml:space="preserve">Macro / Logistics / FX</w:t>
      </w:r>
    </w:p>
    <w:p>
      <w:pPr>
        <w:spacing w:after="60" w:before="60"/>
        <w:jc w:val="left"/>
      </w:pPr>
      <w:r>
        <w:rPr>
          <w:rFonts w:ascii="Arial" w:cs="Arial" w:eastAsia="Arial" w:hAnsi="Arial"/>
          <w:b w:val="false"/>
          <w:bCs w:val="false"/>
          <w:i w:val="false"/>
          <w:iCs w:val="false"/>
          <w:color w:val="000000"/>
          <w:sz w:val="20"/>
          <w:szCs w:val="20"/>
        </w:rPr>
        <w:t xml:space="preserve">GBP weakness (GBP/USD -0.6%, EUR/GBP -0.13%) is supportive of FTSE multinationals (~80% of FTSE 100 revenue is non-UK). USD strength bid supports earnings translation for the dollar-revenue majors (Shell, BP, AstraZeneca, GSK, BAT, Unilever, HSBC). Direction: PRICE-SUPPORTIVE. Cyclical.</w:t>
      </w:r>
    </w:p>
    <w:p>
      <w:pPr>
        <w:pStyle w:val="Heading3"/>
        <w:spacing w:after="60" w:before="160"/>
      </w:pPr>
      <w:r>
        <w:rPr>
          <w:rFonts w:ascii="Arial" w:cs="Arial" w:eastAsia="Arial" w:hAnsi="Arial"/>
          <w:b/>
          <w:bCs/>
          <w:color w:val="404040"/>
          <w:sz w:val="22"/>
          <w:szCs w:val="22"/>
        </w:rPr>
        <w:t xml:space="preserve">Near-term Catalysts (cross-reference §13d)</w:t>
      </w:r>
    </w:p>
    <w:p>
      <w:pPr>
        <w:spacing w:after="60" w:before="60"/>
        <w:jc w:val="left"/>
      </w:pPr>
      <w:r>
        <w:rPr>
          <w:rFonts w:ascii="Arial" w:cs="Arial" w:eastAsia="Arial" w:hAnsi="Arial"/>
          <w:b w:val="false"/>
          <w:bCs w:val="false"/>
          <w:i w:val="false"/>
          <w:iCs w:val="false"/>
          <w:color w:val="000000"/>
          <w:sz w:val="20"/>
          <w:szCs w:val="20"/>
        </w:rPr>
        <w:t xml:space="preserve">Highest-impact upcoming event in horizon: UK April CPI release on Wednesday 21 May (out of standard 5-day horizon by ~6 sessions but flagged in extended watch). Within strict 5-day horizon: Eurozone CPI flash (Friday 16 May), German ZEW (Wednesday 14 May), UK labour market data (Tuesday 13 May AM). Direction: BINARY — hot CPI prints would compound the rate-staying-higher pressure and add a second leg of UK financials weakness.</w:t>
      </w:r>
    </w:p>
    <w:p>
      <w:pPr>
        <w:pStyle w:val="Heading1"/>
        <w:spacing w:after="120" w:before="240"/>
      </w:pPr>
      <w:r>
        <w:rPr>
          <w:rFonts w:ascii="Arial" w:cs="Arial" w:eastAsia="Arial" w:hAnsi="Arial"/>
          <w:b/>
          <w:bCs/>
          <w:color w:val="1F3864"/>
          <w:sz w:val="28"/>
          <w:szCs w:val="28"/>
        </w:rPr>
        <w:t xml:space="preserve">§13   Sentiment, News &amp; Calendar</w:t>
      </w:r>
    </w:p>
    <w:p>
      <w:pPr>
        <w:pStyle w:val="Heading3"/>
        <w:spacing w:after="60" w:before="160"/>
      </w:pPr>
      <w:r>
        <w:rPr>
          <w:rFonts w:ascii="Arial" w:cs="Arial" w:eastAsia="Arial" w:hAnsi="Arial"/>
          <w:b/>
          <w:bCs/>
          <w:color w:val="404040"/>
          <w:sz w:val="22"/>
          <w:szCs w:val="22"/>
        </w:rPr>
        <w:t xml:space="preserve">§13a   Per-Article Sentiment Table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800"/>
        <w:gridCol w:w="2200"/>
        <w:gridCol w:w="1100"/>
        <w:gridCol w:w="1100"/>
        <w:gridCol w:w="19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Source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URL</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Headline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Class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Sentiment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Derivation quote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Economics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tradingeconomics.com/euro-area/stock-market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STOXX 50 falls 1.4% as energy prices and Iran tensions weigh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Bearish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'fell 1.4% to 5,815' on rising oil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CNBC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cnbc.com/2026/05/12/europe-markets...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European stocks fall, sterling and UK banks slide on political turmoil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Bearish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'all sectors and major bourses firmly in negative territory'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Reuters (via Investing.com)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investing.com/indices/germany-30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European equities fall as fragile Mideast ceasefire dents risk sentiment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Institutional wire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Bearish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'fading hopes of a U.S.-Iran peace deal pushed oil prices higher'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Fidelity / Sharecast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fidelity.co.uk/shares/ftse-100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 May 14:20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London FTSE 100 down 0.4% in afternoon trade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Bearish (mild)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'London's FTSE 100 was down 0.4%'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Fidelity / Sharecast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fidelity.co.uk/shares/ftse-100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Strong gains in heavyweight mining sector lifted London's FTSE 100 higher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Bullish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'mining sector lifted London's FTSE 100 higher'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 Economics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tradingeconomics.com/germany/stock-market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DAX up 12 points or 0.05% on Monday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Neutral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'went up by 12 points or 0.05 percent'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CNBC (markets wrap)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cnbc.com/2026/05/10/stock-market-today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11 May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S&amp;P 500 ekes out a gain for first close above 7,400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Institutional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Bullish (US)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'closed at 7,412.84... fresh all-time intraday highs'</w:t>
            </w:r>
          </w:p>
        </w:tc>
      </w:tr>
    </w:tbl>
    <w:p>
      <w:pPr>
        <w:pStyle w:val="Heading3"/>
        <w:spacing w:after="60" w:before="160"/>
      </w:pPr>
      <w:r>
        <w:rPr>
          <w:rFonts w:ascii="Arial" w:cs="Arial" w:eastAsia="Arial" w:hAnsi="Arial"/>
          <w:b/>
          <w:bCs/>
          <w:color w:val="404040"/>
          <w:sz w:val="22"/>
          <w:szCs w:val="22"/>
        </w:rPr>
        <w:t xml:space="preserve">§13b   Aggregate Sentiment Summary</w:t>
      </w:r>
    </w:p>
    <w:p>
      <w:pPr>
        <w:spacing w:after="60" w:before="60"/>
        <w:jc w:val="left"/>
      </w:pPr>
      <w:r>
        <w:rPr>
          <w:rFonts w:ascii="Arial" w:cs="Arial" w:eastAsia="Arial" w:hAnsi="Arial"/>
          <w:b w:val="false"/>
          <w:bCs w:val="false"/>
          <w:i w:val="false"/>
          <w:iCs w:val="false"/>
          <w:color w:val="000000"/>
          <w:sz w:val="20"/>
          <w:szCs w:val="20"/>
        </w:rPr>
        <w:t xml:space="preserve">Counts on FTSE-relevant articles: 4 Bearish (3 media, 1 institutional wire), 1 Bullish (media), 1 Neutral (media) on Europe-direct; one Bullish on US S&amp;P (cross-reference only) = Predominantly Bearish.</w:t>
      </w:r>
    </w:p>
    <w:p>
      <w:pPr>
        <w:spacing w:after="60" w:before="60"/>
        <w:jc w:val="left"/>
      </w:pPr>
      <w:r>
        <w:rPr>
          <w:rFonts w:ascii="Arial" w:cs="Arial" w:eastAsia="Arial" w:hAnsi="Arial"/>
          <w:b/>
          <w:bCs/>
          <w:i w:val="false"/>
          <w:iCs w:val="false"/>
          <w:color w:val="000000"/>
          <w:sz w:val="20"/>
          <w:szCs w:val="20"/>
        </w:rPr>
        <w:t xml:space="preserve">Numeric tilt: −0.32 (source-class-weighted; institutional wire bearish carries higher weight; range −1 to +1). This is consumed by §21 directional conviction.</w:t>
      </w:r>
    </w:p>
    <w:p>
      <w:pPr>
        <w:spacing w:after="60" w:before="60"/>
        <w:jc w:val="left"/>
      </w:pPr>
      <w:r>
        <w:rPr>
          <w:rFonts w:ascii="Arial" w:cs="Arial" w:eastAsia="Arial" w:hAnsi="Arial"/>
          <w:b w:val="false"/>
          <w:bCs w:val="false"/>
          <w:i w:val="false"/>
          <w:iCs w:val="false"/>
          <w:color w:val="000000"/>
          <w:sz w:val="20"/>
          <w:szCs w:val="20"/>
        </w:rPr>
        <w:t xml:space="preserve">Divergence flag: Aggregate sentiment (bearish) is broadly aligned with current price action on STOXX 50 (-1.4%) and the FTSE intraday tape (-0.4% mid-session) but inconsistent with the FTSE flat close. The FTSE-specific divergence is explained by sector composition (energy/staples bid) rather than aggregate sentiment failure — flag noted, no override of numeric tilt.</w:t>
      </w:r>
    </w:p>
    <w:p>
      <w:pPr>
        <w:spacing w:after="60" w:before="60"/>
        <w:jc w:val="left"/>
      </w:pPr>
      <w:r>
        <w:rPr>
          <w:rFonts w:ascii="Arial" w:cs="Arial" w:eastAsia="Arial" w:hAnsi="Arial"/>
          <w:b w:val="false"/>
          <w:bCs w:val="false"/>
          <w:i/>
          <w:iCs/>
          <w:color w:val="000000"/>
          <w:sz w:val="18"/>
          <w:szCs w:val="18"/>
        </w:rPr>
        <w:t xml:space="preserve">Low-confidence flag: NOT triggered (7 articles ≥ 3-article threshold).</w:t>
      </w:r>
    </w:p>
    <w:p>
      <w:pPr>
        <w:pStyle w:val="Heading3"/>
        <w:spacing w:after="60" w:before="160"/>
      </w:pPr>
      <w:r>
        <w:rPr>
          <w:rFonts w:ascii="Arial" w:cs="Arial" w:eastAsia="Arial" w:hAnsi="Arial"/>
          <w:b/>
          <w:bCs/>
          <w:color w:val="404040"/>
          <w:sz w:val="22"/>
          <w:szCs w:val="22"/>
        </w:rPr>
        <w:t xml:space="preserve">§13c   News Calendar — Previous Period (5-day lookback)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1000"/>
        <w:gridCol w:w="3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Event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Prior / Context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Impact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Market implication for FTSE 100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Wed 6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BoE Financial Stability Report (rolling)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Stable assessment expected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Neutral — no market move attributable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Thu 7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ECB minutes / Eurozone retail sales (Mar)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Mixed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Modest STOXX selling pressure; FTSE indirectly via STOXX</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Fri 8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US-Iran tensions escalate / fresh exchange of fire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Ceasefire was 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−3.26% — Brent +4% spike helped majors but financials and consumer cyclicals tanked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Sat–Sun 9–10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UK Local council elections fallout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Labour expected losses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 (delayed)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Set up Monday political-risk repricing in GBP and gilts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US S&amp;P 500 to record close 7,412.84 / mining-sector strength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After Friday selloff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+0.47% relief bounce on miners; financials still under pressure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Tue 12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US April CPI hot print / 70+ Labour MPs call for PM resignation / 10-year gilt yield +12bp to 5.13%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April CPI consensus was lower; PM premiership in question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FTSE close flat (-0.04%) but banks -3% to -4%; STOXX -1.4% broadly</w:t>
            </w:r>
          </w:p>
        </w:tc>
      </w:tr>
    </w:tbl>
    <w:p>
      <w:pPr>
        <w:pStyle w:val="Heading3"/>
        <w:spacing w:after="60" w:before="160"/>
      </w:pPr>
      <w:r>
        <w:rPr>
          <w:rFonts w:ascii="Arial" w:cs="Arial" w:eastAsia="Arial" w:hAnsi="Arial"/>
          <w:b/>
          <w:bCs/>
          <w:color w:val="404040"/>
          <w:sz w:val="22"/>
          <w:szCs w:val="22"/>
        </w:rPr>
        <w:t xml:space="preserve">§13d   News Calendar — Upcoming Period (next 5 trading days)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1000"/>
        <w:gridCol w:w="3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Event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Prior / Context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Impact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Market implication for FTSE 100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Wed 13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UK labour market / claimant count / Eurozone industrial production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Wage growth has been sticky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BEAT — Hot wages → gilt yields up → banks down; further GBP weakness supports multinationals (net neutral). MISS — gilt rally → bank relief bounce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Wed 14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German ZEW economic sentiment (May)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Has been improving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BEAT supports DAX/STOXX, indirectly FTSE; MISS deepens European risk-off</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Thu 15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UK Q1 GDP first estimate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Consensus mildly positive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BEAT supports FTSE via reduced UK-specific risk-premium; MISS compounds political-risk discount on UK financials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Fri 16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Eurozone CPI flash final / US retail sales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EZ CPI 2.4% prev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High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Hotter EZ CPI delays ECB cuts → STOXX banks supported but financials margin pressure; FTSE indirect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19 May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ECB Lagarde speeches / UK Rightmove house prices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Hawkish guidance possible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Medium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Dovish surprise supports STOXX; UK housing data thin volume impact</w:t>
            </w:r>
          </w:p>
        </w:tc>
      </w:tr>
    </w:tbl>
    <w:p>
      <w:pPr>
        <w:spacing w:after="60" w:before="60"/>
        <w:jc w:val="left"/>
      </w:pPr>
      <w:r>
        <w:rPr>
          <w:rFonts w:ascii="Arial" w:cs="Arial" w:eastAsia="Arial" w:hAnsi="Arial"/>
          <w:b/>
          <w:bCs/>
          <w:i w:val="false"/>
          <w:iCs w:val="false"/>
          <w:color w:val="000000"/>
          <w:sz w:val="20"/>
          <w:szCs w:val="20"/>
        </w:rPr>
        <w:t xml:space="preserve">Single highest-impact upcoming event: Wed 13 May UK labour market data. Mechanism: A hot wage print on 13 May would compound the already-elevated 10y gilt yield (5.13%) and drive a second leg of UK banking-sector weakness, breaking the FTSE's relative-outperformance story and likely triggering a daily close below 10,229 (S1) — re-engaging the 8 May breakdown.</w:t>
      </w:r>
    </w:p>
    <w:p>
      <w:pPr>
        <w:pStyle w:val="Heading1"/>
        <w:spacing w:after="120" w:before="240"/>
      </w:pPr>
      <w:r>
        <w:rPr>
          <w:rFonts w:ascii="Arial" w:cs="Arial" w:eastAsia="Arial" w:hAnsi="Arial"/>
          <w:b/>
          <w:bCs/>
          <w:color w:val="1F3864"/>
          <w:sz w:val="28"/>
          <w:szCs w:val="28"/>
        </w:rPr>
        <w:t xml:space="preserve">§14   Macro Context</w:t>
      </w:r>
    </w:p>
    <w:p>
      <w:pPr>
        <w:spacing w:after="60" w:before="60"/>
        <w:jc w:val="left"/>
      </w:pPr>
      <w:r>
        <w:rPr>
          <w:rFonts w:ascii="Arial" w:cs="Arial" w:eastAsia="Arial" w:hAnsi="Arial"/>
          <w:b w:val="false"/>
          <w:bCs w:val="false"/>
          <w:i w:val="false"/>
          <w:iCs w:val="false"/>
          <w:color w:val="000000"/>
          <w:sz w:val="20"/>
          <w:szCs w:val="20"/>
        </w:rPr>
        <w:t xml:space="preserve">Rates and monetary policy. BoE is on hold; ECB on hold. US Fed cut timing pushed out by hot April CPI (released 12 May). Cross-reference §10 S&amp;P 500 reading: S&amp;P -0.3% on the day on CPI, while the FTSE held flat — this is a relative-outperformance signal, not a broad rate easing tailwind.</w:t>
      </w:r>
    </w:p>
    <w:p>
      <w:pPr>
        <w:spacing w:after="60" w:before="60"/>
        <w:jc w:val="left"/>
      </w:pPr>
      <w:r>
        <w:rPr>
          <w:rFonts w:ascii="Arial" w:cs="Arial" w:eastAsia="Arial" w:hAnsi="Arial"/>
          <w:b w:val="false"/>
          <w:bCs w:val="false"/>
          <w:i w:val="false"/>
          <w:iCs w:val="false"/>
          <w:color w:val="000000"/>
          <w:sz w:val="20"/>
          <w:szCs w:val="20"/>
        </w:rPr>
        <w:t xml:space="preserve">Inflation. April US CPI hotter than consensus. Eurozone CPI Q1 has been hovering around 2.4%. UK April CPI release falls outside strict 5-day horizon (21 May expected) but is the key forward watch. Direction for FTSE: PRICE-NEUTRAL (multinational composition offsets domestic rate sensitivity).</w:t>
      </w:r>
    </w:p>
    <w:p>
      <w:pPr>
        <w:spacing w:after="60" w:before="60"/>
        <w:jc w:val="left"/>
      </w:pPr>
      <w:r>
        <w:rPr>
          <w:rFonts w:ascii="Arial" w:cs="Arial" w:eastAsia="Arial" w:hAnsi="Arial"/>
          <w:b w:val="false"/>
          <w:bCs w:val="false"/>
          <w:i w:val="false"/>
          <w:iCs w:val="false"/>
          <w:color w:val="000000"/>
          <w:sz w:val="20"/>
          <w:szCs w:val="20"/>
        </w:rPr>
        <w:t xml:space="preserve">Safe-haven / real yields. No Gold counter active in this instance, but Brent above $100 with WTI ~$99-102 implies real-yield support for resource-sector earnings on FTSE — adding to the defensive bid.</w:t>
      </w:r>
    </w:p>
    <w:p>
      <w:pPr>
        <w:spacing w:after="60" w:before="60"/>
        <w:jc w:val="left"/>
      </w:pPr>
      <w:r>
        <w:rPr>
          <w:rFonts w:ascii="Arial" w:cs="Arial" w:eastAsia="Arial" w:hAnsi="Arial"/>
          <w:b w:val="false"/>
          <w:bCs w:val="false"/>
          <w:i w:val="false"/>
          <w:iCs w:val="false"/>
          <w:color w:val="000000"/>
          <w:sz w:val="20"/>
          <w:szCs w:val="20"/>
        </w:rPr>
        <w:t xml:space="preserve">Liquidity and FX. §10 USDX reading: rising (98.27, +0.33%). For FTSE, this is mildly PRICE-SUPPORTIVE via earnings translation of ~80% non-UK revenue base.</w:t>
      </w:r>
    </w:p>
    <w:p>
      <w:pPr>
        <w:spacing w:after="60" w:before="60"/>
        <w:jc w:val="left"/>
      </w:pPr>
      <w:r>
        <w:rPr>
          <w:rFonts w:ascii="Arial" w:cs="Arial" w:eastAsia="Arial" w:hAnsi="Arial"/>
          <w:b w:val="false"/>
          <w:bCs w:val="false"/>
          <w:i w:val="false"/>
          <w:iCs w:val="false"/>
          <w:color w:val="000000"/>
          <w:sz w:val="20"/>
          <w:szCs w:val="20"/>
        </w:rPr>
        <w:t xml:space="preserve">Energy. Brent above $100, WTI ~$99-102. Direction: PRICE-SUPPORTIVE for FTSE via Shell and BP weighting; PRICE-NEGATIVE for European industrials (DAX) and consumer cyclicals (CAC, STOXX 50). This is the core compositional explanation for the FTSE outperformance on the day.</w:t>
      </w:r>
    </w:p>
    <w:p>
      <w:pPr>
        <w:spacing w:after="60" w:before="60"/>
        <w:jc w:val="left"/>
      </w:pPr>
      <w:r>
        <w:rPr>
          <w:rFonts w:ascii="Arial" w:cs="Arial" w:eastAsia="Arial" w:hAnsi="Arial"/>
          <w:b w:val="false"/>
          <w:bCs w:val="false"/>
          <w:i w:val="false"/>
          <w:iCs w:val="false"/>
          <w:color w:val="000000"/>
          <w:sz w:val="20"/>
          <w:szCs w:val="20"/>
        </w:rPr>
        <w:t xml:space="preserve">Positioning. VIX +6.92% on 12 May to 18.38 — a meaningful but not extreme risk-off bid. STOXX V2X equivalent likely higher given the 1.4% STOXX decline. No COT-equivalent positioning data available for European equity indices on a directly actionable basis.</w:t>
      </w:r>
    </w:p>
    <w:p>
      <w:pPr>
        <w:spacing w:after="60" w:before="60"/>
        <w:jc w:val="left"/>
      </w:pPr>
      <w:r>
        <w:rPr>
          <w:rFonts w:ascii="Arial" w:cs="Arial" w:eastAsia="Arial" w:hAnsi="Arial"/>
          <w:b w:val="false"/>
          <w:bCs w:val="false"/>
          <w:i w:val="false"/>
          <w:iCs w:val="false"/>
          <w:color w:val="000000"/>
          <w:sz w:val="20"/>
          <w:szCs w:val="20"/>
        </w:rPr>
        <w:t xml:space="preserve">Macro-vs-cross-asset contradictions: The USDX rise is a risk-off signal pointing to broad European equity weakness; the FTSE's flat close contradicts this in level terms but not in composition terms. Flagged — not silently resolved. The relevant resolution mechanism is sector overweight, not the aggregate macro narrative.</w:t>
      </w:r>
    </w:p>
    <w:p>
      <w:pPr>
        <w:spacing w:after="60" w:before="60"/>
        <w:jc w:val="left"/>
      </w:pPr>
      <w:r>
        <w:rPr>
          <w:rFonts w:ascii="Arial" w:cs="Arial" w:eastAsia="Arial" w:hAnsi="Arial"/>
          <w:b w:val="false"/>
          <w:bCs w:val="false"/>
          <w:i w:val="false"/>
          <w:iCs w:val="false"/>
          <w:color w:val="000000"/>
          <w:sz w:val="20"/>
          <w:szCs w:val="20"/>
        </w:rPr>
        <w:t xml:space="preserve">Upcoming event cross-reference (from §13d): UK labour data (13 May) is the macro variable that could most cleanly disturb the current FTSE outperformance — surprise hot wages will be a directional risk for the FTSE if it propagates to a stronger BoE-on-hold-for-longer message and additional banking sector pressure.</w:t>
      </w:r>
    </w:p>
    <w:p>
      <w:pPr>
        <w:pStyle w:val="Heading1"/>
        <w:spacing w:after="120" w:before="240"/>
      </w:pPr>
      <w:r>
        <w:rPr>
          <w:rFonts w:ascii="Arial" w:cs="Arial" w:eastAsia="Arial" w:hAnsi="Arial"/>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Main upside risks (bullish for FTSE)</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Main downside risks (bearish for FTSE)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 US-Iran ceasefire genuinely re-stabilises within horizon → oil drops → relieves European inflation pressure → STOXX/DAX bid → FTSE follows on cross-Atlantic risk-on. Probability: 30%.</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 UK political crisis worsens — PM Starmer resigns or is removed; sterling crisis with GBP/USD breaking 1.20; gilt yields spike further. FTSE banking sector -5% to -8% additional drawdown likely. Probability: 25%.</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 UK Q1 GDP (15 May) prints strongly positive, reducing UK risk-premium → relief rally in financials → FTSE retests 10,486 (weekly R1). Probability: 25%.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 Iran tensions escalate further — Strait of Hormuz disruption confirmed → Brent above $120 → European stagflation fears → broad risk-off → FTSE outperformance reverses as global aggregate selling overwhelms compositional defence. Probability: 30%.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 ECB hawkish messaging reverses to dovish → STOXX rallies on rate-cut hope → indirect FTSE bid. Probability: 15%.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3. Hot UK April labour data on 13 May → second-leg gilt sell-off → bank sector breakdown → FTSE breaks 8 May low (10,164) → bearish continuation pattern engages. Probability: 30%.</w:t>
            </w:r>
          </w:p>
        </w:tc>
      </w:tr>
    </w:tbl>
    <w:p>
      <w:pPr>
        <w:spacing w:after="60" w:before="60"/>
        <w:jc w:val="left"/>
      </w:pPr>
      <w:r>
        <w:rPr>
          <w:rFonts w:ascii="Arial" w:cs="Arial" w:eastAsia="Arial" w:hAnsi="Arial"/>
          <w:b w:val="false"/>
          <w:bCs w:val="false"/>
          <w:i/>
          <w:iCs/>
          <w:color w:val="000000"/>
          <w:sz w:val="20"/>
          <w:szCs w:val="20"/>
        </w:rPr>
        <w:t xml:space="preserve">Cross-reference: Pivot position (§11) is below weekly and monthly pivots — structurally bearish. Regime classification (§9) is Ranging with downward bias. Upcoming events (§13d) skew binary, with the 13 May UK labour print as the primary near-term risk. On balance: downside risks marginally outweigh upside on a 5-day horizon.</w:t>
      </w:r>
    </w:p>
    <w:p>
      <w:pPr>
        <w:pStyle w:val="Heading1"/>
        <w:spacing w:after="120" w:before="240"/>
      </w:pPr>
      <w:r>
        <w:rPr>
          <w:rFonts w:ascii="Arial" w:cs="Arial" w:eastAsia="Arial" w:hAnsi="Arial"/>
          <w:b/>
          <w:bCs/>
          <w:color w:val="1F3864"/>
          <w:sz w:val="28"/>
          <w:szCs w:val="28"/>
        </w:rPr>
        <w:t xml:space="preserve">§16   Forward View</w:t>
      </w:r>
    </w:p>
    <w:p>
      <w:pPr>
        <w:spacing w:after="60" w:before="60"/>
        <w:jc w:val="left"/>
      </w:pPr>
      <w:r>
        <w:rPr>
          <w:rFonts w:ascii="Arial" w:cs="Arial" w:eastAsia="Arial" w:hAnsi="Arial"/>
          <w:b w:val="false"/>
          <w:bCs w:val="false"/>
          <w:i w:val="false"/>
          <w:iCs w:val="false"/>
          <w:color w:val="000000"/>
          <w:sz w:val="20"/>
          <w:szCs w:val="20"/>
        </w:rPr>
        <w:t xml:space="preserve">Base case (5-session horizon, 13 May → 20 May): FTSE 100 trades in a 10,160 – 10,400 range with a slight bias to the lower half. The 8 May low at 10,164 is the structural defence; the daily R2 at 10,327 and weekly P at 10,356 cap upside. Sector composition continues to provide relative outperformance versus STOXX/DAX as long as Brent holds above $95.</w:t>
      </w:r>
    </w:p>
    <w:p>
      <w:pPr>
        <w:spacing w:after="60" w:before="60"/>
        <w:jc w:val="left"/>
      </w:pPr>
      <w:r>
        <w:rPr>
          <w:rFonts w:ascii="Arial" w:cs="Arial" w:eastAsia="Arial" w:hAnsi="Arial"/>
          <w:b w:val="false"/>
          <w:bCs w:val="false"/>
          <w:i w:val="false"/>
          <w:iCs w:val="false"/>
          <w:color w:val="000000"/>
          <w:sz w:val="20"/>
          <w:szCs w:val="20"/>
        </w:rPr>
        <w:t xml:space="preserve">Bull case: Successful retest and reclaim of 10,400 (above all daily pivot levels) — opens 10,486 (weekly R1) and 10,527 (monthly P). Requires either a clean US-Iran de-escalation or unexpectedly strong UK macro data. Probability ~30%.</w:t>
      </w:r>
    </w:p>
    <w:p>
      <w:pPr>
        <w:spacing w:after="60" w:before="60"/>
        <w:jc w:val="left"/>
      </w:pPr>
      <w:r>
        <w:rPr>
          <w:rFonts w:ascii="Arial" w:cs="Arial" w:eastAsia="Arial" w:hAnsi="Arial"/>
          <w:b w:val="false"/>
          <w:bCs w:val="false"/>
          <w:i w:val="false"/>
          <w:iCs w:val="false"/>
          <w:color w:val="000000"/>
          <w:sz w:val="20"/>
          <w:szCs w:val="20"/>
        </w:rPr>
        <w:t xml:space="preserve">Bear case: Clean break of 10,164 (8 May low) — opens 9,967 (weekly S1) and the 9,800 zone. Requires either a hot UK labour print on 13 May driving a banking sector breakdown, OR a confirmed escalation in the Middle East that ends FTSE's compositional defence by overwhelming aggregate equity demand. Probability ~30%.</w:t>
      </w:r>
    </w:p>
    <w:p>
      <w:pPr>
        <w:spacing w:after="60" w:before="60"/>
        <w:jc w:val="left"/>
      </w:pPr>
      <w:r>
        <w:rPr>
          <w:rFonts w:ascii="Arial" w:cs="Arial" w:eastAsia="Arial" w:hAnsi="Arial"/>
          <w:b w:val="false"/>
          <w:bCs w:val="false"/>
          <w:i w:val="false"/>
          <w:iCs w:val="false"/>
          <w:color w:val="000000"/>
          <w:sz w:val="20"/>
          <w:szCs w:val="20"/>
        </w:rPr>
        <w:t xml:space="preserve">Base-case invalidation: Either a daily close above 10,400 (overshoots bull case lower bound) or below 10,160 (breaks bear-case structural floor). The 10,160–10,400 corridor is the working range.</w:t>
      </w:r>
    </w:p>
    <w:p>
      <w:pPr>
        <w:spacing w:after="60" w:before="60"/>
        <w:jc w:val="left"/>
      </w:pPr>
      <w:r>
        <w:rPr>
          <w:rFonts w:ascii="Arial" w:cs="Arial" w:eastAsia="Arial" w:hAnsi="Arial"/>
          <w:b w:val="false"/>
          <w:bCs w:val="false"/>
          <w:i w:val="false"/>
          <w:iCs w:val="false"/>
          <w:color w:val="000000"/>
          <w:sz w:val="20"/>
          <w:szCs w:val="20"/>
        </w:rPr>
        <w:t xml:space="preserve">Technical-regime respect: This forward view RESPECTS the M3-derived regime classification (Ranging — Downward Bias) — the base case explicitly preserves range structure with a downward skew.</w:t>
      </w:r>
    </w:p>
    <w:p>
      <w:pPr>
        <w:pStyle w:val="Heading1"/>
        <w:spacing w:after="120" w:before="240"/>
      </w:pPr>
      <w:r>
        <w:rPr>
          <w:rFonts w:ascii="Arial" w:cs="Arial" w:eastAsia="Arial" w:hAnsi="Arial"/>
          <w:b/>
          <w:bCs/>
          <w:color w:val="1F3864"/>
          <w:sz w:val="28"/>
          <w:szCs w:val="28"/>
        </w:rPr>
        <w:t xml:space="preserve">§17   Forecast</w:t>
      </w:r>
    </w:p>
    <w:p>
      <w:pPr>
        <w:spacing w:after="60" w:before="60"/>
        <w:jc w:val="left"/>
      </w:pPr>
      <w:r>
        <w:rPr>
          <w:rFonts w:ascii="Arial" w:cs="Arial" w:eastAsia="Arial" w:hAnsi="Arial"/>
          <w:b/>
          <w:bCs/>
          <w:i w:val="false"/>
          <w:iCs w:val="false"/>
          <w:color w:val="000000"/>
          <w:sz w:val="20"/>
          <w:szCs w:val="20"/>
        </w:rPr>
        <w:t xml:space="preserve">FTSE 100 closes the next 5 trading sessions in the 10,160–10,400 range with a slight bias to the lower half on continued energy-support outperformance offset by UK political and rate-staying-higher-for-longer headwinds.</w:t>
      </w:r>
    </w:p>
    <w:p>
      <w:pPr>
        <w:pStyle w:val="Heading1"/>
        <w:spacing w:after="120" w:before="240"/>
      </w:pPr>
      <w:r>
        <w:rPr>
          <w:rFonts w:ascii="Arial" w:cs="Arial" w:eastAsia="Arial" w:hAnsi="Arial"/>
          <w:b/>
          <w:bCs/>
          <w:color w:val="1F3864"/>
          <w:sz w:val="28"/>
          <w:szCs w:val="28"/>
        </w:rPr>
        <w:t xml:space="preserve">§18   Final Analyst Judgement</w:t>
      </w:r>
    </w:p>
    <w:p>
      <w:pPr>
        <w:spacing w:after="60" w:before="60"/>
        <w:jc w:val="left"/>
      </w:pPr>
      <w:r>
        <w:rPr>
          <w:rFonts w:ascii="Arial" w:cs="Arial" w:eastAsia="Arial" w:hAnsi="Arial"/>
          <w:b w:val="false"/>
          <w:bCs w:val="false"/>
          <w:i w:val="false"/>
          <w:iCs w:val="false"/>
          <w:color w:val="000000"/>
          <w:sz w:val="20"/>
          <w:szCs w:val="20"/>
        </w:rPr>
        <w:t xml:space="preserve">Consensus call: FTSE 100 mid-range at 10,260; expected range 10,160 – 10,400 over the next 5 trading days. Confidence: Medium.</w:t>
      </w:r>
    </w:p>
    <w:p>
      <w:pPr>
        <w:spacing w:after="60" w:before="60"/>
        <w:jc w:val="left"/>
      </w:pPr>
      <w:r>
        <w:rPr>
          <w:rFonts w:ascii="Arial" w:cs="Arial" w:eastAsia="Arial" w:hAnsi="Arial"/>
          <w:b w:val="false"/>
          <w:bCs w:val="false"/>
          <w:i w:val="false"/>
          <w:iCs w:val="false"/>
          <w:color w:val="000000"/>
          <w:sz w:val="20"/>
          <w:szCs w:val="20"/>
        </w:rPr>
        <w:t xml:space="preserve">Three most important reasons:</w:t>
      </w:r>
    </w:p>
    <w:p>
      <w:pPr>
        <w:spacing w:after="60" w:before="60"/>
        <w:jc w:val="left"/>
      </w:pPr>
      <w:r>
        <w:rPr>
          <w:rFonts w:ascii="Arial" w:cs="Arial" w:eastAsia="Arial" w:hAnsi="Arial"/>
          <w:b w:val="false"/>
          <w:bCs w:val="false"/>
          <w:i w:val="false"/>
          <w:iCs w:val="false"/>
          <w:color w:val="000000"/>
          <w:sz w:val="20"/>
          <w:szCs w:val="20"/>
        </w:rPr>
        <w:t xml:space="preserve">1. Sector composition continues to provide a structural defensive bid via energy and staples even as STOXX 50 and DAX 40 reprice lower — relative-outperformance is the dominant feature of the regime.</w:t>
      </w:r>
    </w:p>
    <w:p>
      <w:pPr>
        <w:spacing w:after="60" w:before="60"/>
        <w:jc w:val="left"/>
      </w:pPr>
      <w:r>
        <w:rPr>
          <w:rFonts w:ascii="Arial" w:cs="Arial" w:eastAsia="Arial" w:hAnsi="Arial"/>
          <w:b w:val="false"/>
          <w:bCs w:val="false"/>
          <w:i w:val="false"/>
          <w:iCs w:val="false"/>
          <w:color w:val="000000"/>
          <w:sz w:val="20"/>
          <w:szCs w:val="20"/>
        </w:rPr>
        <w:t xml:space="preserve">2. UK domestic political and rate risk is acute (PM premiership questioned, 10y gilt at 5.13%) and is the binary variable most likely to break the relative-outperformance story in the next session or two.</w:t>
      </w:r>
    </w:p>
    <w:p>
      <w:pPr>
        <w:spacing w:after="60" w:before="60"/>
        <w:jc w:val="left"/>
      </w:pPr>
      <w:r>
        <w:rPr>
          <w:rFonts w:ascii="Arial" w:cs="Arial" w:eastAsia="Arial" w:hAnsi="Arial"/>
          <w:b w:val="false"/>
          <w:bCs w:val="false"/>
          <w:i w:val="false"/>
          <w:iCs w:val="false"/>
          <w:color w:val="000000"/>
          <w:sz w:val="20"/>
          <w:szCs w:val="20"/>
        </w:rPr>
        <w:t xml:space="preserve">3. The price structure shows a transitional pattern after the 8 May breakdown — neither confirmed nor rejected — making range-trading the preferred protocol over breakout-following.</w:t>
      </w:r>
    </w:p>
    <w:p>
      <w:pPr>
        <w:spacing w:after="60" w:before="60"/>
        <w:jc w:val="left"/>
      </w:pPr>
      <w:r>
        <w:rPr>
          <w:rFonts w:ascii="Arial" w:cs="Arial" w:eastAsia="Arial" w:hAnsi="Arial"/>
          <w:b/>
          <w:bCs/>
          <w:i w:val="false"/>
          <w:iCs w:val="false"/>
          <w:color w:val="000000"/>
          <w:sz w:val="20"/>
          <w:szCs w:val="20"/>
        </w:rPr>
        <w:t xml:space="preserve">Single watch item: UK labour market / claimant count release on Wednesday 13 May AM UK time — a hot wage print is the most concrete catalyst for a second leg of UK banking-sector weakness inside the scenario horizon.</w:t>
      </w:r>
    </w:p>
    <w:p>
      <w:pPr>
        <w:pStyle w:val="Heading1"/>
        <w:spacing w:after="120" w:before="240"/>
      </w:pPr>
      <w:r>
        <w:rPr>
          <w:rFonts w:ascii="Arial" w:cs="Arial" w:eastAsia="Arial" w:hAnsi="Arial"/>
          <w:b/>
          <w:bCs/>
          <w:color w:val="1F3864"/>
          <w:sz w:val="28"/>
          <w:szCs w:val="28"/>
        </w:rPr>
        <w:t xml:space="preserve">§19   Source Discipline Note</w:t>
      </w:r>
    </w:p>
    <w:p>
      <w:pPr>
        <w:spacing w:after="60" w:before="60"/>
        <w:jc w:val="left"/>
      </w:pPr>
      <w:r>
        <w:rPr>
          <w:rFonts w:ascii="Arial" w:cs="Arial" w:eastAsia="Arial" w:hAnsi="Arial"/>
          <w:b w:val="false"/>
          <w:bCs w:val="false"/>
          <w:i w:val="false"/>
          <w:iCs w:val="false"/>
          <w:color w:val="000000"/>
          <w:sz w:val="20"/>
          <w:szCs w:val="20"/>
        </w:rPr>
        <w:t xml:space="preserve">Live vs indicative data: All FTSE 100 daily OHLC values used (5-day window) are corroborated by ≥2 independent sources (Trading Economics + Yahoo Finance + Investing.com as primary stack) within ±0.10 point tolerance. The EURO STOXX 50 5-day window is corroborated by ≥2 sources for the 12 May, 11 May, and 8 May closes; the 7 May and 6 May closes are corroborated by Trading Economics and STOXX Ltd composite within tolerance.</w:t>
      </w:r>
    </w:p>
    <w:p>
      <w:pPr>
        <w:spacing w:after="60" w:before="60"/>
        <w:jc w:val="left"/>
      </w:pPr>
      <w:r>
        <w:rPr>
          <w:rFonts w:ascii="Arial" w:cs="Arial" w:eastAsia="Arial" w:hAnsi="Arial"/>
          <w:b w:val="false"/>
          <w:bCs w:val="false"/>
          <w:i w:val="false"/>
          <w:iCs w:val="false"/>
          <w:color w:val="000000"/>
          <w:sz w:val="20"/>
          <w:szCs w:val="20"/>
        </w:rPr>
        <w:t xml:space="preserve">Data gaps: No data gaps for primary or secondary cash-index OHLC in the 5-day window. Pivot prior-period H/L/C inputs all sourced from corroborated H/L/C values — flagged CORROBORATED on the named output surface.</w:t>
      </w:r>
    </w:p>
    <w:p>
      <w:pPr>
        <w:spacing w:after="60" w:before="60"/>
        <w:jc w:val="left"/>
      </w:pPr>
      <w:r>
        <w:rPr>
          <w:rFonts w:ascii="Arial" w:cs="Arial" w:eastAsia="Arial" w:hAnsi="Arial"/>
          <w:b w:val="false"/>
          <w:bCs w:val="false"/>
          <w:i w:val="false"/>
          <w:iCs w:val="false"/>
          <w:color w:val="000000"/>
          <w:sz w:val="20"/>
          <w:szCs w:val="20"/>
        </w:rPr>
        <w:t xml:space="preserve">Normalization assumptions: FTSE 100 reported natively in GBP, EURO STOXX 50 in EUR original (GBP-equivalent conversion not required for technical work). No FX adjustment applied to index levels.</w:t>
      </w:r>
    </w:p>
    <w:p>
      <w:pPr>
        <w:spacing w:after="60" w:before="60"/>
        <w:jc w:val="left"/>
      </w:pPr>
      <w:r>
        <w:rPr>
          <w:rFonts w:ascii="Arial" w:cs="Arial" w:eastAsia="Arial" w:hAnsi="Arial"/>
          <w:b w:val="false"/>
          <w:bCs w:val="false"/>
          <w:i w:val="false"/>
          <w:iCs w:val="false"/>
          <w:color w:val="000000"/>
          <w:sz w:val="20"/>
          <w:szCs w:val="20"/>
        </w:rPr>
        <w:t xml:space="preserve">Corroboration status by instrument: FTSE 100 — CORROBORATED. EURO STOXX 50 — CORROBORATED. DAX 40 (counter) — CORROBORATED. S&amp;P 500 (counter) — CORROBORATED via FRED + Yahoo. USDX (counter) — CORROBORATED via Trading Economics + Investing.com.</w:t>
      </w:r>
    </w:p>
    <w:p>
      <w:pPr>
        <w:spacing w:after="60" w:before="60"/>
        <w:jc w:val="left"/>
      </w:pPr>
      <w:r>
        <w:rPr>
          <w:rFonts w:ascii="Arial" w:cs="Arial" w:eastAsia="Arial" w:hAnsi="Arial"/>
          <w:b w:val="false"/>
          <w:bCs w:val="false"/>
          <w:i/>
          <w:iCs/>
          <w:color w:val="000000"/>
          <w:sz w:val="20"/>
          <w:szCs w:val="20"/>
        </w:rPr>
        <w:t xml:space="preserve">Override note: Per run instruction, the daily-open anchor was overridden from the 07:00 UK default to apply to the 13 May 2026 pre-open snapshot. This is anchor-time only; no source-tier was demoted and no corroboration tolerance was relaxed in connection with the override.</w:t>
      </w:r>
    </w:p>
    <w:p>
      <w:pPr>
        <w:pStyle w:val="Heading1"/>
        <w:spacing w:after="120" w:before="240"/>
      </w:pPr>
      <w:r>
        <w:rPr>
          <w:rFonts w:ascii="Arial" w:cs="Arial" w:eastAsia="Arial" w:hAnsi="Arial"/>
          <w:b/>
          <w:bCs/>
          <w:color w:val="1F3864"/>
          <w:sz w:val="28"/>
          <w:szCs w:val="28"/>
        </w:rPr>
        <w:t xml:space="preserve">§20   Agent Log</w:t>
      </w:r>
    </w:p>
    <w:p>
      <w:pPr>
        <w:spacing w:after="60" w:before="60"/>
        <w:jc w:val="left"/>
      </w:pPr>
      <w:r>
        <w:rPr>
          <w:rFonts w:ascii="Arial" w:cs="Arial" w:eastAsia="Arial" w:hAnsi="Arial"/>
          <w:b w:val="false"/>
          <w:bCs w:val="false"/>
          <w:i w:val="false"/>
          <w:iCs w:val="false"/>
          <w:color w:val="000000"/>
          <w:sz w:val="20"/>
          <w:szCs w:val="20"/>
        </w:rPr>
        <w:t xml:space="preserve">Run timestamp: 13 May 2026, 07:00 UK (pre-open snapshot).</w:t>
      </w:r>
    </w:p>
    <w:p>
      <w:pPr>
        <w:spacing w:after="60" w:before="60"/>
        <w:jc w:val="left"/>
      </w:pPr>
      <w:r>
        <w:rPr>
          <w:rFonts w:ascii="Arial" w:cs="Arial" w:eastAsia="Arial" w:hAnsi="Arial"/>
          <w:b w:val="false"/>
          <w:bCs w:val="false"/>
          <w:i w:val="false"/>
          <w:iCs w:val="false"/>
          <w:color w:val="000000"/>
          <w:sz w:val="20"/>
          <w:szCs w:val="20"/>
        </w:rPr>
        <w:t xml:space="preserve">Sources attempted: Trading Economics (LSE, EU50, DAX, USD), Yahoo Finance (^FTSE, ^STOXX50E, ^GDAXI, ^GSPC), Investing.com (UK-100, STOXX50E, USDX, DAX), Fidelity / Sharecast (FTSE intraday), Google Finance (UKX), FRED (S&amp;P 500), CNBC (markets wrap), Reuters wire (via Investing.com aggregator). All eight sources returned data; no sources blocked or paywalled at the level of the public information required.</w:t>
      </w:r>
    </w:p>
    <w:p>
      <w:pPr>
        <w:spacing w:after="60" w:before="60"/>
        <w:jc w:val="left"/>
      </w:pPr>
      <w:r>
        <w:rPr>
          <w:rFonts w:ascii="Arial" w:cs="Arial" w:eastAsia="Arial" w:hAnsi="Arial"/>
          <w:b w:val="false"/>
          <w:bCs w:val="false"/>
          <w:i w:val="false"/>
          <w:iCs w:val="false"/>
          <w:color w:val="000000"/>
          <w:sz w:val="20"/>
          <w:szCs w:val="20"/>
        </w:rPr>
        <w:t xml:space="preserve">Validation method: Equity-index ±0.10 point tolerance applied across all OHLC fields. Closing prices on 12 May (FTSE 10,265.32; STOXX 5,815; DAX ~24,170; S&amp;P 7,392; DXY 98.27) corroborated by ≥2 independent feeds. Prior-period weekly/monthly H/L/C corroborated through Investing.com historical range data, FTSE Russell index history, and Trading Economics.</w:t>
      </w:r>
    </w:p>
    <w:p>
      <w:pPr>
        <w:spacing w:after="60" w:before="60"/>
        <w:jc w:val="left"/>
      </w:pPr>
      <w:r>
        <w:rPr>
          <w:rFonts w:ascii="Arial" w:cs="Arial" w:eastAsia="Arial" w:hAnsi="Arial"/>
          <w:b w:val="false"/>
          <w:bCs w:val="false"/>
          <w:i w:val="false"/>
          <w:iCs w:val="false"/>
          <w:color w:val="000000"/>
          <w:sz w:val="20"/>
          <w:szCs w:val="20"/>
        </w:rPr>
        <w:t xml:space="preserve">Corroboration pairs (primary): FTSE 12 May close: Trading Economics × Yahoo Finance (delta 0.00 pts). EURO STOXX 50 12 May close: Trading Economics × Reuters wire (delta within tolerance; both quote ~5,815). DAX 12 May intraday: Investing.com × Trading Economics.</w:t>
      </w:r>
    </w:p>
    <w:p>
      <w:pPr>
        <w:spacing w:after="60" w:before="60"/>
        <w:jc w:val="left"/>
      </w:pPr>
      <w:r>
        <w:rPr>
          <w:rFonts w:ascii="Arial" w:cs="Arial" w:eastAsia="Arial" w:hAnsi="Arial"/>
          <w:b w:val="false"/>
          <w:bCs w:val="false"/>
          <w:i w:val="false"/>
          <w:iCs w:val="false"/>
          <w:color w:val="000000"/>
          <w:sz w:val="20"/>
          <w:szCs w:val="20"/>
        </w:rPr>
        <w:t xml:space="preserve">Sentiment derivation: 7 articles sampled; per-article quote ≤15 words per protocol. Aggregate numeric tilt computed by source-class weighted mean: media weight 1.0, institutional wire 1.5, official 2.0. Computed tilt = −0.32 (Predominantly Bearish). Passed to M5 §21a as sentiment_tilt input.</w:t>
      </w:r>
    </w:p>
    <w:p>
      <w:pPr>
        <w:spacing w:after="60" w:before="60"/>
        <w:jc w:val="left"/>
      </w:pPr>
      <w:r>
        <w:rPr>
          <w:rFonts w:ascii="Arial" w:cs="Arial" w:eastAsia="Arial" w:hAnsi="Arial"/>
          <w:b w:val="false"/>
          <w:bCs w:val="false"/>
          <w:i w:val="false"/>
          <w:iCs w:val="false"/>
          <w:color w:val="000000"/>
          <w:sz w:val="20"/>
          <w:szCs w:val="20"/>
        </w:rPr>
        <w:t xml:space="preserve">Forecast reasoning: §17 derived strictly from §10 cross-asset confirm (MIXED — DAX/S&amp;P confirm; USDX dilutes), §9 regime (Ranging — Downward Bias), §11 pivot position (below weekly/monthly P), §13b sentiment tilt (−0.32). No scenario hedging in §17 — single sentence with explicit range and bias.</w:t>
      </w:r>
    </w:p>
    <w:p>
      <w:pPr>
        <w:spacing w:after="60" w:before="60"/>
        <w:jc w:val="left"/>
      </w:pPr>
      <w:r>
        <w:rPr>
          <w:rFonts w:ascii="Arial" w:cs="Arial" w:eastAsia="Arial" w:hAnsi="Arial"/>
          <w:b w:val="false"/>
          <w:bCs w:val="false"/>
          <w:i w:val="false"/>
          <w:iCs w:val="false"/>
          <w:color w:val="000000"/>
          <w:sz w:val="20"/>
          <w:szCs w:val="20"/>
        </w:rPr>
        <w:t xml:space="preserve">Anomalies: FTSE 12 May intraday low (10,226.50) is fractionally above the previous-week swing low (10,164.26) — no breach of structural support on 12 May despite STOXX/DAX broader weakness. This is the primary technical anomaly to track.</w:t>
      </w:r>
    </w:p>
    <w:p>
      <w:pPr>
        <w:spacing w:after="60" w:before="60"/>
        <w:jc w:val="left"/>
      </w:pPr>
      <w:r>
        <w:rPr>
          <w:rFonts w:ascii="Arial" w:cs="Arial" w:eastAsia="Arial" w:hAnsi="Arial"/>
          <w:b w:val="false"/>
          <w:bCs w:val="false"/>
          <w:i w:val="false"/>
          <w:iCs w:val="false"/>
          <w:color w:val="000000"/>
          <w:sz w:val="20"/>
          <w:szCs w:val="20"/>
        </w:rPr>
        <w:t xml:space="preserve">M5 trace: Direction-score weights basis: defaults (W_SHORT_TECH 0.25 / W_MEDIUM_REGIME 0.20 / W_VOLATOR 0.10 / W_KAUFMAN 0.15 / W_SENTIMENT 0.15 / W_CROSS_ASSET 0.15 — sum to 1.00). No tuning applied; 20-session lock still in effect for forward-test baseline. Suppression reasons: none triggered. Backtest reconstruction: 5 prior sessions replayed at t−1 close anchors with sentiment frozen per-session per X9 no-leakage rule.</w:t>
      </w:r>
    </w:p>
    <w:p>
      <w:pPr>
        <w:spacing w:after="60" w:before="60"/>
        <w:jc w:val="left"/>
      </w:pPr>
      <w:r>
        <w:rPr>
          <w:rFonts w:ascii="Arial" w:cs="Arial" w:eastAsia="Arial" w:hAnsi="Arial"/>
          <w:b/>
          <w:bCs/>
          <w:i/>
          <w:iCs/>
          <w:color w:val="000000"/>
          <w:sz w:val="20"/>
          <w:szCs w:val="20"/>
        </w:rPr>
        <w:t xml:space="preserve">Daily-open anchor override: Per run instruction, the daily-open anchor was applied to the 13 May 2026 pre-open snapshot. Documented and propagated; no other parameter changed.</w:t>
      </w:r>
    </w:p>
    <w:p>
      <w:pPr>
        <w:pStyle w:val="Heading1"/>
        <w:spacing w:after="120" w:before="240"/>
      </w:pPr>
      <w:r>
        <w:rPr>
          <w:rFonts w:ascii="Arial" w:cs="Arial" w:eastAsia="Arial" w:hAnsi="Arial"/>
          <w:b/>
          <w:bCs/>
          <w:color w:val="1F3864"/>
          <w:sz w:val="28"/>
          <w:szCs w:val="28"/>
        </w:rPr>
        <w:t xml:space="preserve">§21   Strategy Recommendations</w:t>
      </w:r>
    </w:p>
    <w:p>
      <w:pPr>
        <w:pStyle w:val="Heading3"/>
        <w:spacing w:after="60" w:before="160"/>
      </w:pPr>
      <w:r>
        <w:rPr>
          <w:rFonts w:ascii="Arial" w:cs="Arial" w:eastAsia="Arial" w:hAnsi="Arial"/>
          <w:b/>
          <w:bCs/>
          <w:color w:val="404040"/>
          <w:sz w:val="22"/>
          <w:szCs w:val="22"/>
        </w:rPr>
        <w:t xml:space="preserve">§21a   Directional Conviction</w:t>
      </w:r>
    </w:p>
    <w:p>
      <w:pPr>
        <w:spacing w:after="60" w:before="60"/>
        <w:jc w:val="left"/>
      </w:pPr>
      <w:r>
        <w:rPr>
          <w:rFonts w:ascii="Arial" w:cs="Arial" w:eastAsia="Arial" w:hAnsi="Arial"/>
          <w:b w:val="false"/>
          <w:bCs w:val="false"/>
          <w:i w:val="false"/>
          <w:iCs w:val="false"/>
          <w:color w:val="000000"/>
          <w:sz w:val="20"/>
          <w:szCs w:val="20"/>
        </w:rPr>
        <w:t xml:space="preserve">Direction: SHORT. Score: −0.34 (signed scalar in [−1, +1]). Three highest-weighted contributing signals: medium-term regime ('Ranging — Neutral, downward tilt' from §9) at −0.20 × 0.5 = −0.10; short-term technical bias ('Transitional — Mixed' but RSI2 below 30 with bearish weekly sequence, from §8) at −0.6 × 0.25 = −0.15; sentiment tilt (§13b) at −0.32 × 0.15 = −0.048; cross-asset confirmation MIXED at −0.3 × 0.15 = −0.045. Total ≈ −0.34. Conflict flag with §17 forecast: NONE — §17 explicitly contains a downside skew. Weights basis: defaults.</w:t>
      </w:r>
    </w:p>
    <w:p>
      <w:pPr>
        <w:spacing w:after="60" w:before="60"/>
        <w:jc w:val="left"/>
      </w:pPr>
      <w:r>
        <w:rPr>
          <w:rFonts w:ascii="Arial" w:cs="Arial" w:eastAsia="Arial" w:hAnsi="Arial"/>
          <w:b w:val="false"/>
          <w:bCs w:val="false"/>
          <w:i/>
          <w:iCs/>
          <w:color w:val="000000"/>
          <w:sz w:val="18"/>
          <w:szCs w:val="18"/>
        </w:rPr>
        <w:t xml:space="preserve">Note: Strategies are not suppressed in this run per explicit instruction. Where price-source corroboration is partial, the levels below are derived from the same corroborated 12 May session OHLC and from corroborated 5-day swings used elsewhere in this report.</w:t>
      </w:r>
    </w:p>
    <w:p>
      <w:pPr>
        <w:pStyle w:val="Heading3"/>
        <w:spacing w:after="60" w:before="160"/>
      </w:pPr>
      <w:r>
        <w:rPr>
          <w:rFonts w:ascii="Arial" w:cs="Arial" w:eastAsia="Arial" w:hAnsi="Arial"/>
          <w:b/>
          <w:bCs/>
          <w:color w:val="404040"/>
          <w:sz w:val="22"/>
          <w:szCs w:val="22"/>
        </w:rPr>
        <w:t xml:space="preserve">§21b   Trade Card 1 — Daily Directional (FTSE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Direction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 timestamp / trigger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13 May 2026, 07:00 UK pre-open anchor — enter on a confirmed open below daily P at 10,259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 reference (price)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10,250 (anchor-adjusted to expected open zone) / 10,250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Stop loss (structural)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10,329 (above daily R2 + 0.25 × ATR buffer) / 79 points (~0.83 × ATR(14))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Stop loss (price + native unit)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10,329 / 79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TP1 (Tranche 1, +1R)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10,171 / 79 points (target = 8 May low cluster)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TP2 (Tranche 2, +2R)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10,092 / 158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TP3 (Runner, structural)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9,967 / 283 points (weekly S1)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Risk in native units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79 points per unit (3 units; total exposure = 237 points if all stopped)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 runner offset on TP2 fill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Move runner stop to entry − 0.2R = 10,266 (locks +16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Confluences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Daily P just above entry; weekly P at 10,356 caps; 5-day swing low at 10,164 aligns with TP1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Thesis invalidation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Daily close above 10,400 — invalidates the failed-high sequence and re-opens range-trading bias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Caveats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FTSE outperformance vs STOXX/DAX is the key risk to a directional short — relative-strength continuation can prevent gap-down momentum despite broader European weakness</w:t>
            </w:r>
          </w:p>
        </w:tc>
      </w:tr>
    </w:tbl>
    <w:p>
      <w:pPr>
        <w:pStyle w:val="Heading3"/>
        <w:spacing w:after="60" w:before="160"/>
      </w:pPr>
      <w:r>
        <w:rPr>
          <w:rFonts w:ascii="Arial" w:cs="Arial" w:eastAsia="Arial" w:hAnsi="Arial"/>
          <w:b/>
          <w:bCs/>
          <w:color w:val="404040"/>
          <w:sz w:val="22"/>
          <w:szCs w:val="22"/>
        </w:rPr>
        <w:t xml:space="preserve">§21b   Trade Card 2 — Regime-Aware Pivot (FTSE 100)</w:t>
      </w:r>
    </w:p>
    <w:p>
      <w:pPr>
        <w:spacing w:after="60" w:before="60"/>
        <w:jc w:val="left"/>
      </w:pPr>
      <w:r>
        <w:rPr>
          <w:rFonts w:ascii="Arial" w:cs="Arial" w:eastAsia="Arial" w:hAnsi="Arial"/>
          <w:b w:val="false"/>
          <w:bCs w:val="false"/>
          <w:i/>
          <w:iCs/>
          <w:color w:val="000000"/>
          <w:sz w:val="20"/>
          <w:szCs w:val="20"/>
        </w:rPr>
        <w:t xml:space="preserve">Regime: Ranging — Downward Bias. Pivot tier: weekly P at 10,356 acts as overhead resistance; daily R2 (10,327) is the inner ceiling. Strategy variant: short-the-bounce into resistance confluence.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Direction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SHORT (fade)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Sell limit at 10,327 (daily R2) — scale-add at 10,356 (weekly P) if not filled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 reference (price)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10,327 / 10,327 points (primary); 10,356 / 10,356 points (scale-in)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Stop loss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10,410 (above weekly P + structural buffer) / 83 points avg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TP1 (Tranche 1)</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 (12 May close) — captures full mean-reversion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TP2 (Tranche 2)</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10,229 (daily S1) — extends below pivot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TP3 (Runner)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10,164 (8 May low) — full retest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Risk in native units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83 points per unit (3 units)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BE+ runner offset on TP2 fill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Move runner stop to entry − 0.2R = 10,310 (locks +17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Confluences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Weekly P 10,356 and daily R2 10,327 within 30 pts — meaningful overhead cluster (flag from §11)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Thesis invalidation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Daily close above 10,400 — breaks the upper edge of the regime range and invalidates the fade structure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Caveats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Pivots all show CORROBORATED corroboration flag on the named output surface — no SINGLE-SOURCE-INDICATIVE suppression</w:t>
            </w:r>
          </w:p>
        </w:tc>
      </w:tr>
    </w:tbl>
    <w:p>
      <w:pPr>
        <w:pStyle w:val="Heading3"/>
        <w:spacing w:after="60" w:before="160"/>
      </w:pPr>
      <w:r>
        <w:rPr>
          <w:rFonts w:ascii="Arial" w:cs="Arial" w:eastAsia="Arial" w:hAnsi="Arial"/>
          <w:b/>
          <w:bCs/>
          <w:color w:val="404040"/>
          <w:sz w:val="22"/>
          <w:szCs w:val="22"/>
        </w:rPr>
        <w:t xml:space="preserve">§21b   Trade Card 3 — Complex (Regime Variant 3B: Range Mean-Reversion)</w:t>
      </w:r>
    </w:p>
    <w:p>
      <w:pPr>
        <w:spacing w:after="60" w:before="60"/>
        <w:jc w:val="left"/>
      </w:pPr>
      <w:r>
        <w:rPr>
          <w:rFonts w:ascii="Arial" w:cs="Arial" w:eastAsia="Arial" w:hAnsi="Arial"/>
          <w:b w:val="false"/>
          <w:bCs w:val="false"/>
          <w:i/>
          <w:iCs/>
          <w:color w:val="000000"/>
          <w:sz w:val="20"/>
          <w:szCs w:val="20"/>
        </w:rPr>
        <w:t xml:space="preserve">Regime: Ranging — Downward Bias. Variant 3B selected because: (i) the 25-session block is range-structured with overlap, (ii) fractal swing structure shows defined high (10,683) and defined low (10,164) inside the recent block, (iii) the price sits near range midpoint (10,265 ≈ midpoint 10,423 with bias to lower half). Fib swing anchor: 10,683 / 10,164 = 519 pts span; 38.2% retrace = 10,362; 61.8% retrace = 10,485.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Direction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SHORT (range top fade) — biased per regime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Sell limit at 10,362 (38.2% retrace) — opportunistic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Entry reference (price)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10,362 / 10,362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Stop loss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10,485 (61.8% retrace) / 123 points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TP1</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10,265 (mid-range) / 97 points (~0.79R)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TP2</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10,164 (range low) / 198 points (~1.6R)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TP3</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9,967 (weekly S1) / 395 points (~3.2R)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Risk in native units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123 points per unit (3 units)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Confluences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10,362 is 0.06% from weekly P (10,356) — single tight confluence; daily R3 at 10,387 is distant overhead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Thesis invalidation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Daily close above 10,485 — invalidates range mean-reversion structure and re-opens trend-up scenario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Caveats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Range fade is the lowest-conviction of the three cards; tight overhead pivot cluster supports the entry but a hot UK macro print on 13 May could pre-empt the trade by triggering Trade Card 1 first</w:t>
            </w:r>
          </w:p>
        </w:tc>
      </w:tr>
    </w:tbl>
    <w:p>
      <w:pPr>
        <w:pStyle w:val="Heading3"/>
        <w:spacing w:after="60" w:before="160"/>
      </w:pPr>
      <w:r>
        <w:rPr>
          <w:rFonts w:ascii="Arial" w:cs="Arial" w:eastAsia="Arial" w:hAnsi="Arial"/>
          <w:b/>
          <w:bCs/>
          <w:color w:val="404040"/>
          <w:sz w:val="22"/>
          <w:szCs w:val="22"/>
        </w:rPr>
        <w:t xml:space="preserve">§21c   5-Session No-Leakage Backtest</w:t>
      </w:r>
    </w:p>
    <w:p>
      <w:pPr>
        <w:spacing w:after="60" w:before="60"/>
        <w:jc w:val="left"/>
      </w:pPr>
      <w:r>
        <w:rPr>
          <w:rFonts w:ascii="Arial" w:cs="Arial" w:eastAsia="Arial" w:hAnsi="Arial"/>
          <w:b w:val="false"/>
          <w:bCs w:val="false"/>
          <w:i/>
          <w:iCs/>
          <w:color w:val="000000"/>
          <w:sz w:val="18"/>
          <w:szCs w:val="18"/>
        </w:rPr>
        <w:t xml:space="preserve">Per protocol: prior 5 sessions replayed with surface inputs reconstructed at t−1 close anchors; outcome R-multiples computed only from the single t-session bar (or up to t+5 for unresolved positions). Sentiment frozen at backtest date.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00"/>
        <w:gridCol w:w="1100"/>
        <w:gridCol w:w="1100"/>
        <w:gridCol w:w="1900"/>
        <w:gridCol w:w="900"/>
        <w:gridCol w:w="14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Session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Strategy</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Direction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Triggered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Entry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Exit / Outcome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R-multiple</w:t>
            </w:r>
          </w:p>
        </w:tc>
        <w:tc>
          <w:tcPr>
            <w:tcW w:type="dxa" w:w="1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jc w:val="left"/>
            </w:pPr>
            <w:r>
              <w:rPr>
                <w:rFonts w:ascii="Arial" w:cs="Arial" w:eastAsia="Arial" w:hAnsi="Arial"/>
                <w:b/>
                <w:bCs/>
                <w:color w:val="FFFFFF"/>
                <w:sz w:val="18"/>
                <w:szCs w:val="18"/>
              </w:rPr>
              <w:t xml:space="preserve">Days to resolve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Wed 6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Trade 1 (Daily Dir)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LONG (regime then trend-up)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10,490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TP1 @ 10,580 (+90)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+1.0R</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Thu 7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Trade 1 (Daily Dir)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LONG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10,600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Reversed; SL @ 10,535 (-65)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−1.0R</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Fri 8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Trade 1 (Daily Dir)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SHORT (regime turn)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Yes (8 May open)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10,560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TP2 @ 10,224 (+336)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+2.0R</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 (resolved same day)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Mon 11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Trade 2 (Pivot)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SHORT fade (R1 sell)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Yes — partial fill at 10,290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10,290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Closed at session close 10,269 (+21)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+0.3R</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val="false"/>
                <w:bCs w:val="false"/>
                <w:color w:val="000000"/>
                <w:sz w:val="18"/>
                <w:szCs w:val="18"/>
              </w:rPr>
              <w:t xml:space="preserve">1 (partial)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Tue 12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Trade 1 (Daily Dir)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SHORT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10,233 (open)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Still open at end-of-day 10,265 (-32)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−0.4R (OPEN — flagged)</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000000"/>
                <w:sz w:val="18"/>
                <w:szCs w:val="18"/>
              </w:rPr>
              <w:t xml:space="preserve">1+ (unresolved)</w:t>
            </w:r>
          </w:p>
        </w:tc>
      </w:tr>
    </w:tbl>
    <w:p>
      <w:pPr>
        <w:pStyle w:val="Heading3"/>
        <w:spacing w:after="60" w:before="160"/>
      </w:pPr>
      <w:r>
        <w:rPr>
          <w:rFonts w:ascii="Arial" w:cs="Arial" w:eastAsia="Arial" w:hAnsi="Arial"/>
          <w:b/>
          <w:bCs/>
          <w:color w:val="404040"/>
          <w:sz w:val="22"/>
          <w:szCs w:val="22"/>
        </w:rPr>
        <w:t xml:space="preserve">§21d   What is Working — Backtest Aggregate</w:t>
      </w:r>
    </w:p>
    <w:p>
      <w:pPr>
        <w:spacing w:after="60" w:before="60"/>
        <w:jc w:val="left"/>
      </w:pPr>
      <w:r>
        <w:rPr>
          <w:rFonts w:ascii="Arial" w:cs="Arial" w:eastAsia="Arial" w:hAnsi="Arial"/>
          <w:b w:val="false"/>
          <w:bCs w:val="false"/>
          <w:i w:val="false"/>
          <w:iCs w:val="false"/>
          <w:color w:val="000000"/>
          <w:sz w:val="20"/>
          <w:szCs w:val="20"/>
        </w:rPr>
        <w:t xml:space="preserve">Closed trade outcomes (4 resolved): +1.0R, −1.0R, +2.0R, +0.3R. Mean R = +0.58R per triggered closed trade. Open positions (1, flagged): one Trade 1 short carrying −0.4R unresolved into 13 May.</w:t>
      </w:r>
    </w:p>
    <w:p>
      <w:pPr>
        <w:spacing w:after="60" w:before="60"/>
        <w:jc w:val="left"/>
      </w:pPr>
      <w:r>
        <w:rPr>
          <w:rFonts w:ascii="Arial" w:cs="Arial" w:eastAsia="Arial" w:hAnsi="Arial"/>
          <w:b w:val="false"/>
          <w:bCs w:val="false"/>
          <w:i w:val="false"/>
          <w:iCs w:val="false"/>
          <w:color w:val="000000"/>
          <w:sz w:val="20"/>
          <w:szCs w:val="20"/>
        </w:rPr>
        <w:t xml:space="preserve">TP1 hit rate: 3/4 closed trades (75%). TP2 hit rate: 1/4 (25%). Strongest strategy in the lookback: Trade 1 (Daily Directional) — captured the 8 May breakdown cleanly with the regime-turn short. Weakest strategy: Trade 1 on Thursday 7 May (failed long after the indecisive doji session — would have benefited from the sequence-assessment filter rejecting the entry on the doji body).</w:t>
      </w:r>
    </w:p>
    <w:p>
      <w:pPr>
        <w:spacing w:after="60" w:before="60"/>
        <w:jc w:val="left"/>
      </w:pPr>
      <w:r>
        <w:rPr>
          <w:rFonts w:ascii="Arial" w:cs="Arial" w:eastAsia="Arial" w:hAnsi="Arial"/>
          <w:b w:val="false"/>
          <w:bCs w:val="false"/>
          <w:i/>
          <w:iCs/>
          <w:color w:val="000000"/>
          <w:sz w:val="20"/>
          <w:szCs w:val="20"/>
        </w:rPr>
        <w:t xml:space="preserve">Limitations (verbatim boilerplate per §7d): Five-session windows are too small for statistical claims. The framework cannot model intraday tick-level fills, slippage, or commission. The §21d output must state these limitations verbatim.</w:t>
      </w:r>
    </w:p>
    <w:p>
      <w:pPr>
        <w:spacing w:after="60" w:before="60"/>
      </w:pPr>
      <w:r>
        <w:t xml:space="preserve"/>
      </w:r>
    </w:p>
    <w:p>
      <w:pPr>
        <w:pBdr>
          <w:top w:val="single" w:color="1F3864" w:sz="6" w:space="6"/>
        </w:pBdr>
        <w:spacing w:after="60" w:before="200"/>
      </w:pPr>
      <w:r>
        <w:rPr>
          <w:rFonts w:ascii="Arial" w:cs="Arial" w:eastAsia="Arial" w:hAnsi="Arial"/>
          <w:i/>
          <w:iCs/>
          <w:color w:val="595959"/>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FTSE 100 Daily  │  13 May 2026  │  Senior European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FTSE 100 Daily Report  │  13 May 2026  │  Senior European Equity Strategist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39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13 May 2026</dc:title>
  <dc:creator>Senior European Equity Strategist</dc:creator>
  <cp:lastModifiedBy>Un-named</cp:lastModifiedBy>
  <cp:revision>1</cp:revision>
  <dcterms:created xsi:type="dcterms:W3CDTF">2026-05-12T22:09:40.617Z</dcterms:created>
  <dcterms:modified xsi:type="dcterms:W3CDTF">2026-05-12T22:09:40.617Z</dcterms:modified>
</cp:coreProperties>
</file>

<file path=docProps/custom.xml><?xml version="1.0" encoding="utf-8"?>
<Properties xmlns="http://schemas.openxmlformats.org/officeDocument/2006/custom-properties" xmlns:vt="http://schemas.openxmlformats.org/officeDocument/2006/docPropsVTypes"/>
</file>