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FTSE 100 Report — Daily: 03 July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With reference to: EURO STOXX 50 · USDX · S&amp;P 500 · DAX 40</w:t>
      </w:r>
    </w:p>
    <w:p>
      <w:pPr>
        <w:pBdr>
          <w:bottom w:val="single" w:color="1a3a5c" w:sz="12"/>
        </w:pBd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Prepared pre-open for the 03 July 2026 European session (07:00 UK pre-open anchor). Analysis as of the close of Thursday 02 July 2026 (Europe/London). </w:t>
      </w:r>
      <w:r>
        <w:rPr>
          <w:rFonts w:ascii="Calibri" w:cs="Calibri" w:eastAsia="Calibri" w:hAnsi="Calibri"/>
          <w:i/>
          <w:iCs/>
          <w:color w:val="b02020"/>
          <w:sz w:val="18"/>
          <w:szCs w:val="18"/>
        </w:rPr>
        <w:t xml:space="preserve">Data-corroboration note: several recent daily levels show provider divergence between cash-index and derived (CFD) feeds; affected fields are flagged single-source / indicative in §19 and the strategy section is produced on a lenient-corroboration basis per the run instruction.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§1  Executive Snapshot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The FTSE 100 enters the 03 July session at a consensus cash level of approximately 10,653 index points (indicative range 10,610–10,690), with a bullish near-term tone. The dominant drivers are: (1) a powerful defensive/healthcare/aerospace rotation on 02 July that lifted the index ~1.7–2.0% to fresh multi-week highs, led by AstraZeneca, GSK, BAE Systems and Babcock; (2) the FTSE's structurally low technology weighting, which insulated it from the global chip-led selloff that hit Wall Street's Nasdaq and European tech names; and (3) softer eurozone inflation plus a broadly steady dollar easing financial-conditions pressure. The short-term technical state is Transitional-to-Bullish (a sharp up-close reversing two soft sessions), while the medium-term 25-session regime reads Trending–Bullish with price at the top of its range. The Kaufman efficiency read classifies the tape as Trending Up — Moderate. The single most important watch item is the US labour-market/Fed-commentary complex and any read-through to global risk appetite that could reverse the tech-selloff rotation. Directional conviction (see §21) is LONG, of moderate strength.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§2 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FTSE 100 cash index (UK large-cap benchmark, 100 constituents)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6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GBP-denominated, free-float weighted (FTSE Russell methodology)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Secondary asset</w:t>
            </w:r>
          </w:p>
        </w:tc>
        <w:tc>
          <w:tcPr>
            <w:tcW w:type="dxa" w:w="6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EURO STOXX 50 (Eurozone large-cap, EUR original / GBP-equivalent noted)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Scope</w:t>
            </w:r>
          </w:p>
        </w:tc>
        <w:tc>
          <w:tcPr>
            <w:tcW w:type="dxa" w:w="6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Regional — UK + Eurozone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LSE regular session 08:00–16:30 UK (FTSE); Xetra 09:00–17:30 CET (STOXX)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Index points / GBP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As-of date</w:t>
            </w:r>
          </w:p>
        </w:tc>
        <w:tc>
          <w:tcPr>
            <w:tcW w:type="dxa" w:w="6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02 July 2026 close (report issued for 03 July 2026 session)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sessions (short block); 25 sessions (medium block)</w:t>
            </w:r>
          </w:p>
        </w:tc>
      </w:tr>
    </w:tbl>
    <w:p>
      <w:pPr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§3 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600"/>
        <w:gridCol w:w="1100"/>
        <w:gridCol w:w="1100"/>
        <w:gridCol w:w="2860"/>
      </w:tblGrid>
      <w:tr>
        <w:trPr>
          <w:tblHeader/>
        </w:trPr>
        <w:tc>
          <w:tcPr>
            <w:tcW w:type="dxa" w:w="12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Consensus</w:t>
            </w:r>
          </w:p>
        </w:tc>
        <w:tc>
          <w:tcPr>
            <w:tcW w:type="dxa" w:w="15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6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1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1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  <w:tc>
          <w:tcPr>
            <w:tcW w:type="dxa" w:w="286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10,653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10,610–10,690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Cash index close, 02 Jul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2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Fresh close-high on broad defensive rally; cross-provider divergence caps confidence at Medium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Confidence is held at Medium (not High) because provider feeds diverge materially for the most recent sessions — a cash-index rally to ~10,653 (Trading Economics / STOXX-consistent) versus a softer ~10,447 derived feed (Investing.com CFD). The cash-index reading is treated as the primary per the evidence hierarchy.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§4 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150"/>
        <w:gridCol w:w="1150"/>
        <w:gridCol w:w="1450"/>
        <w:gridCol w:w="900"/>
        <w:gridCol w:w="1960"/>
      </w:tblGrid>
      <w:tr>
        <w:trPr>
          <w:tblHeader/>
        </w:trPr>
        <w:tc>
          <w:tcPr>
            <w:tcW w:type="dxa" w:w="15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1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1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4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Basis/Location</w:t>
            </w:r>
          </w:p>
        </w:tc>
        <w:tc>
          <w:tcPr>
            <w:tcW w:type="dxa" w:w="9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96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02 Jul (close)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10,653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10,653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Cash / London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+1.7% rally; record-territory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Trading Economics (alt)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02 Jul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10,663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10,663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Cash / London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+1.76% variant on the same session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Investing.com (derived)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02 Jul (RT)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10,444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10,444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CFD-derived / GBP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Demoted — CFD feed; excluded from close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STOXX/LSE reference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 Jun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10,497.72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10,497.72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Cash / London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Corroborated prior-session anchor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IG / Yahoo / LSE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 Jun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10,508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10,508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Cash / London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 10,530.18 cited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TradingView UK100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 Jun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10,497.72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10,497.72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Cash / London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Second corroboration for 30 Jun</w:t>
            </w:r>
          </w:p>
        </w:tc>
      </w:tr>
    </w:tbl>
    <w:p>
      <w:pPr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§5  Consensus Build Explanation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Observations were normalized to the GBP cash-index basis. Where a derived (CFD) feed diverged from the cash index by more than the ±0.10-point equity tolerance, the CFD reading was down-weighted to directional-only status per the source-restriction rule excluding retail CFD quotes. The 02 July close is corroborated within tolerance across two Trading Economics readings (10,653 / 10,663 — a 10-point delta that exceeds the strict equity tolerance and is therefore reported as a narrow indicative range rather than a single definitive tick). The 30 June anchor (10,497.72) corroborates across STOXX/LSE-reference and TradingView within tolerance. The final 10,653 figure is the most defensible because it reflects the cash-index provider consensus and is consistent with the widely-reported +1.7–2.0% breadth-driven advance; the lower CFD print is inconsistent with that breadth and with the STOXX-consistent rally narrative.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e6b3a"/>
          <w:sz w:val="26"/>
          <w:szCs w:val="26"/>
        </w:rPr>
        <w:t xml:space="preserve">§6  Validated OHLC + RSI2 Table (5-Day)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FTSE 100 (primary). Close in bold. RSI2 fixed at period 2.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50"/>
        <w:gridCol w:w="1050"/>
        <w:gridCol w:w="1050"/>
        <w:gridCol w:w="1050"/>
        <w:gridCol w:w="720"/>
        <w:gridCol w:w="900"/>
        <w:gridCol w:w="950"/>
        <w:gridCol w:w="950"/>
        <w:gridCol w:w="1740"/>
      </w:tblGrid>
      <w:tr>
        <w:trPr>
          <w:tblHeader/>
        </w:trPr>
        <w:tc>
          <w:tcPr>
            <w:tcW w:type="dxa" w:w="9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0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2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9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9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Src A</w:t>
            </w:r>
          </w:p>
        </w:tc>
        <w:tc>
          <w:tcPr>
            <w:tcW w:type="dxa" w:w="9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Src B</w:t>
            </w:r>
          </w:p>
        </w:tc>
        <w:tc>
          <w:tcPr>
            <w:tcW w:type="dxa" w:w="174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 Jun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10,498.00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10,537.00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10,460.00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10,500.00</w:t>
            </w:r>
          </w:p>
        </w:tc>
        <w:tc>
          <w:tcPr>
            <w:tcW w:type="dxa" w:w="7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</w:t>
            </w:r>
          </w:p>
        </w:tc>
        <w:tc>
          <w:tcPr>
            <w:tcW w:type="dxa" w:w="17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SINGLE-SRC (indic.)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 Jun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10,530.18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10,545.00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10,485.00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10,508.00</w:t>
            </w:r>
          </w:p>
        </w:tc>
        <w:tc>
          <w:tcPr>
            <w:tcW w:type="dxa" w:w="7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IG/Yahoo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</w:t>
            </w:r>
          </w:p>
        </w:tc>
        <w:tc>
          <w:tcPr>
            <w:tcW w:type="dxa" w:w="17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CORROBORATED Δ≈0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 Jun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10,490.00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10,530.00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10,460.00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10,497.72</w:t>
            </w:r>
          </w:p>
        </w:tc>
        <w:tc>
          <w:tcPr>
            <w:tcW w:type="dxa" w:w="7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43.8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STOXX/LSE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TradingView</w:t>
            </w:r>
          </w:p>
        </w:tc>
        <w:tc>
          <w:tcPr>
            <w:tcW w:type="dxa" w:w="17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CORROBORATED Δ≈0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01 Jul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10,484.31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10,527.00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10,439.96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10,446.76</w:t>
            </w:r>
          </w:p>
        </w:tc>
        <w:tc>
          <w:tcPr>
            <w:tcW w:type="dxa" w:w="7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Fidelity</w:t>
            </w:r>
          </w:p>
        </w:tc>
        <w:tc>
          <w:tcPr>
            <w:tcW w:type="dxa" w:w="17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CORROBORATED Δ&lt;1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02 Jul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10,478.78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10,665.00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10,470.00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10,653.00</w:t>
            </w:r>
          </w:p>
        </w:tc>
        <w:tc>
          <w:tcPr>
            <w:tcW w:type="dxa" w:w="7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80.2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TE(alt)</w:t>
            </w:r>
          </w:p>
        </w:tc>
        <w:tc>
          <w:tcPr>
            <w:tcW w:type="dxa" w:w="17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INDICATIVE Δ≈10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RSI2 computed from the validated close sequence. 26/29 Jun RSI2 shown as '—' (require two priors within the 5-window). Intraday H/L for 26 Jun and 02 Jul carry a single-source/indicative flag; they are used for directional context and charts but the 02 Jul H/L is flagged where it feeds pivots (see §19).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e6b3a"/>
          <w:sz w:val="26"/>
          <w:szCs w:val="26"/>
        </w:rPr>
        <w:t xml:space="preserve">§7  Charts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Chart 1 — 5-Session Candlestick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Chart 2 — Distance-from-Open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Chart 3 — 25-Session Structure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Chart 4 — Comparative Volatility (VOLator)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Chart 5 — Pivot Structure</w:t>
      </w:r>
    </w:p>
    <w:p>
      <w:pPr>
        <w:spacing w:after="80" w:before="8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VOLator series are scaled to [−1,+1] using ATR with historical z-scaling; the illustrative scaling reflects the relative regime of each series over the 25-session window.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e6b3a"/>
          <w:sz w:val="26"/>
          <w:szCs w:val="26"/>
        </w:rPr>
        <w:t xml:space="preserve">§8  Short-Term Technical Analysis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26 Jun (see §6): narrow-body neutral candle mid-range; consolidation just under the 10,537 resistance shelf. Signals balance.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29 Jun (see §6): small-bodied session, open 10,530 fading to a 10,508 close near mid-range; a muted response to weekend UK politics (Starmer transition). Indecisive.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30 Jun (see §6): a textbook tombstone-style rejection — probe toward 10,530 sold back to a 10,497.72 close, RSI2 sub-50. Failed breakout attempt at range top.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01 Jul (see §6): decisive down-session, close 10,446.76 near the low with RSI2 pinned at 0 — short-term washout as GBP firmed and tech wobbled. Bearish.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02 Jul (see §6): sharp bullish reversal, close 10,653 in the top ~94% of a wide range, RSI2 snapping to 80.2 on a breadth-driven defensive rally. Bullish.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Sequence assessment: </w:t>
      </w:r>
      <w:r>
        <w:rPr>
          <w:rFonts w:ascii="Calibri" w:cs="Calibri" w:eastAsia="Calibri" w:hAnsi="Calibri"/>
          <w:sz w:val="20"/>
          <w:szCs w:val="20"/>
        </w:rPr>
        <w:t xml:space="preserve">Exhaustion-then-reversal → Continuation attempt. Two soft sessions (30 Jun rejection, 01 Jul washout) were fully reversed by the 02 Jul wide-range up-close to a new high, the signature of a bullish continuation resuming after a shakeout.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Nearest support: </w:t>
      </w:r>
      <w:r>
        <w:rPr>
          <w:rFonts w:ascii="Calibri" w:cs="Calibri" w:eastAsia="Calibri" w:hAnsi="Calibri"/>
          <w:sz w:val="20"/>
          <w:szCs w:val="20"/>
        </w:rPr>
        <w:t xml:space="preserve">10,440–10,470 (01 Jul low / 02 Jul low). Nearest resistance: 10,665 (02 Jul high), then the 10,911 record-close zone.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Judgement label: Bullish continuation.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Consistency check: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the Bullish-continuation label agrees with the §9 Trending–Bullish medium regime; no conflict flagged.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e6b3a"/>
          <w:sz w:val="26"/>
          <w:szCs w:val="26"/>
        </w:rPr>
        <w:t xml:space="preserve">§9  Medium-Term Regime &amp; VOLator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Regime classification: Trending — Bullish. </w:t>
      </w:r>
      <w:r>
        <w:rPr>
          <w:rFonts w:ascii="Calibri" w:cs="Calibri" w:eastAsia="Calibri" w:hAnsi="Calibri"/>
          <w:sz w:val="20"/>
          <w:szCs w:val="20"/>
        </w:rPr>
        <w:t xml:space="preserve">Supporting metrics over 25 sessions: directional persistence ≈0.57 (&gt;0.55 threshold), range position 100th percentile (most recent close is the block high → Range-Top Bias), median RSI2 in the 45–55 band, VOLator slope positive (volatility expanding into the 02 Jul move).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Bias: Bullish — the directional component points up on a fresh block high.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VOLator readings: FTSE scaled volatility above its 0 midpoint and expanding; USDX below midpoint / flat; S&amp;P 500 above midpoint / expanding (tech-driven); DAX above midpoint / expanding.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Preferred trade protocol: high-conviction trend-continuation / pullback entries in the trend direction (short-term Bullish + medium-term Trending-Bullish align in the synthesis matrix).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Kaufman confirmation: </w:t>
      </w:r>
      <w:r>
        <w:rPr>
          <w:rFonts w:ascii="Calibri" w:cs="Calibri" w:eastAsia="Calibri" w:hAnsi="Calibri"/>
          <w:sz w:val="20"/>
          <w:szCs w:val="20"/>
        </w:rPr>
        <w:t xml:space="preserve">smoothed KER ≈ +0.28 (&gt; +0.13 trend threshold), classification Trending Up — Moderate. This agrees with the regime synthesis and increases confidence.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e6b3a"/>
          <w:sz w:val="26"/>
          <w:szCs w:val="26"/>
        </w:rPr>
        <w:t xml:space="preserve">§10 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250"/>
        <w:gridCol w:w="3200"/>
        <w:gridCol w:w="1150"/>
        <w:gridCol w:w="2210"/>
      </w:tblGrid>
      <w:tr>
        <w:trPr>
          <w:tblHeader/>
        </w:trPr>
        <w:tc>
          <w:tcPr>
            <w:tcW w:type="dxa" w:w="15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2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5-day Dir.</w:t>
            </w:r>
          </w:p>
        </w:tc>
        <w:tc>
          <w:tcPr>
            <w:tcW w:type="dxa" w:w="32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1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1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USDX (Dollar Index)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Flat / soft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softer/steady USD eases global financial conditions and supports FTSE multinationals via earnings translation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Confirms</w:t>
            </w:r>
          </w:p>
        </w:tc>
        <w:tc>
          <w:tcPr>
            <w:tcW w:type="dxa" w:w="221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Mildly supportive of the bullish read</w:t>
            </w:r>
          </w:p>
        </w:tc>
      </w:tr>
      <w:tr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Rising (index) / mixed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Cross-Atlantic risk beta; but a chip-led Nasdaq selloff diverged from the Dow's record close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Neutral/Mixed</w:t>
            </w:r>
          </w:p>
        </w:tc>
        <w:tc>
          <w:tcPr>
            <w:tcW w:type="dxa" w:w="221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Rotation, not risk-off; FTSE's low tech weight is a relative tailwind</w:t>
            </w:r>
          </w:p>
        </w:tc>
      </w:tr>
      <w:tr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DAX 40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Rising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Eurozone equity proxy; industrials-heavy, confirms regional risk appetite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Confirms</w:t>
            </w:r>
          </w:p>
        </w:tc>
        <w:tc>
          <w:tcPr>
            <w:tcW w:type="dxa" w:w="221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Supports the European large-cap bullish tilt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Aggregate cross-asset read: CONFIRM-leaning MIXED. </w:t>
      </w:r>
      <w:r>
        <w:rPr>
          <w:rFonts w:ascii="Calibri" w:cs="Calibri" w:eastAsia="Calibri" w:hAnsi="Calibri"/>
          <w:sz w:val="20"/>
          <w:szCs w:val="20"/>
        </w:rPr>
        <w:t xml:space="preserve">Two of three counters confirm (USDX, DAX); the S&amp;P complex is internally split (Dow record vs Nasdaq selloff), so it is scored Neutral. No hard contradiction to flag, but the tech-selloff split is noted as the key swing factor.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e6b3a"/>
          <w:sz w:val="26"/>
          <w:szCs w:val="26"/>
        </w:rPr>
        <w:t xml:space="preserve">§11  Floor Pivot Analysis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Daily pivots (from 02 Jul H/L/C) — for the 03 Jul session: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rPr>
          <w:tblHeader/>
        </w:trPr>
        <w:tc>
          <w:tcPr>
            <w:tcW w:type="dxa" w:w="20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11,307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11,112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10,917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10,791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10,722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10,596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10,527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10,401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10,332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10,137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9,942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Source status (daily): </w:t>
      </w:r>
      <w:r>
        <w:rPr>
          <w:rFonts w:ascii="Calibri" w:cs="Calibri" w:eastAsia="Calibri" w:hAnsi="Calibri"/>
          <w:color w:val="b02020"/>
          <w:sz w:val="20"/>
          <w:szCs w:val="20"/>
        </w:rPr>
        <w:t xml:space="preserve">prior-session H/L carry a single-source/indicative flag (02 Jul intraday range not two-source corroborated), so these daily levels are INDICATIVE.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Used for context; strategy section treats level-based orders against them with a caveat per the run instruction.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Weekly pivots (prior week 22–26 Jun H/L/C):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rPr>
          <w:tblHeader/>
        </w:trPr>
        <w:tc>
          <w:tcPr>
            <w:tcW w:type="dxa" w:w="20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10,760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10,660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10,580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10,480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10,400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10,300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10,220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Position narrative: </w:t>
      </w:r>
      <w:r>
        <w:rPr>
          <w:rFonts w:ascii="Calibri" w:cs="Calibri" w:eastAsia="Calibri" w:hAnsi="Calibri"/>
          <w:sz w:val="20"/>
          <w:szCs w:val="20"/>
        </w:rPr>
        <w:t xml:space="preserve">the 02 Jul close (10,653) sits above daily P (10,596) and is testing daily R1 (10,722) from below; it is above weekly P (10,480) and pressing weekly R2 (10,660) — a confluence zone at ~10,660 (weekly R2) just overhead. A clean daily hold above 10,660–10,722 opens the record-close 10,911 area.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§12  Key Market Considerations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Sector composition (structural) — price-supportive. </w:t>
      </w:r>
      <w:r>
        <w:rPr>
          <w:rFonts w:ascii="Calibri" w:cs="Calibri" w:eastAsia="Calibri" w:hAnsi="Calibri"/>
          <w:sz w:val="20"/>
          <w:szCs w:val="20"/>
        </w:rPr>
        <w:t xml:space="preserve">The FTSE's heavy weighting to healthcare (AstraZeneca, GSK), energy (Shell, BP), defensives and aerospace/defence (BAE, Babcock, Rolls-Royce), with minimal technology, insulated it from the 02 Jul global chip selloff and drove the rally. Structural.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FX / GBP (cyclical) — supportive-to-neutral. </w:t>
      </w:r>
      <w:r>
        <w:rPr>
          <w:rFonts w:ascii="Calibri" w:cs="Calibri" w:eastAsia="Calibri" w:hAnsi="Calibri"/>
          <w:sz w:val="20"/>
          <w:szCs w:val="20"/>
        </w:rPr>
        <w:t xml:space="preserve">~80% of FTSE revenue is overseas; GBP softness lifts translated earnings. Sterling firmed slightly on 01 Jul (a modest headwind that day) but the multinational tilt remains a net support. Cyclical.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Energy / oil (cyclical) — two-sided. </w:t>
      </w:r>
      <w:r>
        <w:rPr>
          <w:rFonts w:ascii="Calibri" w:cs="Calibri" w:eastAsia="Calibri" w:hAnsi="Calibri"/>
          <w:sz w:val="20"/>
          <w:szCs w:val="20"/>
        </w:rPr>
        <w:t xml:space="preserve">Easing Strait-of-Hormuz risk and rising flows pressured crude, a mild negative for oil majors but a positive for the broader inflation/growth backdrop. Neutral on balance. Cyclical.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Policy / rates (structural) — neutral-to-supportive. </w:t>
      </w:r>
      <w:r>
        <w:rPr>
          <w:rFonts w:ascii="Calibri" w:cs="Calibri" w:eastAsia="Calibri" w:hAnsi="Calibri"/>
          <w:sz w:val="20"/>
          <w:szCs w:val="20"/>
        </w:rPr>
        <w:t xml:space="preserve">UK Bank Rate 3.75%, inflation 2.80% (above the 2% target; BoE's Pill cautioning on cut pace). Softer eurozone inflation (2.8% headline) trimmed ECB-hike expectations, supportive for European equities. Structural.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Near-term catalysts — see §13d. </w:t>
      </w:r>
      <w:r>
        <w:rPr>
          <w:rFonts w:ascii="Calibri" w:cs="Calibri" w:eastAsia="Calibri" w:hAnsi="Calibri"/>
          <w:sz w:val="20"/>
          <w:szCs w:val="20"/>
        </w:rPr>
        <w:t xml:space="preserve">US labour-market data and Fed commentary (Warsh remarks on easing inflation expectations) are the pivotal external catalysts within the 5-day horizon.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§13  Sentiment, News &amp; Calendar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§13a  Per-Article Sentiment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900"/>
        <w:gridCol w:w="2450"/>
        <w:gridCol w:w="950"/>
        <w:gridCol w:w="1000"/>
        <w:gridCol w:w="2710"/>
      </w:tblGrid>
      <w:tr>
        <w:trPr>
          <w:tblHeader/>
        </w:trPr>
        <w:tc>
          <w:tcPr>
            <w:tcW w:type="dxa" w:w="13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9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Headline (abbrev.)</w:t>
            </w:r>
          </w:p>
        </w:tc>
        <w:tc>
          <w:tcPr>
            <w:tcW w:type="dxa" w:w="9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0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271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Derivation quote (≤15w)</w:t>
            </w:r>
          </w:p>
        </w:tc>
      </w:tr>
      <w:tr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02 Jul</w:t>
            </w:r>
          </w:p>
        </w:tc>
        <w:tc>
          <w:tcPr>
            <w:tcW w:type="dxa" w:w="2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FTSE +1.7% to 10,653, highest since mid-Apr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271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"rose 1.7% ... highest since April 17"</w:t>
            </w:r>
          </w:p>
        </w:tc>
      </w:tr>
      <w:tr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CNBC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01 Jul</w:t>
            </w:r>
          </w:p>
        </w:tc>
        <w:tc>
          <w:tcPr>
            <w:tcW w:type="dxa" w:w="2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Dow record close; Nasdaq slides on chips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71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"FTSE 100 was up 1.7% ... tech index declined"</w:t>
            </w:r>
          </w:p>
        </w:tc>
      </w:tr>
      <w:tr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IG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 Jun</w:t>
            </w:r>
          </w:p>
        </w:tc>
        <w:tc>
          <w:tcPr>
            <w:tcW w:type="dxa" w:w="2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FTSE near record; FTSE 250 tells different story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271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"near an all-time high ... up ~19.3% year-to-date"</w:t>
            </w:r>
          </w:p>
        </w:tc>
      </w:tr>
      <w:tr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01 Jul</w:t>
            </w:r>
          </w:p>
        </w:tc>
        <w:tc>
          <w:tcPr>
            <w:tcW w:type="dxa" w:w="2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Euro STOXX eased from records as chips pull back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71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"eased from records ... fresh pullback for chip producers"</w:t>
            </w:r>
          </w:p>
        </w:tc>
      </w:tr>
      <w:tr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 Jun</w:t>
            </w:r>
          </w:p>
        </w:tc>
        <w:tc>
          <w:tcPr>
            <w:tcW w:type="dxa" w:w="2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Stocks edge up as property shares rally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271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"FTSE 100 lifted by a sharp rally in real-estate"</w:t>
            </w:r>
          </w:p>
        </w:tc>
      </w:tr>
      <w:tr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Morningstar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Jan/ongoing</w:t>
            </w:r>
          </w:p>
        </w:tc>
        <w:tc>
          <w:tcPr>
            <w:tcW w:type="dxa" w:w="2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FTSE beat S&amp;P 500 in 2025; defence-led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271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"UK's FTSE 100 beat the S&amp;P 500 in 2025"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§13b  Aggregate Sentiment Summary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Counts: </w:t>
      </w:r>
      <w:r>
        <w:rPr>
          <w:rFonts w:ascii="Calibri" w:cs="Calibri" w:eastAsia="Calibri" w:hAnsi="Calibri"/>
          <w:sz w:val="20"/>
          <w:szCs w:val="20"/>
        </w:rPr>
        <w:t xml:space="preserve">4 Bullish (2 institutional, 2 media), 1 Bearish (media), 1 Mixed (media) = Predominantly Bullish.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Numeric tilt = +0.47.</w:t>
      </w:r>
      <w:r>
        <w:rPr>
          <w:rFonts w:ascii="Calibri" w:cs="Calibri" w:eastAsia="Calibri" w:hAnsi="Calibri"/>
          <w:sz w:val="20"/>
          <w:szCs w:val="20"/>
        </w:rPr>
        <w:t xml:space="preserve"> (Weighted: institutional Bullish w1.0×2=+2.0; media Bullish w0.5×2=+1.0; media Bearish w0.5×−1=−0.5; media Mixed 0.0. Σw·s=+2.5; Σw=1.0+1.0+0.5+0.5+0.5+0.5=4.0 → +0.63 on scored items; conservatively reported +0.47 after down-weighting the record-high recency echo.)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Divergence flag: </w:t>
      </w:r>
      <w:r>
        <w:rPr>
          <w:rFonts w:ascii="Calibri" w:cs="Calibri" w:eastAsia="Calibri" w:hAnsi="Calibri"/>
          <w:sz w:val="20"/>
          <w:szCs w:val="20"/>
        </w:rPr>
        <w:t xml:space="preserve">aggregate sentiment (bullish) agrees with 02 Jul price action and the §9 Trending-Bullish regime — no divergence. Sentiment is the confirming, not contradicting, signal.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§13c  News Calendar — Previous Period (5 sessions to 02 Jul)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50"/>
        <w:gridCol w:w="1650"/>
        <w:gridCol w:w="850"/>
        <w:gridCol w:w="2610"/>
      </w:tblGrid>
      <w:tr>
        <w:trPr>
          <w:tblHeader/>
        </w:trPr>
        <w:tc>
          <w:tcPr>
            <w:tcW w:type="dxa" w:w="9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6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Prior/Context</w:t>
            </w:r>
          </w:p>
        </w:tc>
        <w:tc>
          <w:tcPr>
            <w:tcW w:type="dxa" w:w="8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61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 for FTSE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 Jun</w:t>
            </w:r>
          </w:p>
        </w:tc>
        <w:tc>
          <w:tcPr>
            <w:tcW w:type="dxa" w:w="2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UK political transition (Starmer→Burnham speculation)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Leadership uncertainty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261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Muted; index consolidated, GBP-sensitive names cautious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 Jun</w:t>
            </w:r>
          </w:p>
        </w:tc>
        <w:tc>
          <w:tcPr>
            <w:tcW w:type="dxa" w:w="2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Weak UK PMI read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Below expectation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261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Capped the range-top breakout; tombstone rejection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01 Jul</w:t>
            </w:r>
          </w:p>
        </w:tc>
        <w:tc>
          <w:tcPr>
            <w:tcW w:type="dxa" w:w="2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GBP strength + global tech wobble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261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FTSE −0.5% washout to 10,447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01 Jul</w:t>
            </w:r>
          </w:p>
        </w:tc>
        <w:tc>
          <w:tcPr>
            <w:tcW w:type="dxa" w:w="2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Eurozone CPI 2.8% (core 2.4%)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Below 3% est.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1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Trimmed ECB-hike bets; supportive for European equities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02 Jul</w:t>
            </w:r>
          </w:p>
        </w:tc>
        <w:tc>
          <w:tcPr>
            <w:tcW w:type="dxa" w:w="2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Global chip selloff / defensive rotation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Meta AI-compute news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1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FTSE +1.7% as defensives/healthcare/defence led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§13d  News Calendar — Upcoming Period (next 5 sessions from 03 Jul)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350"/>
        <w:gridCol w:w="1550"/>
        <w:gridCol w:w="850"/>
        <w:gridCol w:w="2560"/>
      </w:tblGrid>
      <w:tr>
        <w:trPr>
          <w:tblHeader/>
        </w:trPr>
        <w:tc>
          <w:tcPr>
            <w:tcW w:type="dxa" w:w="10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5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8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56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 (beat / miss)</w:t>
            </w:r>
          </w:p>
        </w:tc>
      </w:tr>
      <w:tr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03 Jul</w:t>
            </w:r>
          </w:p>
        </w:tc>
        <w:tc>
          <w:tcPr>
            <w:tcW w:type="dxa" w:w="2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 labour-market data &amp; Fed commentary (Warsh)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Post-payrolls read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Softer data → risk-on, extends rotation tailwind; hot data → yields up, risk-off for global equities</w:t>
            </w:r>
          </w:p>
        </w:tc>
      </w:tr>
      <w:tr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w/c 06 Jul</w:t>
            </w:r>
          </w:p>
        </w:tc>
        <w:tc>
          <w:tcPr>
            <w:tcW w:type="dxa" w:w="2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BoE speaker flow / UK data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Rate 3.75%, CPI 2.80%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2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Hawkish tone → GBP up, mild FTSE headwind via multinationals</w:t>
            </w:r>
          </w:p>
        </w:tc>
      </w:tr>
      <w:tr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w/c 06 Jul</w:t>
            </w:r>
          </w:p>
        </w:tc>
        <w:tc>
          <w:tcPr>
            <w:tcW w:type="dxa" w:w="2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Eurozone data (Spain/Italy employment, France budget)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2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Confirms/《denies》 softening-inflation, ECB-path read-through to STOXX</w:t>
            </w:r>
          </w:p>
        </w:tc>
      </w:tr>
      <w:tr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Ongoing</w:t>
            </w:r>
          </w:p>
        </w:tc>
        <w:tc>
          <w:tcPr>
            <w:tcW w:type="dxa" w:w="2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Oil / Strait of Hormuz flows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Easing risk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2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Lower crude pressures majors but eases inflation — two-sided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Highest-impact upcoming event: </w:t>
      </w:r>
      <w:r>
        <w:rPr>
          <w:rFonts w:ascii="Calibri" w:cs="Calibri" w:eastAsia="Calibri" w:hAnsi="Calibri"/>
          <w:sz w:val="20"/>
          <w:szCs w:val="20"/>
        </w:rPr>
        <w:t xml:space="preserve">the US labour-market / Fed-commentary complex on 03 Jul — a soft read would validate the defensive-rotation risk-on move and extend FTSE upside, while a hot read could lift yields and reverse the global rotation, threatening the base case.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§14  Macro Context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Rates &amp; policy: UK Bank Rate 3.75%, inflation 2.80% (BoE cautious on cut pace); softer eurozone CPI trimmed ECB-hike odds. Cross-referencing the S&amp;P/US read from §10, the Fed path (Warsh: easing inflation expectations) is the dominant external rate signal — mildly supportive.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Inflation: UK above target but stable; eurozone cooling to 2.8% — net neutral-to-supportive for FTSE.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Liquidity &amp; FX: per §10, USDX flat/soft eases conditions and supports FTSE multinationals — supportive.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Energy: crude softer on easing Hormuz risk — two-sided for the energy-heavy FTSE (negative for majors, positive for macro).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Positioning: FTSE up ~19% YTD near record highs; crowded-long risk into resistance is the main positioning caution.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Watch item (from §13d): </w:t>
      </w:r>
      <w:r>
        <w:rPr>
          <w:rFonts w:ascii="Calibri" w:cs="Calibri" w:eastAsia="Calibri" w:hAnsi="Calibri"/>
          <w:sz w:val="20"/>
          <w:szCs w:val="20"/>
        </w:rPr>
        <w:t xml:space="preserve">the 03 Jul US labour/Fed complex — a hot surprise lifts yields and is the primary downside risk to the macro-supportive read.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§15 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Upside risks</w:t>
            </w:r>
          </w:p>
        </w:tc>
        <w:tc>
          <w:tcPr>
            <w:tcW w:type="dxa" w:w="468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Downside risks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Defensive/healthcare/defence leadership intact; low tech weight a relative shield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Crowded-long into the 10,660–10,722 pivot/resistance confluence (§11)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Softer eurozone inflation + steady USD ease conditions (§10, §14)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hot US labour/Fed read (§13d) lifting yields → global risk-off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clean daily hold above weekly R2 10,660 opens the 10,911 record zone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GBP strength (as on 01 Jul) pressuring multinational earnings translation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 regime Trending-Bullish with KER Trending-Up-Moderate (§9)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Oil weakness weighing on the heavy energy bloc (Shell, BP)</w:t>
            </w:r>
          </w:p>
        </w:tc>
      </w:tr>
    </w:tbl>
    <w:p>
      <w:pPr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§16  Forward View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Base case (next 5 sessions): a continuation-higher bias that respects the §9 Trending-Bullish regime. Expected trading range ≈ 10,470–10,790, with the pivotal battleground the 10,660–10,722 daily-R1/weekly-R2 confluence. A daily close back below the 10,527 daily-S1 / 10,480 weekly-P shelf would neutralise the immediate bullish thesis; a close below 10,440 (01 Jul low) invalidates it. This view respects — does not contradict — the medium-term regime.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§17  Forecast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Derived from technicals + sentiment + cross-asset, the FTSE 100 is expected to extend its defensive-led advance toward the 10,720–10,790 resistance band over the coming sessions, provided it holds the 10,527 daily-S1 shelf.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§18  Final Analyst Judgement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Consensus price call: </w:t>
      </w:r>
      <w:r>
        <w:rPr>
          <w:rFonts w:ascii="Calibri" w:cs="Calibri" w:eastAsia="Calibri" w:hAnsi="Calibri"/>
          <w:sz w:val="20"/>
          <w:szCs w:val="20"/>
        </w:rPr>
        <w:t xml:space="preserve">~10,653 (range 10,610–10,690), Bullish tone, Medium confidence. 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The 02 Jul breadth-driven defensive rally to a fresh close-high reset the short-term tape bullish and aligns with a Trending-Bullish medium regime.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The FTSE's low technology weighting is a genuine relative shield against the current global chip-led selloff.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Provider divergence on recent levels caps confidence at Medium despite the strong directional signal.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Single watch item: </w:t>
      </w:r>
      <w:r>
        <w:rPr>
          <w:rFonts w:ascii="Calibri" w:cs="Calibri" w:eastAsia="Calibri" w:hAnsi="Calibri"/>
          <w:sz w:val="20"/>
          <w:szCs w:val="20"/>
        </w:rPr>
        <w:t xml:space="preserve">the 03 Jul US labour-market / Fed-commentary complex.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§19  Source Discipline Note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Live vs indicative: the 02 Jul close is reported as a narrow indicative range (10,653/10,663, Δ≈10 pts &gt; strict ±0.10 equity tolerance) rather than a single corroborated tick. The 29–30 Jun and 01 Jul closes corroborate within tolerance across two independent sources each.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Data gap / divergence: a derived CFD feed (Investing.com) printed ~10,444 for 02 Jul, materially below the cash-index consensus; it is excluded from the close per the retail-CFD restriction and retained only for directional context.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b02020"/>
          <w:sz w:val="20"/>
          <w:szCs w:val="20"/>
        </w:rPr>
        <w:t xml:space="preserve">Single-source / indicative fields: 26 Jun full OHLC; 02 Jul intraday High/Low. Per protocol these are NOT used as definitive pivot inputs — daily pivots derived from them are flagged INDICATIVE in §11.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Corroboration status per instrument: FTSE close series — mostly CORROBORATED, latest session INDICATIVE. Daily pivots — SINGLE-SOURCE-INDICATIVE. Weekly pivots — INDICATIVE (prior-week H/L reconstructed).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per the run instruction, the strategy section (§21) is produced despite the indicative pivot corroboration; affected trade elements carry an explicit single-source-indicative caveat.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§20  Agent Log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Sources attempted: Investing.com (historical + RT), Trading Economics (UK + euro-area), IG, Yahoo Finance, TradingView (UK100/UKX), Fidelity, STOXX/LSE reference, CNBC, Morningstar. Programmatic CSV sources (Stooq/Twelve Data) unreachable from the execution environment — logged as not-attempted-programmatically; web sources substituted.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Validation method: cross-source close comparison against the ±0.10-pt equity tolerance; CFD feed down-weighted per restriction. Corroborated pairs: 30 Jun (STOXX/LSE × TradingView, Δ≈0); 29 Jun (IG/Yahoo × TE, Δ≈0); 01 Jul (Investing × Fidelity, Δ&lt;1).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Sentiment derivation: 6 articles classified with ≤15-word derivation quotes; aggregate Predominantly Bullish, numeric tilt +0.47 (down-weighted for recency echo).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Direction-score weights basis: defaults (v2.1 baseline). No tuning applied — within the first-20-session lock window.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Backtest reconstruction: 5 sessions reconstructed at each t−1 close with sentiment/regime/ATR/pivots recomputed; no forward leakage.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Anomalies: cash-index vs CFD provider divergence (flagged §19); 02 Jul intraday H/L single-source. Timestamp: 02 Jul 2026, ~22:00 UK (pre-open prep for 03 Jul).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8a2b5e"/>
          <w:sz w:val="26"/>
          <w:szCs w:val="26"/>
        </w:rPr>
        <w:t xml:space="preserve">§21  Strategy Recommendations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§21a  Directional Conviction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Direction: LONG. Score: +0.42. </w:t>
      </w:r>
      <w:r>
        <w:rPr>
          <w:rFonts w:ascii="Calibri" w:cs="Calibri" w:eastAsia="Calibri" w:hAnsi="Calibri"/>
          <w:sz w:val="20"/>
          <w:szCs w:val="20"/>
        </w:rPr>
        <w:t xml:space="preserve">Three highest-weighted contributors: short-term technical bias (§8) +0.25 (bullish reversal close-high), medium-term regime (§9) +0.20 (Trending-Bullish), sentiment tilt (§13b) +0.47×0.15≈+0.07; Kaufman +0.15 (Trending-Up-Moderate) and cross-asset (§10, MIXED-confirm) contribute modestly, VOLator positive. The composite clears the conviction threshold. Conflict flag: none material — §17 forecast leans the same direction as the trade cards. Weights basis: defaults.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§21b  Trade Cards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Trade 1 — Daily Directional (LONG)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6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LONG — momentum resuming after shakeout; regime Trending-Bullish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Stop-entry 10,660 on confirmed break of weekly R2 (or market at 03 Jul open if already above)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10,527 — 133 points below 10,660 (anchor: daily S1 / 01 Jul reversal shelf)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133 points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10,793 (+1R / +133 pts) — near daily R2 10,791 confluence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10,926 (+2R / +266 pts) — record-zone test (~10,911)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Time-stop at session close + 3×ATR(14) cap (ATR≈88 pts); trail per rule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equal units; U1 exits TP1; U2 exits TP2; on U2 fill, U3 stop → entry ±0.2R (±27 pts)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Entry ~weekly R2 10,660; TP1 ~daily R2 10,791 (strong confluence); SL ~daily S1 10,527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Daily close back below 10,527 breaks the continuation narrative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Single-source-indicative daily pivots (§19); holding period collides with 03 Jul US labour/Fed Tier-1 event (§13d); lenient-corroboration basis per run instruction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Trade 2 — Pivot, regime-aware (LONG pullback-buy)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6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LONG — trend-pullback buy at support in a Trending-Bullish regime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Buy-limit 10,596 at daily P (pullback into pivot)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10,480 — 116 points below (anchor: weekly P)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 points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TP1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10,712 (+1R) — under daily R1 10,722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TP2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10,828 (+2R)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Pivot P of the next timeframe / weekly R2 extension; trail per rule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equal units; U1→TP1; U2→TP2; on U2 fill U3 stop → entry ±0.2R (±23 pts)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Entry at daily P 10,596; SL at weekly P 10,480 (strong confluence)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Daily close below weekly P 10,480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Pivot tiers flagged SINGLE-SOURCE-INDICATIVE (§19) — limit placed on lenient-corroboration basis per run instruction; would normally be suppressed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Trade 3 — Momentum-Pullback (3A) (LONG)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6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LONG — 3A Momentum-Pullback selected: regime TREND_UP, KER Trending-Up-Moderate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Buy 38.2% retrace of the 10,440→10,665 swing ≈ 10,579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10,470 — 109 points below (anchor: 02 Jul low / swing origin)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 points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TP1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38.2% target back toward high: 10,665 (prior high)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TP2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Measured-move 1×width ≈ 10,804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100%+ extension → record-zone 10,911; on 100%-ext break, U3 SL → halfway entry↔0%-anchor (≈10,525)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equal units; structural runner override on 100%-extension break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Entry near daily P 10,596 (0.15-ATR band); TP1 at swing high 10,665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Close below 10,470 (02 Jul low) negates the momentum-pullback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78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Fib anchor from indicative 02 Jul high; single-source-indicative pivots (§19); 03 Jul event collision (§13d)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§21c  5-Session No-Leakage Backtest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1150"/>
        <w:gridCol w:w="850"/>
        <w:gridCol w:w="1900"/>
        <w:gridCol w:w="1560"/>
        <w:gridCol w:w="700"/>
      </w:tblGrid>
      <w:tr>
        <w:trPr>
          <w:tblHeader/>
        </w:trPr>
        <w:tc>
          <w:tcPr>
            <w:tcW w:type="dxa" w:w="13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2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1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Dir.</w:t>
            </w:r>
          </w:p>
        </w:tc>
        <w:tc>
          <w:tcPr>
            <w:tcW w:type="dxa" w:w="85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Trig.</w:t>
            </w:r>
          </w:p>
        </w:tc>
        <w:tc>
          <w:tcPr>
            <w:tcW w:type="dxa" w:w="19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Entry/Exit</w:t>
            </w:r>
          </w:p>
        </w:tc>
        <w:tc>
          <w:tcPr>
            <w:tcW w:type="dxa" w:w="156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700"/>
            <w:shd w:fill="1a3a5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 Jun (t−5)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(no trigger)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 Jun (t−5)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10,480→10,500</w:t>
            </w:r>
          </w:p>
        </w:tc>
        <w:tc>
          <w:tcPr>
            <w:tcW w:type="dxa" w:w="1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+0.2R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 Jun (t−5)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 Jun (t−4)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 Jun (t−4)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10,485→10,508</w:t>
            </w:r>
          </w:p>
        </w:tc>
        <w:tc>
          <w:tcPr>
            <w:tcW w:type="dxa" w:w="1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+0.3R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 Jun (t−3)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SHORT/SUPP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conviction below thresh.</w:t>
            </w:r>
          </w:p>
        </w:tc>
        <w:tc>
          <w:tcPr>
            <w:tcW w:type="dxa" w:w="1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SUPPRESSED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 Jun (t−3)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10,480→10,460</w:t>
            </w:r>
          </w:p>
        </w:tc>
        <w:tc>
          <w:tcPr>
            <w:tcW w:type="dxa" w:w="1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−0.6R (SL)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01 Jul (t−2)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10,470→10,447</w:t>
            </w:r>
          </w:p>
        </w:tc>
        <w:tc>
          <w:tcPr>
            <w:tcW w:type="dxa" w:w="1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+0.4R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01 Jul (t−2)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3B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dual-gate fail</w:t>
            </w:r>
          </w:p>
        </w:tc>
        <w:tc>
          <w:tcPr>
            <w:tcW w:type="dxa" w:w="1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SUPPRESSED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02 Jul (t−1)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10,530→10,653</w:t>
            </w:r>
          </w:p>
        </w:tc>
        <w:tc>
          <w:tcPr>
            <w:tcW w:type="dxa" w:w="1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+1.0R (OPEN runner)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02 Jul (t−1)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10,520→10,653</w:t>
            </w:r>
          </w:p>
        </w:tc>
        <w:tc>
          <w:tcPr>
            <w:tcW w:type="dxa" w:w="1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+1.5R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SL-first tick-priority applied where SL and TP could fill in the same bar. Suppressed rows shown for traceability and excluded from the aggregate.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§21d  'What Is Working' Aggregate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Over the last 5 sessions: Trade 1 triggered 3/5 times, mean R ≈ +0.47, hit rates TP1/TP2/TP3 ≈ 40%/20%/0%. Trade 2 triggered 3/3 accessible sessions, mean R ≈ −0.03 (one SL offsetting two small pullback wins). Trade 3 (3A) triggered 1/1, mean R ≈ +1.5. Strongest performer: Trade 3A (Momentum-Pullback), highest mean R on the reversal session. Weakest performer: Trade 2 (Pivot), dragged by the 30 Jun range-top rejection.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top w:val="single" w:color="666666" w:sz="8"/>
        </w:pBdr>
        <w:spacing w:before="200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FTSE 100 Daily Report │ 02 July 2026 (for 03 July 2026 session) │ Senior European Equity Strategist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FTSE 100 Daily │ 03 Jul 2026 │ </w:t>
    </w:r>
    <w:r>
      <w:rPr>
        <w:rFonts w:ascii="Calibri" w:cs="Calibri" w:eastAsia="Calibri" w:hAnsi="Calibri"/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3f0eff9516a9c2751cf978d84d46115c9b95474.png"/><Relationship Id="rId9" Type="http://schemas.openxmlformats.org/officeDocument/2006/relationships/image" Target="media/c4703453bc39b6b86756b8fe6f090644e76b5dd1.png"/><Relationship Id="rId10" Type="http://schemas.openxmlformats.org/officeDocument/2006/relationships/image" Target="media/04604f717c86a724af2bf4de6e594e5e27a262aa.png"/><Relationship Id="rId11" Type="http://schemas.openxmlformats.org/officeDocument/2006/relationships/image" Target="media/17c67e1749ae00cbdb9a76ce8f84059393f47615.png"/><Relationship Id="rId12" Type="http://schemas.openxmlformats.org/officeDocument/2006/relationships/image" Target="media/d03a73496a9dfc352411a5a25cd4655bf87e6cc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2026-07-02T21:56:55.902Z</dcterms:created>
  <dcterms:modified xsi:type="dcterms:W3CDTF">2026-07-02T21:56:55.902Z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