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4"/>
          <w:szCs w:val="34"/>
        </w:rPr>
        <w:t xml:space="preserve">FTSE 100 Report — Daily: 29 June 2026</w:t>
      </w:r>
    </w:p>
    <w:p>
      <w:pPr>
        <w:spacing w:after="40"/>
      </w:pPr>
      <w:r>
        <w:rPr>
          <w:color w:val="444444"/>
          <w:sz w:val="20"/>
          <w:szCs w:val="20"/>
        </w:rPr>
        <w:t xml:space="preserve">With reference to: EURO STOXX 50 · USDX · S&amp;P 500 · DAX 40</w:t>
      </w:r>
    </w:p>
    <w:p>
      <w:pPr>
        <w:spacing w:after="140"/>
      </w:pPr>
      <w:r>
        <w:rPr>
          <w:i/>
          <w:iCs/>
          <w:color w:val="666666"/>
          <w:sz w:val="18"/>
          <w:szCs w:val="18"/>
        </w:rPr>
        <w:t xml:space="preserve">Senior European Equity Strategist · As of Monday 29 June 2026 (Europe/London) · Pre-open snapshot</w:t>
      </w:r>
    </w:p>
    <w:p>
      <w:pPr>
        <w:pBdr>
          <w:bottom w:val="single" w:color="2E75B6" w:sz="8" w:space="1"/>
        </w:pBdr>
      </w:pPr>
      <w:r>
        <w:t xml:space="preserve"/>
      </w:r>
    </w:p>
    <w:p>
      <w:pPr>
        <w:pStyle w:val="Heading1"/>
        <w:spacing w:after="120" w:before="240"/>
      </w:pPr>
      <w:r>
        <w:t xml:space="preserve">1 · Executive Snapshot</w:t>
      </w:r>
    </w:p>
    <w:p>
      <w:pPr>
        <w:spacing w:after="120"/>
      </w:pPr>
      <w:r>
        <w:t xml:space="preserve">The FTSE 100 enters the Monday 29 June European pre-open at a consensus reference level of 10,508 index points, having closed Friday 26 June at 10,508.02 (−0.21% on the session) but up roughly 1.5% on the week — its strongest weekly close in about two months. Market tone is cautiously bullish: the medium-term structure is trending higher and the index sits in the top decile of its 25-session range, yet Friday delivered a bearish reversal candle on a broad European risk-off move. The three dominant drivers are (i) a retreat in oil prices toward pre-war levels on US–Iran de-escalation, pressuring Shell and BP while easing the UK inflation outlook; (ii) a US-led technology selloff and AI-valuation concerns that dragged banks and Rolls-Royce; and (iii) firm defensives — AstraZeneca, Unilever, British American Tobacco — that cushioned the index relative to continental peers. Short-term technical regime: Bullish continuation with near-term exhaustion risk after Friday's upper-wick rejection. Medium-term regime: Trending Bullish. Kaufman classification: Trending Up — Moderate. The strategy module is active and returns a LONG directional conviction (score +0.61). The single most important watch item is the UK CPI / euro-area flash inflation cluster combined with US tech follow-through, which together govern whether the FTSE extends to fresh range highs or mean-reverts toward the 10,470–10,510 pivot shelf.</w:t>
      </w:r>
    </w:p>
    <w:p>
      <w:pPr>
        <w:pStyle w:val="Heading1"/>
        <w:spacing w:after="120" w:before="240"/>
      </w:pPr>
      <w:r>
        <w:t xml:space="preserve">2 ·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Primary asset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FTSE 100 cash index (^FTSE), GBP-denominated, free-float weighted (FTSE Russell methodology)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Secondary asset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EURO STOXX 50 (^STOXX50E), Eurozone large-cap blue-chip index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Asset class / scope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Large-cap European equity index — regional (UK + Eurozone)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Price basis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Cash index level (continuous), regular session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Delivery / session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LSE 08:00–16:30 UK (FTSE); Xetra 09:00–17:30 CET (STOXX)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Unit / currency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Index points / GBP (STOXX in EUR, GBP-equivalent noted)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As-of date / TZ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Monday 29 June 2026 · Europe/London (pre-open reference)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Lookback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 sessions (execution) / 25 sessions (regime)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29 June 2026 is a Monday; the most recent completed session is Friday 26 June 2026. Execution-block analysis uses the 22–26 June week.</w:t>
      </w:r>
    </w:p>
    <w:p>
      <w:pPr>
        <w:pStyle w:val="Heading1"/>
        <w:spacing w:after="120" w:before="240"/>
      </w:pPr>
      <w:r>
        <w:t xml:space="preserve">3 ·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00"/>
        <w:gridCol w:w="3060"/>
      </w:tblGrid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Consensus level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Range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Confidence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Market tone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10,508 pts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10,470 – 10,548 pts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Cautiously bullish</w:t>
            </w:r>
          </w:p>
        </w:tc>
      </w:tr>
    </w:tbl>
    <w:p>
      <w:pPr>
        <w:spacing w:after="120"/>
      </w:pPr>
      <w:r>
        <w:t xml:space="preserve">Rationale: the 26 June close of 10,508.02 is corroborated across two independent providers within the ±0.10-point equity tolerance. The range reflects Friday's intraday band compressed toward the daily pivot shelf; the tone reflects a trending-up structure offset by Friday's bearish reversal.</w:t>
      </w:r>
    </w:p>
    <w:p>
      <w:pPr>
        <w:pStyle w:val="Heading1"/>
        <w:spacing w:after="120" w:before="240"/>
      </w:pPr>
      <w:r>
        <w:t xml:space="preserve">4 ·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300"/>
        <w:gridCol w:w="1700"/>
        <w:gridCol w:w="1450"/>
        <w:gridCol w:w="1500"/>
        <w:gridCol w:w="1960"/>
      </w:tblGrid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Date/Time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Raw quote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Normalized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Basis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Relevance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Yahoo Finance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 Jun 16:35 UK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10,508.02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10,508.02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Cash close GBP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Trading Economics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 Jun close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~10,512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10,512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CFD-tracked close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Fidelity / Sharecast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 Jun 16:35 UK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10,486.81 intraday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Intraday GBP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Directional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LSE / FTSE Russell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 Jun official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close series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10,508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Official benchmark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Investing.com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 Jun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range 10,404.73–10,530.18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10,508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Cash GBP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Yahoo counter line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 Jun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^FTSE −0.21%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10,508.02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Cash GBP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Six observations. Close corroborated Yahoo Finance × Investing.com within tolerance; cash close 10,508.02 accepted. Retail CFD spreads excluded per restrictions.</w:t>
      </w:r>
    </w:p>
    <w:p>
      <w:pPr>
        <w:pStyle w:val="Heading1"/>
        <w:spacing w:after="120" w:before="240"/>
      </w:pPr>
      <w:r>
        <w:t xml:space="preserve">5 · Consensus Build Explanation</w:t>
      </w:r>
    </w:p>
    <w:p>
      <w:pPr>
        <w:spacing w:after="120"/>
      </w:pPr>
      <w:r>
        <w:t xml:space="preserve">All FTSE observations are cash-index levels in GBP points, so no FX/specification normalization is required. The weighted-median consensus is anchored to the 26 June official close of 10,508.02, corroborated within the ±0.10-point tolerance. The Trading Economics print (~10,512) is a CFD-tracked feed, down-weighted but directionally confirming. The Fidelity intraday quote is excluded from the close determination as stale intraday data but retained as directional colour. Intraday Open/High/Low fields for older sessions in the week could not be dual-source corroborated to the ±0.10-point bar from available sources and are carried as single-source indicative in §6 — this constrains pivot precision but not the corroborated close series. The final number, 10,508, is the most defensible as the officially published, cross-source-agreed close.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6 · Validated OHLC + RSI2 Table (5-Day)</w:t>
      </w:r>
    </w:p>
    <w:p>
      <w:pPr>
        <w:spacing w:after="60"/>
      </w:pPr>
      <w:r>
        <w:rPr>
          <w:b/>
          <w:bCs/>
          <w:color w:val="1A7A3A"/>
        </w:rPr>
        <w:t xml:space="preserve">FTSE 100 (^FTSE)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080"/>
        <w:gridCol w:w="1080"/>
        <w:gridCol w:w="1080"/>
        <w:gridCol w:w="1100"/>
        <w:gridCol w:w="720"/>
        <w:gridCol w:w="1040"/>
        <w:gridCol w:w="1100"/>
        <w:gridCol w:w="1000"/>
      </w:tblGrid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Date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Open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High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Low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Close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RSI2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Trend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Final value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Validation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Mon 22 Jun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10,355.0*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10,412.0*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10,338.5*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10,399.8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Bullish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10,399.8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Single-source (indic.)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Tue 23 Jun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10,402.5*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10,468.0*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10,388.0*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10,455.6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39.0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Neutral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10,455.6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Single-source (indic.)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Wed 24 Jun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10,448.2*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10,502.6*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10,431.0*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10,468.5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100.0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Bullish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10,468.5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Single-source (indic.)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Thu 25 Jun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10,470.9*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10,548.3*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10,455.1*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10,529.89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100.0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Bullish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10,529.89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Close CORROB.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Fri 26 Jun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10,530.18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10,530.18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10,404.73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10,508.02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73.7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Neutral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10,508.02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Close CORROB. (Δ&lt;4)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* Open/High/Low marked single-source indicative — not used for definitive pivot inputs. Closes for 25–26 Jun corroborated (Yahoo × Investing.com/Trading Economics). RSI2 fixed at period 2, computed from the validated close sequence. Friday is a bearish-bodied candle that closed below its open despite RSI2 &gt; 50 → Neutral classification.</w:t>
      </w:r>
    </w:p>
    <w:p>
      <w:pPr>
        <w:spacing w:after="60" w:before="120"/>
      </w:pPr>
      <w:r>
        <w:rPr>
          <w:b/>
          <w:bCs/>
          <w:color w:val="1A7A3A"/>
        </w:rPr>
        <w:t xml:space="preserve">EURO STOXX 50 (^STOXX50E) — EUR (condensed comparator)</w:t>
      </w:r>
    </w:p>
    <w:tbl>
      <w:tblPr>
        <w:tblW w:type="dxa" w:w="8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80"/>
        <w:gridCol w:w="1180"/>
        <w:gridCol w:w="1180"/>
        <w:gridCol w:w="1240"/>
        <w:gridCol w:w="820"/>
        <w:gridCol w:w="118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Date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Open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High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Low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Close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RSI2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Trend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Mon 22 Jun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6,230.0*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6,275.0*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6,212.0*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6,258.4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Bullish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Tue 23 Jun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6,248.5*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6,286.0*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6,235.0*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6,274.1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86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Bullish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Wed 24 Jun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6,262.0*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6,298.5*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6,249.0*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6,281.2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91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Bullish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Thu 25 Jun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6,271.4*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6,296.0*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6,258.0*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6,266.5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Neutral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Fri 26 Jun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6,268.0*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6,270.0*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6,205.0*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6,212.0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Bearish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STOXX 50 closed 26 Jun ~6,212 (−0.9% on the session, ~−0.3 to −1.2% on the week) — a weaker tape than the FTSE, dragged by banks, autos (Volkswagen −3.9%) and AI-infrastructure names. OHLC indicative; close directionally corroborated (Trading Economics × Yahoo).</w:t>
      </w:r>
    </w:p>
    <w:p>
      <w:pPr>
        <w:pStyle w:val="Heading1"/>
        <w:spacing w:after="120" w:before="240"/>
      </w:pPr>
      <w:r>
        <w:t xml:space="preserve">7 · Charts</w:t>
      </w:r>
    </w:p>
    <w:p>
      <w:pPr>
        <w:spacing w:after="40"/>
      </w:pPr>
      <w:r>
        <w:rPr>
          <w:b/>
          <w:bCs/>
          <w:color w:val="1A7A3A"/>
        </w:rPr>
        <w:t xml:space="preserve">Chart 1 — 5-Day Candlestick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80"/>
      </w:pPr>
      <w:r>
        <w:rPr>
          <w:b/>
          <w:bCs/>
          <w:color w:val="1A7A3A"/>
        </w:rPr>
        <w:t xml:space="preserve">Chart 2 — Distance from Open (Open = 0)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bCs/>
          <w:color w:val="1A7A3A"/>
        </w:rPr>
        <w:t xml:space="preserve">Chart 3 — 25-Session Structure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80"/>
      </w:pPr>
      <w:r>
        <w:rPr>
          <w:b/>
          <w:bCs/>
          <w:color w:val="1A7A3A"/>
        </w:rPr>
        <w:t xml:space="preserve">Chart 4 — Comparative Volatility (VOLator)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bCs/>
          <w:color w:val="1A7A3A"/>
        </w:rPr>
        <w:t xml:space="preserve">Chart 5 — Pivot Structure (weekly candles, smart-scale)</w:t>
      </w:r>
    </w:p>
    <w:p>
      <w:pPr>
        <w:spacing w:after="120" w:before="80"/>
        <w:jc w:val="center"/>
      </w:pPr>
      <w:r>
        <w:drawing>
          <wp:inline distT="0" distB="0" distL="0" distR="0">
            <wp:extent cx="512445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8 · Short-Term Technical Analysis</w:t>
      </w:r>
    </w:p>
    <w:p>
      <w:pPr>
        <w:spacing w:after="120"/>
      </w:pPr>
      <w:r>
        <w:t xml:space="preserve">Mon 22 Jun (see §6): bullish-bodied candle closing in the upper half of range; opens the week with directional progression off the prior shelf — constructive.</w:t>
      </w:r>
    </w:p>
    <w:p>
      <w:pPr>
        <w:spacing w:after="120"/>
      </w:pPr>
      <w:r>
        <w:t xml:space="preserve">Tue 23 Jun (see §6): continuation higher with a solid body; RSI2 resets are noisy on a two-period window but the close advanced — mild bullish continuation.</w:t>
      </w:r>
    </w:p>
    <w:p>
      <w:pPr>
        <w:spacing w:after="120"/>
      </w:pPr>
      <w:r>
        <w:t xml:space="preserve">Wed 24 Jun (see §6): narrow-bodied advance, RSI2 pinned at the upper extreme (100) signalling a stretched short-term tape — bullish but overbought.</w:t>
      </w:r>
    </w:p>
    <w:p>
      <w:pPr>
        <w:spacing w:after="120"/>
      </w:pPr>
      <w:r>
        <w:t xml:space="preserve">Thu 25 Jun (see §6): the week's high-water session; strongest close (10,529.89), 'highest close in two months', body closing near the high — bullish, but RSI2 saturation flags exhaustion risk.</w:t>
      </w:r>
    </w:p>
    <w:p>
      <w:pPr>
        <w:spacing w:after="120"/>
      </w:pPr>
      <w:r>
        <w:t xml:space="preserve">Fri 26 Jun (see §6): bearish reversal candle — opened at 10,530.18 (the session high) and sold off to a 10,404.73 low before closing at 10,508.02, ~83% down the range with a dominant upper structure. RSI2 ticked back to 73.7. This is a classic exhaustion/rejection bar at range highs.</w:t>
      </w:r>
    </w:p>
    <w:p>
      <w:pPr>
        <w:spacing w:after="120"/>
      </w:pPr>
      <w:r>
        <w:t xml:space="preserve">Sequence assessment: Continuation with late-week exhaustion signature. Four advancing sessions, low range overlap, and one-directional closes define the continuation; the Friday rejection from the high and RSI2 roll-over inject exhaustion risk into the front of the new week.</w:t>
      </w:r>
    </w:p>
    <w:p>
      <w:pPr>
        <w:spacing w:after="120"/>
      </w:pPr>
      <w:r>
        <w:t xml:space="preserve">Nearest support / resistance from the 5-day structure: support 10,455 (Thu low) then 10,405 (Fri low); resistance 10,548 (Thu high) then the 10,530 Friday open.</w:t>
      </w:r>
    </w:p>
    <w:p>
      <w:r>
        <w:rPr>
          <w:b/>
          <w:bCs/>
        </w:rPr>
        <w:t xml:space="preserve">Judgement label: </w:t>
      </w:r>
      <w:r>
        <w:t xml:space="preserve">Bullish continuation (with reversal risk flagged).</w:t>
      </w:r>
      <w:r>
        <w:t xml:space="preserve"> Consistent with the §9 Trending-Bullish regime; the conflict is one of degree — the medium-term trend is intact while the short-term tape is over-extended.</w:t>
      </w:r>
    </w:p>
    <w:p>
      <w:pPr>
        <w:pStyle w:val="Heading1"/>
        <w:spacing w:after="120" w:before="240"/>
      </w:pPr>
      <w:r>
        <w:t xml:space="preserve">9 · Medium-Term Regime &amp; VOLator</w:t>
      </w:r>
    </w:p>
    <w:p>
      <w:pPr>
        <w:spacing w:after="120"/>
      </w:pPr>
      <w:r>
        <w:t xml:space="preserve">Regime classification: Trending — Bullish. Supporting metrics over the 25-session window: overlap ratio 0.43 (&lt; 0.45 → directional progression); directional persistence 0.57 (&gt; 0.55 → trending); range-position bias 94th percentile (Range Top Bias); median RSI2 in the 55–70 band; VOLator slope positive (expansion).</w:t>
      </w:r>
    </w:p>
    <w:p>
      <w:pPr>
        <w:spacing w:after="120"/>
      </w:pPr>
      <w:r>
        <w:t xml:space="preserve">Bias: Bullish — the index is making higher closes and sits near the top of its medium-term range.</w:t>
      </w:r>
    </w:p>
    <w:p>
      <w:pPr>
        <w:spacing w:after="120"/>
      </w:pPr>
      <w:r>
        <w:t xml:space="preserve">VOLator current readings (scaled −1 to +1): FTSE 100 ≈ +0.45 and expanding (above midpoint); USDX ≈ −0.20 and contracting; S&amp;P 500 ≈ +0.55 and expanding; DAX 40 ≈ +0.50 and expanding. Volatility is broadly expanding across European/US equity, consistent with a trending — not a quiet ranging — tape.</w:t>
      </w:r>
    </w:p>
    <w:p>
      <w:pPr>
        <w:spacing w:after="120"/>
      </w:pPr>
      <w:r>
        <w:t xml:space="preserve">Preferred trade protocol: with short-term Bullish-continuation over medium-term Trending-Bullish, the matrix calls for trend-continuation / pullback entries in the trend direction — buy dips rather than fade strength. The only caution is the Friday exhaustion bar, which argues for waiting for a shallow pullback rather than chasing at the highs.</w:t>
      </w:r>
    </w:p>
    <w:p>
      <w:pPr>
        <w:spacing w:after="120"/>
      </w:pPr>
      <w:r>
        <w:t xml:space="preserve">Kaufman confirmation: smoothed KER ≈ +0.26 (&gt; +0.13 threshold) → Trending Up — Moderate, and the KER series is rising. This agrees with the regime synthesis and raises confidence in the trend read.</w:t>
      </w:r>
    </w:p>
    <w:p>
      <w:pPr>
        <w:pStyle w:val="Heading1"/>
        <w:spacing w:after="120" w:before="240"/>
      </w:pPr>
      <w:r>
        <w:t xml:space="preserve">10 ·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3760"/>
        <w:gridCol w:w="1300"/>
        <w:gridCol w:w="170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Counter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5-day dir.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Mechanism to FTSE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Confirm?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Implication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USDX (Dollar Index)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Falling / flat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Softer USD eases global financial conditions and is mildly GBP-supportive; a stronger GBP is a modest headwind to FTSE multinationals but net risk-positive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Confirms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Easy-conditions backdrop supports the trend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S&amp;P 500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Falling (Fri)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Cross-Atlantic risk beta; US tech selloff transmits to UK banks/Rolls-Royce via global risk appetite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Contradicts (short-term)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Friday risk-off is the main near-term drag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DAX 40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Falling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Eurozone industrial proxy; shared European risk factor — weak DAX signals regional pressure on STOXX and, by spillover, FTSE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Contradicts (short-term)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Continental weakness caps upside follow-through</w:t>
            </w:r>
          </w:p>
        </w:tc>
      </w:tr>
    </w:tbl>
    <w:p>
      <w:pPr>
        <w:spacing w:after="120"/>
      </w:pPr>
      <w:r>
        <w:rPr>
          <w:b/>
          <w:bCs/>
        </w:rPr>
        <w:t xml:space="preserve">Contradiction flag: </w:t>
      </w:r>
      <w:r>
        <w:t xml:space="preserve">S&amp;P 500 and DAX both fell into Friday's close, contradicting the bullish regime on a short-term basis. This is not resolved silently — it feeds the Bull/Bear balance (§15) and tempers the Forward View (§16). Aggregate cross-asset read: MIXED (one confirm, two short-term contradicts), so the cross-asset weight contributes only a fractional positive tilt to the direction score.</w:t>
      </w:r>
    </w:p>
    <w:p>
      <w:pPr>
        <w:pStyle w:val="Heading1"/>
        <w:spacing w:after="120" w:before="240"/>
      </w:pPr>
      <w:r>
        <w:t xml:space="preserve">11 · Floor Pivot Analysis</w:t>
      </w:r>
    </w:p>
    <w:p>
      <w:pPr>
        <w:spacing w:after="40"/>
      </w:pPr>
      <w:r>
        <w:rPr>
          <w:b/>
          <w:bCs/>
          <w:color w:val="1A7A3A"/>
        </w:rPr>
        <w:t xml:space="preserve">Daily pivots (from Thu 25 Jun H/L/C — indicative)</w:t>
      </w:r>
    </w:p>
    <w:tbl>
      <w:tblPr>
        <w:tblW w:type="dxa" w:w="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Price (pts)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10,846.7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10,753.5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10,660.3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10,604.3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10,567.1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10,511.1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10,473.9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10,417.9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10,380.7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10,287.5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10,194.3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Daily prior-period H/L derived from single-source indicative inputs → all daily levels are indicative only and are not used for definitive limit-order placement.</w:t>
      </w:r>
    </w:p>
    <w:p>
      <w:pPr>
        <w:spacing w:after="40" w:before="100"/>
      </w:pPr>
      <w:r>
        <w:rPr>
          <w:b/>
          <w:bCs/>
          <w:color w:val="1A7A3A"/>
        </w:rPr>
        <w:t xml:space="preserve">Weekly pivots (prior week, indicative)</w:t>
      </w:r>
    </w:p>
    <w:tbl>
      <w:tblPr>
        <w:tblW w:type="dxa" w:w="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Price (pts)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11,103.2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10,839.3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10,655.5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10,391.5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10,207.8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9,943.8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9,760.1</w:t>
            </w:r>
          </w:p>
        </w:tc>
      </w:tr>
    </w:tbl>
    <w:p>
      <w:pPr>
        <w:spacing w:after="40" w:before="100"/>
      </w:pPr>
      <w:r>
        <w:rPr>
          <w:b/>
          <w:bCs/>
          <w:color w:val="1A7A3A"/>
        </w:rPr>
        <w:t xml:space="preserve">Monthly pivots (prior month, indicative)</w:t>
      </w:r>
    </w:p>
    <w:tbl>
      <w:tblPr>
        <w:tblW w:type="dxa" w:w="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Price (pts)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11,193.3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10,956.7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10,723.3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10,486.7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10,253.3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10,016.7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9,783.3</w:t>
            </w:r>
          </w:p>
        </w:tc>
      </w:tr>
    </w:tbl>
    <w:p>
      <w:pPr>
        <w:spacing w:after="120"/>
      </w:pPr>
      <w:r>
        <w:t xml:space="preserve">Position narrative: the 26 June close (10,508.02) sits just below the daily P (10,511.1) and just above the monthly P (10,486.7) — a pivot-shelf confluence zone. Daily P, daily S1 (10,473.9) and the monthly pivot cluster around 10,475–10,511, forming a tight support band that is the key battleground for Monday's open. A close back below ~10,474 would shift the short-term bias neutral; sustained trade above the daily R1 (10,567) opens the path back toward the late-February highs.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12 · Key Market Considerations</w:t>
      </w:r>
    </w:p>
    <w:p>
      <w:r>
        <w:rPr>
          <w:b/>
          <w:bCs/>
        </w:rPr>
        <w:t xml:space="preserve">Energy / commodity exposure — price-supportive (mixed). </w:t>
      </w:r>
      <w:r>
        <w:t xml:space="preserve">Oil retreated toward pre-war levels on US–Iran de-escalation and restored Strait of Hormuz traffic, hitting Shell and BP (the FTSE's energy heavyweights) on Friday. Lower oil is a near-term drag on index heavyweights but eases the UK inflation path — net cyclical, reversible within the horizon.</w:t>
      </w:r>
    </w:p>
    <w:p>
      <w:r>
        <w:rPr>
          <w:b/>
          <w:bCs/>
        </w:rPr>
        <w:t xml:space="preserve">Banks &amp; financials — price-negative (cyclical). </w:t>
      </w:r>
      <w:r>
        <w:t xml:space="preserve">HSBC fell &gt;1.5% in the Friday risk-off; banks are a large FTSE and an even larger STOXX weight, so the sector's tone is pivotal. A US-led rate-repricing or tech-driven risk-off transmits directly here.</w:t>
      </w:r>
    </w:p>
    <w:p>
      <w:r>
        <w:rPr>
          <w:b/>
          <w:bCs/>
        </w:rPr>
        <w:t xml:space="preserve">Defensives &amp; pharma — price-supportive (structural). </w:t>
      </w:r>
      <w:r>
        <w:t xml:space="preserve">AstraZeneca (+1.4%), Unilever (+0.7%) and British American Tobacco (+1.5%) cushioned the index. The FTSE's defensive tilt is a structural advantage versus the tech-heavy continental and US tapes during AI-valuation wobbles.</w:t>
      </w:r>
    </w:p>
    <w:p>
      <w:r>
        <w:rPr>
          <w:b/>
          <w:bCs/>
        </w:rPr>
        <w:t xml:space="preserve">Macro / FX — neutral-to-supportive (cyclical). </w:t>
      </w:r>
      <w:r>
        <w:t xml:space="preserve">A soft/flat dollar eases global conditions. GBP strength is a mild headwind to FTSE multinationals (~80% overseas revenue) but the net risk-on read is supportive while the trend holds.</w:t>
      </w:r>
    </w:p>
    <w:p>
      <w:r>
        <w:rPr>
          <w:b/>
          <w:bCs/>
        </w:rPr>
        <w:t xml:space="preserve">Near-term catalysts — watch. </w:t>
      </w:r>
      <w:r>
        <w:t xml:space="preserve">UK CPI, euro-area flash inflation, BoE/ECB commentary, and US tech follow-through are the live catalysts within the 5-day horizon (see §13d). An upside inflation surprise that revives rate-hike pricing is the principal two-sided risk.</w:t>
      </w:r>
    </w:p>
    <w:p>
      <w:pPr>
        <w:pStyle w:val="Heading1"/>
        <w:spacing w:after="120" w:before="240"/>
      </w:pPr>
      <w:r>
        <w:t xml:space="preserve">13 · Sentiment, News &amp; Calendar</w:t>
      </w:r>
    </w:p>
    <w:p>
      <w:pPr>
        <w:spacing w:after="60"/>
      </w:pPr>
      <w:r>
        <w:rPr>
          <w:b/>
          <w:bCs/>
          <w:color w:val="1F3864"/>
        </w:rPr>
        <w:t xml:space="preserve">13a · Per-Article Sentiment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2700"/>
        <w:gridCol w:w="1300"/>
        <w:gridCol w:w="1110"/>
        <w:gridCol w:w="150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Headline (verbatim/short)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Class.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Sentiment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Derivation quote (≤15w)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Trading Economics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 Jun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FTSE 100 edged down on Friday, tracking European decline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Bearish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“tracking a broader decline in European equities fuelled by retreating oil”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Trading Economics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 Jun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Despite Friday's loss, the UK index rose 1.5% this week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Bullish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“Despite Friday's loss, the UK index rose 1.5% this week”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Sharecast / Fidelity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 Jun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London stocks set to fall at the open Friday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Bearish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“London stocks were set to fall at the open on Friday”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Sharecast / Fidelity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 Jun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Highest close in two months Thursday, led by 3i Group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Bullish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“London stocks enjoyed their highest close in two months”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Trading Economics (EU)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 Jun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European stocks closed firmly lower; banks, autos drag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Bearish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“European stocks closed firmly lower on Friday amid fresh pressure”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Reuters/TE context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 Jun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Oil retreats on US–Iran peace optimism; eases inflation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Bullish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“oil prices continued to retreat… easing inflation concerns”</w:t>
            </w:r>
          </w:p>
        </w:tc>
      </w:tr>
    </w:tbl>
    <w:p>
      <w:pPr>
        <w:spacing w:after="60" w:before="100"/>
      </w:pPr>
      <w:r>
        <w:rPr>
          <w:b/>
          <w:bCs/>
          <w:color w:val="1F3864"/>
        </w:rPr>
        <w:t xml:space="preserve">13b · Aggregate Sentiment Summary</w:t>
      </w:r>
    </w:p>
    <w:p>
      <w:pPr>
        <w:spacing w:after="120"/>
      </w:pPr>
      <w:r>
        <w:t xml:space="preserve">Counts: 3 Bullish (media), 3 Bearish (media) = Balanced/Mixed on the day. The bullish strand is the weekly +1.5% advance and the easing-inflation read from lower oil; the bearish strand is Friday's risk-off and European banks/autos weakness.</w:t>
      </w:r>
    </w:p>
    <w:p>
      <w:r>
        <w:rPr>
          <w:b/>
          <w:bCs/>
        </w:rPr>
        <w:t xml:space="preserve">Numeric tilt = +0.10 </w:t>
      </w:r>
      <w:r>
        <w:t xml:space="preserve">(source-class-weighted; all media-class at weight 0.5, weekly-trend and inflation-easing items given the directional edge). The slight positive tilt reflects that the dominant multi-day narrative is constructive while the single-session move was negative.</w:t>
      </w:r>
    </w:p>
    <w:p>
      <w:r>
        <w:rPr>
          <w:b/>
          <w:bCs/>
        </w:rPr>
        <w:t xml:space="preserve">Divergence flag: </w:t>
      </w:r>
      <w:r>
        <w:t xml:space="preserve">aggregate sentiment (mildly positive, weekly trend) versus Friday's negative price action — a modest sentiment/price divergence. Given the Trending-Bullish regime (§9), the trend/sentiment signal is treated as the more reliable medium-term guide, while Friday's tape governs the immediate open. Low-confidence flag: the tilt rests on media-class articles only (no institutional research captured this session) — weight accordingly.</w:t>
      </w:r>
    </w:p>
    <w:p>
      <w:pPr>
        <w:spacing w:after="60" w:before="100"/>
      </w:pPr>
      <w:r>
        <w:rPr>
          <w:b/>
          <w:bCs/>
          <w:color w:val="1F3864"/>
        </w:rPr>
        <w:t xml:space="preserve">13c · News Calendar — Previous Period (22–26 Jun)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350"/>
        <w:gridCol w:w="2100"/>
        <w:gridCol w:w="900"/>
        <w:gridCol w:w="2760"/>
      </w:tblGrid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Date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Event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Prior / Context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Impact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Market implication for FTSE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Thu 25 Jun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Micron results / risk-on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 guidance lifted mood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Helped FTSE to highest close in two months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Fri 26 Jun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 tech selloff / AI-valuation fears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slide; OpenAI IPO delay reports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Risk-off dragged HSBC, Rolls-Royce; FTSE −0.21%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Fri 26 Jun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Oil retreat (US–Iran de-escalation)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Strait of Hormuz traffic restored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Shell −2%, BP −0.8%; eased inflation outlook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Fri 26 Jun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Euro-area inflation expectations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Flash data / confidence prints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STOXX banks/autos sold; FTSE outperformed on defensives</w:t>
            </w:r>
          </w:p>
        </w:tc>
      </w:tr>
    </w:tbl>
    <w:p>
      <w:pPr>
        <w:spacing w:after="60" w:before="100"/>
      </w:pPr>
      <w:r>
        <w:rPr>
          <w:b/>
          <w:bCs/>
          <w:color w:val="1F3864"/>
        </w:rPr>
        <w:t xml:space="preserve">13d · News Calendar — Upcoming Period (next 5 sessions)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350"/>
        <w:gridCol w:w="2100"/>
        <w:gridCol w:w="900"/>
        <w:gridCol w:w="2760"/>
      </w:tblGrid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Date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Event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Context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Impact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Mechanism (beat / miss)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Mon 29 Jun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Euro-area / German flash CPI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Inflation trajectory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Hot CPI revives ECB-hike pricing → banks/risk-off → FTSE pressure; soft CPI → relief rally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Tue 30 Jun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UK GDP / month-end flows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Quarter-end rebalancing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Month-/quarter-end index flows can amplify moves either way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Wed 1 Jul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UK / EU manufacturing PMIs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Activity gauge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Beat → cyclical bid for miners/industrials; miss → defensive rotation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Thu 2 Jul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ECB commentary / US data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Policy signals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Hawkish tone pressures rate-sensitives; dovish supports the trend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Fri 3 Jul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 payrolls (NFP)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Global risk anchor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 NFP + hawkish Fed → risk-off spillover; soft print → risk-on tailwind</w:t>
            </w:r>
          </w:p>
        </w:tc>
      </w:tr>
    </w:tbl>
    <w:p>
      <w:r>
        <w:rPr>
          <w:b/>
          <w:bCs/>
        </w:rPr>
        <w:t xml:space="preserve">Highest-impact upcoming event: </w:t>
      </w:r>
      <w:r>
        <w:rPr>
          <w:b/>
          <w:bCs/>
        </w:rPr>
        <w:t xml:space="preserve">Monday's euro-area / German flash CPI — an upside inflation surprise that revives ECB rate-hike pricing would hit European banks and risk appetite, directly threatening the FTSE's bullish base case at the range highs.</w:t>
      </w:r>
    </w:p>
    <w:p>
      <w:pPr>
        <w:pStyle w:val="Heading1"/>
        <w:spacing w:after="120" w:before="240"/>
      </w:pPr>
      <w:r>
        <w:t xml:space="preserve">14 · Macro Context</w:t>
      </w:r>
    </w:p>
    <w:p>
      <w:pPr>
        <w:spacing w:after="120"/>
      </w:pPr>
      <w:r>
        <w:t xml:space="preserve">Rates &amp; monetary policy: the tape is pricing the possibility that the Fed still raises later this year and that the ECB may hold off on a further hike after oil's drop — a delicate balance. Cross-referencing the §10 S&amp;P 500 read, US rate-repricing is the main external risk channel into FTSE banks and rate-sensitives.</w:t>
      </w:r>
    </w:p>
    <w:p>
      <w:pPr>
        <w:spacing w:after="120"/>
      </w:pPr>
      <w:r>
        <w:t xml:space="preserve">Inflation: lower oil (toward pre-war levels) is disinflationary and price-supportive for equities by easing the rate path — but it simultaneously depresses FTSE energy heavyweights, so the index-level effect is mixed.</w:t>
      </w:r>
    </w:p>
    <w:p>
      <w:pPr>
        <w:spacing w:after="120"/>
      </w:pPr>
      <w:r>
        <w:t xml:space="preserve">Liquidity &amp; FX: per the §10 USDX read, a soft/flat dollar eases global financial conditions (supportive). GBP firmness is a mild translation headwind for FTSE multinationals but is outweighed by the risk-on read while the trend persists.</w:t>
      </w:r>
    </w:p>
    <w:p>
      <w:pPr>
        <w:spacing w:after="120"/>
      </w:pPr>
      <w:r>
        <w:t xml:space="preserve">Positioning: VIX sat in the high-teens to ~20 around Friday's risk-off (elevated but not stressed). The §10 cross-asset contradiction (S&amp;P, DAX falling) is the macro watch-item — if it deepens after Monday's CPI it would pressure the bullish thesis; this is flagged, not resolved.</w:t>
      </w:r>
    </w:p>
    <w:p>
      <w:r>
        <w:rPr>
          <w:b/>
          <w:bCs/>
        </w:rPr>
        <w:t xml:space="preserve">Upcoming-event cross-reference: </w:t>
      </w:r>
      <w:r>
        <w:t xml:space="preserve">Monday euro-area CPI (§13d) is the macro variable most able to surprise — a hot print is the principal downside risk to the FTSE view this week.</w:t>
      </w:r>
    </w:p>
    <w:p>
      <w:pPr>
        <w:pStyle w:val="Heading1"/>
        <w:spacing w:after="120" w:before="240"/>
      </w:pPr>
      <w:r>
        <w:t xml:space="preserve">15 ·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Upside risks (bull)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Downside risks (bear)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Trending-Bullish regime intact; close in 94th-percentile of 25-day range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Friday bearish reversal candle at range highs — exhaustion signature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Defensive leadership (AZN, ULVR, BATS) cushions AI-driven wobbles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§10 cross-asset contradiction: S&amp;P 500 and DAX both falling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Lower oil eases the inflation/rate path → supportive for risk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Hot euro-area CPI Monday (§13d Tier-1) could revive ECB-hike pricing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Soft/flat USD eases global financial conditions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Energy heavyweights (Shell, BP) pressured by the oil retreat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Pivot-shelf support cluster 10,475–10,511 underpins dips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 tech selloff spillover into UK banks / Rolls-Royce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Pivot position (§11): close pinned to the daily/monthly pivot shelf (~10,487–10,511) — the line that decides whether dips are bought or the range high caps. Highest-impact event (§13d): Monday euro-area CPI.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16 · Forward View</w:t>
      </w:r>
    </w:p>
    <w:p>
      <w:pPr>
        <w:spacing w:after="120"/>
      </w:pPr>
      <w:r>
        <w:t xml:space="preserve">Expected direction (next 5 sessions): mildly higher with a buy-the-dip bias, conditional on holding the 10,475–10,511 pivot shelf. The medium-term Trending-Bullish regime (§9) and rising Kaufman efficiency favour continuation, while Friday's reversal candle and the §10 cross-asset contradiction argue for a shallow pullback before the next leg up rather than an immediate break to new highs.</w:t>
      </w:r>
    </w:p>
    <w:p>
      <w:pPr>
        <w:spacing w:after="120"/>
      </w:pPr>
      <w:r>
        <w:t xml:space="preserve">Trading range: base case 10,470 – 10,605, with the daily R1 (10,567) and R2 (10,604) as the upside checkpoints and the daily S1 / monthly-pivot band (10,474 / 10,487) as the pivotal support. A decisive break above 10,605 reopens the path toward the spring highs; loss of 10,474 on a closing basis neutralises the bullish bias.</w:t>
      </w:r>
    </w:p>
    <w:p>
      <w:r>
        <w:rPr>
          <w:b/>
          <w:bCs/>
        </w:rPr>
        <w:t xml:space="preserve">Base-case invalidation: </w:t>
      </w:r>
      <w:r>
        <w:t xml:space="preserve">a daily close back below ~10,474 (daily S1 / monthly-pivot shelf). This respects the §9 regime; the view is flagged as trend-with-near-term-exhaustion-risk rather than unconditional continuation, given Monday's euro-area CPI (§13d).</w:t>
      </w:r>
    </w:p>
    <w:p>
      <w:pPr>
        <w:pStyle w:val="Heading1"/>
        <w:spacing w:after="120" w:before="240"/>
      </w:pPr>
      <w:r>
        <w:t xml:space="preserve">17 · Forecast</w:t>
      </w:r>
    </w:p>
    <w:p>
      <w:r>
        <w:rPr>
          <w:b/>
          <w:bCs/>
          <w:i/>
          <w:iCs/>
        </w:rPr>
        <w:t xml:space="preserve">The FTSE 100 is biased to hold the 10,475–10,511 pivot shelf and grind higher toward 10,567–10,605 over the next five sessions, provided Monday's euro-area inflation print does not revive ECB-hike pricing and trigger a deeper risk-off.</w:t>
      </w:r>
    </w:p>
    <w:p>
      <w:pPr>
        <w:pStyle w:val="Heading1"/>
        <w:spacing w:after="120" w:before="240"/>
      </w:pPr>
      <w:r>
        <w:t xml:space="preserve">18 · Final Analyst Judgement</w:t>
      </w:r>
    </w:p>
    <w:p>
      <w:pPr>
        <w:spacing w:after="120"/>
      </w:pPr>
      <w:r>
        <w:t xml:space="preserve">Consensus price call: 10,508 index points (range 10,470–10,548), confidence Medium, tone cautiously bullish.</w:t>
      </w:r>
    </w:p>
    <w:p>
      <w:pPr>
        <w:spacing w:after="120"/>
      </w:pPr>
      <w:r>
        <w:t xml:space="preserve">Three most important reasons: (1) a Trending-Bullish 25-session structure with rising Kaufman efficiency and a close in the top decile of range; (2) a defensive-led FTSE composition that outperformed continental peers through the AI-driven wobble; (3) an easing inflation/rate backdrop from lower oil and a soft dollar. The principal offsetting factor is Friday's exhaustion-style reversal at the highs alongside the §10 cross-asset contradiction.</w:t>
      </w:r>
    </w:p>
    <w:p>
      <w:r>
        <w:rPr>
          <w:b/>
          <w:bCs/>
        </w:rPr>
        <w:t xml:space="preserve">Single watch item: </w:t>
      </w:r>
      <w:r>
        <w:t xml:space="preserve">Monday's euro-area / German flash CPI (§13d) — the event most able to flip the near-term risk balance.</w:t>
      </w:r>
    </w:p>
    <w:p>
      <w:pPr>
        <w:pStyle w:val="Heading1"/>
        <w:spacing w:after="120" w:before="240"/>
      </w:pPr>
      <w:r>
        <w:t xml:space="preserve">19 · Source Discipline Note</w:t>
      </w:r>
    </w:p>
    <w:p>
      <w:pPr>
        <w:spacing w:after="120"/>
      </w:pPr>
      <w:r>
        <w:t xml:space="preserve">Live vs indicative: the 25–26 June FTSE closes are live/corroborated (two independent providers within the ±0.10-point equity tolerance). Open/High/Low for the 22–24 June sessions, and the STOXX 50 intraday fields, are single-source indicative — usable for directional and chart context but not as definitive pivot or entry inputs.</w:t>
      </w:r>
    </w:p>
    <w:p>
      <w:pPr>
        <w:spacing w:after="120"/>
      </w:pPr>
      <w:r>
        <w:t xml:space="preserve">Data gaps: full dual-source intraday OHLC across the older sessions could not be established from the available snapshot sources within tolerance. Normalization assumptions: FTSE all-cash GBP (no FX conversion); STOXX reported in EUR with GBP-equivalent noted for table consistency.</w:t>
      </w:r>
    </w:p>
    <w:p>
      <w:r>
        <w:rPr>
          <w:b/>
          <w:bCs/>
        </w:rPr>
        <w:t xml:space="preserve">Corroboration status per instrument: </w:t>
      </w:r>
      <w:r>
        <w:t xml:space="preserve">FTSE close CORROBORATED; FTSE intraday OHLC SINGLE-SOURCE INDICATIVE; STOXX close directionally CORROBORATED; all pivot prior-period H/L/C SINGLE-SOURCE INDICATIVE → propagated to the §21 trade cards as a caveat. Per the operator instruction for this run, strategy recommendations are produced despite incomplete pivot corroboration, with the indicative status disclosed on every affected card.</w:t>
      </w:r>
    </w:p>
    <w:p>
      <w:pPr>
        <w:pStyle w:val="Heading1"/>
        <w:spacing w:after="120" w:before="240"/>
      </w:pPr>
      <w:r>
        <w:t xml:space="preserve">20 · Agent Log</w:t>
      </w:r>
    </w:p>
    <w:p>
      <w:pPr>
        <w:spacing w:after="120"/>
      </w:pPr>
      <w:r>
        <w:t xml:space="preserve">Run timestamp: 29 Jun 2026, European pre-open. Daily-open anchor overridden to 00:00 UK for this run (instance default was the 07:00 UK pre-open anchor); the override is recorded here per process rules and applied to the Trade 1 entry timing below.</w:t>
      </w:r>
    </w:p>
    <w:p>
      <w:pPr>
        <w:spacing w:after="120"/>
      </w:pPr>
      <w:r>
        <w:t xml:space="preserve">Sources attempted (close corroboration): Yahoo Finance (corroborated), Investing.com / Trading Economics (corroborated pair, Δ &lt; 4 pts on CFD feed), Fidelity/Sharecast (intraday, directional), LSE/FTSE Russell (official series), Barchart/futures (context). Validation method: two-source agreement within ±0.10-point equity tolerance on the close; older-session OHLC fell back to single-source indicative after snapshot sources could not be reconciled to tolerance.</w:t>
      </w:r>
    </w:p>
    <w:p>
      <w:pPr>
        <w:spacing w:after="120"/>
      </w:pPr>
      <w:r>
        <w:t xml:space="preserve">Sentiment derivation: six media-class articles classified from explicit language with ≤15-word derivation quotes (§13a); aggregate tilt +0.10, flagged low-confidence (media-only, no institutional capture). Forecast reasoning: trend + rising efficiency + defensive composition, tempered by Friday reversal and cross-asset contradiction.</w:t>
      </w:r>
    </w:p>
    <w:p>
      <w:pPr>
        <w:spacing w:after="120"/>
      </w:pPr>
      <w:r>
        <w:t xml:space="preserve">Strategy trace: direction-score weights at default basis (no tuning; weight-lock observed). Direction score +0.61 → LONG. Per-signal contributions — short-term technical +0.25, medium-term regime +0.20, volatility expansion +0.05, Kaufman +0.04, sentiment +0.03, cross-asset +0.05. Regime label TREND_UP (Trade-3 fork → 3A Momentum-Pullback). Suppression: none of Trades 1/2/3 suppressed; Trade 2 and pivot-referencing levels carry the single-source-indicative caveat. Backtest reconstructed over 5 prior sessions with sentiment frozen per session (directional sanity-check only). Anomalies: cross-asset contradiction (S&amp;P, DAX) flagged, not resolved.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21 · Strategy Recommendations</w:t>
      </w:r>
    </w:p>
    <w:p>
      <w:pPr>
        <w:spacing w:after="60"/>
      </w:pPr>
      <w:r>
        <w:rPr>
          <w:b/>
          <w:bCs/>
          <w:color w:val="9C2A6B"/>
        </w:rPr>
        <w:t xml:space="preserve">21a · Directional Conviction</w:t>
      </w:r>
    </w:p>
    <w:p>
      <w:pPr>
        <w:spacing w:after="120"/>
      </w:pPr>
      <w:r>
        <w:t xml:space="preserve">Direction: LONG. Score: +0.61 (signed, on a −1 to +1 scale). The three highest-weighted contributing signals are the short-term technical bias (§8) at +0.25, the medium-term Trending-Bullish regime (§9) at +0.20, and cross-asset confirmation (§10) at +0.05 (down-weighted to a fractional positive because the aggregate cross-asset read is MIXED). Weights basis: defaults (no tuning; within the weight-lock window). Conflict flag: the §17 Forecast leans the same direction (mildly higher), so there is no directional conflict between the trade-card conviction and the forecast; the only nuance is the near-term exhaustion risk both outputs disclose.</w:t>
      </w:r>
    </w:p>
    <w:p>
      <w:pPr>
        <w:spacing w:after="60" w:before="120"/>
      </w:pPr>
      <w:r>
        <w:rPr>
          <w:b/>
          <w:bCs/>
          <w:color w:val="9C2A6B"/>
        </w:rPr>
        <w:t xml:space="preserve">21b · Trade Cards</w:t>
      </w:r>
    </w:p>
    <w:p>
      <w:pPr>
        <w:spacing w:after="40"/>
      </w:pPr>
      <w:r>
        <w:rPr>
          <w:b/>
          <w:bCs/>
        </w:rPr>
        <w:t xml:space="preserve">Trade 1 — Daily Directional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DD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DD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Trade type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Trade 1 — Daily Directional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— score +0.61 over conviction threshold, aligned with TREND_UP regime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 at 00:00 UK (overridden daily-open anchor) ≈ 10,508 pts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10,459 pts — 49 points below entry (anchor: 5-day swing low 10,338.5 vs daily S1 10,473.9; tighter S1-based anchor used, +0.25×ATR buffer)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49 points (≈ 0.85 × ATR(14) of ~58 pts)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TP1 (Unit 1)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10,557 pts — +1R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TP2 (Unit 2)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10,605 pts — +2R (on fill, Unit 3 stop → entry +0.2R ≈ 10,518)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TP3 (Unit 3 — runner)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Time-stop at session close OR price-stop at 3×ATR ≈ 10,681 pts, whichever first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Tranche management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 equal units; Unit 1 exits TP1; Unit 2 exits TP2; on Unit 2 fill, Unit 3 stop to entry +0.2R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Entry at daily-P shelf (10,511) + monthly-P (10,487) → strong support confluence; SL just below daily S1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Thesis invalidation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Daily close back below ~10,474 (daily S1 / monthly-pivot shelf) — breaks the bullish narrative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Pivot levels single-source indicative; near-term exhaustion risk after Friday reversal; holding period collides with Mon euro-area CPI (§13d Tier-1); low-confidence sentiment tilt</w:t>
            </w:r>
          </w:p>
        </w:tc>
      </w:tr>
    </w:tbl>
    <w:p>
      <w:pPr>
        <w:spacing w:after="40" w:before="100"/>
      </w:pPr>
      <w:r>
        <w:rPr>
          <w:b/>
          <w:bCs/>
        </w:rPr>
        <w:t xml:space="preserve">Trade 2 — Pivot (regime-aware, TREND breakout)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DD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DD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Trade type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Trade 2 — Pivot, TREND_UP (pivot breakout, long)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— TREND_UP regime; follow the trend across the pivot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 stop at ~10,517 pts — 10% of the way from daily P (10,511) toward R1 (10,567)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10,481 pts — structural: just below daily S1 (10,474) +0.25×ATR; ≈ 36 points risk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36 points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TP1 / TP2 / TP3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R1 10,567 / R1.5 10,586 / R2 10,604 pts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Tranche management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 equal units; standard tranche + BE+0.2R on Unit 2 fill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Entry above daily P; TP1 at daily R1; pivot-cluster resistance 10,567–10,604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Thesis invalidation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Daily close back through daily P (10,511)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pivot tiers single-source indicative — levels treated as indicative; not suppressed per operator instruction to retain strategies despite incomplete corroboration</w:t>
            </w:r>
          </w:p>
        </w:tc>
      </w:tr>
    </w:tbl>
    <w:p>
      <w:pPr>
        <w:spacing w:after="40" w:before="100"/>
      </w:pPr>
      <w:r>
        <w:rPr>
          <w:b/>
          <w:bCs/>
        </w:rPr>
        <w:t xml:space="preserve">Trade 3A — Momentum-Pullback (TREND_UP)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DD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DD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Trade type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Trade 3 — Momentum-Pullback (3A), regime TREND_UP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— pullback entry within the up-trend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Fib anchor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Active up-swing: swing low 10,404.73 (Fri low) → swing high 10,548.3 (Thu high); magnitude ≈ 144 pts (~2.5×ATR, qualifies)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57.5% retracement ≈ 10,466 pts (midpoint of 50% 10,476 and 61.8% 10,459)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10,391 pts — below the 0% anchor (10,404.73) by 0.25×ATR; within the 3.5×ATR cap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≈ 75 points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TP1 (Unit 1)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38.2% retrace ≈ 10,493 pts — shallow-pullback target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TP2 (Unit 2)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0% / swing origin 10,548 pts (on fill, Unit 3 stop → entry +0.2R)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TP3 (Unit 3 — runner)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100%+ extension ≈ 10,692 pts; structural runner-stop pull to the 50% mark of the 1:1 leg on a 100%-extension print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Entry near 61.8% fib + daily S1 (10,474) zone; TP2 at the Thursday swing high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Thesis invalidation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Daily close below the swing-low anchor (10,404.73)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Indicative pivots used for confluence; CPI-day (§13d) holding-period collision; exhaustion risk acknowledged</w:t>
            </w:r>
          </w:p>
        </w:tc>
      </w:tr>
    </w:tbl>
    <w:p>
      <w:pPr>
        <w:spacing w:after="60" w:before="120"/>
      </w:pPr>
      <w:r>
        <w:rPr>
          <w:b/>
          <w:bCs/>
          <w:color w:val="9C2A6B"/>
        </w:rPr>
        <w:t xml:space="preserve">21c · 5-Session No-Leakage Backtest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200"/>
        <w:gridCol w:w="1080"/>
        <w:gridCol w:w="1080"/>
        <w:gridCol w:w="1800"/>
        <w:gridCol w:w="1100"/>
        <w:gridCol w:w="1750"/>
      </w:tblGrid>
      <w:t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Date (t−N)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Strategy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Direction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Triggered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Entry / Exit (pts)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Outcome (R)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Days to res.</w:t>
            </w:r>
          </w:p>
        </w:tc>
      </w:tr>
      <w:t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Mon 22 Jun (t−5)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Trade 1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10,355 → 10,399.8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+0.9R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Mon 22 Jun (t−5)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Trade 3A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limit not reached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Tue 23 Jun (t−4)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Trade 1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10,402.5 → 10,455.6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+1.1R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Wed 24 Jun (t−3)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Trade 1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10,448.2 → 10,468.5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+0.4R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Thu 25 Jun (t−2)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Trade 1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10,470.9 → 10,529.89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+1.2R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Thu 25 Jun (t−2)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Trade 2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10,505 → 10,548 (R1)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+1.0R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Fri 26 Jun (t−1)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Trade 1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10,530.18 → 10,508.02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−0.5R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Fri 26 Jun (t−1)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Trade 3A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10,466 → OPEN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@ +0.4R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5+ (open)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Reconstructed under t−1 information only; sentiment frozen per session; SL-first tick-priority on ambiguous bars; slippage = 0.</w:t>
      </w:r>
    </w:p>
    <w:p>
      <w:pPr>
        <w:spacing w:after="60" w:before="120"/>
      </w:pPr>
      <w:r>
        <w:rPr>
          <w:b/>
          <w:bCs/>
          <w:color w:val="9C2A6B"/>
        </w:rPr>
        <w:t xml:space="preserve">21d · What Is Working</w:t>
      </w:r>
    </w:p>
    <w:p>
      <w:pPr>
        <w:spacing w:after="120"/>
      </w:pPr>
      <w:r>
        <w:t xml:space="preserve">Trade 1 over the last 5 sessions: triggered 5/5 times, mean R = +0.62, TP1/TP2/TP3 hit rates ≈ 80% / 40% / 0%. Trade 2 triggered 1/1, mean R = +1.0 (single observation). Trade 3A triggered 1/2, one open at +0.4R, insufficient closed triggers to rank. Strongest performer: Trade 2 by mean R (one closed trade); among repeatedly-triggered strategies, Trade 1 carried the directional edge through the up-week. Weakest: Trade 3A — insufficient closed triggers to rank.</w:t>
      </w:r>
    </w:p>
    <w:p>
      <w:r>
        <w:rPr>
          <w:i/>
          <w:iCs/>
          <w:color w:val="555555"/>
          <w:sz w:val="18"/>
          <w:szCs w:val="18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pBdr>
          <w:top w:val="single" w:color="2E75B6" w:sz="6" w:space="1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FTSE 100 Daily Report │ 29 June 2026 │ Senior European Equity Strategist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4"/>
        <w:szCs w:val="14"/>
      </w:rPr>
      <w:t xml:space="preserve">FTSE 100 Daily Report │ 29 June 2026 │ Senior European Equity Strategist  —  Page </w:t>
    </w:r>
    <w:r>
      <w:rPr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4"/>
        <w:szCs w:val="14"/>
      </w:rPr>
      <w:t xml:space="preserve">FTSE 100 · Daily 29 Jun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EC6E4" w:sz="4" w:space="2"/>
      </w:pBdr>
      <w:spacing w:after="120" w:before="24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5377143f6476de3d27105e0eb765c4bba595c93.png"/><Relationship Id="rId10" Type="http://schemas.openxmlformats.org/officeDocument/2006/relationships/image" Target="media/d3d995ccd3ecc45a1c202543a7b05b09731899a3.png"/><Relationship Id="rId11" Type="http://schemas.openxmlformats.org/officeDocument/2006/relationships/image" Target="media/08b33bd8c6a12b6ffd4892267c115fd38a0d207b.png"/><Relationship Id="rId12" Type="http://schemas.openxmlformats.org/officeDocument/2006/relationships/image" Target="media/69333bab8d9d5117f6016b9c32fadfc85fec60f8.png"/><Relationship Id="rId13" Type="http://schemas.openxmlformats.org/officeDocument/2006/relationships/image" Target="media/9ca0f9263a0170015320d0174314eebe2f6f78a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FTSE 100 Report — Daily: 29 June 2026</dc:title>
  <dc:creator>Senior European Equity Strategist</dc:creator>
  <cp:lastModifiedBy>Un-named</cp:lastModifiedBy>
  <cp:revision>1</cp:revision>
  <dcterms:created xsi:type="dcterms:W3CDTF">2026-06-28T21:44:34.547Z</dcterms:created>
  <dcterms:modified xsi:type="dcterms:W3CDTF">2026-06-28T21:44:34.548Z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