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6"/>
          <w:szCs w:val="36"/>
        </w:rPr>
        <w:t xml:space="preserve">FTSE 100 Report — Daily: 9 June 2026</w:t>
      </w:r>
    </w:p>
    <w:p>
      <w:pPr>
        <w:spacing w:after="40"/>
      </w:pPr>
      <w:r>
        <w:rPr>
          <w:rFonts w:ascii="Calibri" w:cs="Calibri" w:eastAsia="Calibri" w:hAnsi="Calibri"/>
          <w:i/>
          <w:iCs/>
          <w:color w:val="57606a"/>
          <w:sz w:val="20"/>
          <w:szCs w:val="20"/>
        </w:rPr>
        <w:t xml:space="preserve">With reference to: EURO STOXX 50 · Dollar Index · S&amp;P 500 · DAX 40</w:t>
      </w:r>
    </w:p>
    <w:p>
      <w:pPr>
        <w:pBdr>
          <w:bottom w:val="single" w:color="1F3864" w:sz="8" w:space="2"/>
        </w:pBdr>
        <w:spacing w:after="160"/>
      </w:pPr>
      <w:r>
        <w:rPr>
          <w:rFonts w:ascii="Calibri" w:cs="Calibri" w:eastAsia="Calibri" w:hAnsi="Calibri"/>
          <w:color w:val="57606a"/>
          <w:sz w:val="18"/>
          <w:szCs w:val="18"/>
        </w:rPr>
        <w:t xml:space="preserve">Senior European Equity Strategist  ·  Trading &amp; risk review (forward-test)  ·  As of close 5 June 2026 (Europe/London)</w:t>
      </w:r>
    </w:p>
    <w:p>
      <w:pPr>
        <w:pStyle w:val="Heading1"/>
        <w:pBdr>
          <w:bottom w:val="single" w:color="1F3864" w:sz="6" w:space="2"/>
        </w:pBdr>
        <w:shd w:fill="1F3864" w:val="clear"/>
        <w:spacing w:after="120" w:before="240"/>
      </w:pPr>
      <w:r>
        <w:rPr>
          <w:rFonts w:ascii="Calibri" w:cs="Calibri" w:eastAsia="Calibri" w:hAnsi="Calibri"/>
          <w:b/>
          <w:bCs/>
          <w:color w:val="FFFFFF"/>
          <w:sz w:val="26"/>
          <w:szCs w:val="26"/>
        </w:rPr>
        <w:t xml:space="preserve">1 · Executive Snapshot</w:t>
      </w:r>
    </w:p>
    <w:p>
      <w:pPr>
        <w:spacing w:after="120"/>
        <w:jc w:val="both"/>
      </w:pPr>
      <w:r>
        <w:rPr>
          <w:rFonts w:ascii="Calibri" w:cs="Calibri" w:eastAsia="Calibri" w:hAnsi="Calibri"/>
          <w:sz w:val="20"/>
          <w:szCs w:val="20"/>
        </w:rPr>
        <w:t xml:space="preserve">The FTSE 100 closed Friday 5 June 2026 at 10,368.05, up a marginal 7.7 points (+0.07%) on the session and roughly 0.3% lower across the week. The most defensible consensus level for the cash index entering 9 June sits at 10,368, within a tight 10,360–10,375 band corroborated across index-provider and exchange-linked feeds. Market tone is balanced-to-cautious: defensives (AstraZeneca, GSK, Unilever, British American Tobacco) are doing the index's heavy lifting while miners (Rio Tinto, Anglo American, Antofagasta, Fresnillo) are under heavy, persistent pressure, leaving the benchmark rangebound just above the 10,350 pivot shelf.</w:t>
      </w:r>
    </w:p>
    <w:p>
      <w:pPr>
        <w:spacing w:after="120"/>
        <w:jc w:val="both"/>
      </w:pPr>
      <w:r>
        <w:rPr>
          <w:rFonts w:ascii="Calibri" w:cs="Calibri" w:eastAsia="Calibri" w:hAnsi="Calibri"/>
          <w:sz w:val="20"/>
          <w:szCs w:val="20"/>
        </w:rPr>
        <w:t xml:space="preserve">Three drivers dominate the current level: (1) a defensive-sector bid offsetting a sharp mining-sector drawdown; (2) a firmer US dollar and rising US Treasury yields after strong US jobs data, which is weighing on global risk appetite; and (3) elevated, headline-sensitive oil prices tied to Middle East tension. Short-term technical state is </w:t>
      </w:r>
      <w:r>
        <w:rPr>
          <w:rFonts w:ascii="Calibri" w:cs="Calibri" w:eastAsia="Calibri" w:hAnsi="Calibri"/>
          <w:b/>
          <w:bCs/>
          <w:sz w:val="20"/>
          <w:szCs w:val="20"/>
        </w:rPr>
        <w:t xml:space="preserve">Transitional / Mixed</w:t>
      </w:r>
      <w:r>
        <w:rPr>
          <w:rFonts w:ascii="Calibri" w:cs="Calibri" w:eastAsia="Calibri" w:hAnsi="Calibri"/>
          <w:sz w:val="20"/>
          <w:szCs w:val="20"/>
        </w:rPr>
        <w:t xml:space="preserve">; medium-term regime is </w:t>
      </w:r>
      <w:r>
        <w:rPr>
          <w:rFonts w:ascii="Calibri" w:cs="Calibri" w:eastAsia="Calibri" w:hAnsi="Calibri"/>
          <w:b/>
          <w:bCs/>
          <w:sz w:val="20"/>
          <w:szCs w:val="20"/>
        </w:rPr>
        <w:t xml:space="preserve">Transitional with a range-bound character</w:t>
      </w:r>
      <w:r>
        <w:rPr>
          <w:rFonts w:ascii="Calibri" w:cs="Calibri" w:eastAsia="Calibri" w:hAnsi="Calibri"/>
          <w:sz w:val="20"/>
          <w:szCs w:val="20"/>
        </w:rPr>
        <w:t xml:space="preserve"> (25-session overlap 0.75, close sitting in the lower quartile of the range). The Kaufman efficiency read classifies the recent path as </w:t>
      </w:r>
      <w:r>
        <w:rPr>
          <w:rFonts w:ascii="Calibri" w:cs="Calibri" w:eastAsia="Calibri" w:hAnsi="Calibri"/>
          <w:b/>
          <w:bCs/>
          <w:sz w:val="20"/>
          <w:szCs w:val="20"/>
        </w:rPr>
        <w:t xml:space="preserve">Trending Down — Strong</w:t>
      </w:r>
      <w:r>
        <w:rPr>
          <w:rFonts w:ascii="Calibri" w:cs="Calibri" w:eastAsia="Calibri" w:hAnsi="Calibri"/>
          <w:sz w:val="20"/>
          <w:szCs w:val="20"/>
        </w:rPr>
        <w:t xml:space="preserve"> on a modestly negative drift, even as short-window momentum (RSI2) snapped back to the top of its band on Friday — a classic transition tell. Single most important watch item: the run of UK macro and the Middle-East oil headline risk over the coming sessions (see §13d).</w:t>
      </w:r>
    </w:p>
    <w:p>
      <w:pPr>
        <w:spacing w:after="120"/>
        <w:jc w:val="both"/>
      </w:pPr>
      <w:r>
        <w:rPr>
          <w:rFonts w:ascii="Calibri" w:cs="Calibri" w:eastAsia="Calibri" w:hAnsi="Calibri"/>
          <w:sz w:val="20"/>
          <w:szCs w:val="20"/>
        </w:rPr>
        <w:t xml:space="preserve">Directional conviction (see §21a) computes to a score of </w:t>
      </w:r>
      <w:r>
        <w:rPr>
          <w:rFonts w:ascii="Calibri" w:cs="Calibri" w:eastAsia="Calibri" w:hAnsi="Calibri"/>
          <w:b/>
          <w:bCs/>
          <w:sz w:val="20"/>
          <w:szCs w:val="20"/>
        </w:rPr>
        <w:t xml:space="preserve">+0.17</w:t>
      </w:r>
      <w:r>
        <w:rPr>
          <w:rFonts w:ascii="Calibri" w:cs="Calibri" w:eastAsia="Calibri" w:hAnsi="Calibri"/>
          <w:sz w:val="20"/>
          <w:szCs w:val="20"/>
        </w:rPr>
        <w:t xml:space="preserve">, below the threshold required to fire the daily directional trade — so Trade 1 is suppressed on conviction grounds, while the regime-aware pivot and breakout strategies (Trades 2 and 3) remain live and are presented in full.</w:t>
      </w:r>
    </w:p>
    <w:p>
      <w:pPr>
        <w:pStyle w:val="Heading1"/>
        <w:pBdr>
          <w:bottom w:val="single" w:color="1F3864" w:sz="6" w:space="2"/>
        </w:pBdr>
        <w:shd w:fill="1F3864" w:val="clear"/>
        <w:spacing w:after="120" w:before="240"/>
      </w:pPr>
      <w:r>
        <w:rPr>
          <w:rFonts w:ascii="Calibri" w:cs="Calibri" w:eastAsia="Calibri" w:hAnsi="Calibri"/>
          <w:b/>
          <w:bCs/>
          <w:color w:val="FFFFFF"/>
          <w:sz w:val="26"/>
          <w:szCs w:val="26"/>
        </w:rPr>
        <w:t xml:space="preserve">2 ·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Field</w:t>
            </w:r>
          </w:p>
        </w:tc>
        <w:tc>
          <w:tcPr>
            <w:tcW w:type="dxa" w:w="696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Definition</w:t>
            </w:r>
          </w:p>
        </w:tc>
      </w:tr>
      <w:tr>
        <w:tc>
          <w:tcPr>
            <w:tcW w:type="dxa" w:w="24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Primary asset</w:t>
            </w:r>
          </w:p>
        </w:tc>
        <w:tc>
          <w:tcPr>
            <w:tcW w:type="dxa" w:w="69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FTSE 100 cash index (UK large-cap benchmark, 100 constituents)</w:t>
            </w:r>
          </w:p>
        </w:tc>
      </w:tr>
      <w:tr>
        <w:tc>
          <w:tcPr>
            <w:tcW w:type="dxa" w:w="24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Reference pair</w:t>
            </w:r>
          </w:p>
        </w:tc>
        <w:tc>
          <w:tcPr>
            <w:tcW w:type="dxa" w:w="69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EURO STOXX 50 (Eurozone large-cap, 50 constituents)</w:t>
            </w:r>
          </w:p>
        </w:tc>
      </w:tr>
      <w:tr>
        <w:tc>
          <w:tcPr>
            <w:tcW w:type="dxa" w:w="24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Specification</w:t>
            </w:r>
          </w:p>
        </w:tc>
        <w:tc>
          <w:tcPr>
            <w:tcW w:type="dxa" w:w="69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Cash index level, GBP-denominated, free-float weighted (FTSE Russell methodology)</w:t>
            </w:r>
          </w:p>
        </w:tc>
      </w:tr>
      <w:tr>
        <w:tc>
          <w:tcPr>
            <w:tcW w:type="dxa" w:w="24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Scope / region</w:t>
            </w:r>
          </w:p>
        </w:tc>
        <w:tc>
          <w:tcPr>
            <w:tcW w:type="dxa" w:w="69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Regional — Europe (United Kingdom + Eurozone)</w:t>
            </w:r>
          </w:p>
        </w:tc>
      </w:tr>
      <w:tr>
        <w:tc>
          <w:tcPr>
            <w:tcW w:type="dxa" w:w="24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Delivery basis</w:t>
            </w:r>
          </w:p>
        </w:tc>
        <w:tc>
          <w:tcPr>
            <w:tcW w:type="dxa" w:w="69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LSE regular session 08:00–16:30 UK (FTSE); Xetra 09:00–17:30 CET (STOXX)</w:t>
            </w:r>
          </w:p>
        </w:tc>
      </w:tr>
      <w:tr>
        <w:tc>
          <w:tcPr>
            <w:tcW w:type="dxa" w:w="24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Unit / currency</w:t>
            </w:r>
          </w:p>
        </w:tc>
        <w:tc>
          <w:tcPr>
            <w:tcW w:type="dxa" w:w="69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Index points · GBP (STOXX shown in EUR original)</w:t>
            </w:r>
          </w:p>
        </w:tc>
      </w:tr>
      <w:tr>
        <w:tc>
          <w:tcPr>
            <w:tcW w:type="dxa" w:w="24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As-of date</w:t>
            </w:r>
          </w:p>
        </w:tc>
        <w:tc>
          <w:tcPr>
            <w:tcW w:type="dxa" w:w="69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Close 5 June 2026 (Europe/London); report for session 9 June 2026</w:t>
            </w:r>
          </w:p>
        </w:tc>
      </w:tr>
      <w:tr>
        <w:tc>
          <w:tcPr>
            <w:tcW w:type="dxa" w:w="24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Lookback window</w:t>
            </w:r>
          </w:p>
        </w:tc>
        <w:tc>
          <w:tcPr>
            <w:tcW w:type="dxa" w:w="69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5 trading sessions (1–5 June 2026)</w:t>
            </w:r>
          </w:p>
        </w:tc>
      </w:tr>
    </w:tbl>
    <w:p>
      <w:pPr>
        <w:pStyle w:val="Heading1"/>
        <w:pBdr>
          <w:bottom w:val="single" w:color="1F3864" w:sz="6" w:space="2"/>
        </w:pBdr>
        <w:shd w:fill="1F3864" w:val="clear"/>
        <w:spacing w:after="120" w:before="240"/>
      </w:pPr>
      <w:r>
        <w:rPr>
          <w:rFonts w:ascii="Calibri" w:cs="Calibri" w:eastAsia="Calibri" w:hAnsi="Calibri"/>
          <w:b/>
          <w:bCs/>
          <w:color w:val="FFFFFF"/>
          <w:sz w:val="26"/>
          <w:szCs w:val="26"/>
        </w:rPr>
        <w:t xml:space="preserve">3 ·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Measure</w:t>
            </w:r>
          </w:p>
        </w:tc>
        <w:tc>
          <w:tcPr>
            <w:tcW w:type="dxa" w:w="676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Value</w:t>
            </w:r>
          </w:p>
        </w:tc>
      </w:tr>
      <w:tr>
        <w:tc>
          <w:tcPr>
            <w:tcW w:type="dxa" w:w="26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Consensus level</w:t>
            </w:r>
          </w:p>
        </w:tc>
        <w:tc>
          <w:tcPr>
            <w:tcW w:type="dxa" w:w="67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10,368 index points</w:t>
            </w:r>
          </w:p>
        </w:tc>
      </w:tr>
      <w:tr>
        <w:tc>
          <w:tcPr>
            <w:tcW w:type="dxa" w:w="26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Consensus range</w:t>
            </w:r>
          </w:p>
        </w:tc>
        <w:tc>
          <w:tcPr>
            <w:tcW w:type="dxa" w:w="67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10,360 – 10,375</w:t>
            </w:r>
          </w:p>
        </w:tc>
      </w:tr>
      <w:tr>
        <w:tc>
          <w:tcPr>
            <w:tcW w:type="dxa" w:w="26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Basis</w:t>
            </w:r>
          </w:p>
        </w:tc>
        <w:tc>
          <w:tcPr>
            <w:tcW w:type="dxa" w:w="67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Cash index close, GBP, LSE regular session</w:t>
            </w:r>
          </w:p>
        </w:tc>
      </w:tr>
      <w:tr>
        <w:tc>
          <w:tcPr>
            <w:tcW w:type="dxa" w:w="26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Confidence</w:t>
            </w:r>
          </w:p>
        </w:tc>
        <w:tc>
          <w:tcPr>
            <w:tcW w:type="dxa" w:w="67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High (close); Medium (intraday H/L — see §19)</w:t>
            </w:r>
          </w:p>
        </w:tc>
      </w:tr>
      <w:tr>
        <w:tc>
          <w:tcPr>
            <w:tcW w:type="dxa" w:w="26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Market tone</w:t>
            </w:r>
          </w:p>
        </w:tc>
        <w:tc>
          <w:tcPr>
            <w:tcW w:type="dxa" w:w="67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Balanced (defensive bid vs mining drag)</w:t>
            </w:r>
          </w:p>
        </w:tc>
      </w:tr>
      <w:tr>
        <w:tc>
          <w:tcPr>
            <w:tcW w:type="dxa" w:w="26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Rationale</w:t>
            </w:r>
          </w:p>
        </w:tc>
        <w:tc>
          <w:tcPr>
            <w:tcW w:type="dxa" w:w="67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Friday official close corroborated within tolerance across two independent feeds; intraday extremes single-source indicative.</w:t>
            </w:r>
          </w:p>
        </w:tc>
      </w:tr>
    </w:tbl>
    <w:p>
      <w:pPr>
        <w:pStyle w:val="Heading1"/>
        <w:pBdr>
          <w:bottom w:val="single" w:color="1F3864" w:sz="6" w:space="2"/>
        </w:pBdr>
        <w:shd w:fill="1F3864" w:val="clear"/>
        <w:spacing w:after="120" w:before="240"/>
      </w:pPr>
      <w:r>
        <w:rPr>
          <w:rFonts w:ascii="Calibri" w:cs="Calibri" w:eastAsia="Calibri" w:hAnsi="Calibri"/>
          <w:b/>
          <w:bCs/>
          <w:color w:val="FFFFFF"/>
          <w:sz w:val="26"/>
          <w:szCs w:val="26"/>
        </w:rPr>
        <w:t xml:space="preserve">4 ·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150"/>
        <w:gridCol w:w="1700"/>
        <w:gridCol w:w="1150"/>
        <w:gridCol w:w="1100"/>
        <w:gridCol w:w="1000"/>
        <w:gridCol w:w="1810"/>
      </w:tblGrid>
      <w:tr>
        <w:trPr>
          <w:tblHeader/>
        </w:trPr>
        <w:tc>
          <w:tcPr>
            <w:tcW w:type="dxa" w:w="145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Source</w:t>
            </w:r>
          </w:p>
        </w:tc>
        <w:tc>
          <w:tcPr>
            <w:tcW w:type="dxa" w:w="115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Date/Time</w:t>
            </w:r>
          </w:p>
        </w:tc>
        <w:tc>
          <w:tcPr>
            <w:tcW w:type="dxa" w:w="17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Raw Quote</w:t>
            </w:r>
          </w:p>
        </w:tc>
        <w:tc>
          <w:tcPr>
            <w:tcW w:type="dxa" w:w="115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Normalised</w:t>
            </w:r>
          </w:p>
        </w:tc>
        <w:tc>
          <w:tcPr>
            <w:tcW w:type="dxa" w:w="11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Basis</w:t>
            </w:r>
          </w:p>
        </w:tc>
        <w:tc>
          <w:tcPr>
            <w:tcW w:type="dxa" w:w="10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Class</w:t>
            </w:r>
          </w:p>
        </w:tc>
        <w:tc>
          <w:tcPr>
            <w:tcW w:type="dxa" w:w="181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Notes</w:t>
            </w:r>
          </w:p>
        </w:tc>
      </w:tr>
      <w:tr>
        <w:tc>
          <w:tcPr>
            <w:tcW w:type="dxa" w:w="145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Trading Economics</w:t>
            </w:r>
          </w:p>
        </w:tc>
        <w:tc>
          <w:tcPr>
            <w:tcW w:type="dxa" w:w="115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5 Jun 17:00</w:t>
            </w:r>
          </w:p>
        </w:tc>
        <w:tc>
          <w:tcPr>
            <w:tcW w:type="dxa" w:w="17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10,368.05</w:t>
            </w:r>
          </w:p>
        </w:tc>
        <w:tc>
          <w:tcPr>
            <w:tcW w:type="dxa" w:w="115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10,368.05</w:t>
            </w:r>
          </w:p>
        </w:tc>
        <w:tc>
          <w:tcPr>
            <w:tcW w:type="dxa" w:w="11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Cash GBP</w:t>
            </w:r>
          </w:p>
        </w:tc>
        <w:tc>
          <w:tcPr>
            <w:tcW w:type="dxa" w:w="1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Core</w:t>
            </w:r>
          </w:p>
        </w:tc>
        <w:tc>
          <w:tcPr>
            <w:tcW w:type="dxa" w:w="181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Official close, GB100</w:t>
            </w:r>
          </w:p>
        </w:tc>
      </w:tr>
      <w:tr>
        <w:tc>
          <w:tcPr>
            <w:tcW w:type="dxa" w:w="145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Yahoo Finance</w:t>
            </w:r>
          </w:p>
        </w:tc>
        <w:tc>
          <w:tcPr>
            <w:tcW w:type="dxa" w:w="115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5 Jun 16:35</w:t>
            </w:r>
          </w:p>
        </w:tc>
        <w:tc>
          <w:tcPr>
            <w:tcW w:type="dxa" w:w="17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10,368.05</w:t>
            </w:r>
          </w:p>
        </w:tc>
        <w:tc>
          <w:tcPr>
            <w:tcW w:type="dxa" w:w="115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10,368.05</w:t>
            </w:r>
          </w:p>
        </w:tc>
        <w:tc>
          <w:tcPr>
            <w:tcW w:type="dxa" w:w="11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Cash GBP</w:t>
            </w:r>
          </w:p>
        </w:tc>
        <w:tc>
          <w:tcPr>
            <w:tcW w:type="dxa" w:w="1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Core</w:t>
            </w:r>
          </w:p>
        </w:tc>
        <w:tc>
          <w:tcPr>
            <w:tcW w:type="dxa" w:w="181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Δ vs TE = 0.00 → corroborated</w:t>
            </w:r>
          </w:p>
        </w:tc>
      </w:tr>
      <w:tr>
        <w:tc>
          <w:tcPr>
            <w:tcW w:type="dxa" w:w="145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Investing.com</w:t>
            </w:r>
          </w:p>
        </w:tc>
        <w:tc>
          <w:tcPr>
            <w:tcW w:type="dxa" w:w="115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5 Jun</w:t>
            </w:r>
          </w:p>
        </w:tc>
        <w:tc>
          <w:tcPr>
            <w:tcW w:type="dxa" w:w="17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O 10,360.28 / H 10,415.74 / L 10,331.54</w:t>
            </w:r>
          </w:p>
        </w:tc>
        <w:tc>
          <w:tcPr>
            <w:tcW w:type="dxa" w:w="115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same</w:t>
            </w:r>
          </w:p>
        </w:tc>
        <w:tc>
          <w:tcPr>
            <w:tcW w:type="dxa" w:w="11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Cash GBP</w:t>
            </w:r>
          </w:p>
        </w:tc>
        <w:tc>
          <w:tcPr>
            <w:tcW w:type="dxa" w:w="1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Directional</w:t>
            </w:r>
          </w:p>
        </w:tc>
        <w:tc>
          <w:tcPr>
            <w:tcW w:type="dxa" w:w="181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Intraday OHLC, single-source</w:t>
            </w:r>
          </w:p>
        </w:tc>
      </w:tr>
      <w:tr>
        <w:tc>
          <w:tcPr>
            <w:tcW w:type="dxa" w:w="145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LSE (FTSE Russell)</w:t>
            </w:r>
          </w:p>
        </w:tc>
        <w:tc>
          <w:tcPr>
            <w:tcW w:type="dxa" w:w="115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29 May–5 Jun</w:t>
            </w:r>
          </w:p>
        </w:tc>
        <w:tc>
          <w:tcPr>
            <w:tcW w:type="dxa" w:w="17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range to 10,910.55</w:t>
            </w:r>
          </w:p>
        </w:tc>
        <w:tc>
          <w:tcPr>
            <w:tcW w:type="dxa" w:w="115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w:t>
            </w:r>
          </w:p>
        </w:tc>
        <w:tc>
          <w:tcPr>
            <w:tcW w:type="dxa" w:w="11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Cash GBP</w:t>
            </w:r>
          </w:p>
        </w:tc>
        <w:tc>
          <w:tcPr>
            <w:tcW w:type="dxa" w:w="1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Core</w:t>
            </w:r>
          </w:p>
        </w:tc>
        <w:tc>
          <w:tcPr>
            <w:tcW w:type="dxa" w:w="181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Provider chart, structural ref</w:t>
            </w:r>
          </w:p>
        </w:tc>
      </w:tr>
      <w:tr>
        <w:tc>
          <w:tcPr>
            <w:tcW w:type="dxa" w:w="145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Trading Economics news</w:t>
            </w:r>
          </w:p>
        </w:tc>
        <w:tc>
          <w:tcPr>
            <w:tcW w:type="dxa" w:w="115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5 Jun</w:t>
            </w:r>
          </w:p>
        </w:tc>
        <w:tc>
          <w:tcPr>
            <w:tcW w:type="dxa" w:w="17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close ~10,375 (rounded)</w:t>
            </w:r>
          </w:p>
        </w:tc>
        <w:tc>
          <w:tcPr>
            <w:tcW w:type="dxa" w:w="115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10,375</w:t>
            </w:r>
          </w:p>
        </w:tc>
        <w:tc>
          <w:tcPr>
            <w:tcW w:type="dxa" w:w="11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Cash GBP</w:t>
            </w:r>
          </w:p>
        </w:tc>
        <w:tc>
          <w:tcPr>
            <w:tcW w:type="dxa" w:w="1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Directional</w:t>
            </w:r>
          </w:p>
        </w:tc>
        <w:tc>
          <w:tcPr>
            <w:tcW w:type="dxa" w:w="181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Intraday news print</w:t>
            </w:r>
          </w:p>
        </w:tc>
      </w:tr>
      <w:tr>
        <w:tc>
          <w:tcPr>
            <w:tcW w:type="dxa" w:w="145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Kalkine (LSE feed)</w:t>
            </w:r>
          </w:p>
        </w:tc>
        <w:tc>
          <w:tcPr>
            <w:tcW w:type="dxa" w:w="115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8 Jun 08:52 BST</w:t>
            </w:r>
          </w:p>
        </w:tc>
        <w:tc>
          <w:tcPr>
            <w:tcW w:type="dxa" w:w="17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UKX live</w:t>
            </w:r>
          </w:p>
        </w:tc>
        <w:tc>
          <w:tcPr>
            <w:tcW w:type="dxa" w:w="115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w:t>
            </w:r>
          </w:p>
        </w:tc>
        <w:tc>
          <w:tcPr>
            <w:tcW w:type="dxa" w:w="11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Cash GBP</w:t>
            </w:r>
          </w:p>
        </w:tc>
        <w:tc>
          <w:tcPr>
            <w:tcW w:type="dxa" w:w="1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Directional</w:t>
            </w:r>
          </w:p>
        </w:tc>
        <w:tc>
          <w:tcPr>
            <w:tcW w:type="dxa" w:w="181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Next-session pre-open colour</w:t>
            </w:r>
          </w:p>
        </w:tc>
      </w:tr>
    </w:tbl>
    <w:p>
      <w:pPr>
        <w:pStyle w:val="Heading1"/>
        <w:pBdr>
          <w:bottom w:val="single" w:color="1F3864" w:sz="6" w:space="2"/>
        </w:pBdr>
        <w:shd w:fill="1F3864" w:val="clear"/>
        <w:spacing w:after="120" w:before="240"/>
      </w:pPr>
      <w:r>
        <w:rPr>
          <w:rFonts w:ascii="Calibri" w:cs="Calibri" w:eastAsia="Calibri" w:hAnsi="Calibri"/>
          <w:b/>
          <w:bCs/>
          <w:color w:val="FFFFFF"/>
          <w:sz w:val="26"/>
          <w:szCs w:val="26"/>
        </w:rPr>
        <w:t xml:space="preserve">5 · Consensus Build Explanation</w:t>
      </w:r>
    </w:p>
    <w:p>
      <w:pPr>
        <w:spacing w:after="120"/>
        <w:jc w:val="both"/>
      </w:pPr>
      <w:r>
        <w:rPr>
          <w:rFonts w:ascii="Calibri" w:cs="Calibri" w:eastAsia="Calibri" w:hAnsi="Calibri"/>
          <w:sz w:val="20"/>
          <w:szCs w:val="20"/>
        </w:rPr>
        <w:t xml:space="preserve">All observations are already in the target specification (GBP cash index points), so no FX or unit normalisation was required. The Friday close was accepted on a two-source corroboration: Trading Economics and Yahoo Finance both reported 10,368.05, a zero-point delta well inside the ±0.10-point equity-index tolerance. The intraday open, high and low (10,360.28 / 10,415.74 / 10,331.54) were available from a single primary feed only and are therefore carried as single-source indicative — usable for directional context and charting but not as definitive settlement references. Earlier-week closes (1–4 June) were reconstructed from the provider news stream and weekly-change reconciliation; they are flagged indicative in §6. A weighted-median treatment is unnecessary given the corroborated close converges on a single value; the 10,360–10,375 band reflects residual intraday uncertainty rather than disagreement on the settlement.</w:t>
      </w:r>
    </w:p>
    <w:p>
      <w:pPr>
        <w:pStyle w:val="Heading1"/>
        <w:pBdr>
          <w:bottom w:val="single" w:color="1F3864" w:sz="6" w:space="2"/>
        </w:pBdr>
        <w:shd w:fill="1F3864" w:val="clear"/>
        <w:spacing w:after="120" w:before="240"/>
      </w:pPr>
      <w:r>
        <w:rPr>
          <w:rFonts w:ascii="Calibri" w:cs="Calibri" w:eastAsia="Calibri" w:hAnsi="Calibri"/>
          <w:b/>
          <w:bCs/>
          <w:color w:val="FFFFFF"/>
          <w:sz w:val="26"/>
          <w:szCs w:val="26"/>
        </w:rPr>
        <w:t xml:space="preserve">6 · Validated OHLC + RSI2 Table (5-Day)</w:t>
      </w:r>
    </w:p>
    <w:p>
      <w:pPr>
        <w:pStyle w:val="Heading2"/>
        <w:spacing w:after="80" w:before="160"/>
      </w:pPr>
      <w:r>
        <w:rPr>
          <w:rFonts w:ascii="Calibri" w:cs="Calibri" w:eastAsia="Calibri" w:hAnsi="Calibri"/>
          <w:b/>
          <w:bCs/>
          <w:color w:val="1F3864"/>
          <w:sz w:val="22"/>
          <w:szCs w:val="22"/>
        </w:rPr>
        <w:t xml:space="preserve">FTSE 100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820"/>
        <w:gridCol w:w="820"/>
        <w:gridCol w:w="820"/>
        <w:gridCol w:w="860"/>
        <w:gridCol w:w="620"/>
        <w:gridCol w:w="820"/>
        <w:gridCol w:w="920"/>
        <w:gridCol w:w="940"/>
        <w:gridCol w:w="820"/>
        <w:gridCol w:w="1720"/>
      </w:tblGrid>
      <w:tr>
        <w:trPr>
          <w:tblHeader/>
        </w:trPr>
        <w:tc>
          <w:tcPr>
            <w:tcW w:type="dxa" w:w="118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Date</w:t>
            </w:r>
          </w:p>
        </w:tc>
        <w:tc>
          <w:tcPr>
            <w:tcW w:type="dxa" w:w="82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Open</w:t>
            </w:r>
          </w:p>
        </w:tc>
        <w:tc>
          <w:tcPr>
            <w:tcW w:type="dxa" w:w="82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High</w:t>
            </w:r>
          </w:p>
        </w:tc>
        <w:tc>
          <w:tcPr>
            <w:tcW w:type="dxa" w:w="82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Low</w:t>
            </w:r>
          </w:p>
        </w:tc>
        <w:tc>
          <w:tcPr>
            <w:tcW w:type="dxa" w:w="86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Close</w:t>
            </w:r>
          </w:p>
        </w:tc>
        <w:tc>
          <w:tcPr>
            <w:tcW w:type="dxa" w:w="62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RSI2</w:t>
            </w:r>
          </w:p>
        </w:tc>
        <w:tc>
          <w:tcPr>
            <w:tcW w:type="dxa" w:w="82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Trend</w:t>
            </w:r>
          </w:p>
        </w:tc>
        <w:tc>
          <w:tcPr>
            <w:tcW w:type="dxa" w:w="92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Src A</w:t>
            </w:r>
          </w:p>
        </w:tc>
        <w:tc>
          <w:tcPr>
            <w:tcW w:type="dxa" w:w="94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Src B</w:t>
            </w:r>
          </w:p>
        </w:tc>
        <w:tc>
          <w:tcPr>
            <w:tcW w:type="dxa" w:w="82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Final</w:t>
            </w:r>
          </w:p>
        </w:tc>
        <w:tc>
          <w:tcPr>
            <w:tcW w:type="dxa" w:w="172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Validation</w:t>
            </w:r>
          </w:p>
        </w:tc>
      </w:tr>
      <w:tr>
        <w:tc>
          <w:tcPr>
            <w:tcW w:type="dxa" w:w="11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Mon 01 Jun 2026</w:t>
            </w:r>
          </w:p>
        </w:tc>
        <w:tc>
          <w:tcPr>
            <w:tcW w:type="dxa" w:w="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10402.50</w:t>
            </w:r>
          </w:p>
        </w:tc>
        <w:tc>
          <w:tcPr>
            <w:tcW w:type="dxa" w:w="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10433.90</w:t>
            </w:r>
          </w:p>
        </w:tc>
        <w:tc>
          <w:tcPr>
            <w:tcW w:type="dxa" w:w="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10360.10</w:t>
            </w:r>
          </w:p>
        </w:tc>
        <w:tc>
          <w:tcPr>
            <w:tcW w:type="dxa" w:w="8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bCs/>
                <w:color w:val="1b1f24"/>
                <w:sz w:val="18"/>
                <w:szCs w:val="18"/>
              </w:rPr>
              <w:t xml:space="preserve">10402.30</w:t>
            </w:r>
          </w:p>
        </w:tc>
        <w:tc>
          <w:tcPr>
            <w:tcW w:type="dxa" w:w="6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67.2</w:t>
            </w:r>
          </w:p>
        </w:tc>
        <w:tc>
          <w:tcPr>
            <w:tcW w:type="dxa" w:w="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Neutral</w:t>
            </w:r>
          </w:p>
        </w:tc>
        <w:tc>
          <w:tcPr>
            <w:tcW w:type="dxa" w:w="9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News stream</w:t>
            </w:r>
          </w:p>
        </w:tc>
        <w:tc>
          <w:tcPr>
            <w:tcW w:type="dxa" w:w="94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Investing.com</w:t>
            </w:r>
          </w:p>
        </w:tc>
        <w:tc>
          <w:tcPr>
            <w:tcW w:type="dxa" w:w="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10402.30</w:t>
            </w:r>
          </w:p>
        </w:tc>
        <w:tc>
          <w:tcPr>
            <w:tcW w:type="dxa" w:w="17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SINGLE-SOURCE (indicative)</w:t>
            </w:r>
          </w:p>
        </w:tc>
      </w:tr>
      <w:tr>
        <w:tc>
          <w:tcPr>
            <w:tcW w:type="dxa" w:w="11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Tue 02 Jun 2026</w:t>
            </w:r>
          </w:p>
        </w:tc>
        <w:tc>
          <w:tcPr>
            <w:tcW w:type="dxa" w:w="8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10402.30</w:t>
            </w:r>
          </w:p>
        </w:tc>
        <w:tc>
          <w:tcPr>
            <w:tcW w:type="dxa" w:w="8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10455.20</w:t>
            </w:r>
          </w:p>
        </w:tc>
        <w:tc>
          <w:tcPr>
            <w:tcW w:type="dxa" w:w="8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10371.40</w:t>
            </w:r>
          </w:p>
        </w:tc>
        <w:tc>
          <w:tcPr>
            <w:tcW w:type="dxa" w:w="8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bCs/>
                <w:color w:val="1b1f24"/>
                <w:sz w:val="18"/>
                <w:szCs w:val="18"/>
              </w:rPr>
              <w:t xml:space="preserve">10448.60</w:t>
            </w:r>
          </w:p>
        </w:tc>
        <w:tc>
          <w:tcPr>
            <w:tcW w:type="dxa" w:w="6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100.0</w:t>
            </w:r>
          </w:p>
        </w:tc>
        <w:tc>
          <w:tcPr>
            <w:tcW w:type="dxa" w:w="8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Bullish</w:t>
            </w:r>
          </w:p>
        </w:tc>
        <w:tc>
          <w:tcPr>
            <w:tcW w:type="dxa" w:w="9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News stream</w:t>
            </w:r>
          </w:p>
        </w:tc>
        <w:tc>
          <w:tcPr>
            <w:tcW w:type="dxa" w:w="94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Investing.com</w:t>
            </w:r>
          </w:p>
        </w:tc>
        <w:tc>
          <w:tcPr>
            <w:tcW w:type="dxa" w:w="8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10448.60</w:t>
            </w:r>
          </w:p>
        </w:tc>
        <w:tc>
          <w:tcPr>
            <w:tcW w:type="dxa" w:w="17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SINGLE-SOURCE (indicative)</w:t>
            </w:r>
          </w:p>
        </w:tc>
      </w:tr>
      <w:tr>
        <w:tc>
          <w:tcPr>
            <w:tcW w:type="dxa" w:w="11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Wed 03 Jun 2026</w:t>
            </w:r>
          </w:p>
        </w:tc>
        <w:tc>
          <w:tcPr>
            <w:tcW w:type="dxa" w:w="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10448.60</w:t>
            </w:r>
          </w:p>
        </w:tc>
        <w:tc>
          <w:tcPr>
            <w:tcW w:type="dxa" w:w="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10470.10</w:t>
            </w:r>
          </w:p>
        </w:tc>
        <w:tc>
          <w:tcPr>
            <w:tcW w:type="dxa" w:w="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10337.80</w:t>
            </w:r>
          </w:p>
        </w:tc>
        <w:tc>
          <w:tcPr>
            <w:tcW w:type="dxa" w:w="8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bCs/>
                <w:color w:val="1b1f24"/>
                <w:sz w:val="18"/>
                <w:szCs w:val="18"/>
              </w:rPr>
              <w:t xml:space="preserve">10351.20</w:t>
            </w:r>
          </w:p>
        </w:tc>
        <w:tc>
          <w:tcPr>
            <w:tcW w:type="dxa" w:w="6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32.2</w:t>
            </w:r>
          </w:p>
        </w:tc>
        <w:tc>
          <w:tcPr>
            <w:tcW w:type="dxa" w:w="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Bearish</w:t>
            </w:r>
          </w:p>
        </w:tc>
        <w:tc>
          <w:tcPr>
            <w:tcW w:type="dxa" w:w="9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News stream</w:t>
            </w:r>
          </w:p>
        </w:tc>
        <w:tc>
          <w:tcPr>
            <w:tcW w:type="dxa" w:w="94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Investing.com</w:t>
            </w:r>
          </w:p>
        </w:tc>
        <w:tc>
          <w:tcPr>
            <w:tcW w:type="dxa" w:w="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10351.20</w:t>
            </w:r>
          </w:p>
        </w:tc>
        <w:tc>
          <w:tcPr>
            <w:tcW w:type="dxa" w:w="17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SINGLE-SOURCE (indicative)</w:t>
            </w:r>
          </w:p>
        </w:tc>
      </w:tr>
      <w:tr>
        <w:tc>
          <w:tcPr>
            <w:tcW w:type="dxa" w:w="11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Thu 04 Jun 2026</w:t>
            </w:r>
          </w:p>
        </w:tc>
        <w:tc>
          <w:tcPr>
            <w:tcW w:type="dxa" w:w="8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10351.20</w:t>
            </w:r>
          </w:p>
        </w:tc>
        <w:tc>
          <w:tcPr>
            <w:tcW w:type="dxa" w:w="8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10389.70</w:t>
            </w:r>
          </w:p>
        </w:tc>
        <w:tc>
          <w:tcPr>
            <w:tcW w:type="dxa" w:w="8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10318.60</w:t>
            </w:r>
          </w:p>
        </w:tc>
        <w:tc>
          <w:tcPr>
            <w:tcW w:type="dxa" w:w="8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bCs/>
                <w:color w:val="1b1f24"/>
                <w:sz w:val="18"/>
                <w:szCs w:val="18"/>
              </w:rPr>
              <w:t xml:space="preserve">10360.32</w:t>
            </w:r>
          </w:p>
        </w:tc>
        <w:tc>
          <w:tcPr>
            <w:tcW w:type="dxa" w:w="6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8.6</w:t>
            </w:r>
          </w:p>
        </w:tc>
        <w:tc>
          <w:tcPr>
            <w:tcW w:type="dxa" w:w="8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Neutral</w:t>
            </w:r>
          </w:p>
        </w:tc>
        <w:tc>
          <w:tcPr>
            <w:tcW w:type="dxa" w:w="9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TE / Yahoo</w:t>
            </w:r>
          </w:p>
        </w:tc>
        <w:tc>
          <w:tcPr>
            <w:tcW w:type="dxa" w:w="94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Investing.com</w:t>
            </w:r>
          </w:p>
        </w:tc>
        <w:tc>
          <w:tcPr>
            <w:tcW w:type="dxa" w:w="8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10360.32</w:t>
            </w:r>
          </w:p>
        </w:tc>
        <w:tc>
          <w:tcPr>
            <w:tcW w:type="dxa" w:w="17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CORROBORATED (TE x Yahoo prev-close, d=0.02)</w:t>
            </w:r>
          </w:p>
        </w:tc>
      </w:tr>
      <w:tr>
        <w:tc>
          <w:tcPr>
            <w:tcW w:type="dxa" w:w="11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Fri 05 Jun 2026</w:t>
            </w:r>
          </w:p>
        </w:tc>
        <w:tc>
          <w:tcPr>
            <w:tcW w:type="dxa" w:w="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10360.28</w:t>
            </w:r>
          </w:p>
        </w:tc>
        <w:tc>
          <w:tcPr>
            <w:tcW w:type="dxa" w:w="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10415.74</w:t>
            </w:r>
          </w:p>
        </w:tc>
        <w:tc>
          <w:tcPr>
            <w:tcW w:type="dxa" w:w="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10331.54</w:t>
            </w:r>
          </w:p>
        </w:tc>
        <w:tc>
          <w:tcPr>
            <w:tcW w:type="dxa" w:w="8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bCs/>
                <w:color w:val="1b1f24"/>
                <w:sz w:val="18"/>
                <w:szCs w:val="18"/>
              </w:rPr>
              <w:t xml:space="preserve">10368.05</w:t>
            </w:r>
          </w:p>
        </w:tc>
        <w:tc>
          <w:tcPr>
            <w:tcW w:type="dxa" w:w="6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100.0</w:t>
            </w:r>
          </w:p>
        </w:tc>
        <w:tc>
          <w:tcPr>
            <w:tcW w:type="dxa" w:w="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Bullish</w:t>
            </w:r>
          </w:p>
        </w:tc>
        <w:tc>
          <w:tcPr>
            <w:tcW w:type="dxa" w:w="9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TE / Yahoo</w:t>
            </w:r>
          </w:p>
        </w:tc>
        <w:tc>
          <w:tcPr>
            <w:tcW w:type="dxa" w:w="94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Investing.com</w:t>
            </w:r>
          </w:p>
        </w:tc>
        <w:tc>
          <w:tcPr>
            <w:tcW w:type="dxa" w:w="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10368.05</w:t>
            </w:r>
          </w:p>
        </w:tc>
        <w:tc>
          <w:tcPr>
            <w:tcW w:type="dxa" w:w="17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CORROBORATED (Yahoo x TE, d=0.00)</w:t>
            </w:r>
          </w:p>
        </w:tc>
      </w:tr>
    </w:tbl>
    <w:p>
      <w:pPr>
        <w:spacing w:after="120"/>
      </w:pPr>
      <w:r>
        <w:rPr>
          <w:rFonts w:ascii="Calibri" w:cs="Calibri" w:eastAsia="Calibri" w:hAnsi="Calibri"/>
          <w:i/>
          <w:iCs/>
          <w:color w:val="57606a"/>
          <w:sz w:val="17"/>
          <w:szCs w:val="17"/>
        </w:rPr>
        <w:t xml:space="preserve">ℹ  Sessions 1–3 June carry indicative closes (single-source); intraday High/Low across all five sessions are single-source indicative per §19. RSI2 is fixed at period 2 and computed from the validated close sequence.</w:t>
      </w:r>
    </w:p>
    <w:p>
      <w:pPr>
        <w:pStyle w:val="Heading2"/>
        <w:spacing w:after="80" w:before="160"/>
      </w:pPr>
      <w:r>
        <w:rPr>
          <w:rFonts w:ascii="Calibri" w:cs="Calibri" w:eastAsia="Calibri" w:hAnsi="Calibri"/>
          <w:b/>
          <w:bCs/>
          <w:color w:val="1F3864"/>
          <w:sz w:val="22"/>
          <w:szCs w:val="22"/>
        </w:rPr>
        <w:t xml:space="preserve">EURO STOXX 50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300"/>
        <w:gridCol w:w="1660"/>
        <w:gridCol w:w="2300"/>
      </w:tblGrid>
      <w:tr>
        <w:trPr>
          <w:tblHeader/>
        </w:trPr>
        <w:tc>
          <w:tcPr>
            <w:tcW w:type="dxa" w:w="15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Date</w:t>
            </w:r>
          </w:p>
        </w:tc>
        <w:tc>
          <w:tcPr>
            <w:tcW w:type="dxa" w:w="13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Open</w:t>
            </w:r>
          </w:p>
        </w:tc>
        <w:tc>
          <w:tcPr>
            <w:tcW w:type="dxa" w:w="13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High</w:t>
            </w:r>
          </w:p>
        </w:tc>
        <w:tc>
          <w:tcPr>
            <w:tcW w:type="dxa" w:w="13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Low</w:t>
            </w:r>
          </w:p>
        </w:tc>
        <w:tc>
          <w:tcPr>
            <w:tcW w:type="dxa" w:w="166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Close (EUR)</w:t>
            </w:r>
          </w:p>
        </w:tc>
        <w:tc>
          <w:tcPr>
            <w:tcW w:type="dxa" w:w="23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Validation</w:t>
            </w:r>
          </w:p>
        </w:tc>
      </w:tr>
      <w:tr>
        <w:tc>
          <w:tcPr>
            <w:tcW w:type="dxa" w:w="15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Fri 05 Jun 2026</w:t>
            </w:r>
          </w:p>
        </w:tc>
        <w:tc>
          <w:tcPr>
            <w:tcW w:type="dxa" w:w="13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6,044.36</w:t>
            </w:r>
          </w:p>
        </w:tc>
        <w:tc>
          <w:tcPr>
            <w:tcW w:type="dxa" w:w="13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6,065.96</w:t>
            </w:r>
          </w:p>
        </w:tc>
        <w:tc>
          <w:tcPr>
            <w:tcW w:type="dxa" w:w="13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5,991.25</w:t>
            </w:r>
          </w:p>
        </w:tc>
        <w:tc>
          <w:tcPr>
            <w:tcW w:type="dxa" w:w="16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~6,044</w:t>
            </w:r>
          </w:p>
        </w:tc>
        <w:tc>
          <w:tcPr>
            <w:tcW w:type="dxa" w:w="23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SINGLE-SOURCE (indicative)</w:t>
            </w:r>
          </w:p>
        </w:tc>
      </w:tr>
      <w:tr>
        <w:tc>
          <w:tcPr>
            <w:tcW w:type="dxa" w:w="15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Mon 08 Jun 2026</w:t>
            </w:r>
          </w:p>
        </w:tc>
        <w:tc>
          <w:tcPr>
            <w:tcW w:type="dxa" w:w="13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w:t>
            </w:r>
          </w:p>
        </w:tc>
        <w:tc>
          <w:tcPr>
            <w:tcW w:type="dxa" w:w="13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w:t>
            </w:r>
          </w:p>
        </w:tc>
        <w:tc>
          <w:tcPr>
            <w:tcW w:type="dxa" w:w="13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w:t>
            </w:r>
          </w:p>
        </w:tc>
        <w:tc>
          <w:tcPr>
            <w:tcW w:type="dxa" w:w="16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~6,080 (+0.3%)</w:t>
            </w:r>
          </w:p>
        </w:tc>
        <w:tc>
          <w:tcPr>
            <w:tcW w:type="dxa" w:w="23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SINGLE-SOURCE (indicative)</w:t>
            </w:r>
          </w:p>
        </w:tc>
      </w:tr>
    </w:tbl>
    <w:p>
      <w:pPr>
        <w:spacing w:after="120"/>
      </w:pPr>
      <w:r>
        <w:rPr>
          <w:rFonts w:ascii="Calibri" w:cs="Calibri" w:eastAsia="Calibri" w:hAnsi="Calibri"/>
          <w:i/>
          <w:iCs/>
          <w:color w:val="57606a"/>
          <w:sz w:val="17"/>
          <w:szCs w:val="17"/>
        </w:rPr>
        <w:t xml:space="preserve">ℹ  EURO STOXX 50 carried as indicative reference only; it informs §10 cross-asset read but receives no trade card.</w:t>
      </w:r>
    </w:p>
    <w:p>
      <w:pPr>
        <w:pStyle w:val="Heading1"/>
        <w:pBdr>
          <w:bottom w:val="single" w:color="1F3864" w:sz="6" w:space="2"/>
        </w:pBdr>
        <w:shd w:fill="1F3864" w:val="clear"/>
        <w:spacing w:after="120" w:before="240"/>
      </w:pPr>
      <w:r>
        <w:rPr>
          <w:rFonts w:ascii="Calibri" w:cs="Calibri" w:eastAsia="Calibri" w:hAnsi="Calibri"/>
          <w:b/>
          <w:bCs/>
          <w:color w:val="FFFFFF"/>
          <w:sz w:val="26"/>
          <w:szCs w:val="26"/>
        </w:rPr>
        <w:t xml:space="preserve">7 · Charts</w:t>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pPr>
        <w:spacing w:after="120" w:before="8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1825"/>
                    </a:xfrm>
                    <a:prstGeom prst="rect">
                      <a:avLst/>
                    </a:prstGeom>
                  </pic:spPr>
                </pic:pic>
              </a:graphicData>
            </a:graphic>
          </wp:inline>
        </w:drawing>
      </w:r>
    </w:p>
    <w:p>
      <w:pPr>
        <w:spacing w:after="120" w:before="80"/>
        <w:jc w:val="center"/>
      </w:pPr>
      <w:r>
        <w:drawing>
          <wp:inline distT="0" distB="0" distL="0" distR="0">
            <wp:extent cx="5334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848100"/>
                    </a:xfrm>
                    <a:prstGeom prst="rect">
                      <a:avLst/>
                    </a:prstGeom>
                  </pic:spPr>
                </pic:pic>
              </a:graphicData>
            </a:graphic>
          </wp:inline>
        </w:drawing>
      </w:r>
    </w:p>
    <w:p>
      <w:pPr>
        <w:pStyle w:val="Heading1"/>
        <w:pBdr>
          <w:bottom w:val="single" w:color="1F3864" w:sz="6" w:space="2"/>
        </w:pBdr>
        <w:shd w:fill="1F3864" w:val="clear"/>
        <w:spacing w:after="120" w:before="240"/>
      </w:pPr>
      <w:r>
        <w:rPr>
          <w:rFonts w:ascii="Calibri" w:cs="Calibri" w:eastAsia="Calibri" w:hAnsi="Calibri"/>
          <w:b/>
          <w:bCs/>
          <w:color w:val="FFFFFF"/>
          <w:sz w:val="26"/>
          <w:szCs w:val="26"/>
        </w:rPr>
        <w:t xml:space="preserve">8 · Short-Term Technical Analysis</w:t>
      </w:r>
    </w:p>
    <w:p>
      <w:pPr>
        <w:pStyle w:val="ListParagraph"/>
        <w:numPr>
          <w:ilvl w:val="0"/>
          <w:numId w:val="2"/>
        </w:numPr>
        <w:spacing w:after="40"/>
      </w:pPr>
      <w:r>
        <w:rPr>
          <w:rFonts w:ascii="Calibri" w:cs="Calibri" w:eastAsia="Calibri" w:hAnsi="Calibri"/>
          <w:sz w:val="20"/>
          <w:szCs w:val="20"/>
        </w:rPr>
        <w:t xml:space="preserve">Mon 1 Jun: doji-like session, close on open (~10,402) with a long lower wick into 10,360 — demand defended the day's low; RSI2 elevated. Neutral/indecision.</w:t>
      </w:r>
    </w:p>
    <w:p>
      <w:pPr>
        <w:pStyle w:val="ListParagraph"/>
        <w:numPr>
          <w:ilvl w:val="0"/>
          <w:numId w:val="2"/>
        </w:numPr>
        <w:spacing w:after="40"/>
      </w:pPr>
      <w:r>
        <w:rPr>
          <w:rFonts w:ascii="Calibri" w:cs="Calibri" w:eastAsia="Calibri" w:hAnsi="Calibri"/>
          <w:sz w:val="20"/>
          <w:szCs w:val="20"/>
        </w:rPr>
        <w:t xml:space="preserve">Tue 2 Jun: solid bullish body to 10,448, close near the high; RSI2 pinned at 100 confirms upside thrust. Bullish.</w:t>
      </w:r>
    </w:p>
    <w:p>
      <w:pPr>
        <w:pStyle w:val="ListParagraph"/>
        <w:numPr>
          <w:ilvl w:val="0"/>
          <w:numId w:val="2"/>
        </w:numPr>
        <w:spacing w:after="40"/>
      </w:pPr>
      <w:r>
        <w:rPr>
          <w:rFonts w:ascii="Calibri" w:cs="Calibri" w:eastAsia="Calibri" w:hAnsi="Calibri"/>
          <w:sz w:val="20"/>
          <w:szCs w:val="20"/>
        </w:rPr>
        <w:t xml:space="preserve">Wed 3 Jun: bearish engulfing-style reversal — printed the week's high (10,470) then closed at 10,351, deep in the lower third of range; RSI2 collapsed to ~32. Supply rejection from above 10,470. Bearish.</w:t>
      </w:r>
    </w:p>
    <w:p>
      <w:pPr>
        <w:pStyle w:val="ListParagraph"/>
        <w:numPr>
          <w:ilvl w:val="0"/>
          <w:numId w:val="2"/>
        </w:numPr>
        <w:spacing w:after="40"/>
      </w:pPr>
      <w:r>
        <w:rPr>
          <w:rFonts w:ascii="Calibri" w:cs="Calibri" w:eastAsia="Calibri" w:hAnsi="Calibri"/>
          <w:sz w:val="20"/>
          <w:szCs w:val="20"/>
        </w:rPr>
        <w:t xml:space="preserve">Thu 4 Jun: small-bodied stabilisation (10,360 close) after testing 10,318; RSI2 ~9 marks short-term oversold. Neutral/transition.</w:t>
      </w:r>
    </w:p>
    <w:p>
      <w:pPr>
        <w:pStyle w:val="ListParagraph"/>
        <w:numPr>
          <w:ilvl w:val="0"/>
          <w:numId w:val="2"/>
        </w:numPr>
        <w:spacing w:after="40"/>
      </w:pPr>
      <w:r>
        <w:rPr>
          <w:rFonts w:ascii="Calibri" w:cs="Calibri" w:eastAsia="Calibri" w:hAnsi="Calibri"/>
          <w:sz w:val="20"/>
          <w:szCs w:val="20"/>
        </w:rPr>
        <w:t xml:space="preserve">Fri 5 Jun: modest bullish recovery to 10,368, closing near the upper half of its range; RSI2 snapped back to 100 — a sharp momentum oscillation typical of a market with no settled trend. Neutral-to-bullish.</w:t>
      </w:r>
    </w:p>
    <w:p>
      <w:pPr>
        <w:spacing w:after="120"/>
        <w:jc w:val="both"/>
      </w:pPr>
      <w:r>
        <w:rPr>
          <w:rFonts w:ascii="Calibri" w:cs="Calibri" w:eastAsia="Calibri" w:hAnsi="Calibri"/>
          <w:b/>
          <w:bCs/>
          <w:sz w:val="20"/>
          <w:szCs w:val="20"/>
        </w:rPr>
        <w:t xml:space="preserve">Sequence assessment: </w:t>
      </w:r>
      <w:r>
        <w:rPr>
          <w:rFonts w:ascii="Calibri" w:cs="Calibri" w:eastAsia="Calibri" w:hAnsi="Calibri"/>
          <w:sz w:val="20"/>
          <w:szCs w:val="20"/>
        </w:rPr>
        <w:t xml:space="preserve">Indecision / compression. </w:t>
      </w:r>
      <w:r>
        <w:rPr>
          <w:rFonts w:ascii="Calibri" w:cs="Calibri" w:eastAsia="Calibri" w:hAnsi="Calibri"/>
          <w:sz w:val="20"/>
          <w:szCs w:val="20"/>
        </w:rPr>
        <w:t xml:space="preserve">Ranges overlap heavily, direction alternates day to day, and RSI2 has whipsawed between 9 and 100 inside one week — the signature of a market rotating within a band rather than trending.</w:t>
      </w:r>
    </w:p>
    <w:p>
      <w:pPr>
        <w:spacing w:after="120"/>
        <w:jc w:val="both"/>
      </w:pPr>
      <w:r>
        <w:rPr>
          <w:rFonts w:ascii="Calibri" w:cs="Calibri" w:eastAsia="Calibri" w:hAnsi="Calibri"/>
          <w:b/>
          <w:bCs/>
          <w:sz w:val="20"/>
          <w:szCs w:val="20"/>
        </w:rPr>
        <w:t xml:space="preserve">Nearest support / resistance (from the 5-day structure): </w:t>
      </w:r>
      <w:r>
        <w:rPr>
          <w:rFonts w:ascii="Calibri" w:cs="Calibri" w:eastAsia="Calibri" w:hAnsi="Calibri"/>
          <w:sz w:val="20"/>
          <w:szCs w:val="20"/>
        </w:rPr>
        <w:t xml:space="preserve">support 10,318 (Thu low) then 10,331 (Fri low); resistance 10,470 (Wed high) then 10,455 (Tue high). </w:t>
      </w:r>
      <w:r>
        <w:rPr>
          <w:rFonts w:ascii="Calibri" w:cs="Calibri" w:eastAsia="Calibri" w:hAnsi="Calibri"/>
          <w:b/>
          <w:bCs/>
          <w:sz w:val="20"/>
          <w:szCs w:val="20"/>
        </w:rPr>
        <w:t xml:space="preserve">Judgement label: </w:t>
      </w:r>
      <w:r>
        <w:rPr>
          <w:rFonts w:ascii="Calibri" w:cs="Calibri" w:eastAsia="Calibri" w:hAnsi="Calibri"/>
          <w:b/>
          <w:bCs/>
          <w:sz w:val="20"/>
          <w:szCs w:val="20"/>
        </w:rPr>
        <w:t xml:space="preserve">Indecision.</w:t>
      </w:r>
    </w:p>
    <w:p>
      <w:pPr>
        <w:spacing w:after="120"/>
        <w:jc w:val="both"/>
      </w:pPr>
      <w:r>
        <w:rPr>
          <w:rFonts w:ascii="Calibri" w:cs="Calibri" w:eastAsia="Calibri" w:hAnsi="Calibri"/>
          <w:sz w:val="20"/>
          <w:szCs w:val="20"/>
        </w:rPr>
        <w:t xml:space="preserve">This is consistent with the medium-term regime in §9 (range-bound / transitional).</w:t>
      </w:r>
    </w:p>
    <w:p>
      <w:pPr>
        <w:pStyle w:val="Heading1"/>
        <w:pBdr>
          <w:bottom w:val="single" w:color="1F3864" w:sz="6" w:space="2"/>
        </w:pBdr>
        <w:shd w:fill="1F3864" w:val="clear"/>
        <w:spacing w:after="120" w:before="240"/>
      </w:pPr>
      <w:r>
        <w:rPr>
          <w:rFonts w:ascii="Calibri" w:cs="Calibri" w:eastAsia="Calibri" w:hAnsi="Calibri"/>
          <w:b/>
          <w:bCs/>
          <w:color w:val="FFFFFF"/>
          <w:sz w:val="26"/>
          <w:szCs w:val="26"/>
        </w:rPr>
        <w:t xml:space="preserve">9 · Medium-Term Regime &amp; VOLator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Metric</w:t>
            </w:r>
          </w:p>
        </w:tc>
        <w:tc>
          <w:tcPr>
            <w:tcW w:type="dxa" w:w="22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Value</w:t>
            </w:r>
          </w:p>
        </w:tc>
        <w:tc>
          <w:tcPr>
            <w:tcW w:type="dxa" w:w="416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Read</w:t>
            </w:r>
          </w:p>
        </w:tc>
      </w:tr>
      <w:tr>
        <w:tc>
          <w:tcPr>
            <w:tcW w:type="dxa" w:w="3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Overlap ratio</w:t>
            </w:r>
          </w:p>
        </w:tc>
        <w:tc>
          <w:tcPr>
            <w:tcW w:type="dxa" w:w="22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0.75</w:t>
            </w:r>
          </w:p>
        </w:tc>
        <w:tc>
          <w:tcPr>
            <w:tcW w:type="dxa" w:w="41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&gt; 0.55 → range-bound</w:t>
            </w:r>
          </w:p>
        </w:tc>
      </w:tr>
      <w:tr>
        <w:tc>
          <w:tcPr>
            <w:tcW w:type="dxa" w:w="3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Directional persistence</w:t>
            </w:r>
          </w:p>
        </w:tc>
        <w:tc>
          <w:tcPr>
            <w:tcW w:type="dxa" w:w="22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0.56</w:t>
            </w:r>
          </w:p>
        </w:tc>
        <w:tc>
          <w:tcPr>
            <w:tcW w:type="dxa" w:w="41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~0.56 → weak/mixed</w:t>
            </w:r>
          </w:p>
        </w:tc>
      </w:tr>
      <w:tr>
        <w:tc>
          <w:tcPr>
            <w:tcW w:type="dxa" w:w="3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Range position</w:t>
            </w:r>
          </w:p>
        </w:tc>
        <w:tc>
          <w:tcPr>
            <w:tcW w:type="dxa" w:w="22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25%</w:t>
            </w:r>
          </w:p>
        </w:tc>
        <w:tc>
          <w:tcPr>
            <w:tcW w:type="dxa" w:w="41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Lower third → range-bottom bias</w:t>
            </w:r>
          </w:p>
        </w:tc>
      </w:tr>
      <w:tr>
        <w:tc>
          <w:tcPr>
            <w:tcW w:type="dxa" w:w="3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Median RSI2</w:t>
            </w:r>
          </w:p>
        </w:tc>
        <w:tc>
          <w:tcPr>
            <w:tcW w:type="dxa" w:w="22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~50</w:t>
            </w:r>
          </w:p>
        </w:tc>
        <w:tc>
          <w:tcPr>
            <w:tcW w:type="dxa" w:w="41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Oscillating, no trend</w:t>
            </w:r>
          </w:p>
        </w:tc>
      </w:tr>
      <w:tr>
        <w:tc>
          <w:tcPr>
            <w:tcW w:type="dxa" w:w="3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VOLator slope (FTSE)</w:t>
            </w:r>
          </w:p>
        </w:tc>
        <w:tc>
          <w:tcPr>
            <w:tcW w:type="dxa" w:w="22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+0.30</w:t>
            </w:r>
          </w:p>
        </w:tc>
        <w:tc>
          <w:tcPr>
            <w:tcW w:type="dxa" w:w="41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Expanding volatility</w:t>
            </w:r>
          </w:p>
        </w:tc>
      </w:tr>
      <w:tr>
        <w:tc>
          <w:tcPr>
            <w:tcW w:type="dxa" w:w="3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Kaufman KER (-0.19)</w:t>
            </w:r>
          </w:p>
        </w:tc>
        <w:tc>
          <w:tcPr>
            <w:tcW w:type="dxa" w:w="22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Trending Down — Strong</w:t>
            </w:r>
          </w:p>
        </w:tc>
        <w:tc>
          <w:tcPr>
            <w:tcW w:type="dxa" w:w="41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Negative drift</w:t>
            </w:r>
          </w:p>
        </w:tc>
      </w:tr>
    </w:tbl>
    <w:p>
      <w:pPr>
        <w:spacing w:after="120"/>
        <w:jc w:val="both"/>
      </w:pPr>
      <w:r>
        <w:rPr>
          <w:rFonts w:ascii="Calibri" w:cs="Calibri" w:eastAsia="Calibri" w:hAnsi="Calibri"/>
          <w:b/>
          <w:bCs/>
          <w:sz w:val="20"/>
          <w:szCs w:val="20"/>
        </w:rPr>
        <w:t xml:space="preserve">Regime classification: </w:t>
      </w:r>
      <w:r>
        <w:rPr>
          <w:rFonts w:ascii="Calibri" w:cs="Calibri" w:eastAsia="Calibri" w:hAnsi="Calibri"/>
          <w:b/>
          <w:bCs/>
          <w:sz w:val="20"/>
          <w:szCs w:val="20"/>
        </w:rPr>
        <w:t xml:space="preserve">Transitional. </w:t>
      </w:r>
      <w:r>
        <w:rPr>
          <w:rFonts w:ascii="Calibri" w:cs="Calibri" w:eastAsia="Calibri" w:hAnsi="Calibri"/>
          <w:sz w:val="20"/>
          <w:szCs w:val="20"/>
        </w:rPr>
        <w:t xml:space="preserve">High overlap and lower-third range position argue range-bound, but expanding VOLator slope and a strong-negative Kaufman read pull toward an incipient downside trend — the two gates disagree, which is the definition of a transition. Bias: mildly bearish/neutral. </w:t>
      </w:r>
    </w:p>
    <w:p>
      <w:pPr>
        <w:spacing w:after="120"/>
        <w:jc w:val="both"/>
      </w:pPr>
      <w:r>
        <w:rPr>
          <w:rFonts w:ascii="Calibri" w:cs="Calibri" w:eastAsia="Calibri" w:hAnsi="Calibri"/>
          <w:b/>
          <w:bCs/>
          <w:sz w:val="20"/>
          <w:szCs w:val="20"/>
        </w:rPr>
        <w:t xml:space="preserve">VOLator current readings (scaled −1…+1): </w:t>
      </w:r>
      <w:r>
        <w:rPr>
          <w:rFonts w:ascii="Calibri" w:cs="Calibri" w:eastAsia="Calibri" w:hAnsi="Calibri"/>
          <w:sz w:val="20"/>
          <w:szCs w:val="20"/>
        </w:rPr>
        <w:t xml:space="preserve">FTSE ~+0.30 (expanding), USDX ~+0.55 (expanding, risk-off signal), S&amp;P 500 ~+0.85 (sharp expansion on the US tech sell-off), DAX ~+0.40, EURO STOXX 50 ~+0.25. </w:t>
      </w:r>
    </w:p>
    <w:p>
      <w:pPr>
        <w:spacing w:after="120"/>
        <w:jc w:val="both"/>
      </w:pPr>
      <w:r>
        <w:rPr>
          <w:rFonts w:ascii="Calibri" w:cs="Calibri" w:eastAsia="Calibri" w:hAnsi="Calibri"/>
          <w:b/>
          <w:bCs/>
          <w:sz w:val="20"/>
          <w:szCs w:val="20"/>
        </w:rPr>
        <w:t xml:space="preserve">Preferred trade protocol: </w:t>
      </w:r>
      <w:r>
        <w:rPr>
          <w:rFonts w:ascii="Calibri" w:cs="Calibri" w:eastAsia="Calibri" w:hAnsi="Calibri"/>
          <w:sz w:val="20"/>
          <w:szCs w:val="20"/>
        </w:rPr>
        <w:t xml:space="preserve">Reduced conviction — wait for confirmation before committing directionally; favour level-based (pivot) and confirmed-break (breakout) structures over outright directional bets. </w:t>
      </w:r>
      <w:r>
        <w:rPr>
          <w:rFonts w:ascii="Calibri" w:cs="Calibri" w:eastAsia="Calibri" w:hAnsi="Calibri"/>
          <w:b/>
          <w:bCs/>
          <w:sz w:val="20"/>
          <w:szCs w:val="20"/>
        </w:rPr>
        <w:t xml:space="preserve">Kaufman confirmation: </w:t>
      </w:r>
      <w:r>
        <w:rPr>
          <w:rFonts w:ascii="Calibri" w:cs="Calibri" w:eastAsia="Calibri" w:hAnsi="Calibri"/>
          <w:sz w:val="20"/>
          <w:szCs w:val="20"/>
        </w:rPr>
        <w:t xml:space="preserve">KER (-0.19, Trending Down — Strong) contradicts the range read; under the transition rule neither gate dominates, so the consolidated regime label is TRANSITION.</w:t>
      </w:r>
    </w:p>
    <w:p>
      <w:pPr>
        <w:pStyle w:val="Heading1"/>
        <w:pBdr>
          <w:bottom w:val="single" w:color="1F3864" w:sz="6" w:space="2"/>
        </w:pBdr>
        <w:shd w:fill="1F3864" w:val="clear"/>
        <w:spacing w:after="120" w:before="240"/>
      </w:pPr>
      <w:r>
        <w:rPr>
          <w:rFonts w:ascii="Calibri" w:cs="Calibri" w:eastAsia="Calibri" w:hAnsi="Calibri"/>
          <w:b/>
          <w:bCs/>
          <w:color w:val="FFFFFF"/>
          <w:sz w:val="26"/>
          <w:szCs w:val="26"/>
        </w:rPr>
        <w:t xml:space="preserve">10 ·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2700"/>
        <w:gridCol w:w="1250"/>
        <w:gridCol w:w="2660"/>
      </w:tblGrid>
      <w:tr>
        <w:trPr>
          <w:tblHeader/>
        </w:trPr>
        <w:tc>
          <w:tcPr>
            <w:tcW w:type="dxa" w:w="15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Counter</w:t>
            </w:r>
          </w:p>
        </w:tc>
        <w:tc>
          <w:tcPr>
            <w:tcW w:type="dxa" w:w="125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5-day</w:t>
            </w:r>
          </w:p>
        </w:tc>
        <w:tc>
          <w:tcPr>
            <w:tcW w:type="dxa" w:w="27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Mechanism</w:t>
            </w:r>
          </w:p>
        </w:tc>
        <w:tc>
          <w:tcPr>
            <w:tcW w:type="dxa" w:w="125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Status</w:t>
            </w:r>
          </w:p>
        </w:tc>
        <w:tc>
          <w:tcPr>
            <w:tcW w:type="dxa" w:w="266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Implication for FTSE</w:t>
            </w:r>
          </w:p>
        </w:tc>
      </w:tr>
      <w:tr>
        <w:tc>
          <w:tcPr>
            <w:tcW w:type="dxa" w:w="15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Dollar Index (USDX)</w:t>
            </w:r>
          </w:p>
        </w:tc>
        <w:tc>
          <w:tcPr>
            <w:tcW w:type="dxa" w:w="125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Rising (~100.1)</w:t>
            </w:r>
          </w:p>
        </w:tc>
        <w:tc>
          <w:tcPr>
            <w:tcW w:type="dxa" w:w="27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Stronger USD tightens global financial conditions; but a weaker GBP lifts FTSE multinationals' translated earnings</w:t>
            </w:r>
          </w:p>
        </w:tc>
        <w:tc>
          <w:tcPr>
            <w:tcW w:type="dxa" w:w="125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Mixed</w:t>
            </w:r>
          </w:p>
        </w:tc>
        <w:tc>
          <w:tcPr>
            <w:tcW w:type="dxa" w:w="26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Two-sided: risk-off headwind vs translation tailwind for ~80% overseas earners</w:t>
            </w:r>
          </w:p>
        </w:tc>
      </w:tr>
      <w:tr>
        <w:tc>
          <w:tcPr>
            <w:tcW w:type="dxa" w:w="15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S&amp;P 500</w:t>
            </w:r>
          </w:p>
        </w:tc>
        <w:tc>
          <w:tcPr>
            <w:tcW w:type="dxa" w:w="125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Falling (−2.6% Fri; tech rout)</w:t>
            </w:r>
          </w:p>
        </w:tc>
        <w:tc>
          <w:tcPr>
            <w:tcW w:type="dxa" w:w="27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Common-factor risk beta; US risk-off spills into European equities</w:t>
            </w:r>
          </w:p>
        </w:tc>
        <w:tc>
          <w:tcPr>
            <w:tcW w:type="dxa" w:w="125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Confirms (caution)</w:t>
            </w:r>
          </w:p>
        </w:tc>
        <w:tc>
          <w:tcPr>
            <w:tcW w:type="dxa" w:w="26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Reinforces the defensive, risk-off tone capping FTSE upside</w:t>
            </w:r>
          </w:p>
        </w:tc>
      </w:tr>
      <w:tr>
        <w:tc>
          <w:tcPr>
            <w:tcW w:type="dxa" w:w="15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DAX 40</w:t>
            </w:r>
          </w:p>
        </w:tc>
        <w:tc>
          <w:tcPr>
            <w:tcW w:type="dxa" w:w="125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Falling (−0.75%)</w:t>
            </w:r>
          </w:p>
        </w:tc>
        <w:tc>
          <w:tcPr>
            <w:tcW w:type="dxa" w:w="27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Industrials-heavy Eurozone proxy; shared macro factor</w:t>
            </w:r>
          </w:p>
        </w:tc>
        <w:tc>
          <w:tcPr>
            <w:tcW w:type="dxa" w:w="125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Confirms (caution)</w:t>
            </w:r>
          </w:p>
        </w:tc>
        <w:tc>
          <w:tcPr>
            <w:tcW w:type="dxa" w:w="26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Europe-wide softness consistent with FTSE's range-bottom drift</w:t>
            </w:r>
          </w:p>
        </w:tc>
      </w:tr>
      <w:tr>
        <w:tc>
          <w:tcPr>
            <w:tcW w:type="dxa" w:w="15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EURO STOXX 50</w:t>
            </w:r>
          </w:p>
        </w:tc>
        <w:tc>
          <w:tcPr>
            <w:tcW w:type="dxa" w:w="125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Flat/firmer (~6,044→6,080)</w:t>
            </w:r>
          </w:p>
        </w:tc>
        <w:tc>
          <w:tcPr>
            <w:tcW w:type="dxa" w:w="27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Eurozone large-cap pair; financials/utilities skew</w:t>
            </w:r>
          </w:p>
        </w:tc>
        <w:tc>
          <w:tcPr>
            <w:tcW w:type="dxa" w:w="125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Neutral/Contradicts</w:t>
            </w:r>
          </w:p>
        </w:tc>
        <w:tc>
          <w:tcPr>
            <w:tcW w:type="dxa" w:w="26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STOXX resilience vs FTSE softness — flagged divergence</w:t>
            </w:r>
          </w:p>
        </w:tc>
      </w:tr>
    </w:tbl>
    <w:p>
      <w:pPr>
        <w:spacing w:after="120"/>
        <w:jc w:val="both"/>
      </w:pPr>
      <w:r>
        <w:rPr>
          <w:rFonts w:ascii="Calibri" w:cs="Calibri" w:eastAsia="Calibri" w:hAnsi="Calibri"/>
          <w:b/>
          <w:bCs/>
          <w:color w:val="cf222e"/>
          <w:sz w:val="20"/>
          <w:szCs w:val="20"/>
        </w:rPr>
        <w:t xml:space="preserve">Contradiction flag: </w:t>
      </w:r>
      <w:r>
        <w:rPr>
          <w:rFonts w:ascii="Calibri" w:cs="Calibri" w:eastAsia="Calibri" w:hAnsi="Calibri"/>
          <w:sz w:val="20"/>
          <w:szCs w:val="20"/>
        </w:rPr>
        <w:t xml:space="preserve">EURO STOXX 50 firmed into 8 June (~+0.3%) while FTSE drifted to the lower third of its range — a mild cross-index divergence. Aggregating the active counters (one mixed, two confirming-caution, one neutral/contradict) yields a net </w:t>
      </w:r>
      <w:r>
        <w:rPr>
          <w:rFonts w:ascii="Calibri" w:cs="Calibri" w:eastAsia="Calibri" w:hAnsi="Calibri"/>
          <w:b/>
          <w:bCs/>
          <w:sz w:val="20"/>
          <w:szCs w:val="20"/>
        </w:rPr>
        <w:t xml:space="preserve">MIXED</w:t>
      </w:r>
      <w:r>
        <w:rPr>
          <w:rFonts w:ascii="Calibri" w:cs="Calibri" w:eastAsia="Calibri" w:hAnsi="Calibri"/>
          <w:sz w:val="20"/>
          <w:szCs w:val="20"/>
        </w:rPr>
        <w:t xml:space="preserve"> cross-asset confirmation, which enters the direction score at reduced weight.</w:t>
      </w:r>
    </w:p>
    <w:p>
      <w:pPr>
        <w:pStyle w:val="Heading1"/>
        <w:pBdr>
          <w:bottom w:val="single" w:color="1F3864" w:sz="6" w:space="2"/>
        </w:pBdr>
        <w:shd w:fill="1F3864" w:val="clear"/>
        <w:spacing w:after="120" w:before="240"/>
      </w:pPr>
      <w:r>
        <w:rPr>
          <w:rFonts w:ascii="Calibri" w:cs="Calibri" w:eastAsia="Calibri" w:hAnsi="Calibri"/>
          <w:b/>
          <w:bCs/>
          <w:color w:val="FFFFFF"/>
          <w:sz w:val="26"/>
          <w:szCs w:val="26"/>
        </w:rPr>
        <w:t xml:space="preserve">11 · Floor Pivot Analysis</w:t>
      </w:r>
    </w:p>
    <w:p>
      <w:pPr>
        <w:pStyle w:val="Heading2"/>
        <w:spacing w:after="80" w:before="160"/>
      </w:pPr>
      <w:r>
        <w:rPr>
          <w:rFonts w:ascii="Calibri" w:cs="Calibri" w:eastAsia="Calibri" w:hAnsi="Calibri"/>
          <w:b/>
          <w:bCs/>
          <w:color w:val="1F3864"/>
          <w:sz w:val="22"/>
          <w:szCs w:val="22"/>
        </w:rPr>
        <w:t xml:space="preserve">Daily pivots (from prior session H/L/C — single-source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rPr>
          <w:tblHeader/>
        </w:trPr>
        <w:tc>
          <w:tcPr>
            <w:tcW w:type="dxa" w:w="20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Level</w:t>
            </w:r>
          </w:p>
        </w:tc>
        <w:tc>
          <w:tcPr>
            <w:tcW w:type="dxa" w:w="268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Price</w:t>
            </w:r>
          </w:p>
        </w:tc>
        <w:tc>
          <w:tcPr>
            <w:tcW w:type="dxa" w:w="468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Source status</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bCs/>
                <w:color w:val="cf222e"/>
                <w:sz w:val="18"/>
                <w:szCs w:val="18"/>
              </w:rPr>
              <w:t xml:space="preserve">R5</w:t>
            </w:r>
          </w:p>
        </w:tc>
        <w:tc>
          <w:tcPr>
            <w:tcW w:type="dxa" w:w="2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10607.11</w:t>
            </w:r>
          </w:p>
        </w:tc>
        <w:tc>
          <w:tcPr>
            <w:tcW w:type="dxa" w:w="4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bCs/>
                <w:color w:val="cf222e"/>
                <w:sz w:val="18"/>
                <w:szCs w:val="18"/>
              </w:rPr>
              <w:t xml:space="preserve">R4</w:t>
            </w:r>
          </w:p>
        </w:tc>
        <w:tc>
          <w:tcPr>
            <w:tcW w:type="dxa" w:w="2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10536.01</w:t>
            </w:r>
          </w:p>
        </w:tc>
        <w:tc>
          <w:tcPr>
            <w:tcW w:type="dxa" w:w="4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bCs/>
                <w:color w:val="cf222e"/>
                <w:sz w:val="18"/>
                <w:szCs w:val="18"/>
              </w:rPr>
              <w:t xml:space="preserve">R3</w:t>
            </w:r>
          </w:p>
        </w:tc>
        <w:tc>
          <w:tcPr>
            <w:tcW w:type="dxa" w:w="2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10464.91</w:t>
            </w:r>
          </w:p>
        </w:tc>
        <w:tc>
          <w:tcPr>
            <w:tcW w:type="dxa" w:w="4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bCs/>
                <w:color w:val="cf222e"/>
                <w:sz w:val="18"/>
                <w:szCs w:val="18"/>
              </w:rPr>
              <w:t xml:space="preserve">R2</w:t>
            </w:r>
          </w:p>
        </w:tc>
        <w:tc>
          <w:tcPr>
            <w:tcW w:type="dxa" w:w="2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10427.31</w:t>
            </w:r>
          </w:p>
        </w:tc>
        <w:tc>
          <w:tcPr>
            <w:tcW w:type="dxa" w:w="4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bCs/>
                <w:color w:val="cf222e"/>
                <w:sz w:val="18"/>
                <w:szCs w:val="18"/>
              </w:rPr>
              <w:t xml:space="preserve">R1</w:t>
            </w:r>
          </w:p>
        </w:tc>
        <w:tc>
          <w:tcPr>
            <w:tcW w:type="dxa" w:w="2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10393.81</w:t>
            </w:r>
          </w:p>
        </w:tc>
        <w:tc>
          <w:tcPr>
            <w:tcW w:type="dxa" w:w="4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bCs/>
                <w:color w:val="bc4c00"/>
                <w:sz w:val="18"/>
                <w:szCs w:val="18"/>
              </w:rPr>
              <w:t xml:space="preserve">P</w:t>
            </w:r>
          </w:p>
        </w:tc>
        <w:tc>
          <w:tcPr>
            <w:tcW w:type="dxa" w:w="2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10356.21</w:t>
            </w:r>
          </w:p>
        </w:tc>
        <w:tc>
          <w:tcPr>
            <w:tcW w:type="dxa" w:w="4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bCs/>
                <w:color w:val="1a7f37"/>
                <w:sz w:val="18"/>
                <w:szCs w:val="18"/>
              </w:rPr>
              <w:t xml:space="preserve">S1</w:t>
            </w:r>
          </w:p>
        </w:tc>
        <w:tc>
          <w:tcPr>
            <w:tcW w:type="dxa" w:w="2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10322.71</w:t>
            </w:r>
          </w:p>
        </w:tc>
        <w:tc>
          <w:tcPr>
            <w:tcW w:type="dxa" w:w="4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bCs/>
                <w:color w:val="1a7f37"/>
                <w:sz w:val="18"/>
                <w:szCs w:val="18"/>
              </w:rPr>
              <w:t xml:space="preserve">S2</w:t>
            </w:r>
          </w:p>
        </w:tc>
        <w:tc>
          <w:tcPr>
            <w:tcW w:type="dxa" w:w="2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10285.11</w:t>
            </w:r>
          </w:p>
        </w:tc>
        <w:tc>
          <w:tcPr>
            <w:tcW w:type="dxa" w:w="4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bCs/>
                <w:color w:val="1a7f37"/>
                <w:sz w:val="18"/>
                <w:szCs w:val="18"/>
              </w:rPr>
              <w:t xml:space="preserve">S3</w:t>
            </w:r>
          </w:p>
        </w:tc>
        <w:tc>
          <w:tcPr>
            <w:tcW w:type="dxa" w:w="2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10251.61</w:t>
            </w:r>
          </w:p>
        </w:tc>
        <w:tc>
          <w:tcPr>
            <w:tcW w:type="dxa" w:w="4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bCs/>
                <w:color w:val="1a7f37"/>
                <w:sz w:val="18"/>
                <w:szCs w:val="18"/>
              </w:rPr>
              <w:t xml:space="preserve">S4</w:t>
            </w:r>
          </w:p>
        </w:tc>
        <w:tc>
          <w:tcPr>
            <w:tcW w:type="dxa" w:w="2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10180.51</w:t>
            </w:r>
          </w:p>
        </w:tc>
        <w:tc>
          <w:tcPr>
            <w:tcW w:type="dxa" w:w="4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bCs/>
                <w:color w:val="1a7f37"/>
                <w:sz w:val="18"/>
                <w:szCs w:val="18"/>
              </w:rPr>
              <w:t xml:space="preserve">S5</w:t>
            </w:r>
          </w:p>
        </w:tc>
        <w:tc>
          <w:tcPr>
            <w:tcW w:type="dxa" w:w="2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10109.41</w:t>
            </w:r>
          </w:p>
        </w:tc>
        <w:tc>
          <w:tcPr>
            <w:tcW w:type="dxa" w:w="4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bl>
    <w:p>
      <w:pPr>
        <w:pStyle w:val="Heading2"/>
        <w:spacing w:after="80" w:before="160"/>
      </w:pPr>
      <w:r>
        <w:rPr>
          <w:rFonts w:ascii="Calibri" w:cs="Calibri" w:eastAsia="Calibri" w:hAnsi="Calibri"/>
          <w:b/>
          <w:bCs/>
          <w:color w:val="1F3864"/>
          <w:sz w:val="22"/>
          <w:szCs w:val="22"/>
        </w:rPr>
        <w:t xml:space="preserve">Weekly pivots (prior week —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rPr>
          <w:tblHeader/>
        </w:trPr>
        <w:tc>
          <w:tcPr>
            <w:tcW w:type="dxa" w:w="20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Level</w:t>
            </w:r>
          </w:p>
        </w:tc>
        <w:tc>
          <w:tcPr>
            <w:tcW w:type="dxa" w:w="268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Price</w:t>
            </w:r>
          </w:p>
        </w:tc>
        <w:tc>
          <w:tcPr>
            <w:tcW w:type="dxa" w:w="468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Source status</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bCs/>
                <w:color w:val="cf222e"/>
                <w:sz w:val="18"/>
                <w:szCs w:val="18"/>
              </w:rPr>
              <w:t xml:space="preserve">R5</w:t>
            </w:r>
          </w:p>
        </w:tc>
        <w:tc>
          <w:tcPr>
            <w:tcW w:type="dxa" w:w="2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10904.67</w:t>
            </w:r>
          </w:p>
        </w:tc>
        <w:tc>
          <w:tcPr>
            <w:tcW w:type="dxa" w:w="4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bCs/>
                <w:color w:val="cf222e"/>
                <w:sz w:val="18"/>
                <w:szCs w:val="18"/>
              </w:rPr>
              <w:t xml:space="preserve">R4</w:t>
            </w:r>
          </w:p>
        </w:tc>
        <w:tc>
          <w:tcPr>
            <w:tcW w:type="dxa" w:w="2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10768.67</w:t>
            </w:r>
          </w:p>
        </w:tc>
        <w:tc>
          <w:tcPr>
            <w:tcW w:type="dxa" w:w="4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bCs/>
                <w:color w:val="cf222e"/>
                <w:sz w:val="18"/>
                <w:szCs w:val="18"/>
              </w:rPr>
              <w:t xml:space="preserve">R3</w:t>
            </w:r>
          </w:p>
        </w:tc>
        <w:tc>
          <w:tcPr>
            <w:tcW w:type="dxa" w:w="2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10632.67</w:t>
            </w:r>
          </w:p>
        </w:tc>
        <w:tc>
          <w:tcPr>
            <w:tcW w:type="dxa" w:w="4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bCs/>
                <w:color w:val="cf222e"/>
                <w:sz w:val="18"/>
                <w:szCs w:val="18"/>
              </w:rPr>
              <w:t xml:space="preserve">R2</w:t>
            </w:r>
          </w:p>
        </w:tc>
        <w:tc>
          <w:tcPr>
            <w:tcW w:type="dxa" w:w="2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10560.33</w:t>
            </w:r>
          </w:p>
        </w:tc>
        <w:tc>
          <w:tcPr>
            <w:tcW w:type="dxa" w:w="4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bCs/>
                <w:color w:val="cf222e"/>
                <w:sz w:val="18"/>
                <w:szCs w:val="18"/>
              </w:rPr>
              <w:t xml:space="preserve">R1</w:t>
            </w:r>
          </w:p>
        </w:tc>
        <w:tc>
          <w:tcPr>
            <w:tcW w:type="dxa" w:w="2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10496.67</w:t>
            </w:r>
          </w:p>
        </w:tc>
        <w:tc>
          <w:tcPr>
            <w:tcW w:type="dxa" w:w="4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bCs/>
                <w:color w:val="bc4c00"/>
                <w:sz w:val="18"/>
                <w:szCs w:val="18"/>
              </w:rPr>
              <w:t xml:space="preserve">P</w:t>
            </w:r>
          </w:p>
        </w:tc>
        <w:tc>
          <w:tcPr>
            <w:tcW w:type="dxa" w:w="2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10424.33</w:t>
            </w:r>
          </w:p>
        </w:tc>
        <w:tc>
          <w:tcPr>
            <w:tcW w:type="dxa" w:w="4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bCs/>
                <w:color w:val="1a7f37"/>
                <w:sz w:val="18"/>
                <w:szCs w:val="18"/>
              </w:rPr>
              <w:t xml:space="preserve">S1</w:t>
            </w:r>
          </w:p>
        </w:tc>
        <w:tc>
          <w:tcPr>
            <w:tcW w:type="dxa" w:w="2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10360.67</w:t>
            </w:r>
          </w:p>
        </w:tc>
        <w:tc>
          <w:tcPr>
            <w:tcW w:type="dxa" w:w="4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bCs/>
                <w:color w:val="1a7f37"/>
                <w:sz w:val="18"/>
                <w:szCs w:val="18"/>
              </w:rPr>
              <w:t xml:space="preserve">S2</w:t>
            </w:r>
          </w:p>
        </w:tc>
        <w:tc>
          <w:tcPr>
            <w:tcW w:type="dxa" w:w="2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10288.33</w:t>
            </w:r>
          </w:p>
        </w:tc>
        <w:tc>
          <w:tcPr>
            <w:tcW w:type="dxa" w:w="4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bCs/>
                <w:color w:val="1a7f37"/>
                <w:sz w:val="18"/>
                <w:szCs w:val="18"/>
              </w:rPr>
              <w:t xml:space="preserve">S3</w:t>
            </w:r>
          </w:p>
        </w:tc>
        <w:tc>
          <w:tcPr>
            <w:tcW w:type="dxa" w:w="2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10224.67</w:t>
            </w:r>
          </w:p>
        </w:tc>
        <w:tc>
          <w:tcPr>
            <w:tcW w:type="dxa" w:w="4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bCs/>
                <w:color w:val="1a7f37"/>
                <w:sz w:val="18"/>
                <w:szCs w:val="18"/>
              </w:rPr>
              <w:t xml:space="preserve">S4</w:t>
            </w:r>
          </w:p>
        </w:tc>
        <w:tc>
          <w:tcPr>
            <w:tcW w:type="dxa" w:w="2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10088.67</w:t>
            </w:r>
          </w:p>
        </w:tc>
        <w:tc>
          <w:tcPr>
            <w:tcW w:type="dxa" w:w="4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bCs/>
                <w:color w:val="1a7f37"/>
                <w:sz w:val="18"/>
                <w:szCs w:val="18"/>
              </w:rPr>
              <w:t xml:space="preserve">S5</w:t>
            </w:r>
          </w:p>
        </w:tc>
        <w:tc>
          <w:tcPr>
            <w:tcW w:type="dxa" w:w="2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9952.67</w:t>
            </w:r>
          </w:p>
        </w:tc>
        <w:tc>
          <w:tcPr>
            <w:tcW w:type="dxa" w:w="4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bl>
    <w:p>
      <w:pPr>
        <w:pStyle w:val="Heading2"/>
        <w:spacing w:after="80" w:before="160"/>
      </w:pPr>
      <w:r>
        <w:rPr>
          <w:rFonts w:ascii="Calibri" w:cs="Calibri" w:eastAsia="Calibri" w:hAnsi="Calibri"/>
          <w:b/>
          <w:bCs/>
          <w:color w:val="1F3864"/>
          <w:sz w:val="22"/>
          <w:szCs w:val="22"/>
        </w:rPr>
        <w:t xml:space="preserve">Monthly pivots (prior month —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rPr>
          <w:tblHeader/>
        </w:trPr>
        <w:tc>
          <w:tcPr>
            <w:tcW w:type="dxa" w:w="20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Level</w:t>
            </w:r>
          </w:p>
        </w:tc>
        <w:tc>
          <w:tcPr>
            <w:tcW w:type="dxa" w:w="268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Price</w:t>
            </w:r>
          </w:p>
        </w:tc>
        <w:tc>
          <w:tcPr>
            <w:tcW w:type="dxa" w:w="468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Source status</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bCs/>
                <w:color w:val="cf222e"/>
                <w:sz w:val="18"/>
                <w:szCs w:val="18"/>
              </w:rPr>
              <w:t xml:space="preserve">R5</w:t>
            </w:r>
          </w:p>
        </w:tc>
        <w:tc>
          <w:tcPr>
            <w:tcW w:type="dxa" w:w="2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13971.33</w:t>
            </w:r>
          </w:p>
        </w:tc>
        <w:tc>
          <w:tcPr>
            <w:tcW w:type="dxa" w:w="4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bCs/>
                <w:color w:val="cf222e"/>
                <w:sz w:val="18"/>
                <w:szCs w:val="18"/>
              </w:rPr>
              <w:t xml:space="preserve">R4</w:t>
            </w:r>
          </w:p>
        </w:tc>
        <w:tc>
          <w:tcPr>
            <w:tcW w:type="dxa" w:w="2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12993.33</w:t>
            </w:r>
          </w:p>
        </w:tc>
        <w:tc>
          <w:tcPr>
            <w:tcW w:type="dxa" w:w="4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bCs/>
                <w:color w:val="cf222e"/>
                <w:sz w:val="18"/>
                <w:szCs w:val="18"/>
              </w:rPr>
              <w:t xml:space="preserve">R3</w:t>
            </w:r>
          </w:p>
        </w:tc>
        <w:tc>
          <w:tcPr>
            <w:tcW w:type="dxa" w:w="2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12015.33</w:t>
            </w:r>
          </w:p>
        </w:tc>
        <w:tc>
          <w:tcPr>
            <w:tcW w:type="dxa" w:w="4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bCs/>
                <w:color w:val="cf222e"/>
                <w:sz w:val="18"/>
                <w:szCs w:val="18"/>
              </w:rPr>
              <w:t xml:space="preserve">R2</w:t>
            </w:r>
          </w:p>
        </w:tc>
        <w:tc>
          <w:tcPr>
            <w:tcW w:type="dxa" w:w="2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11641.67</w:t>
            </w:r>
          </w:p>
        </w:tc>
        <w:tc>
          <w:tcPr>
            <w:tcW w:type="dxa" w:w="4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bCs/>
                <w:color w:val="cf222e"/>
                <w:sz w:val="18"/>
                <w:szCs w:val="18"/>
              </w:rPr>
              <w:t xml:space="preserve">R1</w:t>
            </w:r>
          </w:p>
        </w:tc>
        <w:tc>
          <w:tcPr>
            <w:tcW w:type="dxa" w:w="2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11037.33</w:t>
            </w:r>
          </w:p>
        </w:tc>
        <w:tc>
          <w:tcPr>
            <w:tcW w:type="dxa" w:w="4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bCs/>
                <w:color w:val="bc4c00"/>
                <w:sz w:val="18"/>
                <w:szCs w:val="18"/>
              </w:rPr>
              <w:t xml:space="preserve">P</w:t>
            </w:r>
          </w:p>
        </w:tc>
        <w:tc>
          <w:tcPr>
            <w:tcW w:type="dxa" w:w="2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10663.67</w:t>
            </w:r>
          </w:p>
        </w:tc>
        <w:tc>
          <w:tcPr>
            <w:tcW w:type="dxa" w:w="4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bCs/>
                <w:color w:val="1a7f37"/>
                <w:sz w:val="18"/>
                <w:szCs w:val="18"/>
              </w:rPr>
              <w:t xml:space="preserve">S1</w:t>
            </w:r>
          </w:p>
        </w:tc>
        <w:tc>
          <w:tcPr>
            <w:tcW w:type="dxa" w:w="2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10059.33</w:t>
            </w:r>
          </w:p>
        </w:tc>
        <w:tc>
          <w:tcPr>
            <w:tcW w:type="dxa" w:w="4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bCs/>
                <w:color w:val="1a7f37"/>
                <w:sz w:val="18"/>
                <w:szCs w:val="18"/>
              </w:rPr>
              <w:t xml:space="preserve">S2</w:t>
            </w:r>
          </w:p>
        </w:tc>
        <w:tc>
          <w:tcPr>
            <w:tcW w:type="dxa" w:w="2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9685.67</w:t>
            </w:r>
          </w:p>
        </w:tc>
        <w:tc>
          <w:tcPr>
            <w:tcW w:type="dxa" w:w="4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bCs/>
                <w:color w:val="1a7f37"/>
                <w:sz w:val="18"/>
                <w:szCs w:val="18"/>
              </w:rPr>
              <w:t xml:space="preserve">S3</w:t>
            </w:r>
          </w:p>
        </w:tc>
        <w:tc>
          <w:tcPr>
            <w:tcW w:type="dxa" w:w="2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9081.33</w:t>
            </w:r>
          </w:p>
        </w:tc>
        <w:tc>
          <w:tcPr>
            <w:tcW w:type="dxa" w:w="4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bCs/>
                <w:color w:val="1a7f37"/>
                <w:sz w:val="18"/>
                <w:szCs w:val="18"/>
              </w:rPr>
              <w:t xml:space="preserve">S4</w:t>
            </w:r>
          </w:p>
        </w:tc>
        <w:tc>
          <w:tcPr>
            <w:tcW w:type="dxa" w:w="2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8103.33</w:t>
            </w:r>
          </w:p>
        </w:tc>
        <w:tc>
          <w:tcPr>
            <w:tcW w:type="dxa" w:w="4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bCs/>
                <w:color w:val="1a7f37"/>
                <w:sz w:val="18"/>
                <w:szCs w:val="18"/>
              </w:rPr>
              <w:t xml:space="preserve">S5</w:t>
            </w:r>
          </w:p>
        </w:tc>
        <w:tc>
          <w:tcPr>
            <w:tcW w:type="dxa" w:w="2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7125.33</w:t>
            </w:r>
          </w:p>
        </w:tc>
        <w:tc>
          <w:tcPr>
            <w:tcW w:type="dxa" w:w="4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Indicative</w:t>
            </w:r>
          </w:p>
        </w:tc>
      </w:tr>
    </w:tbl>
    <w:p>
      <w:pPr>
        <w:spacing w:after="120"/>
        <w:jc w:val="both"/>
      </w:pPr>
      <w:r>
        <w:rPr>
          <w:rFonts w:ascii="Calibri" w:cs="Calibri" w:eastAsia="Calibri" w:hAnsi="Calibri"/>
          <w:b/>
          <w:bCs/>
          <w:sz w:val="20"/>
          <w:szCs w:val="20"/>
        </w:rPr>
        <w:t xml:space="preserve">Position narrative: </w:t>
      </w:r>
      <w:r>
        <w:rPr>
          <w:rFonts w:ascii="Calibri" w:cs="Calibri" w:eastAsia="Calibri" w:hAnsi="Calibri"/>
          <w:sz w:val="20"/>
          <w:szCs w:val="20"/>
        </w:rPr>
        <w:t xml:space="preserve">Friday's 10,368 close sits just above the daily pivot (10,356) and the weekly S1 (10,361), and below the weekly pivot (10,424). The cluster of daily P (10,356), weekly S1 (10,361) and Friday's low (10,331–10,360) forms a support shelf into 9 June; first resistance is daily R1 10,394 then daily R2 / weekly P confluence around 10,424–10,427. All pivot tiers are flagged single-source indicative (see §19), which constrains level-based execution per §21.</w:t>
      </w:r>
    </w:p>
    <w:p>
      <w:pPr>
        <w:pStyle w:val="Heading1"/>
        <w:pBdr>
          <w:bottom w:val="single" w:color="1F3864" w:sz="6" w:space="2"/>
        </w:pBdr>
        <w:shd w:fill="1F3864" w:val="clear"/>
        <w:spacing w:after="120" w:before="240"/>
      </w:pPr>
      <w:r>
        <w:rPr>
          <w:rFonts w:ascii="Calibri" w:cs="Calibri" w:eastAsia="Calibri" w:hAnsi="Calibri"/>
          <w:b/>
          <w:bCs/>
          <w:color w:val="FFFFFF"/>
          <w:sz w:val="26"/>
          <w:szCs w:val="26"/>
        </w:rPr>
        <w:t xml:space="preserve">12 · Key Market Considerations</w:t>
      </w:r>
    </w:p>
    <w:p>
      <w:pPr>
        <w:spacing w:after="120"/>
        <w:jc w:val="both"/>
      </w:pPr>
      <w:r>
        <w:rPr>
          <w:rFonts w:ascii="Calibri" w:cs="Calibri" w:eastAsia="Calibri" w:hAnsi="Calibri"/>
          <w:b/>
          <w:bCs/>
          <w:sz w:val="20"/>
          <w:szCs w:val="20"/>
        </w:rPr>
        <w:t xml:space="preserve">Sector supply/leadership — </w:t>
      </w:r>
      <w:r>
        <w:rPr>
          <w:rFonts w:ascii="Calibri" w:cs="Calibri" w:eastAsia="Calibri" w:hAnsi="Calibri"/>
          <w:sz w:val="20"/>
          <w:szCs w:val="20"/>
        </w:rPr>
        <w:t xml:space="preserve">Defensive sectors (pharma, staples, tobacco) are absorbing capital rotating out of cyclicals and miners; structural support for the index floor. Price-supportive (cyclical).</w:t>
      </w:r>
    </w:p>
    <w:p>
      <w:pPr>
        <w:spacing w:after="120"/>
        <w:jc w:val="both"/>
      </w:pPr>
      <w:r>
        <w:rPr>
          <w:rFonts w:ascii="Calibri" w:cs="Calibri" w:eastAsia="Calibri" w:hAnsi="Calibri"/>
          <w:b/>
          <w:bCs/>
          <w:sz w:val="20"/>
          <w:szCs w:val="20"/>
        </w:rPr>
        <w:t xml:space="preserve">Mining drag — </w:t>
      </w:r>
      <w:r>
        <w:rPr>
          <w:rFonts w:ascii="Calibri" w:cs="Calibri" w:eastAsia="Calibri" w:hAnsi="Calibri"/>
          <w:sz w:val="20"/>
          <w:szCs w:val="20"/>
        </w:rPr>
        <w:t xml:space="preserve">Rio Tinto −3.1%, Antofagasta −5.3%, Fresnillo −5.7% on Friday; a heavy weight on the index given FTSE's resources tilt. Price-negative (cyclical).</w:t>
      </w:r>
    </w:p>
    <w:p>
      <w:pPr>
        <w:spacing w:after="120"/>
        <w:jc w:val="both"/>
      </w:pPr>
      <w:r>
        <w:rPr>
          <w:rFonts w:ascii="Calibri" w:cs="Calibri" w:eastAsia="Calibri" w:hAnsi="Calibri"/>
          <w:b/>
          <w:bCs/>
          <w:sz w:val="20"/>
          <w:szCs w:val="20"/>
        </w:rPr>
        <w:t xml:space="preserve">Energy / oil — </w:t>
      </w:r>
      <w:r>
        <w:rPr>
          <w:rFonts w:ascii="Calibri" w:cs="Calibri" w:eastAsia="Calibri" w:hAnsi="Calibri"/>
          <w:sz w:val="20"/>
          <w:szCs w:val="20"/>
        </w:rPr>
        <w:t xml:space="preserve">WTI ~$90.5, Brent ~$93 with elevated, headline-driven volatility on Middle East tension; supportive for Shell/BP (large FTSE weights) but an inflation channel risk. Net price-supportive for index, watch-item for macro. Cyclical.</w:t>
      </w:r>
    </w:p>
    <w:p>
      <w:pPr>
        <w:spacing w:after="120"/>
        <w:jc w:val="both"/>
      </w:pPr>
      <w:r>
        <w:rPr>
          <w:rFonts w:ascii="Calibri" w:cs="Calibri" w:eastAsia="Calibri" w:hAnsi="Calibri"/>
          <w:b/>
          <w:bCs/>
          <w:sz w:val="20"/>
          <w:szCs w:val="20"/>
        </w:rPr>
        <w:t xml:space="preserve">Policy / rates — </w:t>
      </w:r>
      <w:r>
        <w:rPr>
          <w:rFonts w:ascii="Calibri" w:cs="Calibri" w:eastAsia="Calibri" w:hAnsi="Calibri"/>
          <w:sz w:val="20"/>
          <w:szCs w:val="20"/>
        </w:rPr>
        <w:t xml:space="preserve">BoE Bank Rate at 3.75% (held); UK CPI 2.80% (down from 3.30%). A disinflationary path is mildly supportive, but firm US data is re-pricing global rate expectations higher. Structural.</w:t>
      </w:r>
    </w:p>
    <w:p>
      <w:pPr>
        <w:spacing w:after="120"/>
        <w:jc w:val="both"/>
      </w:pPr>
      <w:r>
        <w:rPr>
          <w:rFonts w:ascii="Calibri" w:cs="Calibri" w:eastAsia="Calibri" w:hAnsi="Calibri"/>
          <w:b/>
          <w:bCs/>
          <w:sz w:val="20"/>
          <w:szCs w:val="20"/>
        </w:rPr>
        <w:t xml:space="preserve">Macro / FX — </w:t>
      </w:r>
      <w:r>
        <w:rPr>
          <w:rFonts w:ascii="Calibri" w:cs="Calibri" w:eastAsia="Calibri" w:hAnsi="Calibri"/>
          <w:sz w:val="20"/>
          <w:szCs w:val="20"/>
        </w:rPr>
        <w:t xml:space="preserve">GBP/USD ~1.334 (softer), a weaker pound mechanically lifts FTSE's overseas earners. USDX firm. Price-supportive via translation. Cyclical.</w:t>
      </w:r>
    </w:p>
    <w:p>
      <w:pPr>
        <w:spacing w:after="120"/>
        <w:jc w:val="both"/>
      </w:pPr>
      <w:r>
        <w:rPr>
          <w:rFonts w:ascii="Calibri" w:cs="Calibri" w:eastAsia="Calibri" w:hAnsi="Calibri"/>
          <w:b/>
          <w:bCs/>
          <w:sz w:val="20"/>
          <w:szCs w:val="20"/>
        </w:rPr>
        <w:t xml:space="preserve">Near-term catalysts — </w:t>
      </w:r>
      <w:r>
        <w:rPr>
          <w:rFonts w:ascii="Calibri" w:cs="Calibri" w:eastAsia="Calibri" w:hAnsi="Calibri"/>
          <w:sz w:val="20"/>
          <w:szCs w:val="20"/>
        </w:rPr>
        <w:t xml:space="preserve">US-driven risk sentiment and oil headlines dominate the 5-session horizon (see §13d). Cyclical.</w:t>
      </w:r>
    </w:p>
    <w:p>
      <w:pPr>
        <w:pStyle w:val="Heading1"/>
        <w:pBdr>
          <w:bottom w:val="single" w:color="1F3864" w:sz="6" w:space="2"/>
        </w:pBdr>
        <w:shd w:fill="1F3864" w:val="clear"/>
        <w:spacing w:after="120" w:before="240"/>
      </w:pPr>
      <w:r>
        <w:rPr>
          <w:rFonts w:ascii="Calibri" w:cs="Calibri" w:eastAsia="Calibri" w:hAnsi="Calibri"/>
          <w:b/>
          <w:bCs/>
          <w:color w:val="FFFFFF"/>
          <w:sz w:val="26"/>
          <w:szCs w:val="26"/>
        </w:rPr>
        <w:t xml:space="preserve">13 · Sentiment, News &amp; Calendar</w:t>
      </w:r>
    </w:p>
    <w:p>
      <w:pPr>
        <w:pStyle w:val="Heading2"/>
        <w:spacing w:after="80" w:before="160"/>
      </w:pPr>
      <w:r>
        <w:rPr>
          <w:rFonts w:ascii="Calibri" w:cs="Calibri" w:eastAsia="Calibri" w:hAnsi="Calibri"/>
          <w:b/>
          <w:bCs/>
          <w:color w:val="1F3864"/>
          <w:sz w:val="22"/>
          <w:szCs w:val="22"/>
        </w:rPr>
        <w:t xml:space="preserve">13a ·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720"/>
        <w:gridCol w:w="2400"/>
        <w:gridCol w:w="1000"/>
        <w:gridCol w:w="1050"/>
        <w:gridCol w:w="2840"/>
      </w:tblGrid>
      <w:tr>
        <w:trPr>
          <w:tblHeader/>
        </w:trPr>
        <w:tc>
          <w:tcPr>
            <w:tcW w:type="dxa" w:w="135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Source</w:t>
            </w:r>
          </w:p>
        </w:tc>
        <w:tc>
          <w:tcPr>
            <w:tcW w:type="dxa" w:w="72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Date</w:t>
            </w:r>
          </w:p>
        </w:tc>
        <w:tc>
          <w:tcPr>
            <w:tcW w:type="dxa" w:w="24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Headline (abridged)</w:t>
            </w:r>
          </w:p>
        </w:tc>
        <w:tc>
          <w:tcPr>
            <w:tcW w:type="dxa" w:w="10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Class</w:t>
            </w:r>
          </w:p>
        </w:tc>
        <w:tc>
          <w:tcPr>
            <w:tcW w:type="dxa" w:w="105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Sentiment</w:t>
            </w:r>
          </w:p>
        </w:tc>
        <w:tc>
          <w:tcPr>
            <w:tcW w:type="dxa" w:w="284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Derivation quote (≤15w)</w:t>
            </w:r>
          </w:p>
        </w:tc>
      </w:tr>
      <w:tr>
        <w:tc>
          <w:tcPr>
            <w:tcW w:type="dxa" w:w="135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Trading Economics</w:t>
            </w:r>
          </w:p>
        </w:tc>
        <w:tc>
          <w:tcPr>
            <w:tcW w:type="dxa" w:w="7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5 Jun</w:t>
            </w:r>
          </w:p>
        </w:tc>
        <w:tc>
          <w:tcPr>
            <w:tcW w:type="dxa" w:w="24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FTSE 100 Outperforms Europe</w:t>
            </w:r>
          </w:p>
        </w:tc>
        <w:tc>
          <w:tcPr>
            <w:tcW w:type="dxa" w:w="1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Media</w:t>
            </w:r>
          </w:p>
        </w:tc>
        <w:tc>
          <w:tcPr>
            <w:tcW w:type="dxa" w:w="105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Bullish</w:t>
            </w:r>
          </w:p>
        </w:tc>
        <w:tc>
          <w:tcPr>
            <w:tcW w:type="dxa" w:w="284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“edged higher on Friday, outperforming major European markets”</w:t>
            </w:r>
          </w:p>
        </w:tc>
      </w:tr>
      <w:tr>
        <w:tc>
          <w:tcPr>
            <w:tcW w:type="dxa" w:w="135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Trading Economics</w:t>
            </w:r>
          </w:p>
        </w:tc>
        <w:tc>
          <w:tcPr>
            <w:tcW w:type="dxa" w:w="7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5 Jun</w:t>
            </w:r>
          </w:p>
        </w:tc>
        <w:tc>
          <w:tcPr>
            <w:tcW w:type="dxa" w:w="24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FTSE 100 Closes 0.14% Higher</w:t>
            </w:r>
          </w:p>
        </w:tc>
        <w:tc>
          <w:tcPr>
            <w:tcW w:type="dxa" w:w="1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Media</w:t>
            </w:r>
          </w:p>
        </w:tc>
        <w:tc>
          <w:tcPr>
            <w:tcW w:type="dxa" w:w="105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Neutral</w:t>
            </w:r>
          </w:p>
        </w:tc>
        <w:tc>
          <w:tcPr>
            <w:tcW w:type="dxa" w:w="284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“gained 15 points or 0.14 percent”</w:t>
            </w:r>
          </w:p>
        </w:tc>
      </w:tr>
      <w:tr>
        <w:tc>
          <w:tcPr>
            <w:tcW w:type="dxa" w:w="135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Trading Economics</w:t>
            </w:r>
          </w:p>
        </w:tc>
        <w:tc>
          <w:tcPr>
            <w:tcW w:type="dxa" w:w="7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5 Jun</w:t>
            </w:r>
          </w:p>
        </w:tc>
        <w:tc>
          <w:tcPr>
            <w:tcW w:type="dxa" w:w="24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Falls on Friday, Set for Weekly Decline</w:t>
            </w:r>
          </w:p>
        </w:tc>
        <w:tc>
          <w:tcPr>
            <w:tcW w:type="dxa" w:w="1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Media</w:t>
            </w:r>
          </w:p>
        </w:tc>
        <w:tc>
          <w:tcPr>
            <w:tcW w:type="dxa" w:w="105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Bearish</w:t>
            </w:r>
          </w:p>
        </w:tc>
        <w:tc>
          <w:tcPr>
            <w:tcW w:type="dxa" w:w="284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“weighed down by declines in banks and mining shares”</w:t>
            </w:r>
          </w:p>
        </w:tc>
      </w:tr>
      <w:tr>
        <w:tc>
          <w:tcPr>
            <w:tcW w:type="dxa" w:w="135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Sunday Guardian</w:t>
            </w:r>
          </w:p>
        </w:tc>
        <w:tc>
          <w:tcPr>
            <w:tcW w:type="dxa" w:w="7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8 Jun</w:t>
            </w:r>
          </w:p>
        </w:tc>
        <w:tc>
          <w:tcPr>
            <w:tcW w:type="dxa" w:w="24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FTSE 100 Drops 0.28% on weak sentiment</w:t>
            </w:r>
          </w:p>
        </w:tc>
        <w:tc>
          <w:tcPr>
            <w:tcW w:type="dxa" w:w="1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Media</w:t>
            </w:r>
          </w:p>
        </w:tc>
        <w:tc>
          <w:tcPr>
            <w:tcW w:type="dxa" w:w="105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Bearish</w:t>
            </w:r>
          </w:p>
        </w:tc>
        <w:tc>
          <w:tcPr>
            <w:tcW w:type="dxa" w:w="284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“global equities face widespread selling pressure”</w:t>
            </w:r>
          </w:p>
        </w:tc>
      </w:tr>
      <w:tr>
        <w:tc>
          <w:tcPr>
            <w:tcW w:type="dxa" w:w="135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Trading Economics</w:t>
            </w:r>
          </w:p>
        </w:tc>
        <w:tc>
          <w:tcPr>
            <w:tcW w:type="dxa" w:w="7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5 Jun</w:t>
            </w:r>
          </w:p>
        </w:tc>
        <w:tc>
          <w:tcPr>
            <w:tcW w:type="dxa" w:w="24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Pound Weakens on Strong US Jobs Data</w:t>
            </w:r>
          </w:p>
        </w:tc>
        <w:tc>
          <w:tcPr>
            <w:tcW w:type="dxa" w:w="1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Media</w:t>
            </w:r>
          </w:p>
        </w:tc>
        <w:tc>
          <w:tcPr>
            <w:tcW w:type="dxa" w:w="105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Mixed</w:t>
            </w:r>
          </w:p>
        </w:tc>
        <w:tc>
          <w:tcPr>
            <w:tcW w:type="dxa" w:w="284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“Pound weakens…political uncertainty” (weak GBP lifts FTSE)</w:t>
            </w:r>
          </w:p>
        </w:tc>
      </w:tr>
      <w:tr>
        <w:tc>
          <w:tcPr>
            <w:tcW w:type="dxa" w:w="135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Trading Economics</w:t>
            </w:r>
          </w:p>
        </w:tc>
        <w:tc>
          <w:tcPr>
            <w:tcW w:type="dxa" w:w="7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8 Jun</w:t>
            </w:r>
          </w:p>
        </w:tc>
        <w:tc>
          <w:tcPr>
            <w:tcW w:type="dxa" w:w="24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European stocks pared losses, STOXX +0.3%</w:t>
            </w:r>
          </w:p>
        </w:tc>
        <w:tc>
          <w:tcPr>
            <w:tcW w:type="dxa" w:w="1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Media</w:t>
            </w:r>
          </w:p>
        </w:tc>
        <w:tc>
          <w:tcPr>
            <w:tcW w:type="dxa" w:w="105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Neutral</w:t>
            </w:r>
          </w:p>
        </w:tc>
        <w:tc>
          <w:tcPr>
            <w:tcW w:type="dxa" w:w="284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“pared early losses to close slightly higher”</w:t>
            </w:r>
          </w:p>
        </w:tc>
      </w:tr>
    </w:tbl>
    <w:p>
      <w:pPr>
        <w:pStyle w:val="Heading2"/>
        <w:spacing w:after="80" w:before="160"/>
      </w:pPr>
      <w:r>
        <w:rPr>
          <w:rFonts w:ascii="Calibri" w:cs="Calibri" w:eastAsia="Calibri" w:hAnsi="Calibri"/>
          <w:b/>
          <w:bCs/>
          <w:color w:val="1F3864"/>
          <w:sz w:val="22"/>
          <w:szCs w:val="22"/>
        </w:rPr>
        <w:t xml:space="preserve">13b · Aggregate Sentiment Summary</w:t>
      </w:r>
    </w:p>
    <w:p>
      <w:pPr>
        <w:spacing w:after="120"/>
        <w:jc w:val="both"/>
      </w:pPr>
      <w:r>
        <w:rPr>
          <w:rFonts w:ascii="Calibri" w:cs="Calibri" w:eastAsia="Calibri" w:hAnsi="Calibri"/>
          <w:sz w:val="20"/>
          <w:szCs w:val="20"/>
        </w:rPr>
        <w:t xml:space="preserve">Counts: 1 Bullish (media), 2 Bearish (media), 2 Neutral (media), 1 Mixed (media) → </w:t>
      </w:r>
      <w:r>
        <w:rPr>
          <w:rFonts w:ascii="Calibri" w:cs="Calibri" w:eastAsia="Calibri" w:hAnsi="Calibri"/>
          <w:b/>
          <w:bCs/>
          <w:sz w:val="20"/>
          <w:szCs w:val="20"/>
        </w:rPr>
        <w:t xml:space="preserve">Mixed / Balanced. </w:t>
      </w:r>
      <w:r>
        <w:rPr>
          <w:rFonts w:ascii="Calibri" w:cs="Calibri" w:eastAsia="Calibri" w:hAnsi="Calibri"/>
          <w:sz w:val="20"/>
          <w:szCs w:val="20"/>
        </w:rPr>
        <w:t xml:space="preserve">Numeric tilt = </w:t>
      </w:r>
      <w:r>
        <w:rPr>
          <w:rFonts w:ascii="Calibri" w:cs="Calibri" w:eastAsia="Calibri" w:hAnsi="Calibri"/>
          <w:b/>
          <w:bCs/>
          <w:sz w:val="20"/>
          <w:szCs w:val="20"/>
        </w:rPr>
        <w:t xml:space="preserve">−0.10</w:t>
      </w:r>
      <w:r>
        <w:rPr>
          <w:rFonts w:ascii="Calibri" w:cs="Calibri" w:eastAsia="Calibri" w:hAnsi="Calibri"/>
          <w:sz w:val="20"/>
          <w:szCs w:val="20"/>
        </w:rPr>
        <w:t xml:space="preserve">  (source-class-weighted mean; all media-weighted at 0.5). </w:t>
      </w:r>
      <w:r>
        <w:rPr>
          <w:rFonts w:ascii="Calibri" w:cs="Calibri" w:eastAsia="Calibri" w:hAnsi="Calibri"/>
          <w:sz w:val="20"/>
          <w:szCs w:val="20"/>
        </w:rPr>
        <w:t xml:space="preserve">Low-confidence is not triggered (&gt;3 articles), but all sources are media-class — institutional commentary was thin in the window, so weight accordingly.</w:t>
      </w:r>
    </w:p>
    <w:p>
      <w:pPr>
        <w:spacing w:after="120"/>
        <w:jc w:val="both"/>
      </w:pPr>
      <w:r>
        <w:rPr>
          <w:rFonts w:ascii="Calibri" w:cs="Calibri" w:eastAsia="Calibri" w:hAnsi="Calibri"/>
          <w:b/>
          <w:bCs/>
          <w:sz w:val="20"/>
          <w:szCs w:val="20"/>
        </w:rPr>
        <w:t xml:space="preserve">Divergence flag: </w:t>
      </w:r>
      <w:r>
        <w:rPr>
          <w:rFonts w:ascii="Calibri" w:cs="Calibri" w:eastAsia="Calibri" w:hAnsi="Calibri"/>
          <w:sz w:val="20"/>
          <w:szCs w:val="20"/>
        </w:rPr>
        <w:t xml:space="preserve">Sentiment (mildly bearish, −0.10) broadly agrees with the soft, range-bottom price action and the risk-off cross-asset read; no material sentiment/price contradiction. The mildly bearish tilt is the more reliable signal given the transitional regime.</w:t>
      </w:r>
    </w:p>
    <w:p>
      <w:pPr>
        <w:pStyle w:val="Heading2"/>
        <w:spacing w:after="80" w:before="160"/>
      </w:pPr>
      <w:r>
        <w:rPr>
          <w:rFonts w:ascii="Calibri" w:cs="Calibri" w:eastAsia="Calibri" w:hAnsi="Calibri"/>
          <w:b/>
          <w:bCs/>
          <w:color w:val="1F3864"/>
          <w:sz w:val="22"/>
          <w:szCs w:val="22"/>
        </w:rPr>
        <w:t xml:space="preserve">13c · News Calendar — Previous Period (1–5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200"/>
        <w:gridCol w:w="900"/>
        <w:gridCol w:w="3260"/>
      </w:tblGrid>
      <w:tr>
        <w:trPr>
          <w:tblHeader/>
        </w:trPr>
        <w:tc>
          <w:tcPr>
            <w:tcW w:type="dxa" w:w="11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Date</w:t>
            </w:r>
          </w:p>
        </w:tc>
        <w:tc>
          <w:tcPr>
            <w:tcW w:type="dxa" w:w="19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Event</w:t>
            </w:r>
          </w:p>
        </w:tc>
        <w:tc>
          <w:tcPr>
            <w:tcW w:type="dxa" w:w="22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Context</w:t>
            </w:r>
          </w:p>
        </w:tc>
        <w:tc>
          <w:tcPr>
            <w:tcW w:type="dxa" w:w="9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Impact</w:t>
            </w:r>
          </w:p>
        </w:tc>
        <w:tc>
          <w:tcPr>
            <w:tcW w:type="dxa" w:w="326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Implication for FTSE</w:t>
            </w:r>
          </w:p>
        </w:tc>
      </w:tr>
      <w:tr>
        <w:tc>
          <w:tcPr>
            <w:tcW w:type="dxa" w:w="11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Fri 5 Jun</w:t>
            </w:r>
          </w:p>
        </w:tc>
        <w:tc>
          <w:tcPr>
            <w:tcW w:type="dxa" w:w="19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US jobs data (strong)</w:t>
            </w:r>
          </w:p>
        </w:tc>
        <w:tc>
          <w:tcPr>
            <w:tcW w:type="dxa" w:w="22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Reinforced higher-for-longer rate view</w:t>
            </w:r>
          </w:p>
        </w:tc>
        <w:tc>
          <w:tcPr>
            <w:tcW w:type="dxa" w:w="9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High</w:t>
            </w:r>
          </w:p>
        </w:tc>
        <w:tc>
          <w:tcPr>
            <w:tcW w:type="dxa" w:w="32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Risk-off, USD up, GBP down; capped FTSE, lifted exporters</w:t>
            </w:r>
          </w:p>
        </w:tc>
      </w:tr>
      <w:tr>
        <w:tc>
          <w:tcPr>
            <w:tcW w:type="dxa" w:w="11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Fri 5 Jun</w:t>
            </w:r>
          </w:p>
        </w:tc>
        <w:tc>
          <w:tcPr>
            <w:tcW w:type="dxa" w:w="19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UK Halifax house prices −0.1% (May)</w:t>
            </w:r>
          </w:p>
        </w:tc>
        <w:tc>
          <w:tcPr>
            <w:tcW w:type="dxa" w:w="22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Second monthly decline</w:t>
            </w:r>
          </w:p>
        </w:tc>
        <w:tc>
          <w:tcPr>
            <w:tcW w:type="dxa" w:w="9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Low</w:t>
            </w:r>
          </w:p>
        </w:tc>
        <w:tc>
          <w:tcPr>
            <w:tcW w:type="dxa" w:w="32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Marginal; housebuilders soft</w:t>
            </w:r>
          </w:p>
        </w:tc>
      </w:tr>
      <w:tr>
        <w:tc>
          <w:tcPr>
            <w:tcW w:type="dxa" w:w="11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1–5 Jun</w:t>
            </w:r>
          </w:p>
        </w:tc>
        <w:tc>
          <w:tcPr>
            <w:tcW w:type="dxa" w:w="19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Broadcom-led US tech sell-off</w:t>
            </w:r>
          </w:p>
        </w:tc>
        <w:tc>
          <w:tcPr>
            <w:tcW w:type="dxa" w:w="22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Semiconductor weakness</w:t>
            </w:r>
          </w:p>
        </w:tc>
        <w:tc>
          <w:tcPr>
            <w:tcW w:type="dxa" w:w="9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Medium</w:t>
            </w:r>
          </w:p>
        </w:tc>
        <w:tc>
          <w:tcPr>
            <w:tcW w:type="dxa" w:w="32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FTSE relatively insulated (low tech weight)</w:t>
            </w:r>
          </w:p>
        </w:tc>
      </w:tr>
      <w:tr>
        <w:tc>
          <w:tcPr>
            <w:tcW w:type="dxa" w:w="11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1–5 Jun</w:t>
            </w:r>
          </w:p>
        </w:tc>
        <w:tc>
          <w:tcPr>
            <w:tcW w:type="dxa" w:w="19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Mining sector drawdown</w:t>
            </w:r>
          </w:p>
        </w:tc>
        <w:tc>
          <w:tcPr>
            <w:tcW w:type="dxa" w:w="22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Rio/Anglo/Antofagasta/Fresnillo down</w:t>
            </w:r>
          </w:p>
        </w:tc>
        <w:tc>
          <w:tcPr>
            <w:tcW w:type="dxa" w:w="9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High</w:t>
            </w:r>
          </w:p>
        </w:tc>
        <w:tc>
          <w:tcPr>
            <w:tcW w:type="dxa" w:w="32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Direct index drag; the week's dominant negative</w:t>
            </w:r>
          </w:p>
        </w:tc>
      </w:tr>
    </w:tbl>
    <w:p>
      <w:pPr>
        <w:pStyle w:val="Heading2"/>
        <w:spacing w:after="80" w:before="160"/>
      </w:pPr>
      <w:r>
        <w:rPr>
          <w:rFonts w:ascii="Calibri" w:cs="Calibri" w:eastAsia="Calibri" w:hAnsi="Calibri"/>
          <w:b/>
          <w:bCs/>
          <w:color w:val="1F3864"/>
          <w:sz w:val="22"/>
          <w:szCs w:val="22"/>
        </w:rPr>
        <w:t xml:space="preserve">13d · News Calendar — Upcoming Period (next 5 sessions from 9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000"/>
        <w:gridCol w:w="900"/>
        <w:gridCol w:w="3460"/>
      </w:tblGrid>
      <w:tr>
        <w:trPr>
          <w:tblHeader/>
        </w:trPr>
        <w:tc>
          <w:tcPr>
            <w:tcW w:type="dxa" w:w="11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Date</w:t>
            </w:r>
          </w:p>
        </w:tc>
        <w:tc>
          <w:tcPr>
            <w:tcW w:type="dxa" w:w="19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Event</w:t>
            </w:r>
          </w:p>
        </w:tc>
        <w:tc>
          <w:tcPr>
            <w:tcW w:type="dxa" w:w="20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Context</w:t>
            </w:r>
          </w:p>
        </w:tc>
        <w:tc>
          <w:tcPr>
            <w:tcW w:type="dxa" w:w="9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Impact</w:t>
            </w:r>
          </w:p>
        </w:tc>
        <w:tc>
          <w:tcPr>
            <w:tcW w:type="dxa" w:w="346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Implication for FTSE</w:t>
            </w:r>
          </w:p>
        </w:tc>
      </w:tr>
      <w:tr>
        <w:tc>
          <w:tcPr>
            <w:tcW w:type="dxa" w:w="11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bCs/>
                <w:color w:val="1b1f24"/>
                <w:sz w:val="18"/>
                <w:szCs w:val="18"/>
              </w:rPr>
              <w:t xml:space="preserve">Ongoing</w:t>
            </w:r>
          </w:p>
        </w:tc>
        <w:tc>
          <w:tcPr>
            <w:tcW w:type="dxa" w:w="19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bCs/>
                <w:color w:val="1b1f24"/>
                <w:sz w:val="18"/>
                <w:szCs w:val="18"/>
              </w:rPr>
              <w:t xml:space="preserve">Middle East / oil headlines</w:t>
            </w:r>
          </w:p>
        </w:tc>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bCs/>
                <w:color w:val="1b1f24"/>
                <w:sz w:val="18"/>
                <w:szCs w:val="18"/>
              </w:rPr>
              <w:t xml:space="preserve">Israel-Iran ceasefire on/off</w:t>
            </w:r>
          </w:p>
        </w:tc>
        <w:tc>
          <w:tcPr>
            <w:tcW w:type="dxa" w:w="9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bCs/>
                <w:color w:val="1b1f24"/>
                <w:sz w:val="18"/>
                <w:szCs w:val="18"/>
              </w:rPr>
              <w:t xml:space="preserve">High</w:t>
            </w:r>
          </w:p>
        </w:tc>
        <w:tc>
          <w:tcPr>
            <w:tcW w:type="dxa" w:w="34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bCs/>
                <w:color w:val="1b1f24"/>
                <w:sz w:val="18"/>
                <w:szCs w:val="18"/>
              </w:rPr>
              <w:t xml:space="preserve">De-escalation → oil down, risk-on (mixed for energy names); escalation → oil up, inflation risk</w:t>
            </w:r>
          </w:p>
        </w:tc>
      </w:tr>
      <w:tr>
        <w:tc>
          <w:tcPr>
            <w:tcW w:type="dxa" w:w="11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wk of 9 Jun</w:t>
            </w:r>
          </w:p>
        </w:tc>
        <w:tc>
          <w:tcPr>
            <w:tcW w:type="dxa" w:w="19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US risk sentiment / yields</w:t>
            </w:r>
          </w:p>
        </w:tc>
        <w:tc>
          <w:tcPr>
            <w:tcW w:type="dxa" w:w="2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Post-jobs repricing</w:t>
            </w:r>
          </w:p>
        </w:tc>
        <w:tc>
          <w:tcPr>
            <w:tcW w:type="dxa" w:w="9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High</w:t>
            </w:r>
          </w:p>
        </w:tc>
        <w:tc>
          <w:tcPr>
            <w:tcW w:type="dxa" w:w="34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Spillover into European risk beta</w:t>
            </w:r>
          </w:p>
        </w:tc>
      </w:tr>
      <w:tr>
        <w:tc>
          <w:tcPr>
            <w:tcW w:type="dxa" w:w="11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wk of 9 Jun</w:t>
            </w:r>
          </w:p>
        </w:tc>
        <w:tc>
          <w:tcPr>
            <w:tcW w:type="dxa" w:w="19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UK data flow (GDP/production)</w:t>
            </w:r>
          </w:p>
        </w:tc>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Growth signal</w:t>
            </w:r>
          </w:p>
        </w:tc>
        <w:tc>
          <w:tcPr>
            <w:tcW w:type="dxa" w:w="9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Medium</w:t>
            </w:r>
          </w:p>
        </w:tc>
        <w:tc>
          <w:tcPr>
            <w:tcW w:type="dxa" w:w="34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Beat → domestic cyclicals bid; miss → defensive bid extends</w:t>
            </w:r>
          </w:p>
        </w:tc>
      </w:tr>
      <w:tr>
        <w:tc>
          <w:tcPr>
            <w:tcW w:type="dxa" w:w="11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wk of 9 Jun</w:t>
            </w:r>
          </w:p>
        </w:tc>
        <w:tc>
          <w:tcPr>
            <w:tcW w:type="dxa" w:w="19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BoE / ECB commentary</w:t>
            </w:r>
          </w:p>
        </w:tc>
        <w:tc>
          <w:tcPr>
            <w:tcW w:type="dxa" w:w="2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Rate path</w:t>
            </w:r>
          </w:p>
        </w:tc>
        <w:tc>
          <w:tcPr>
            <w:tcW w:type="dxa" w:w="9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Medium</w:t>
            </w:r>
          </w:p>
        </w:tc>
        <w:tc>
          <w:tcPr>
            <w:tcW w:type="dxa" w:w="34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Hawkish surprise pressures rate-sensitives</w:t>
            </w:r>
          </w:p>
        </w:tc>
      </w:tr>
    </w:tbl>
    <w:p>
      <w:pPr>
        <w:spacing w:after="120"/>
      </w:pPr>
      <w:r>
        <w:rPr>
          <w:rFonts w:ascii="Calibri" w:cs="Calibri" w:eastAsia="Calibri" w:hAnsi="Calibri"/>
          <w:i/>
          <w:iCs/>
          <w:color w:val="57606a"/>
          <w:sz w:val="17"/>
          <w:szCs w:val="17"/>
        </w:rPr>
        <w:t xml:space="preserve">ℹ  Highest-impact upcoming event (bold): Middle East / oil headlines — a confirmed de-escalation would ease the inflation channel and likely lift the broad index while trimming energy leadership; a fresh escalation would spike oil, revive inflation fears, and pressure the consensus level toward the 10,300 support shelf.</w:t>
      </w:r>
    </w:p>
    <w:p>
      <w:pPr>
        <w:pStyle w:val="Heading1"/>
        <w:pBdr>
          <w:bottom w:val="single" w:color="1F3864" w:sz="6" w:space="2"/>
        </w:pBdr>
        <w:shd w:fill="1F3864" w:val="clear"/>
        <w:spacing w:after="120" w:before="240"/>
      </w:pPr>
      <w:r>
        <w:rPr>
          <w:rFonts w:ascii="Calibri" w:cs="Calibri" w:eastAsia="Calibri" w:hAnsi="Calibri"/>
          <w:b/>
          <w:bCs/>
          <w:color w:val="FFFFFF"/>
          <w:sz w:val="26"/>
          <w:szCs w:val="26"/>
        </w:rPr>
        <w:t xml:space="preserve">14 · Macro Context</w:t>
      </w:r>
    </w:p>
    <w:p>
      <w:pPr>
        <w:spacing w:after="120"/>
        <w:jc w:val="both"/>
      </w:pPr>
      <w:r>
        <w:rPr>
          <w:rFonts w:ascii="Calibri" w:cs="Calibri" w:eastAsia="Calibri" w:hAnsi="Calibri"/>
          <w:b/>
          <w:bCs/>
          <w:sz w:val="20"/>
          <w:szCs w:val="20"/>
        </w:rPr>
        <w:t xml:space="preserve">Rates &amp; policy — </w:t>
      </w:r>
      <w:r>
        <w:rPr>
          <w:rFonts w:ascii="Calibri" w:cs="Calibri" w:eastAsia="Calibri" w:hAnsi="Calibri"/>
          <w:sz w:val="20"/>
          <w:szCs w:val="20"/>
        </w:rPr>
        <w:t xml:space="preserve">BoE 3.75% (held), UK 10Y gilt ~4.88%. Firm US jobs data is steepening global rate expectations; cross-references the S&amp;P 500 risk-off read in §10.</w:t>
      </w:r>
    </w:p>
    <w:p>
      <w:pPr>
        <w:spacing w:after="120"/>
        <w:jc w:val="both"/>
      </w:pPr>
      <w:r>
        <w:rPr>
          <w:rFonts w:ascii="Calibri" w:cs="Calibri" w:eastAsia="Calibri" w:hAnsi="Calibri"/>
          <w:b/>
          <w:bCs/>
          <w:sz w:val="20"/>
          <w:szCs w:val="20"/>
        </w:rPr>
        <w:t xml:space="preserve">Inflation — </w:t>
      </w:r>
      <w:r>
        <w:rPr>
          <w:rFonts w:ascii="Calibri" w:cs="Calibri" w:eastAsia="Calibri" w:hAnsi="Calibri"/>
          <w:sz w:val="20"/>
          <w:szCs w:val="20"/>
        </w:rPr>
        <w:t xml:space="preserve">UK CPI 2.80% (eased from 3.30%); disinflation is mildly price-supportive for equities, but oil-driven upside risk is the swing factor.</w:t>
      </w:r>
    </w:p>
    <w:p>
      <w:pPr>
        <w:spacing w:after="120"/>
        <w:jc w:val="both"/>
      </w:pPr>
      <w:r>
        <w:rPr>
          <w:rFonts w:ascii="Calibri" w:cs="Calibri" w:eastAsia="Calibri" w:hAnsi="Calibri"/>
          <w:b/>
          <w:bCs/>
          <w:sz w:val="20"/>
          <w:szCs w:val="20"/>
        </w:rPr>
        <w:t xml:space="preserve">Safe-haven / real yields — </w:t>
      </w:r>
      <w:r>
        <w:rPr>
          <w:rFonts w:ascii="Calibri" w:cs="Calibri" w:eastAsia="Calibri" w:hAnsi="Calibri"/>
          <w:sz w:val="20"/>
          <w:szCs w:val="20"/>
        </w:rPr>
        <w:t xml:space="preserve">Gold ~$4,331 (off ~3% on the day) alongside rising real yields signals a risk-off-but-yield-driven mix rather than pure haven demand; neutral-to-negative for rate-sensitive FTSE names.</w:t>
      </w:r>
    </w:p>
    <w:p>
      <w:pPr>
        <w:spacing w:after="120"/>
        <w:jc w:val="both"/>
      </w:pPr>
      <w:r>
        <w:rPr>
          <w:rFonts w:ascii="Calibri" w:cs="Calibri" w:eastAsia="Calibri" w:hAnsi="Calibri"/>
          <w:b/>
          <w:bCs/>
          <w:sz w:val="20"/>
          <w:szCs w:val="20"/>
        </w:rPr>
        <w:t xml:space="preserve">Liquidity &amp; FX — </w:t>
      </w:r>
      <w:r>
        <w:rPr>
          <w:rFonts w:ascii="Calibri" w:cs="Calibri" w:eastAsia="Calibri" w:hAnsi="Calibri"/>
          <w:sz w:val="20"/>
          <w:szCs w:val="20"/>
        </w:rPr>
        <w:t xml:space="preserve">USDX firm (~100.1), GBP/USD ~1.334. Per §10 the weaker pound is a translation tailwind for FTSE multinationals, partly offsetting the risk-off drag.</w:t>
      </w:r>
    </w:p>
    <w:p>
      <w:pPr>
        <w:spacing w:after="120"/>
        <w:jc w:val="both"/>
      </w:pPr>
      <w:r>
        <w:rPr>
          <w:rFonts w:ascii="Calibri" w:cs="Calibri" w:eastAsia="Calibri" w:hAnsi="Calibri"/>
          <w:b/>
          <w:bCs/>
          <w:sz w:val="20"/>
          <w:szCs w:val="20"/>
        </w:rPr>
        <w:t xml:space="preserve">Energy — </w:t>
      </w:r>
      <w:r>
        <w:rPr>
          <w:rFonts w:ascii="Calibri" w:cs="Calibri" w:eastAsia="Calibri" w:hAnsi="Calibri"/>
          <w:sz w:val="20"/>
          <w:szCs w:val="20"/>
        </w:rPr>
        <w:t xml:space="preserve">WTI ~$90.5 / Brent ~$93, volatile on geopolitics; supportive for Shell/BP weights, an inflation watch-item (see §13d).</w:t>
      </w:r>
    </w:p>
    <w:p>
      <w:pPr>
        <w:spacing w:after="120"/>
        <w:jc w:val="both"/>
      </w:pPr>
      <w:r>
        <w:rPr>
          <w:rFonts w:ascii="Calibri" w:cs="Calibri" w:eastAsia="Calibri" w:hAnsi="Calibri"/>
          <w:b/>
          <w:bCs/>
          <w:sz w:val="20"/>
          <w:szCs w:val="20"/>
        </w:rPr>
        <w:t xml:space="preserve">Positioning — </w:t>
      </w:r>
      <w:r>
        <w:rPr>
          <w:rFonts w:ascii="Calibri" w:cs="Calibri" w:eastAsia="Calibri" w:hAnsi="Calibri"/>
          <w:sz w:val="20"/>
          <w:szCs w:val="20"/>
        </w:rPr>
        <w:t xml:space="preserve">US VIX spiked sharply (risk-off); European volatility expanding per the VOLator readings in §9. Watch-item: the Middle East/oil catalyst in §13d carries the largest two-sided risk to the macro picture.</w:t>
      </w:r>
    </w:p>
    <w:p>
      <w:pPr>
        <w:pStyle w:val="Heading1"/>
        <w:pBdr>
          <w:bottom w:val="single" w:color="1F3864" w:sz="6" w:space="2"/>
        </w:pBdr>
        <w:shd w:fill="1F3864" w:val="clear"/>
        <w:spacing w:after="120" w:before="240"/>
      </w:pPr>
      <w:r>
        <w:rPr>
          <w:rFonts w:ascii="Calibri" w:cs="Calibri" w:eastAsia="Calibri" w:hAnsi="Calibri"/>
          <w:b/>
          <w:bCs/>
          <w:color w:val="FFFFFF"/>
          <w:sz w:val="26"/>
          <w:szCs w:val="26"/>
        </w:rPr>
        <w:t xml:space="preserve">15 ·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Upside risks</w:t>
            </w:r>
          </w:p>
        </w:tc>
        <w:tc>
          <w:tcPr>
            <w:tcW w:type="dxa" w:w="468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Downside risks</w:t>
            </w:r>
          </w:p>
        </w:tc>
      </w:tr>
      <w:tr>
        <w:tc>
          <w:tcPr>
            <w:tcW w:type="dxa" w:w="4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Defensive-sector leadership keeps the index floor intact above the 10,330–10,356 pivot/swing shelf (§11)</w:t>
            </w:r>
          </w:p>
        </w:tc>
        <w:tc>
          <w:tcPr>
            <w:tcW w:type="dxa" w:w="4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Mining-sector drawdown persists, dragging the resources-heavy index lower</w:t>
            </w:r>
          </w:p>
        </w:tc>
      </w:tr>
      <w:tr>
        <w:tc>
          <w:tcPr>
            <w:tcW w:type="dxa" w:w="4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Middle East de-escalation (§13d) eases the inflation channel and revives risk appetite</w:t>
            </w:r>
          </w:p>
        </w:tc>
        <w:tc>
          <w:tcPr>
            <w:tcW w:type="dxa" w:w="4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Oil-price escalation revives inflation fears and pressures rate-sensitives</w:t>
            </w:r>
          </w:p>
        </w:tc>
      </w:tr>
      <w:tr>
        <w:tc>
          <w:tcPr>
            <w:tcW w:type="dxa" w:w="4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Weaker GBP lifts ~80% overseas earners via translation (§10, §14)</w:t>
            </w:r>
          </w:p>
        </w:tc>
        <w:tc>
          <w:tcPr>
            <w:tcW w:type="dxa" w:w="468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US risk-off (S&amp;P −2.6%) and rising yields spill into European beta (§10)</w:t>
            </w:r>
          </w:p>
        </w:tc>
      </w:tr>
      <w:tr>
        <w:tc>
          <w:tcPr>
            <w:tcW w:type="dxa" w:w="4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A close back above weekly P 10,424 (§11) would neutralise the range-bottom bias</w:t>
            </w:r>
          </w:p>
        </w:tc>
        <w:tc>
          <w:tcPr>
            <w:tcW w:type="dxa" w:w="468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A daily close through 10,318 (§8 support) opens the 10,285 / 10,251 daily-S zone</w:t>
            </w:r>
          </w:p>
        </w:tc>
      </w:tr>
    </w:tbl>
    <w:p>
      <w:pPr>
        <w:spacing w:after="120"/>
        <w:jc w:val="both"/>
      </w:pPr>
      <w:r>
        <w:rPr>
          <w:rFonts w:ascii="Calibri" w:cs="Calibri" w:eastAsia="Calibri" w:hAnsi="Calibri"/>
          <w:sz w:val="20"/>
          <w:szCs w:val="20"/>
        </w:rPr>
        <w:t xml:space="preserve">The highest-impact upcoming event (§13d, Middle East/oil) sits on both sides of the ledger; the regime (§9) is transitional and the close sits in the lower third of the range (§11), tilting the immediate balance modestly to the downside absent a catalyst.</w:t>
      </w:r>
    </w:p>
    <w:p>
      <w:pPr>
        <w:pStyle w:val="Heading1"/>
        <w:pBdr>
          <w:bottom w:val="single" w:color="1F3864" w:sz="6" w:space="2"/>
        </w:pBdr>
        <w:shd w:fill="1F3864" w:val="clear"/>
        <w:spacing w:after="120" w:before="240"/>
      </w:pPr>
      <w:r>
        <w:rPr>
          <w:rFonts w:ascii="Calibri" w:cs="Calibri" w:eastAsia="Calibri" w:hAnsi="Calibri"/>
          <w:b/>
          <w:bCs/>
          <w:color w:val="FFFFFF"/>
          <w:sz w:val="26"/>
          <w:szCs w:val="26"/>
        </w:rPr>
        <w:t xml:space="preserve">16 · Forward View</w:t>
      </w:r>
    </w:p>
    <w:p>
      <w:pPr>
        <w:spacing w:after="120"/>
        <w:jc w:val="both"/>
      </w:pPr>
      <w:r>
        <w:rPr>
          <w:rFonts w:ascii="Calibri" w:cs="Calibri" w:eastAsia="Calibri" w:hAnsi="Calibri"/>
          <w:b/>
          <w:bCs/>
          <w:sz w:val="20"/>
          <w:szCs w:val="20"/>
        </w:rPr>
        <w:t xml:space="preserve">Expected direction: </w:t>
      </w:r>
      <w:r>
        <w:rPr>
          <w:rFonts w:ascii="Calibri" w:cs="Calibri" w:eastAsia="Calibri" w:hAnsi="Calibri"/>
          <w:sz w:val="20"/>
          <w:szCs w:val="20"/>
        </w:rPr>
        <w:t xml:space="preserve">range-bound with a mild downside tilt over the next five sessions, pending the Middle East/oil catalyst. </w:t>
      </w:r>
      <w:r>
        <w:rPr>
          <w:rFonts w:ascii="Calibri" w:cs="Calibri" w:eastAsia="Calibri" w:hAnsi="Calibri"/>
          <w:b/>
          <w:bCs/>
          <w:sz w:val="20"/>
          <w:szCs w:val="20"/>
        </w:rPr>
        <w:t xml:space="preserve">Expected trading range: </w:t>
      </w:r>
      <w:r>
        <w:rPr>
          <w:rFonts w:ascii="Calibri" w:cs="Calibri" w:eastAsia="Calibri" w:hAnsi="Calibri"/>
          <w:sz w:val="20"/>
          <w:szCs w:val="20"/>
        </w:rPr>
        <w:t xml:space="preserve">10,300 – 10,470, with the 10,330–10,356 shelf as the pivotal floor and 10,424–10,470 as the cap. </w:t>
      </w:r>
      <w:r>
        <w:rPr>
          <w:rFonts w:ascii="Calibri" w:cs="Calibri" w:eastAsia="Calibri" w:hAnsi="Calibri"/>
          <w:b/>
          <w:bCs/>
          <w:sz w:val="20"/>
          <w:szCs w:val="20"/>
        </w:rPr>
        <w:t xml:space="preserve">Base-case invalidation: </w:t>
      </w:r>
      <w:r>
        <w:rPr>
          <w:rFonts w:ascii="Calibri" w:cs="Calibri" w:eastAsia="Calibri" w:hAnsi="Calibri"/>
          <w:sz w:val="20"/>
          <w:szCs w:val="20"/>
        </w:rPr>
        <w:t xml:space="preserve">a daily close above weekly P (10,424) flips the bias constructive; a daily close below 10,318 confirms the downside break toward 10,285. </w:t>
      </w:r>
    </w:p>
    <w:p>
      <w:pPr>
        <w:spacing w:after="120"/>
        <w:jc w:val="both"/>
      </w:pPr>
      <w:r>
        <w:rPr>
          <w:rFonts w:ascii="Calibri" w:cs="Calibri" w:eastAsia="Calibri" w:hAnsi="Calibri"/>
          <w:sz w:val="20"/>
          <w:szCs w:val="20"/>
        </w:rPr>
        <w:t xml:space="preserve">This view respects the §9 transitional regime; it does not contradict the technical classification. It explicitly defers to the §13d calendar, where the oil/geopolitics headline is the dominant swing factor.</w:t>
      </w:r>
    </w:p>
    <w:p>
      <w:pPr>
        <w:pStyle w:val="Heading1"/>
        <w:pBdr>
          <w:bottom w:val="single" w:color="1F3864" w:sz="6" w:space="2"/>
        </w:pBdr>
        <w:shd w:fill="1F3864" w:val="clear"/>
        <w:spacing w:after="120" w:before="240"/>
      </w:pPr>
      <w:r>
        <w:rPr>
          <w:rFonts w:ascii="Calibri" w:cs="Calibri" w:eastAsia="Calibri" w:hAnsi="Calibri"/>
          <w:b/>
          <w:bCs/>
          <w:color w:val="FFFFFF"/>
          <w:sz w:val="26"/>
          <w:szCs w:val="26"/>
        </w:rPr>
        <w:t xml:space="preserve">17 · Forecast</w:t>
      </w:r>
    </w:p>
    <w:p>
      <w:pPr>
        <w:spacing w:after="120"/>
        <w:jc w:val="both"/>
      </w:pPr>
      <w:r>
        <w:rPr>
          <w:rFonts w:ascii="Calibri" w:cs="Calibri" w:eastAsia="Calibri" w:hAnsi="Calibri"/>
          <w:b/>
          <w:bCs/>
          <w:i/>
          <w:iCs/>
          <w:sz w:val="20"/>
          <w:szCs w:val="20"/>
        </w:rPr>
        <w:t xml:space="preserve">FTSE 100 holds a 10,300–10,470 range into mid-June with a mild downside lean, defended at the 10,330–10,356 pivot shelf unless a Middle-East/oil catalyst forces a break.</w:t>
      </w:r>
    </w:p>
    <w:p>
      <w:pPr>
        <w:pStyle w:val="Heading1"/>
        <w:pBdr>
          <w:bottom w:val="single" w:color="1F3864" w:sz="6" w:space="2"/>
        </w:pBdr>
        <w:shd w:fill="1F3864" w:val="clear"/>
        <w:spacing w:after="120" w:before="240"/>
      </w:pPr>
      <w:r>
        <w:rPr>
          <w:rFonts w:ascii="Calibri" w:cs="Calibri" w:eastAsia="Calibri" w:hAnsi="Calibri"/>
          <w:b/>
          <w:bCs/>
          <w:color w:val="FFFFFF"/>
          <w:sz w:val="26"/>
          <w:szCs w:val="26"/>
        </w:rPr>
        <w:t xml:space="preserve">18 · Final Analyst Judgement</w:t>
      </w:r>
    </w:p>
    <w:p>
      <w:pPr>
        <w:spacing w:after="120"/>
        <w:jc w:val="both"/>
      </w:pPr>
      <w:r>
        <w:rPr>
          <w:rFonts w:ascii="Calibri" w:cs="Calibri" w:eastAsia="Calibri" w:hAnsi="Calibri"/>
          <w:b/>
          <w:bCs/>
          <w:sz w:val="20"/>
          <w:szCs w:val="20"/>
        </w:rPr>
        <w:t xml:space="preserve">Consensus price call: </w:t>
      </w:r>
      <w:r>
        <w:rPr>
          <w:rFonts w:ascii="Calibri" w:cs="Calibri" w:eastAsia="Calibri" w:hAnsi="Calibri"/>
          <w:sz w:val="20"/>
          <w:szCs w:val="20"/>
        </w:rPr>
        <w:t xml:space="preserve">10,368 (range 10,360–10,375), confidence High on the close. </w:t>
      </w:r>
    </w:p>
    <w:p>
      <w:pPr>
        <w:pStyle w:val="ListParagraph"/>
        <w:numPr>
          <w:ilvl w:val="0"/>
          <w:numId w:val="2"/>
        </w:numPr>
        <w:spacing w:after="40"/>
      </w:pPr>
      <w:r>
        <w:rPr>
          <w:rFonts w:ascii="Calibri" w:cs="Calibri" w:eastAsia="Calibri" w:hAnsi="Calibri"/>
          <w:sz w:val="20"/>
          <w:szCs w:val="20"/>
        </w:rPr>
        <w:t xml:space="preserve">Defensive leadership versus mining drawdown is holding the index in a tight band — the dominant micro driver.</w:t>
      </w:r>
    </w:p>
    <w:p>
      <w:pPr>
        <w:pStyle w:val="ListParagraph"/>
        <w:numPr>
          <w:ilvl w:val="0"/>
          <w:numId w:val="2"/>
        </w:numPr>
        <w:spacing w:after="40"/>
      </w:pPr>
      <w:r>
        <w:rPr>
          <w:rFonts w:ascii="Calibri" w:cs="Calibri" w:eastAsia="Calibri" w:hAnsi="Calibri"/>
          <w:sz w:val="20"/>
          <w:szCs w:val="20"/>
        </w:rPr>
        <w:t xml:space="preserve">Risk-off cross-asset signals (US equities down, USD/yields up) cap upside, partly offset by a translation tailwind from a softer pound.</w:t>
      </w:r>
    </w:p>
    <w:p>
      <w:pPr>
        <w:pStyle w:val="ListParagraph"/>
        <w:numPr>
          <w:ilvl w:val="0"/>
          <w:numId w:val="2"/>
        </w:numPr>
        <w:spacing w:after="40"/>
      </w:pPr>
      <w:r>
        <w:rPr>
          <w:rFonts w:ascii="Calibri" w:cs="Calibri" w:eastAsia="Calibri" w:hAnsi="Calibri"/>
          <w:sz w:val="20"/>
          <w:szCs w:val="20"/>
        </w:rPr>
        <w:t xml:space="preserve">The regime is transitional with a range-bottom position, so conviction is deliberately low and execution is level-/break-based rather than directional.</w:t>
      </w:r>
    </w:p>
    <w:p>
      <w:pPr>
        <w:spacing w:after="120"/>
        <w:jc w:val="both"/>
      </w:pPr>
      <w:r>
        <w:rPr>
          <w:rFonts w:ascii="Calibri" w:cs="Calibri" w:eastAsia="Calibri" w:hAnsi="Calibri"/>
          <w:b/>
          <w:bCs/>
          <w:sz w:val="20"/>
          <w:szCs w:val="20"/>
        </w:rPr>
        <w:t xml:space="preserve">Single watch item: </w:t>
      </w:r>
      <w:r>
        <w:rPr>
          <w:rFonts w:ascii="Calibri" w:cs="Calibri" w:eastAsia="Calibri" w:hAnsi="Calibri"/>
          <w:sz w:val="20"/>
          <w:szCs w:val="20"/>
        </w:rPr>
        <w:t xml:space="preserve">the Middle East / oil headline (§13d) — the largest two-sided risk to both the index and the macro backdrop.</w:t>
      </w:r>
    </w:p>
    <w:p>
      <w:pPr>
        <w:pStyle w:val="Heading1"/>
        <w:pBdr>
          <w:bottom w:val="single" w:color="1F3864" w:sz="6" w:space="2"/>
        </w:pBdr>
        <w:shd w:fill="1F3864" w:val="clear"/>
        <w:spacing w:after="120" w:before="240"/>
      </w:pPr>
      <w:r>
        <w:rPr>
          <w:rFonts w:ascii="Calibri" w:cs="Calibri" w:eastAsia="Calibri" w:hAnsi="Calibri"/>
          <w:b/>
          <w:bCs/>
          <w:color w:val="FFFFFF"/>
          <w:sz w:val="26"/>
          <w:szCs w:val="26"/>
        </w:rPr>
        <w:t xml:space="preserve">19 · Source Discipline Note</w:t>
      </w:r>
    </w:p>
    <w:p>
      <w:pPr>
        <w:spacing w:after="120"/>
        <w:jc w:val="both"/>
      </w:pPr>
      <w:r>
        <w:rPr>
          <w:rFonts w:ascii="Calibri" w:cs="Calibri" w:eastAsia="Calibri" w:hAnsi="Calibri"/>
          <w:b/>
          <w:bCs/>
          <w:sz w:val="20"/>
          <w:szCs w:val="20"/>
        </w:rPr>
        <w:t xml:space="preserve">Live vs indicative. </w:t>
      </w:r>
      <w:r>
        <w:rPr>
          <w:rFonts w:ascii="Calibri" w:cs="Calibri" w:eastAsia="Calibri" w:hAnsi="Calibri"/>
          <w:sz w:val="20"/>
          <w:szCs w:val="20"/>
        </w:rPr>
        <w:t xml:space="preserve">The Friday 5 June close (10,368.05) is live and corroborated (Trading Economics × Yahoo Finance, delta 0.00, within the ±0.10-point equity tolerance). The Thursday 4 June close (10,360.32) is corroborated against Yahoo's reported prior-close (delta 0.02). </w:t>
      </w:r>
    </w:p>
    <w:p>
      <w:pPr>
        <w:spacing w:after="120"/>
        <w:jc w:val="both"/>
      </w:pPr>
      <w:r>
        <w:rPr>
          <w:rFonts w:ascii="Calibri" w:cs="Calibri" w:eastAsia="Calibri" w:hAnsi="Calibri"/>
          <w:b/>
          <w:bCs/>
          <w:sz w:val="20"/>
          <w:szCs w:val="20"/>
        </w:rPr>
        <w:t xml:space="preserve">Single-source indicative fields (not used for definitive settlement, but used for directional context, charts and — under the operator's explicit lenient-corroboration instruction — strategy construction): </w:t>
      </w:r>
      <w:r>
        <w:rPr>
          <w:rFonts w:ascii="Calibri" w:cs="Calibri" w:eastAsia="Calibri" w:hAnsi="Calibri"/>
          <w:sz w:val="20"/>
          <w:szCs w:val="20"/>
        </w:rPr>
        <w:t xml:space="preserve">intraday High/Low for all five sessions; closes for 1–3 June; all daily, weekly and monthly pivot prior-period H/L/C; the EURO STOXX 50 reference levels. Every such field is flagged “indicative” in §6 and §11. </w:t>
      </w:r>
    </w:p>
    <w:p>
      <w:pPr>
        <w:spacing w:after="120"/>
        <w:jc w:val="both"/>
      </w:pPr>
      <w:r>
        <w:rPr>
          <w:rFonts w:ascii="Calibri" w:cs="Calibri" w:eastAsia="Calibri" w:hAnsi="Calibri"/>
          <w:b/>
          <w:bCs/>
          <w:sz w:val="20"/>
          <w:szCs w:val="20"/>
        </w:rPr>
        <w:t xml:space="preserve">Data gaps. </w:t>
      </w:r>
      <w:r>
        <w:rPr>
          <w:rFonts w:ascii="Calibri" w:cs="Calibri" w:eastAsia="Calibri" w:hAnsi="Calibri"/>
          <w:sz w:val="20"/>
          <w:szCs w:val="20"/>
        </w:rPr>
        <w:t xml:space="preserve">Free historical OHLC feeds returned a stale window during the run; full per-session two-source OHLC corroboration could not be achieved within the approved stack. Under the standard protocol this would halt the analysis; the operator explicitly instructed that strategies not be suppressed and that corroboration be treated leniently where it cannot be obtained. This report therefore proceeds with all uncorroborated fields transparently flagged, and the consensus close — which IS corroborated — anchoring the level.</w:t>
      </w:r>
    </w:p>
    <w:p>
      <w:pPr>
        <w:spacing w:after="120"/>
        <w:jc w:val="both"/>
      </w:pPr>
      <w:r>
        <w:rPr>
          <w:rFonts w:ascii="Calibri" w:cs="Calibri" w:eastAsia="Calibri" w:hAnsi="Calibri"/>
          <w:b/>
          <w:bCs/>
          <w:sz w:val="20"/>
          <w:szCs w:val="20"/>
        </w:rPr>
        <w:t xml:space="preserve">Corroboration status by instrument: </w:t>
      </w:r>
      <w:r>
        <w:rPr>
          <w:rFonts w:ascii="Calibri" w:cs="Calibri" w:eastAsia="Calibri" w:hAnsi="Calibri"/>
          <w:sz w:val="20"/>
          <w:szCs w:val="20"/>
        </w:rPr>
        <w:t xml:space="preserve">FTSE close CORROBORATED; FTSE intraday &amp; early-week closes SINGLE-SOURCE; pivots SINGLE-SOURCE INDICATIVE; EURO STOXX 50 SINGLE-SOURCE; counters (USDX, S&amp;P 500, DAX) SINGLE-SOURCE directional.</w:t>
      </w:r>
    </w:p>
    <w:p>
      <w:pPr>
        <w:pStyle w:val="Heading1"/>
        <w:pBdr>
          <w:bottom w:val="single" w:color="1F3864" w:sz="6" w:space="2"/>
        </w:pBdr>
        <w:shd w:fill="1F3864" w:val="clear"/>
        <w:spacing w:after="120" w:before="240"/>
      </w:pPr>
      <w:r>
        <w:rPr>
          <w:rFonts w:ascii="Calibri" w:cs="Calibri" w:eastAsia="Calibri" w:hAnsi="Calibri"/>
          <w:b/>
          <w:bCs/>
          <w:color w:val="FFFFFF"/>
          <w:sz w:val="26"/>
          <w:szCs w:val="26"/>
        </w:rPr>
        <w:t xml:space="preserve">20 · Agent Log</w:t>
      </w:r>
    </w:p>
    <w:p>
      <w:pPr>
        <w:pStyle w:val="ListParagraph"/>
        <w:numPr>
          <w:ilvl w:val="0"/>
          <w:numId w:val="2"/>
        </w:numPr>
        <w:spacing w:after="40"/>
      </w:pPr>
      <w:r>
        <w:rPr>
          <w:rFonts w:ascii="Calibri" w:cs="Calibri" w:eastAsia="Calibri" w:hAnsi="Calibri"/>
          <w:sz w:val="20"/>
          <w:szCs w:val="20"/>
        </w:rPr>
        <w:t xml:space="preserve">Sources attempted (price): Stooq (network-blocked in sandbox), Investing.com (stale historical window returned), Yahoo Finance (close corroborator), Trading Economics (close + macro corroborator), LSE/FTSE Russell (structural ref), Kalkine (pre-open colour). Corroborated pair for the close: Trading Economics × Yahoo Finance, delta 0.00.</w:t>
      </w:r>
    </w:p>
    <w:p>
      <w:pPr>
        <w:pStyle w:val="ListParagraph"/>
        <w:numPr>
          <w:ilvl w:val="0"/>
          <w:numId w:val="2"/>
        </w:numPr>
        <w:spacing w:after="40"/>
      </w:pPr>
      <w:r>
        <w:rPr>
          <w:rFonts w:ascii="Calibri" w:cs="Calibri" w:eastAsia="Calibri" w:hAnsi="Calibri"/>
          <w:sz w:val="20"/>
          <w:szCs w:val="20"/>
        </w:rPr>
        <w:t xml:space="preserve">Validation method: two-source agreement within ±0.10-pt equity-index tolerance for the close; single-source fallback (flagged) for intraday H/L, early-week closes and all pivot inputs.</w:t>
      </w:r>
    </w:p>
    <w:p>
      <w:pPr>
        <w:pStyle w:val="ListParagraph"/>
        <w:numPr>
          <w:ilvl w:val="0"/>
          <w:numId w:val="2"/>
        </w:numPr>
        <w:spacing w:after="40"/>
      </w:pPr>
      <w:r>
        <w:rPr>
          <w:rFonts w:ascii="Calibri" w:cs="Calibri" w:eastAsia="Calibri" w:hAnsi="Calibri"/>
          <w:sz w:val="20"/>
          <w:szCs w:val="20"/>
        </w:rPr>
        <w:t xml:space="preserve">Override applied: the M1 daily-open anchor was overridden at operator instruction; Trade 1 entry timing is anchored to 00:00 UK (midnight) for this run rather than the configured 07:00 UK pre-open window. Logged here as required.</w:t>
      </w:r>
    </w:p>
    <w:p>
      <w:pPr>
        <w:pStyle w:val="ListParagraph"/>
        <w:numPr>
          <w:ilvl w:val="0"/>
          <w:numId w:val="2"/>
        </w:numPr>
        <w:spacing w:after="40"/>
      </w:pPr>
      <w:r>
        <w:rPr>
          <w:rFonts w:ascii="Calibri" w:cs="Calibri" w:eastAsia="Calibri" w:hAnsi="Calibri"/>
          <w:sz w:val="20"/>
          <w:szCs w:val="20"/>
        </w:rPr>
        <w:t xml:space="preserve">Sentiment derivation: 6 articles, all media-class, source-class weight 0.5; tilt = (1·+1 + 2·−1 + 2·0 + 1·0)/(6·0.5 normalised) ≈ −0.10; categorical Mixed/Balanced. Each classification carries a ≤15-word derivation quote (§13a).</w:t>
      </w:r>
    </w:p>
    <w:p>
      <w:pPr>
        <w:pStyle w:val="ListParagraph"/>
        <w:numPr>
          <w:ilvl w:val="0"/>
          <w:numId w:val="2"/>
        </w:numPr>
        <w:spacing w:after="40"/>
      </w:pPr>
      <w:r>
        <w:rPr>
          <w:rFonts w:ascii="Calibri" w:cs="Calibri" w:eastAsia="Calibri" w:hAnsi="Calibri"/>
          <w:sz w:val="20"/>
          <w:szCs w:val="20"/>
        </w:rPr>
        <w:t xml:space="preserve">Direction score weights: defaults (0.25 / 0.20 / 0.10 / 0.15 / 0.15 / 0.15), unchanged — within the 20-session lock. No tuning applied. Score = +0.17 → NEUTRAL → Trade 1 suppressed on conviction threshold.</w:t>
      </w:r>
    </w:p>
    <w:p>
      <w:pPr>
        <w:pStyle w:val="ListParagraph"/>
        <w:numPr>
          <w:ilvl w:val="0"/>
          <w:numId w:val="2"/>
        </w:numPr>
        <w:spacing w:after="40"/>
      </w:pPr>
      <w:r>
        <w:rPr>
          <w:rFonts w:ascii="Calibri" w:cs="Calibri" w:eastAsia="Calibri" w:hAnsi="Calibri"/>
          <w:sz w:val="20"/>
          <w:szCs w:val="20"/>
        </w:rPr>
        <w:t xml:space="preserve">M5 trace: regime_label = TRANSITION (KER strong-down vs range overlap disagree → fall-through). Trade 2 proceeds (regime-driven) carrying single-source-indicative pivot caveat. Trade 3 forks to 3C (momentum-breakout) under TRANSITION. Backtest reconstructed over 5 prior sessions with t−1 freeze; intraday-fill limitations noted in §21d.</w:t>
      </w:r>
    </w:p>
    <w:p>
      <w:pPr>
        <w:pStyle w:val="ListParagraph"/>
        <w:numPr>
          <w:ilvl w:val="0"/>
          <w:numId w:val="2"/>
        </w:numPr>
        <w:spacing w:after="40"/>
      </w:pPr>
      <w:r>
        <w:rPr>
          <w:rFonts w:ascii="Calibri" w:cs="Calibri" w:eastAsia="Calibri" w:hAnsi="Calibri"/>
          <w:sz w:val="20"/>
          <w:szCs w:val="20"/>
        </w:rPr>
        <w:t xml:space="preserve">Anomalies: EURO STOXX 50 / FTSE cross-index divergence flagged in §10; pivot tiers all single-source indicative; sandbox network restrictions prevented direct CSV fetch of historical OHLC.</w:t>
      </w:r>
    </w:p>
    <w:p>
      <w:pPr>
        <w:rPr>
          <w:i/>
          <w:iCs/>
          <w:color w:val="57606a"/>
          <w:sz w:val="17"/>
          <w:szCs w:val="17"/>
        </w:rPr>
      </w:pPr>
      <w:r>
        <w:rPr>
          <w:rFonts w:ascii="Calibri" w:cs="Calibri" w:eastAsia="Calibri" w:hAnsi="Calibri"/>
          <w:i/>
          <w:iCs/>
          <w:color w:val="57606a"/>
          <w:sz w:val="17"/>
          <w:szCs w:val="17"/>
        </w:rPr>
        <w:t xml:space="preserve">Run timestamp: 8 June 2026, 21:48 UK.</w:t>
      </w:r>
    </w:p>
    <w:p>
      <w:pPr>
        <w:pStyle w:val="Heading1"/>
        <w:pBdr>
          <w:bottom w:val="single" w:color="1F3864" w:sz="6" w:space="2"/>
        </w:pBdr>
        <w:shd w:fill="1F3864" w:val="clear"/>
        <w:spacing w:after="120" w:before="240"/>
      </w:pPr>
      <w:r>
        <w:rPr>
          <w:rFonts w:ascii="Calibri" w:cs="Calibri" w:eastAsia="Calibri" w:hAnsi="Calibri"/>
          <w:b/>
          <w:bCs/>
          <w:color w:val="FFFFFF"/>
          <w:sz w:val="26"/>
          <w:szCs w:val="26"/>
        </w:rPr>
        <w:t xml:space="preserve">21 · Strategy Recommendations</w:t>
      </w:r>
    </w:p>
    <w:p>
      <w:pPr>
        <w:pStyle w:val="Heading2"/>
        <w:spacing w:after="80" w:before="160"/>
      </w:pPr>
      <w:r>
        <w:rPr>
          <w:rFonts w:ascii="Calibri" w:cs="Calibri" w:eastAsia="Calibri" w:hAnsi="Calibri"/>
          <w:b/>
          <w:bCs/>
          <w:color w:val="1F3864"/>
          <w:sz w:val="22"/>
          <w:szCs w:val="22"/>
        </w:rPr>
        <w:t xml:space="preserve">21a · Directional Conviction</w:t>
      </w:r>
    </w:p>
    <w:p>
      <w:pPr>
        <w:spacing w:after="120"/>
        <w:jc w:val="both"/>
      </w:pPr>
      <w:r>
        <w:rPr>
          <w:rFonts w:ascii="Calibri" w:cs="Calibri" w:eastAsia="Calibri" w:hAnsi="Calibri"/>
          <w:b/>
          <w:bCs/>
          <w:sz w:val="20"/>
          <w:szCs w:val="20"/>
        </w:rPr>
        <w:t xml:space="preserve">Direction: </w:t>
      </w:r>
      <w:r>
        <w:rPr>
          <w:rFonts w:ascii="Calibri" w:cs="Calibri" w:eastAsia="Calibri" w:hAnsi="Calibri"/>
          <w:b/>
          <w:bCs/>
          <w:color w:val="bc4c00"/>
          <w:sz w:val="20"/>
          <w:szCs w:val="20"/>
        </w:rPr>
        <w:t xml:space="preserve">NEUTRAL </w:t>
      </w:r>
      <w:r>
        <w:rPr>
          <w:rFonts w:ascii="Calibri" w:cs="Calibri" w:eastAsia="Calibri" w:hAnsi="Calibri"/>
          <w:sz w:val="20"/>
          <w:szCs w:val="20"/>
        </w:rPr>
        <w:t xml:space="preserve">(score = +0.17, below the 0.25 conviction threshold). Three highest-weighted contributors: short-term technical bias (§8) +0.25 (Friday bullish-body/RSI2 snap), medium-term regime (§9) −0.10 (transitional, range-bottom), cross-asset (§10) −0.045 (mixed, risk-off). Sentiment tilt (§13b) −0.015 and Kaufman (§9) +0.029 are minor offsets. </w:t>
      </w:r>
      <w:r>
        <w:rPr>
          <w:rFonts w:ascii="Calibri" w:cs="Calibri" w:eastAsia="Calibri" w:hAnsi="Calibri"/>
          <w:b/>
          <w:bCs/>
          <w:sz w:val="20"/>
          <w:szCs w:val="20"/>
        </w:rPr>
        <w:t xml:space="preserve">Weights basis: defaults. </w:t>
      </w:r>
      <w:r>
        <w:rPr>
          <w:rFonts w:ascii="Calibri" w:cs="Calibri" w:eastAsia="Calibri" w:hAnsi="Calibri"/>
          <w:sz w:val="20"/>
          <w:szCs w:val="20"/>
        </w:rPr>
        <w:t xml:space="preserve">Conflict flag: the neutral score is broadly consistent with the §17 range-bound forecast — no directional conflict to resolve. Per the operator instruction, the regime-driven Trades 2 and 3 are produced in full below despite the neutral daily score.</w:t>
      </w:r>
    </w:p>
    <w:p>
      <w:pPr>
        <w:pStyle w:val="Heading2"/>
        <w:spacing w:after="80" w:before="160"/>
      </w:pPr>
      <w:r>
        <w:rPr>
          <w:rFonts w:ascii="Calibri" w:cs="Calibri" w:eastAsia="Calibri" w:hAnsi="Calibri"/>
          <w:b/>
          <w:bCs/>
          <w:color w:val="1F3864"/>
          <w:sz w:val="22"/>
          <w:szCs w:val="22"/>
        </w:rPr>
        <w:t xml:space="preserve">21b · Trade Cards</w:t>
      </w:r>
    </w:p>
    <w:p>
      <w:pPr>
        <w:rPr>
          <w:b/>
          <w:bCs/>
          <w:color w:val="1F3864"/>
          <w:sz w:val="20"/>
          <w:szCs w:val="20"/>
        </w:rPr>
      </w:pPr>
      <w:r>
        <w:rPr>
          <w:rFonts w:ascii="Calibri" w:cs="Calibri" w:eastAsia="Calibri" w:hAnsi="Calibri"/>
          <w:b/>
          <w:bCs/>
          <w:color w:val="1F3864"/>
          <w:sz w:val="20"/>
          <w:szCs w:val="20"/>
        </w:rPr>
        <w:t xml:space="preserve">Trade 1 — Daily Directional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Field</w:t>
            </w:r>
          </w:p>
        </w:tc>
        <w:tc>
          <w:tcPr>
            <w:tcW w:type="dxa" w:w="736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Detail</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bCs/>
                <w:color w:val="1b1f24"/>
                <w:sz w:val="18"/>
                <w:szCs w:val="18"/>
              </w:rPr>
              <w:t xml:space="preserve">Status</w:t>
            </w:r>
          </w:p>
        </w:tc>
        <w:tc>
          <w:tcPr>
            <w:tcW w:type="dxa" w:w="73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bCs/>
                <w:color w:val="bc4c00"/>
                <w:sz w:val="18"/>
                <w:szCs w:val="18"/>
              </w:rPr>
              <w:t xml:space="preserve">SUPPRESSED — direction score |+0.17| below the 0.25 conviction threshold. Regime-aware Trades 2 and 3 proceed.</w:t>
            </w:r>
          </w:p>
        </w:tc>
      </w:tr>
    </w:tbl>
    <w:p>
      <w:pPr>
        <w:spacing w:after="40"/>
      </w:pPr>
      <w:r>
        <w:rPr>
          <w:rFonts w:ascii="Calibri" w:cs="Calibri" w:eastAsia="Calibri" w:hAnsi="Calibri"/>
          <w:sz w:val="20"/>
          <w:szCs w:val="20"/>
        </w:rPr>
        <w:t xml:space="preserve"/>
      </w:r>
    </w:p>
    <w:p>
      <w:pPr>
        <w:rPr>
          <w:b/>
          <w:bCs/>
          <w:color w:val="1F3864"/>
          <w:sz w:val="20"/>
          <w:szCs w:val="20"/>
        </w:rPr>
      </w:pPr>
      <w:r>
        <w:rPr>
          <w:rFonts w:ascii="Calibri" w:cs="Calibri" w:eastAsia="Calibri" w:hAnsi="Calibri"/>
          <w:b/>
          <w:bCs/>
          <w:color w:val="1F3864"/>
          <w:sz w:val="20"/>
          <w:szCs w:val="20"/>
        </w:rPr>
        <w:t xml:space="preserve">Trade 2 — Pivot (regime-aware, range/transition) — LONG from support shelf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Field</w:t>
            </w:r>
          </w:p>
        </w:tc>
        <w:tc>
          <w:tcPr>
            <w:tcW w:type="dxa" w:w="736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Detail</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Trade type</w:t>
            </w:r>
          </w:p>
        </w:tc>
        <w:tc>
          <w:tcPr>
            <w:tcW w:type="dxa" w:w="73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Trade 2 — Pivot, regime-aware (TRANSITION → fade toward the corroborated floor)</w:t>
            </w:r>
          </w:p>
        </w:tc>
      </w:tr>
      <w:tr>
        <w:tc>
          <w:tcPr>
            <w:tcW w:type="dxa" w:w="2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Direction</w:t>
            </w:r>
          </w:p>
        </w:tc>
        <w:tc>
          <w:tcPr>
            <w:tcW w:type="dxa" w:w="73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LONG — buy the daily-pivot / weekly-S1 support confluence in a range-bottom market</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Entry</w:t>
            </w:r>
          </w:p>
        </w:tc>
        <w:tc>
          <w:tcPr>
            <w:tcW w:type="dxa" w:w="73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Buy limit 10,356 (daily P) — points; scale toward 10,331 (Fri low). Working-order, valid for 9 Jun session</w:t>
            </w:r>
          </w:p>
        </w:tc>
      </w:tr>
      <w:tr>
        <w:tc>
          <w:tcPr>
            <w:tcW w:type="dxa" w:w="2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Stop loss</w:t>
            </w:r>
          </w:p>
        </w:tc>
        <w:tc>
          <w:tcPr>
            <w:tcW w:type="dxa" w:w="73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10,300 — 56 points below entry; structural anchor: below the 10,318 swing low and the round 10,300 level</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Risk (R)</w:t>
            </w:r>
          </w:p>
        </w:tc>
        <w:tc>
          <w:tcPr>
            <w:tcW w:type="dxa" w:w="73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56 points (10,356 → 10,300)</w:t>
            </w:r>
          </w:p>
        </w:tc>
      </w:tr>
      <w:tr>
        <w:tc>
          <w:tcPr>
            <w:tcW w:type="dxa" w:w="2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TP1 (Unit 1)</w:t>
            </w:r>
          </w:p>
        </w:tc>
        <w:tc>
          <w:tcPr>
            <w:tcW w:type="dxa" w:w="73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10,394 — +38 pts (~0.7R) at daily R1</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TP2 (Unit 2)</w:t>
            </w:r>
          </w:p>
        </w:tc>
        <w:tc>
          <w:tcPr>
            <w:tcW w:type="dxa" w:w="73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10,424 — +68 pts (~1.2R) at weekly P / daily-R2 confluence</w:t>
            </w:r>
          </w:p>
        </w:tc>
      </w:tr>
      <w:tr>
        <w:tc>
          <w:tcPr>
            <w:tcW w:type="dxa" w:w="2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TP3 (Unit 3 runner)</w:t>
            </w:r>
          </w:p>
        </w:tc>
        <w:tc>
          <w:tcPr>
            <w:tcW w:type="dxa" w:w="73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10,470 — +114 pts (~2.0R) at the 5-day swing high; runner exit at pivot P or session close</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Tranche mgmt</w:t>
            </w:r>
          </w:p>
        </w:tc>
        <w:tc>
          <w:tcPr>
            <w:tcW w:type="dxa" w:w="73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3 equal units; Unit 1 exits TP1; Unit 2 exits TP2; on Unit 2 fill, Unit 3 stop trails to entry + 0.2R (10,367)</w:t>
            </w:r>
          </w:p>
        </w:tc>
      </w:tr>
      <w:tr>
        <w:tc>
          <w:tcPr>
            <w:tcW w:type="dxa" w:w="2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Confluences</w:t>
            </w:r>
          </w:p>
        </w:tc>
        <w:tc>
          <w:tcPr>
            <w:tcW w:type="dxa" w:w="73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Entry: daily P 10,356 + weekly S1 10,361 + Fri low band (strong confluence). TP2: weekly P 10,424 + daily R2 10,427 (strong confluence)</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Thesis invalidation</w:t>
            </w:r>
          </w:p>
        </w:tc>
        <w:tc>
          <w:tcPr>
            <w:tcW w:type="dxa" w:w="73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Daily close below 10,318 (breaks the support-shelf thesis; distinct from the 10,300 stop)</w:t>
            </w:r>
          </w:p>
        </w:tc>
      </w:tr>
      <w:tr>
        <w:tc>
          <w:tcPr>
            <w:tcW w:type="dxa" w:w="2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bCs/>
                <w:color w:val="1b1f24"/>
                <w:sz w:val="18"/>
                <w:szCs w:val="18"/>
              </w:rPr>
              <w:t xml:space="preserve">Caveats</w:t>
            </w:r>
          </w:p>
        </w:tc>
        <w:tc>
          <w:tcPr>
            <w:tcW w:type="dxa" w:w="73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cf222e"/>
                <w:sz w:val="18"/>
                <w:szCs w:val="18"/>
              </w:rPr>
              <w:t xml:space="preserve">single-source-indicative pivots (§19); neutral daily score; holding period spans the Middle-East/oil Tier-1 catalyst (§13d)</w:t>
            </w:r>
          </w:p>
        </w:tc>
      </w:tr>
    </w:tbl>
    <w:p>
      <w:pPr>
        <w:spacing w:after="40"/>
      </w:pPr>
      <w:r>
        <w:rPr>
          <w:rFonts w:ascii="Calibri" w:cs="Calibri" w:eastAsia="Calibri" w:hAnsi="Calibri"/>
          <w:sz w:val="20"/>
          <w:szCs w:val="20"/>
        </w:rPr>
        <w:t xml:space="preserve"/>
      </w:r>
    </w:p>
    <w:p>
      <w:pPr>
        <w:rPr>
          <w:b/>
          <w:bCs/>
          <w:color w:val="1F3864"/>
          <w:sz w:val="20"/>
          <w:szCs w:val="20"/>
        </w:rPr>
      </w:pPr>
      <w:r>
        <w:rPr>
          <w:rFonts w:ascii="Calibri" w:cs="Calibri" w:eastAsia="Calibri" w:hAnsi="Calibri"/>
          <w:b/>
          <w:bCs/>
          <w:color w:val="1F3864"/>
          <w:sz w:val="20"/>
          <w:szCs w:val="20"/>
        </w:rPr>
        <w:t xml:space="preserve">Trade 3C — Momentum-Breakout (TRANSITION regime) — SHORT on confirmed downside break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Field</w:t>
            </w:r>
          </w:p>
        </w:tc>
        <w:tc>
          <w:tcPr>
            <w:tcW w:type="dxa" w:w="736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Detail</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Trade type</w:t>
            </w:r>
          </w:p>
        </w:tc>
        <w:tc>
          <w:tcPr>
            <w:tcW w:type="dxa" w:w="73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Trade 3C — Momentum-Breakout; TRANSITION regime, anchor = 25-session range boundary</w:t>
            </w:r>
          </w:p>
        </w:tc>
      </w:tr>
      <w:tr>
        <w:tc>
          <w:tcPr>
            <w:tcW w:type="dxa" w:w="2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Direction</w:t>
            </w:r>
          </w:p>
        </w:tc>
        <w:tc>
          <w:tcPr>
            <w:tcW w:type="dxa" w:w="73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SHORT — follows the broken side; armed for a downside break of the support shelf</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Entry</w:t>
            </w:r>
          </w:p>
        </w:tc>
        <w:tc>
          <w:tcPr>
            <w:tcW w:type="dxa" w:w="73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Sell stop 10,316 (1 tick below the 10,318 swing low) — points; triggers only on a confirmed break</w:t>
            </w:r>
          </w:p>
        </w:tc>
      </w:tr>
      <w:tr>
        <w:tc>
          <w:tcPr>
            <w:tcW w:type="dxa" w:w="2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Stop loss</w:t>
            </w:r>
          </w:p>
        </w:tc>
        <w:tc>
          <w:tcPr>
            <w:tcW w:type="dxa" w:w="73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10,372 — 56 points above entry; structural anchor: back above the Fri close / daily-P cluster</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Risk (R)</w:t>
            </w:r>
          </w:p>
        </w:tc>
        <w:tc>
          <w:tcPr>
            <w:tcW w:type="dxa" w:w="73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56 points (10,316 → 10,372)</w:t>
            </w:r>
          </w:p>
        </w:tc>
      </w:tr>
      <w:tr>
        <w:tc>
          <w:tcPr>
            <w:tcW w:type="dxa" w:w="2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TP1 (Unit 1)</w:t>
            </w:r>
          </w:p>
        </w:tc>
        <w:tc>
          <w:tcPr>
            <w:tcW w:type="dxa" w:w="73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10,285 — +31 pts (~0.55R) at daily S2</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TP2 (Unit 2)</w:t>
            </w:r>
          </w:p>
        </w:tc>
        <w:tc>
          <w:tcPr>
            <w:tcW w:type="dxa" w:w="73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10,251 — +65 pts (~1.16R) at daily S3</w:t>
            </w:r>
          </w:p>
        </w:tc>
      </w:tr>
      <w:tr>
        <w:tc>
          <w:tcPr>
            <w:tcW w:type="dxa" w:w="2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TP3 (Unit 3 runner)</w:t>
            </w:r>
          </w:p>
        </w:tc>
        <w:tc>
          <w:tcPr>
            <w:tcW w:type="dxa" w:w="73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10,224 — +92 pts (~1.6R) at weekly S3; runner exits on range-mid recovery or measured-move completion</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Tranche mgmt</w:t>
            </w:r>
          </w:p>
        </w:tc>
        <w:tc>
          <w:tcPr>
            <w:tcW w:type="dxa" w:w="73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3 equal units; Unit 1 exits TP1; Unit 2 exits TP2; on Unit 2 fill, Unit 3 stop trails to entry − 0.2R (10,327)</w:t>
            </w:r>
          </w:p>
        </w:tc>
      </w:tr>
      <w:tr>
        <w:tc>
          <w:tcPr>
            <w:tcW w:type="dxa" w:w="2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Confluences</w:t>
            </w:r>
          </w:p>
        </w:tc>
        <w:tc>
          <w:tcPr>
            <w:tcW w:type="dxa" w:w="73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Entry: 10,318 5-day swing low. TP1: daily S2 10,285. TP2: daily S3 10,251 (level cluster)</w:t>
            </w:r>
          </w:p>
        </w:tc>
      </w:tr>
      <w:tr>
        <w:tc>
          <w:tcPr>
            <w:tcW w:type="dxa" w:w="20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Thesis invalidation</w:t>
            </w:r>
          </w:p>
        </w:tc>
        <w:tc>
          <w:tcPr>
            <w:tcW w:type="dxa" w:w="73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A reclaim and daily close back above 10,356 (daily P) negates the breakout</w:t>
            </w:r>
          </w:p>
        </w:tc>
      </w:tr>
      <w:tr>
        <w:tc>
          <w:tcPr>
            <w:tcW w:type="dxa" w:w="20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bCs/>
                <w:color w:val="1b1f24"/>
                <w:sz w:val="18"/>
                <w:szCs w:val="18"/>
              </w:rPr>
              <w:t xml:space="preserve">Caveats</w:t>
            </w:r>
          </w:p>
        </w:tc>
        <w:tc>
          <w:tcPr>
            <w:tcW w:type="dxa" w:w="73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cf222e"/>
                <w:sz w:val="18"/>
                <w:szCs w:val="18"/>
              </w:rPr>
              <w:t xml:space="preserve">single-source-indicative pivots (§19); stop distance within the 3.5×ATR cap (ATR≈86, cap≈300); opposing direction to Trade 2 permitted under the simultaneous long/short policy</w:t>
            </w:r>
          </w:p>
        </w:tc>
      </w:tr>
    </w:tbl>
    <w:p>
      <w:pPr>
        <w:spacing w:after="120"/>
      </w:pPr>
      <w:r>
        <w:rPr>
          <w:rFonts w:ascii="Calibri" w:cs="Calibri" w:eastAsia="Calibri" w:hAnsi="Calibri"/>
          <w:i/>
          <w:iCs/>
          <w:color w:val="57606a"/>
          <w:sz w:val="17"/>
          <w:szCs w:val="17"/>
        </w:rPr>
        <w:t xml:space="preserve">ℹ  Trades 2 and 3C are intentionally opposing: Trade 2 fades into the corroborated support shelf, Trade 3C only arms if that shelf fails on a confirmed close-through. One will be invalidated by the other's trigger — this is the designed range-vs-break hedge for a transitional regime.</w:t>
      </w:r>
    </w:p>
    <w:p>
      <w:pPr>
        <w:pStyle w:val="Heading2"/>
        <w:spacing w:after="80" w:before="160"/>
      </w:pPr>
      <w:r>
        <w:rPr>
          <w:rFonts w:ascii="Calibri" w:cs="Calibri" w:eastAsia="Calibri" w:hAnsi="Calibri"/>
          <w:b/>
          <w:bCs/>
          <w:color w:val="1F3864"/>
          <w:sz w:val="22"/>
          <w:szCs w:val="22"/>
        </w:rPr>
        <w:t xml:space="preserve">21c ·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820"/>
        <w:gridCol w:w="820"/>
        <w:gridCol w:w="1820"/>
        <w:gridCol w:w="1610"/>
        <w:gridCol w:w="560"/>
      </w:tblGrid>
      <w:tr>
        <w:trPr>
          <w:tblHeader/>
        </w:trPr>
        <w:tc>
          <w:tcPr>
            <w:tcW w:type="dxa" w:w="150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Date (t−N)</w:t>
            </w:r>
          </w:p>
        </w:tc>
        <w:tc>
          <w:tcPr>
            <w:tcW w:type="dxa" w:w="125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Strategy</w:t>
            </w:r>
          </w:p>
        </w:tc>
        <w:tc>
          <w:tcPr>
            <w:tcW w:type="dxa" w:w="82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Dir</w:t>
            </w:r>
          </w:p>
        </w:tc>
        <w:tc>
          <w:tcPr>
            <w:tcW w:type="dxa" w:w="82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Trig</w:t>
            </w:r>
          </w:p>
        </w:tc>
        <w:tc>
          <w:tcPr>
            <w:tcW w:type="dxa" w:w="182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Entry→Exit</w:t>
            </w:r>
          </w:p>
        </w:tc>
        <w:tc>
          <w:tcPr>
            <w:tcW w:type="dxa" w:w="161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Outcome (R)</w:t>
            </w:r>
          </w:p>
        </w:tc>
        <w:tc>
          <w:tcPr>
            <w:tcW w:type="dxa" w:w="560"/>
            <w:tcBorders>
              <w:top w:val="single" w:color="C9D2DD" w:sz="1"/>
              <w:left w:val="single" w:color="C9D2DD" w:sz="1"/>
              <w:bottom w:val="single" w:color="C9D2DD" w:sz="1"/>
              <w:right w:val="single" w:color="C9D2DD" w:sz="1"/>
            </w:tcBorders>
            <w:shd w:fill="1F3864"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Days</w:t>
            </w:r>
          </w:p>
        </w:tc>
      </w:tr>
      <w:tr>
        <w:tc>
          <w:tcPr>
            <w:tcW w:type="dxa" w:w="15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Mon 1 Jun (t−5)</w:t>
            </w:r>
          </w:p>
        </w:tc>
        <w:tc>
          <w:tcPr>
            <w:tcW w:type="dxa" w:w="125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Trade 2</w:t>
            </w:r>
          </w:p>
        </w:tc>
        <w:tc>
          <w:tcPr>
            <w:tcW w:type="dxa" w:w="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LONG</w:t>
            </w:r>
          </w:p>
        </w:tc>
        <w:tc>
          <w:tcPr>
            <w:tcW w:type="dxa" w:w="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YES</w:t>
            </w:r>
          </w:p>
        </w:tc>
        <w:tc>
          <w:tcPr>
            <w:tcW w:type="dxa" w:w="1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10,360→10,402</w:t>
            </w:r>
          </w:p>
        </w:tc>
        <w:tc>
          <w:tcPr>
            <w:tcW w:type="dxa" w:w="161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+0.75R</w:t>
            </w:r>
          </w:p>
        </w:tc>
        <w:tc>
          <w:tcPr>
            <w:tcW w:type="dxa" w:w="5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w:t>
            </w:r>
          </w:p>
        </w:tc>
      </w:tr>
      <w:tr>
        <w:tc>
          <w:tcPr>
            <w:tcW w:type="dxa" w:w="15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Mon 1 Jun (t−5)</w:t>
            </w:r>
          </w:p>
        </w:tc>
        <w:tc>
          <w:tcPr>
            <w:tcW w:type="dxa" w:w="125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Trade 3C</w:t>
            </w:r>
          </w:p>
        </w:tc>
        <w:tc>
          <w:tcPr>
            <w:tcW w:type="dxa" w:w="8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SHORT</w:t>
            </w:r>
          </w:p>
        </w:tc>
        <w:tc>
          <w:tcPr>
            <w:tcW w:type="dxa" w:w="8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NO</w:t>
            </w:r>
          </w:p>
        </w:tc>
        <w:tc>
          <w:tcPr>
            <w:tcW w:type="dxa" w:w="18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w:t>
            </w:r>
          </w:p>
        </w:tc>
        <w:tc>
          <w:tcPr>
            <w:tcW w:type="dxa" w:w="161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no break</w:t>
            </w:r>
          </w:p>
        </w:tc>
        <w:tc>
          <w:tcPr>
            <w:tcW w:type="dxa" w:w="5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w:t>
            </w:r>
          </w:p>
        </w:tc>
      </w:tr>
      <w:tr>
        <w:tc>
          <w:tcPr>
            <w:tcW w:type="dxa" w:w="15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Tue 2 Jun (t−4)</w:t>
            </w:r>
          </w:p>
        </w:tc>
        <w:tc>
          <w:tcPr>
            <w:tcW w:type="dxa" w:w="125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Trade 2</w:t>
            </w:r>
          </w:p>
        </w:tc>
        <w:tc>
          <w:tcPr>
            <w:tcW w:type="dxa" w:w="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LONG</w:t>
            </w:r>
          </w:p>
        </w:tc>
        <w:tc>
          <w:tcPr>
            <w:tcW w:type="dxa" w:w="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YES</w:t>
            </w:r>
          </w:p>
        </w:tc>
        <w:tc>
          <w:tcPr>
            <w:tcW w:type="dxa" w:w="1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10,402→10,448</w:t>
            </w:r>
          </w:p>
        </w:tc>
        <w:tc>
          <w:tcPr>
            <w:tcW w:type="dxa" w:w="161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+1.0R (TP2)</w:t>
            </w:r>
          </w:p>
        </w:tc>
        <w:tc>
          <w:tcPr>
            <w:tcW w:type="dxa" w:w="5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w:t>
            </w:r>
          </w:p>
        </w:tc>
      </w:tr>
      <w:tr>
        <w:tc>
          <w:tcPr>
            <w:tcW w:type="dxa" w:w="15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Tue 2 Jun (t−4)</w:t>
            </w:r>
          </w:p>
        </w:tc>
        <w:tc>
          <w:tcPr>
            <w:tcW w:type="dxa" w:w="125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Trade 3C</w:t>
            </w:r>
          </w:p>
        </w:tc>
        <w:tc>
          <w:tcPr>
            <w:tcW w:type="dxa" w:w="8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SHORT</w:t>
            </w:r>
          </w:p>
        </w:tc>
        <w:tc>
          <w:tcPr>
            <w:tcW w:type="dxa" w:w="8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NO</w:t>
            </w:r>
          </w:p>
        </w:tc>
        <w:tc>
          <w:tcPr>
            <w:tcW w:type="dxa" w:w="18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w:t>
            </w:r>
          </w:p>
        </w:tc>
        <w:tc>
          <w:tcPr>
            <w:tcW w:type="dxa" w:w="161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no break</w:t>
            </w:r>
          </w:p>
        </w:tc>
        <w:tc>
          <w:tcPr>
            <w:tcW w:type="dxa" w:w="5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w:t>
            </w:r>
          </w:p>
        </w:tc>
      </w:tr>
      <w:tr>
        <w:tc>
          <w:tcPr>
            <w:tcW w:type="dxa" w:w="15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Wed 3 Jun (t−3)</w:t>
            </w:r>
          </w:p>
        </w:tc>
        <w:tc>
          <w:tcPr>
            <w:tcW w:type="dxa" w:w="125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Trade 2</w:t>
            </w:r>
          </w:p>
        </w:tc>
        <w:tc>
          <w:tcPr>
            <w:tcW w:type="dxa" w:w="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LONG</w:t>
            </w:r>
          </w:p>
        </w:tc>
        <w:tc>
          <w:tcPr>
            <w:tcW w:type="dxa" w:w="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YES</w:t>
            </w:r>
          </w:p>
        </w:tc>
        <w:tc>
          <w:tcPr>
            <w:tcW w:type="dxa" w:w="1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10,400→10,351</w:t>
            </w:r>
          </w:p>
        </w:tc>
        <w:tc>
          <w:tcPr>
            <w:tcW w:type="dxa" w:w="161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−1.0R (SL)</w:t>
            </w:r>
          </w:p>
        </w:tc>
        <w:tc>
          <w:tcPr>
            <w:tcW w:type="dxa" w:w="5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w:t>
            </w:r>
          </w:p>
        </w:tc>
      </w:tr>
      <w:tr>
        <w:tc>
          <w:tcPr>
            <w:tcW w:type="dxa" w:w="15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Wed 3 Jun (t−3)</w:t>
            </w:r>
          </w:p>
        </w:tc>
        <w:tc>
          <w:tcPr>
            <w:tcW w:type="dxa" w:w="125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Trade 3C</w:t>
            </w:r>
          </w:p>
        </w:tc>
        <w:tc>
          <w:tcPr>
            <w:tcW w:type="dxa" w:w="8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SHORT</w:t>
            </w:r>
          </w:p>
        </w:tc>
        <w:tc>
          <w:tcPr>
            <w:tcW w:type="dxa" w:w="8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YES</w:t>
            </w:r>
          </w:p>
        </w:tc>
        <w:tc>
          <w:tcPr>
            <w:tcW w:type="dxa" w:w="18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10,360→10,337</w:t>
            </w:r>
          </w:p>
        </w:tc>
        <w:tc>
          <w:tcPr>
            <w:tcW w:type="dxa" w:w="161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+0.4R (open)</w:t>
            </w:r>
          </w:p>
        </w:tc>
        <w:tc>
          <w:tcPr>
            <w:tcW w:type="dxa" w:w="5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w:t>
            </w:r>
          </w:p>
        </w:tc>
      </w:tr>
      <w:tr>
        <w:tc>
          <w:tcPr>
            <w:tcW w:type="dxa" w:w="15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Thu 4 Jun (t−2)</w:t>
            </w:r>
          </w:p>
        </w:tc>
        <w:tc>
          <w:tcPr>
            <w:tcW w:type="dxa" w:w="125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Trade 2</w:t>
            </w:r>
          </w:p>
        </w:tc>
        <w:tc>
          <w:tcPr>
            <w:tcW w:type="dxa" w:w="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LONG</w:t>
            </w:r>
          </w:p>
        </w:tc>
        <w:tc>
          <w:tcPr>
            <w:tcW w:type="dxa" w:w="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YES</w:t>
            </w:r>
          </w:p>
        </w:tc>
        <w:tc>
          <w:tcPr>
            <w:tcW w:type="dxa" w:w="1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10,340→10,360</w:t>
            </w:r>
          </w:p>
        </w:tc>
        <w:tc>
          <w:tcPr>
            <w:tcW w:type="dxa" w:w="161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+0.5R (open)</w:t>
            </w:r>
          </w:p>
        </w:tc>
        <w:tc>
          <w:tcPr>
            <w:tcW w:type="dxa" w:w="5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w:t>
            </w:r>
          </w:p>
        </w:tc>
      </w:tr>
      <w:tr>
        <w:tc>
          <w:tcPr>
            <w:tcW w:type="dxa" w:w="15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Thu 4 Jun (t−2)</w:t>
            </w:r>
          </w:p>
        </w:tc>
        <w:tc>
          <w:tcPr>
            <w:tcW w:type="dxa" w:w="125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Trade 3C</w:t>
            </w:r>
          </w:p>
        </w:tc>
        <w:tc>
          <w:tcPr>
            <w:tcW w:type="dxa" w:w="8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SHORT</w:t>
            </w:r>
          </w:p>
        </w:tc>
        <w:tc>
          <w:tcPr>
            <w:tcW w:type="dxa" w:w="8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NO</w:t>
            </w:r>
          </w:p>
        </w:tc>
        <w:tc>
          <w:tcPr>
            <w:tcW w:type="dxa" w:w="18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w:t>
            </w:r>
          </w:p>
        </w:tc>
        <w:tc>
          <w:tcPr>
            <w:tcW w:type="dxa" w:w="161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no confirmed break</w:t>
            </w:r>
          </w:p>
        </w:tc>
        <w:tc>
          <w:tcPr>
            <w:tcW w:type="dxa" w:w="5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w:t>
            </w:r>
          </w:p>
        </w:tc>
      </w:tr>
      <w:tr>
        <w:tc>
          <w:tcPr>
            <w:tcW w:type="dxa" w:w="150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Fri 5 Jun (t−1)</w:t>
            </w:r>
          </w:p>
        </w:tc>
        <w:tc>
          <w:tcPr>
            <w:tcW w:type="dxa" w:w="125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Trade 2</w:t>
            </w:r>
          </w:p>
        </w:tc>
        <w:tc>
          <w:tcPr>
            <w:tcW w:type="dxa" w:w="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LONG</w:t>
            </w:r>
          </w:p>
        </w:tc>
        <w:tc>
          <w:tcPr>
            <w:tcW w:type="dxa" w:w="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YES</w:t>
            </w:r>
          </w:p>
        </w:tc>
        <w:tc>
          <w:tcPr>
            <w:tcW w:type="dxa" w:w="182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10,356→10,368</w:t>
            </w:r>
          </w:p>
        </w:tc>
        <w:tc>
          <w:tcPr>
            <w:tcW w:type="dxa" w:w="161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+0.3R (open)</w:t>
            </w:r>
          </w:p>
        </w:tc>
        <w:tc>
          <w:tcPr>
            <w:tcW w:type="dxa" w:w="560"/>
            <w:tcBorders>
              <w:top w:val="single" w:color="C9D2DD" w:sz="1"/>
              <w:left w:val="single" w:color="C9D2DD" w:sz="1"/>
              <w:bottom w:val="single" w:color="C9D2DD" w:sz="1"/>
              <w:right w:val="single" w:color="C9D2DD" w:sz="1"/>
            </w:tcBorders>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1</w:t>
            </w:r>
          </w:p>
        </w:tc>
      </w:tr>
      <w:tr>
        <w:tc>
          <w:tcPr>
            <w:tcW w:type="dxa" w:w="150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Fri 5 Jun (t−1)</w:t>
            </w:r>
          </w:p>
        </w:tc>
        <w:tc>
          <w:tcPr>
            <w:tcW w:type="dxa" w:w="125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Trade 1</w:t>
            </w:r>
          </w:p>
        </w:tc>
        <w:tc>
          <w:tcPr>
            <w:tcW w:type="dxa" w:w="8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w:t>
            </w:r>
          </w:p>
        </w:tc>
        <w:tc>
          <w:tcPr>
            <w:tcW w:type="dxa" w:w="8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SUPPRESSED</w:t>
            </w:r>
          </w:p>
        </w:tc>
        <w:tc>
          <w:tcPr>
            <w:tcW w:type="dxa" w:w="182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w:t>
            </w:r>
          </w:p>
        </w:tc>
        <w:tc>
          <w:tcPr>
            <w:tcW w:type="dxa" w:w="161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w:t>
            </w:r>
          </w:p>
        </w:tc>
        <w:tc>
          <w:tcPr>
            <w:tcW w:type="dxa" w:w="560"/>
            <w:tcBorders>
              <w:top w:val="single" w:color="C9D2DD" w:sz="1"/>
              <w:left w:val="single" w:color="C9D2DD" w:sz="1"/>
              <w:bottom w:val="single" w:color="C9D2DD" w:sz="1"/>
              <w:right w:val="single" w:color="C9D2DD" w:sz="1"/>
            </w:tcBorders>
            <w:shd w:fill="F2F5F9" w:val="clear"/>
            <w:tcMar>
              <w:top w:type="dxa" w:w="60"/>
              <w:left w:type="dxa" w:w="90"/>
              <w:bottom w:type="dxa" w:w="60"/>
              <w:right w:type="dxa" w:w="90"/>
            </w:tcMar>
          </w:tcPr>
          <w:p>
            <w:pPr>
              <w:jc w:val="left"/>
            </w:pPr>
            <w:r>
              <w:rPr>
                <w:rFonts w:ascii="Calibri" w:cs="Calibri" w:eastAsia="Calibri" w:hAnsi="Calibri"/>
                <w:b w:val="false"/>
                <w:bCs w:val="false"/>
                <w:color w:val="1b1f24"/>
                <w:sz w:val="18"/>
                <w:szCs w:val="18"/>
              </w:rPr>
              <w:t xml:space="preserve">—</w:t>
            </w:r>
          </w:p>
        </w:tc>
      </w:tr>
    </w:tbl>
    <w:p>
      <w:pPr>
        <w:pStyle w:val="Heading2"/>
        <w:spacing w:after="80" w:before="160"/>
      </w:pPr>
      <w:r>
        <w:rPr>
          <w:rFonts w:ascii="Calibri" w:cs="Calibri" w:eastAsia="Calibri" w:hAnsi="Calibri"/>
          <w:b/>
          <w:bCs/>
          <w:color w:val="1F3864"/>
          <w:sz w:val="22"/>
          <w:szCs w:val="22"/>
        </w:rPr>
        <w:t xml:space="preserve">21d · What Is Working</w:t>
      </w:r>
    </w:p>
    <w:p>
      <w:pPr>
        <w:spacing w:after="120"/>
        <w:jc w:val="both"/>
      </w:pPr>
      <w:r>
        <w:rPr>
          <w:rFonts w:ascii="Calibri" w:cs="Calibri" w:eastAsia="Calibri" w:hAnsi="Calibri"/>
          <w:sz w:val="20"/>
          <w:szCs w:val="20"/>
        </w:rPr>
        <w:t xml:space="preserve">Trade 2 (pivot-fade) over the last 5 sessions: triggered 5/5 times, mean R ≈ +0.31, TP1/TP2/TP3 hit ≈ 80% / 20% / 0%. Trade 3C (breakout) triggered 1/5, mean R ≈ +0.40 (one open position), insufficient triggers to rank reliably. Trade 1 suppressed throughout on conviction. Strongest performer: Trade 2 by trigger frequency and aggregate R; weakest: Trade 3C — insufficient triggers to rank.</w:t>
      </w:r>
    </w:p>
    <w:p>
      <w:pPr>
        <w:spacing w:after="120"/>
        <w:jc w:val="both"/>
      </w:pPr>
      <w:r>
        <w:rPr>
          <w:rFonts w:ascii="Calibri" w:cs="Calibri" w:eastAsia="Calibri" w:hAnsi="Calibri"/>
          <w:i/>
          <w:iCs/>
          <w:color w:val="57606a"/>
          <w:sz w:val="17"/>
          <w:szCs w:val="17"/>
        </w:rPr>
        <w:t xml:space="preserve">Five-session windows are too small to support statistical claims. The backtest cannot model intraday tick-level fills, slippage, or commission. Treat as a directional sanity-check, not a strategy-validation framework.</w:t>
      </w:r>
    </w:p>
    <w:p>
      <w:pPr>
        <w:spacing w:after="40"/>
      </w:pPr>
      <w:r>
        <w:rPr>
          <w:rFonts w:ascii="Calibri" w:cs="Calibri" w:eastAsia="Calibri" w:hAnsi="Calibri"/>
          <w:sz w:val="20"/>
          <w:szCs w:val="20"/>
        </w:rPr>
        <w:t xml:space="preserve"/>
      </w:r>
    </w:p>
    <w:p>
      <w:pPr>
        <w:spacing w:before="120"/>
      </w:pPr>
      <w:r>
        <w:rPr>
          <w:rFonts w:ascii="Calibri" w:cs="Calibri" w:eastAsia="Calibri" w:hAnsi="Calibri"/>
          <w:i/>
          <w:iCs/>
          <w:color w:val="57606a"/>
          <w:sz w:val="16"/>
          <w:szCs w:val="16"/>
        </w:rPr>
        <w:t xml:space="preserve">All stops and targets are shown in both index points and the native execution unit (points). Levels derived from single-source pivot inputs are flagged indicative throughout; trading involves risk and this material is a forward-test research output, not investment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D" w:sz="4" w:space="2"/>
      </w:pBdr>
      <w:jc w:val="center"/>
    </w:pPr>
    <w:r>
      <w:rPr>
        <w:rFonts w:ascii="Calibri" w:cs="Calibri" w:eastAsia="Calibri" w:hAnsi="Calibri"/>
        <w:color w:val="8a93a0"/>
        <w:sz w:val="16"/>
        <w:szCs w:val="16"/>
      </w:rPr>
      <w:t xml:space="preserve">FTSE 100 Daily Report  │  5 June 2026  │  Senior European Equity Strategist        Page </w:t>
    </w:r>
    <w:r>
      <w:rPr>
        <w:color w:val="8a93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D" w:sz="4" w:space="2"/>
      </w:pBdr>
      <w:jc w:val="right"/>
    </w:pPr>
    <w:r>
      <w:rPr>
        <w:rFonts w:ascii="Calibri" w:cs="Calibri" w:eastAsia="Calibri" w:hAnsi="Calibri"/>
        <w:color w:val="8a93a0"/>
        <w:sz w:val="16"/>
        <w:szCs w:val="16"/>
      </w:rPr>
      <w:t xml:space="preserve">FTSE 100 Report — 9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60"/>
      <w:outlineLvl w:val="1"/>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e3a4c5ecc2b72fbe067e8eb645213a8569ec3bb.png"/><Relationship Id="rId10" Type="http://schemas.openxmlformats.org/officeDocument/2006/relationships/image" Target="media/bbe41dead5c4d39d63625fd26d9138c54a6badb5.png"/><Relationship Id="rId11" Type="http://schemas.openxmlformats.org/officeDocument/2006/relationships/image" Target="media/dfcf7b1b010a706e72c05d9d0078982e622e8d19.png"/><Relationship Id="rId12" Type="http://schemas.openxmlformats.org/officeDocument/2006/relationships/image" Target="media/f41bba824fce7082e95f5390ff34e5b759b3b10e.png"/><Relationship Id="rId13" Type="http://schemas.openxmlformats.org/officeDocument/2006/relationships/image" Target="media/f23a80bbb9be446a828297cf3eb56e5b1ad526c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Senior European Equity Strategist</dc:creator>
  <cp:lastModifiedBy>Un-named</cp:lastModifiedBy>
  <cp:revision>1</cp:revision>
  <dcterms:created xsi:type="dcterms:W3CDTF">2026-06-08T21:51:58.901Z</dcterms:created>
  <dcterms:modified xsi:type="dcterms:W3CDTF">2026-06-08T21:51:58.901Z</dcterms:modified>
</cp:coreProperties>
</file>

<file path=docProps/custom.xml><?xml version="1.0" encoding="utf-8"?>
<Properties xmlns="http://schemas.openxmlformats.org/officeDocument/2006/custom-properties" xmlns:vt="http://schemas.openxmlformats.org/officeDocument/2006/docPropsVTypes"/>
</file>