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36"/>
          <w:szCs w:val="36"/>
        </w:rPr>
        <w:t xml:space="preserve">FTSE 100 Report — Daily: 16 July 2026</w:t>
      </w:r>
    </w:p>
    <w:p>
      <w:pPr>
        <w:spacing w:after="60"/>
      </w:pPr>
      <w:r>
        <w:rPr>
          <w:color w:val="595959"/>
          <w:sz w:val="22"/>
          <w:szCs w:val="22"/>
        </w:rPr>
        <w:t xml:space="preserve">With reference to: EURO STOXX 50 · Dollar Index · S&amp;P 500 · DAX 40</w:t>
      </w:r>
    </w:p>
    <w:p>
      <w:pPr>
        <w:spacing w:after="240"/>
      </w:pPr>
      <w:r>
        <w:rPr>
          <w:i/>
          <w:iCs/>
          <w:color w:val="808080"/>
          <w:sz w:val="18"/>
          <w:szCs w:val="18"/>
        </w:rPr>
        <w:t xml:space="preserve">Senior European Equity Strategist · Prepared 15 July 2026 (Europe/London) for the 16 July 2026 session</w:t>
      </w:r>
    </w:p>
    <w:p>
      <w:pPr>
        <w:pStyle w:val="Heading1"/>
        <w:spacing w:after="140" w:before="280"/>
      </w:pPr>
      <w:r>
        <w:t xml:space="preserve">§1  Executive Snapshot</w:t>
      </w:r>
    </w:p>
    <w:p>
      <w:pPr>
        <w:spacing w:after="120" w:before="0"/>
      </w:pPr>
      <w:r>
        <w:rPr>
          <w:sz w:val="20"/>
          <w:szCs w:val="20"/>
        </w:rPr>
        <w:t xml:space="preserve">The FTSE 100 enters the 16 July session at a consensus reference level of 10,515.92 index points, having closed Wednesday 15 July down 13.47 points (−0.1%) and snapped a three-day winning streak. Market tone is cautiously constructive but internally divided. Three drivers dominate: (i) the escalating US–Iran conflict and the associated closure threat to the Strait of Hormuz, which is simultaneously lifting energy names and suppressing broad risk appetite; (ii) a softer-than-expected US June inflation print that has revived rate-cut expectations and underpinned banks and financials; and (iii) a China Q2 GDP miss at 4.3% year-on-year, which drove mining stocks sharply lower and accounted for most of Wednesday's decline. The short-term technical state is transitional with a mild bullish tilt — five sessions of overlapping ranges above a rising floor, RSI2 mid-range at 55.3, and a net five-day gain of roughly 51 points achieved through choppy, low-conviction rotation rather than trend. The medium-term state is transitional rather than trending: the index sits well below its late-February record zone near 10,930 but has recovered the entire early-July selloff. Kaufman efficiency reads 0.26 on the available window — above the 0.13 trending threshold, which classifies the tape as directionally efficient and argues against a pure range read, though the reading is computed on a shortened window and should be treated as indicative. The single most important watch item is the 10,547–10,553 resistance shelf, where the daily first resistance pivot and the five-day swing high sit within 6 points of each other: this is the level that decides whether the 16 July session extends the recovery or rotates back toward the 10,480 pivot floor.</w:t>
      </w:r>
    </w:p>
    <w:p>
      <w:pPr>
        <w:pStyle w:val="Heading1"/>
        <w:spacing w:after="140" w:before="28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80"/>
              <w:bottom w:type="dxa" w:w="60"/>
              <w:right w:type="dxa" w:w="80"/>
            </w:tcMar>
          </w:tcPr>
          <w:p>
            <w:pPr>
              <w:spacing w:after="40"/>
            </w:pPr>
            <w:r>
              <w:rPr>
                <w:b/>
                <w:bCs/>
                <w:color w:val="FFFFFF"/>
                <w:sz w:val="17"/>
                <w:szCs w:val="17"/>
              </w:rPr>
              <w:t xml:space="preserve">Element</w:t>
            </w:r>
          </w:p>
        </w:tc>
        <w:tc>
          <w:tcPr>
            <w:tcW w:type="dxa" w:w="7160"/>
            <w:shd w:fill="1F4E79" w:val="clear"/>
            <w:tcMar>
              <w:top w:type="dxa" w:w="60"/>
              <w:left w:type="dxa" w:w="80"/>
              <w:bottom w:type="dxa" w:w="60"/>
              <w:right w:type="dxa" w:w="80"/>
            </w:tcMar>
          </w:tcPr>
          <w:p>
            <w:pPr>
              <w:spacing w:after="40"/>
            </w:pPr>
            <w:r>
              <w:rPr>
                <w:b/>
                <w:bCs/>
                <w:color w:val="FFFFFF"/>
                <w:sz w:val="17"/>
                <w:szCs w:val="17"/>
              </w:rPr>
              <w:t xml:space="preserve">Definition</w:t>
            </w:r>
          </w:p>
        </w:tc>
      </w:tr>
      <w:tr>
        <w:tc>
          <w:tcPr>
            <w:tcW w:type="dxa" w:w="2200"/>
            <w:tcMar>
              <w:top w:type="dxa" w:w="60"/>
              <w:left w:type="dxa" w:w="80"/>
              <w:bottom w:type="dxa" w:w="60"/>
              <w:right w:type="dxa" w:w="80"/>
            </w:tcMar>
          </w:tcPr>
          <w:p>
            <w:pPr>
              <w:spacing w:after="40"/>
            </w:pPr>
            <w:r>
              <w:rPr>
                <w:sz w:val="17"/>
                <w:szCs w:val="17"/>
              </w:rPr>
              <w:t xml:space="preserve">Primary asset</w:t>
            </w:r>
          </w:p>
        </w:tc>
        <w:tc>
          <w:tcPr>
            <w:tcW w:type="dxa" w:w="7160"/>
            <w:tcMar>
              <w:top w:type="dxa" w:w="60"/>
              <w:left w:type="dxa" w:w="80"/>
              <w:bottom w:type="dxa" w:w="60"/>
              <w:right w:type="dxa" w:w="80"/>
            </w:tcMar>
          </w:tcPr>
          <w:p>
            <w:pPr>
              <w:spacing w:after="40"/>
            </w:pPr>
            <w:r>
              <w:rPr>
                <w:sz w:val="17"/>
                <w:szCs w:val="17"/>
              </w:rPr>
              <w:t xml:space="preserve">FTSE 100 cash index — UK large-cap benchmark, 100 constituents, approximately 80% multinational revenue exposure</w:t>
            </w:r>
          </w:p>
        </w:tc>
      </w:tr>
      <w:tr>
        <w:tc>
          <w:tcPr>
            <w:tcW w:type="dxa" w:w="2200"/>
            <w:tcMar>
              <w:top w:type="dxa" w:w="60"/>
              <w:left w:type="dxa" w:w="80"/>
              <w:bottom w:type="dxa" w:w="60"/>
              <w:right w:type="dxa" w:w="80"/>
            </w:tcMar>
          </w:tcPr>
          <w:p>
            <w:pPr>
              <w:spacing w:after="40"/>
            </w:pPr>
            <w:r>
              <w:rPr>
                <w:sz w:val="17"/>
                <w:szCs w:val="17"/>
              </w:rPr>
              <w:t xml:space="preserve">Specification</w:t>
            </w:r>
          </w:p>
        </w:tc>
        <w:tc>
          <w:tcPr>
            <w:tcW w:type="dxa" w:w="7160"/>
            <w:tcMar>
              <w:top w:type="dxa" w:w="60"/>
              <w:left w:type="dxa" w:w="80"/>
              <w:bottom w:type="dxa" w:w="60"/>
              <w:right w:type="dxa" w:w="80"/>
            </w:tcMar>
          </w:tcPr>
          <w:p>
            <w:pPr>
              <w:spacing w:after="40"/>
            </w:pPr>
            <w:r>
              <w:rPr>
                <w:sz w:val="17"/>
                <w:szCs w:val="17"/>
              </w:rPr>
              <w:t xml:space="preserve">FTSE 100 cash index, GBP-denominated, free-float capitalisation-weighted (FTSE Russell methodology, quarterly review)</w:t>
            </w:r>
          </w:p>
        </w:tc>
      </w:tr>
      <w:tr>
        <w:tc>
          <w:tcPr>
            <w:tcW w:type="dxa" w:w="2200"/>
            <w:tcMar>
              <w:top w:type="dxa" w:w="60"/>
              <w:left w:type="dxa" w:w="80"/>
              <w:bottom w:type="dxa" w:w="60"/>
              <w:right w:type="dxa" w:w="80"/>
            </w:tcMar>
          </w:tcPr>
          <w:p>
            <w:pPr>
              <w:spacing w:after="40"/>
            </w:pPr>
            <w:r>
              <w:rPr>
                <w:sz w:val="17"/>
                <w:szCs w:val="17"/>
              </w:rPr>
              <w:t xml:space="preserve">Secondary asset</w:t>
            </w:r>
          </w:p>
        </w:tc>
        <w:tc>
          <w:tcPr>
            <w:tcW w:type="dxa" w:w="7160"/>
            <w:tcMar>
              <w:top w:type="dxa" w:w="60"/>
              <w:left w:type="dxa" w:w="80"/>
              <w:bottom w:type="dxa" w:w="60"/>
              <w:right w:type="dxa" w:w="80"/>
            </w:tcMar>
          </w:tcPr>
          <w:p>
            <w:pPr>
              <w:spacing w:after="40"/>
            </w:pPr>
            <w:r>
              <w:rPr>
                <w:sz w:val="17"/>
                <w:szCs w:val="17"/>
              </w:rPr>
              <w:t xml:space="preserve">EURO STOXX 50 — Eurozone large-cap blue-chip index, 50 constituents across 8 Eurozone countries</w:t>
            </w:r>
          </w:p>
        </w:tc>
      </w:tr>
      <w:tr>
        <w:tc>
          <w:tcPr>
            <w:tcW w:type="dxa" w:w="2200"/>
            <w:tcMar>
              <w:top w:type="dxa" w:w="60"/>
              <w:left w:type="dxa" w:w="80"/>
              <w:bottom w:type="dxa" w:w="60"/>
              <w:right w:type="dxa" w:w="80"/>
            </w:tcMar>
          </w:tcPr>
          <w:p>
            <w:pPr>
              <w:spacing w:after="40"/>
            </w:pPr>
            <w:r>
              <w:rPr>
                <w:sz w:val="17"/>
                <w:szCs w:val="17"/>
              </w:rPr>
              <w:t xml:space="preserve">Asset class</w:t>
            </w:r>
          </w:p>
        </w:tc>
        <w:tc>
          <w:tcPr>
            <w:tcW w:type="dxa" w:w="7160"/>
            <w:tcMar>
              <w:top w:type="dxa" w:w="60"/>
              <w:left w:type="dxa" w:w="80"/>
              <w:bottom w:type="dxa" w:w="60"/>
              <w:right w:type="dxa" w:w="80"/>
            </w:tcMar>
          </w:tcPr>
          <w:p>
            <w:pPr>
              <w:spacing w:after="40"/>
            </w:pPr>
            <w:r>
              <w:rPr>
                <w:sz w:val="17"/>
                <w:szCs w:val="17"/>
              </w:rPr>
              <w:t xml:space="preserve">Equity Index — Large-Cap European</w:t>
            </w:r>
          </w:p>
        </w:tc>
      </w:tr>
      <w:tr>
        <w:tc>
          <w:tcPr>
            <w:tcW w:type="dxa" w:w="2200"/>
            <w:tcMar>
              <w:top w:type="dxa" w:w="60"/>
              <w:left w:type="dxa" w:w="80"/>
              <w:bottom w:type="dxa" w:w="60"/>
              <w:right w:type="dxa" w:w="80"/>
            </w:tcMar>
          </w:tcPr>
          <w:p>
            <w:pPr>
              <w:spacing w:after="40"/>
            </w:pPr>
            <w:r>
              <w:rPr>
                <w:sz w:val="17"/>
                <w:szCs w:val="17"/>
              </w:rPr>
              <w:t xml:space="preserve">Market scope</w:t>
            </w:r>
          </w:p>
        </w:tc>
        <w:tc>
          <w:tcPr>
            <w:tcW w:type="dxa" w:w="7160"/>
            <w:tcMar>
              <w:top w:type="dxa" w:w="60"/>
              <w:left w:type="dxa" w:w="80"/>
              <w:bottom w:type="dxa" w:w="60"/>
              <w:right w:type="dxa" w:w="80"/>
            </w:tcMar>
          </w:tcPr>
          <w:p>
            <w:pPr>
              <w:spacing w:after="40"/>
            </w:pPr>
            <w:r>
              <w:rPr>
                <w:sz w:val="17"/>
                <w:szCs w:val="17"/>
              </w:rPr>
              <w:t xml:space="preserve">Regional — Europe (United Kingdom and Eurozone), two-jurisdiction analysis</w:t>
            </w:r>
          </w:p>
        </w:tc>
      </w:tr>
      <w:tr>
        <w:tc>
          <w:tcPr>
            <w:tcW w:type="dxa" w:w="2200"/>
            <w:tcMar>
              <w:top w:type="dxa" w:w="60"/>
              <w:left w:type="dxa" w:w="80"/>
              <w:bottom w:type="dxa" w:w="60"/>
              <w:right w:type="dxa" w:w="80"/>
            </w:tcMar>
          </w:tcPr>
          <w:p>
            <w:pPr>
              <w:spacing w:after="40"/>
            </w:pPr>
            <w:r>
              <w:rPr>
                <w:sz w:val="17"/>
                <w:szCs w:val="17"/>
              </w:rPr>
              <w:t xml:space="preserve">Delivery basis</w:t>
            </w:r>
          </w:p>
        </w:tc>
        <w:tc>
          <w:tcPr>
            <w:tcW w:type="dxa" w:w="7160"/>
            <w:tcMar>
              <w:top w:type="dxa" w:w="60"/>
              <w:left w:type="dxa" w:w="80"/>
              <w:bottom w:type="dxa" w:w="60"/>
              <w:right w:type="dxa" w:w="80"/>
            </w:tcMar>
          </w:tcPr>
          <w:p>
            <w:pPr>
              <w:spacing w:after="40"/>
            </w:pPr>
            <w:r>
              <w:rPr>
                <w:sz w:val="17"/>
                <w:szCs w:val="17"/>
              </w:rPr>
              <w:t xml:space="preserve">London Stock Exchange regular session 08:00–16:30 UK (FTSE 100); Xetra 09:00–17:30 CET (EURO STOXX 50). Cash sessions only</w:t>
            </w:r>
          </w:p>
        </w:tc>
      </w:tr>
      <w:tr>
        <w:tc>
          <w:tcPr>
            <w:tcW w:type="dxa" w:w="2200"/>
            <w:tcMar>
              <w:top w:type="dxa" w:w="60"/>
              <w:left w:type="dxa" w:w="80"/>
              <w:bottom w:type="dxa" w:w="60"/>
              <w:right w:type="dxa" w:w="80"/>
            </w:tcMar>
          </w:tcPr>
          <w:p>
            <w:pPr>
              <w:spacing w:after="40"/>
            </w:pPr>
            <w:r>
              <w:rPr>
                <w:sz w:val="17"/>
                <w:szCs w:val="17"/>
              </w:rPr>
              <w:t xml:space="preserve">Unit of measure</w:t>
            </w:r>
          </w:p>
        </w:tc>
        <w:tc>
          <w:tcPr>
            <w:tcW w:type="dxa" w:w="7160"/>
            <w:tcMar>
              <w:top w:type="dxa" w:w="60"/>
              <w:left w:type="dxa" w:w="80"/>
              <w:bottom w:type="dxa" w:w="60"/>
              <w:right w:type="dxa" w:w="80"/>
            </w:tcMar>
          </w:tcPr>
          <w:p>
            <w:pPr>
              <w:spacing w:after="40"/>
            </w:pPr>
            <w:r>
              <w:rPr>
                <w:sz w:val="17"/>
                <w:szCs w:val="17"/>
              </w:rPr>
              <w:t xml:space="preserve">Index points</w:t>
            </w:r>
          </w:p>
        </w:tc>
      </w:tr>
      <w:tr>
        <w:tc>
          <w:tcPr>
            <w:tcW w:type="dxa" w:w="2200"/>
            <w:tcMar>
              <w:top w:type="dxa" w:w="60"/>
              <w:left w:type="dxa" w:w="80"/>
              <w:bottom w:type="dxa" w:w="60"/>
              <w:right w:type="dxa" w:w="80"/>
            </w:tcMar>
          </w:tcPr>
          <w:p>
            <w:pPr>
              <w:spacing w:after="40"/>
            </w:pPr>
            <w:r>
              <w:rPr>
                <w:sz w:val="17"/>
                <w:szCs w:val="17"/>
              </w:rPr>
              <w:t xml:space="preserve">Currency</w:t>
            </w:r>
          </w:p>
        </w:tc>
        <w:tc>
          <w:tcPr>
            <w:tcW w:type="dxa" w:w="7160"/>
            <w:tcMar>
              <w:top w:type="dxa" w:w="60"/>
              <w:left w:type="dxa" w:w="80"/>
              <w:bottom w:type="dxa" w:w="60"/>
              <w:right w:type="dxa" w:w="80"/>
            </w:tcMar>
          </w:tcPr>
          <w:p>
            <w:pPr>
              <w:spacing w:after="40"/>
            </w:pPr>
            <w:r>
              <w:rPr>
                <w:sz w:val="17"/>
                <w:szCs w:val="17"/>
              </w:rPr>
              <w:t xml:space="preserve">GBP (FTSE 100). EURO STOXX 50 quoted in EUR original with GBP-equivalent reference</w:t>
            </w:r>
          </w:p>
        </w:tc>
      </w:tr>
      <w:tr>
        <w:tc>
          <w:tcPr>
            <w:tcW w:type="dxa" w:w="2200"/>
            <w:tcMar>
              <w:top w:type="dxa" w:w="60"/>
              <w:left w:type="dxa" w:w="80"/>
              <w:bottom w:type="dxa" w:w="60"/>
              <w:right w:type="dxa" w:w="80"/>
            </w:tcMar>
          </w:tcPr>
          <w:p>
            <w:pPr>
              <w:spacing w:after="40"/>
            </w:pPr>
            <w:r>
              <w:rPr>
                <w:sz w:val="17"/>
                <w:szCs w:val="17"/>
              </w:rPr>
              <w:t xml:space="preserve">Price objective</w:t>
            </w:r>
          </w:p>
        </w:tc>
        <w:tc>
          <w:tcPr>
            <w:tcW w:type="dxa" w:w="7160"/>
            <w:tcMar>
              <w:top w:type="dxa" w:w="60"/>
              <w:left w:type="dxa" w:w="80"/>
              <w:bottom w:type="dxa" w:w="60"/>
              <w:right w:type="dxa" w:w="80"/>
            </w:tcMar>
          </w:tcPr>
          <w:p>
            <w:pPr>
              <w:spacing w:after="40"/>
            </w:pPr>
            <w:r>
              <w:rPr>
                <w:sz w:val="17"/>
                <w:szCs w:val="17"/>
              </w:rPr>
              <w:t xml:space="preserve">Current FTSE 100 cash index level, with EURO STOXX 50 as reference</w:t>
            </w:r>
          </w:p>
        </w:tc>
      </w:tr>
      <w:tr>
        <w:tc>
          <w:tcPr>
            <w:tcW w:type="dxa" w:w="2200"/>
            <w:tcMar>
              <w:top w:type="dxa" w:w="60"/>
              <w:left w:type="dxa" w:w="80"/>
              <w:bottom w:type="dxa" w:w="60"/>
              <w:right w:type="dxa" w:w="80"/>
            </w:tcMar>
          </w:tcPr>
          <w:p>
            <w:pPr>
              <w:spacing w:after="40"/>
            </w:pPr>
            <w:r>
              <w:rPr>
                <w:sz w:val="17"/>
                <w:szCs w:val="17"/>
              </w:rPr>
              <w:t xml:space="preserve">As-of date</w:t>
            </w:r>
          </w:p>
        </w:tc>
        <w:tc>
          <w:tcPr>
            <w:tcW w:type="dxa" w:w="7160"/>
            <w:tcMar>
              <w:top w:type="dxa" w:w="60"/>
              <w:left w:type="dxa" w:w="80"/>
              <w:bottom w:type="dxa" w:w="60"/>
              <w:right w:type="dxa" w:w="80"/>
            </w:tcMar>
          </w:tcPr>
          <w:p>
            <w:pPr>
              <w:spacing w:after="40"/>
            </w:pPr>
            <w:r>
              <w:rPr>
                <w:sz w:val="17"/>
                <w:szCs w:val="17"/>
              </w:rPr>
              <w:t xml:space="preserve">16 July 2026 (Europe/London) — report anchored to the pre-open of that session</w:t>
            </w:r>
          </w:p>
        </w:tc>
      </w:tr>
      <w:tr>
        <w:tc>
          <w:tcPr>
            <w:tcW w:type="dxa" w:w="2200"/>
            <w:tcMar>
              <w:top w:type="dxa" w:w="60"/>
              <w:left w:type="dxa" w:w="80"/>
              <w:bottom w:type="dxa" w:w="60"/>
              <w:right w:type="dxa" w:w="80"/>
            </w:tcMar>
          </w:tcPr>
          <w:p>
            <w:pPr>
              <w:spacing w:after="40"/>
            </w:pPr>
            <w:r>
              <w:rPr>
                <w:sz w:val="17"/>
                <w:szCs w:val="17"/>
              </w:rPr>
              <w:t xml:space="preserve">Lookback window</w:t>
            </w:r>
          </w:p>
        </w:tc>
        <w:tc>
          <w:tcPr>
            <w:tcW w:type="dxa" w:w="7160"/>
            <w:tcMar>
              <w:top w:type="dxa" w:w="60"/>
              <w:left w:type="dxa" w:w="80"/>
              <w:bottom w:type="dxa" w:w="60"/>
              <w:right w:type="dxa" w:w="80"/>
            </w:tcMar>
          </w:tcPr>
          <w:p>
            <w:pPr>
              <w:spacing w:after="40"/>
            </w:pPr>
            <w:r>
              <w:rPr>
                <w:sz w:val="17"/>
                <w:szCs w:val="17"/>
              </w:rPr>
              <w:t xml:space="preserve">5 validated sessions (9, 10, 13, 14, 15 July 2026)</w:t>
            </w:r>
          </w:p>
        </w:tc>
      </w:tr>
    </w:tbl>
    <w:p>
      <w:pPr>
        <w:pStyle w:val="Heading1"/>
        <w:spacing w:after="140" w:before="28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80"/>
              <w:bottom w:type="dxa" w:w="60"/>
              <w:right w:type="dxa" w:w="80"/>
            </w:tcMar>
          </w:tcPr>
          <w:p>
            <w:pPr>
              <w:spacing w:after="40"/>
            </w:pPr>
            <w:r>
              <w:rPr>
                <w:b/>
                <w:bCs/>
                <w:color w:val="FFFFFF"/>
                <w:sz w:val="17"/>
                <w:szCs w:val="17"/>
              </w:rPr>
              <w:t xml:space="preserve">Element</w:t>
            </w:r>
          </w:p>
        </w:tc>
        <w:tc>
          <w:tcPr>
            <w:tcW w:type="dxa" w:w="7160"/>
            <w:shd w:fill="1F4E79" w:val="clear"/>
            <w:tcMar>
              <w:top w:type="dxa" w:w="60"/>
              <w:left w:type="dxa" w:w="80"/>
              <w:bottom w:type="dxa" w:w="60"/>
              <w:right w:type="dxa" w:w="80"/>
            </w:tcMar>
          </w:tcPr>
          <w:p>
            <w:pPr>
              <w:spacing w:after="40"/>
            </w:pPr>
            <w:r>
              <w:rPr>
                <w:b/>
                <w:bCs/>
                <w:color w:val="FFFFFF"/>
                <w:sz w:val="17"/>
                <w:szCs w:val="17"/>
              </w:rPr>
              <w:t xml:space="preserve">Value</w:t>
            </w:r>
          </w:p>
        </w:tc>
      </w:tr>
      <w:tr>
        <w:tc>
          <w:tcPr>
            <w:tcW w:type="dxa" w:w="2200"/>
            <w:tcMar>
              <w:top w:type="dxa" w:w="60"/>
              <w:left w:type="dxa" w:w="80"/>
              <w:bottom w:type="dxa" w:w="60"/>
              <w:right w:type="dxa" w:w="80"/>
            </w:tcMar>
          </w:tcPr>
          <w:p>
            <w:pPr>
              <w:spacing w:after="40"/>
            </w:pPr>
            <w:r>
              <w:rPr>
                <w:sz w:val="17"/>
                <w:szCs w:val="17"/>
              </w:rPr>
              <w:t xml:space="preserve">Consensus price</w:t>
            </w:r>
          </w:p>
        </w:tc>
        <w:tc>
          <w:tcPr>
            <w:tcW w:type="dxa" w:w="7160"/>
            <w:tcMar>
              <w:top w:type="dxa" w:w="60"/>
              <w:left w:type="dxa" w:w="80"/>
              <w:bottom w:type="dxa" w:w="60"/>
              <w:right w:type="dxa" w:w="80"/>
            </w:tcMar>
          </w:tcPr>
          <w:p>
            <w:pPr>
              <w:spacing w:after="40"/>
            </w:pPr>
            <w:r>
              <w:rPr>
                <w:sz w:val="17"/>
                <w:szCs w:val="17"/>
              </w:rPr>
              <w:t xml:space="preserve">10,515.92 index points</w:t>
            </w:r>
          </w:p>
        </w:tc>
      </w:tr>
      <w:tr>
        <w:tc>
          <w:tcPr>
            <w:tcW w:type="dxa" w:w="2200"/>
            <w:tcMar>
              <w:top w:type="dxa" w:w="60"/>
              <w:left w:type="dxa" w:w="80"/>
              <w:bottom w:type="dxa" w:w="60"/>
              <w:right w:type="dxa" w:w="80"/>
            </w:tcMar>
          </w:tcPr>
          <w:p>
            <w:pPr>
              <w:spacing w:after="40"/>
            </w:pPr>
            <w:r>
              <w:rPr>
                <w:sz w:val="17"/>
                <w:szCs w:val="17"/>
              </w:rPr>
              <w:t xml:space="preserve">Range</w:t>
            </w:r>
          </w:p>
        </w:tc>
        <w:tc>
          <w:tcPr>
            <w:tcW w:type="dxa" w:w="7160"/>
            <w:tcMar>
              <w:top w:type="dxa" w:w="60"/>
              <w:left w:type="dxa" w:w="80"/>
              <w:bottom w:type="dxa" w:w="60"/>
              <w:right w:type="dxa" w:w="80"/>
            </w:tcMar>
          </w:tcPr>
          <w:p>
            <w:pPr>
              <w:spacing w:after="40"/>
            </w:pPr>
            <w:r>
              <w:rPr>
                <w:sz w:val="17"/>
                <w:szCs w:val="17"/>
              </w:rPr>
              <w:t xml:space="preserve">10,480 – 10,553 index points (validated 15 July session range, extended to the 5-day swing high)</w:t>
            </w:r>
          </w:p>
        </w:tc>
      </w:tr>
      <w:tr>
        <w:tc>
          <w:tcPr>
            <w:tcW w:type="dxa" w:w="2200"/>
            <w:tcMar>
              <w:top w:type="dxa" w:w="60"/>
              <w:left w:type="dxa" w:w="80"/>
              <w:bottom w:type="dxa" w:w="60"/>
              <w:right w:type="dxa" w:w="80"/>
            </w:tcMar>
          </w:tcPr>
          <w:p>
            <w:pPr>
              <w:spacing w:after="40"/>
            </w:pPr>
            <w:r>
              <w:rPr>
                <w:sz w:val="17"/>
                <w:szCs w:val="17"/>
              </w:rPr>
              <w:t xml:space="preserve">Basis</w:t>
            </w:r>
          </w:p>
        </w:tc>
        <w:tc>
          <w:tcPr>
            <w:tcW w:type="dxa" w:w="7160"/>
            <w:tcMar>
              <w:top w:type="dxa" w:w="60"/>
              <w:left w:type="dxa" w:w="80"/>
              <w:bottom w:type="dxa" w:w="60"/>
              <w:right w:type="dxa" w:w="80"/>
            </w:tcMar>
          </w:tcPr>
          <w:p>
            <w:pPr>
              <w:spacing w:after="40"/>
            </w:pPr>
            <w:r>
              <w:rPr>
                <w:sz w:val="17"/>
                <w:szCs w:val="17"/>
              </w:rPr>
              <w:t xml:space="preserve">Cash index level, London Stock Exchange official close, 15 July 2026, 16:30 UK</w:t>
            </w:r>
          </w:p>
        </w:tc>
      </w:tr>
      <w:tr>
        <w:tc>
          <w:tcPr>
            <w:tcW w:type="dxa" w:w="2200"/>
            <w:tcMar>
              <w:top w:type="dxa" w:w="60"/>
              <w:left w:type="dxa" w:w="80"/>
              <w:bottom w:type="dxa" w:w="60"/>
              <w:right w:type="dxa" w:w="80"/>
            </w:tcMar>
          </w:tcPr>
          <w:p>
            <w:pPr>
              <w:spacing w:after="40"/>
            </w:pPr>
            <w:r>
              <w:rPr>
                <w:sz w:val="17"/>
                <w:szCs w:val="17"/>
              </w:rPr>
              <w:t xml:space="preserve">Confidence level</w:t>
            </w:r>
          </w:p>
        </w:tc>
        <w:tc>
          <w:tcPr>
            <w:tcW w:type="dxa" w:w="7160"/>
            <w:tcMar>
              <w:top w:type="dxa" w:w="60"/>
              <w:left w:type="dxa" w:w="80"/>
              <w:bottom w:type="dxa" w:w="60"/>
              <w:right w:type="dxa" w:w="80"/>
            </w:tcMar>
          </w:tcPr>
          <w:p>
            <w:pPr>
              <w:spacing w:after="40"/>
            </w:pPr>
            <w:r>
              <w:rPr>
                <w:sz w:val="17"/>
                <w:szCs w:val="17"/>
              </w:rPr>
              <w:t xml:space="preserve">High (H) — the 15 July close is corroborated to two decimal places across two independent primary sources</w:t>
            </w:r>
          </w:p>
        </w:tc>
      </w:tr>
      <w:tr>
        <w:tc>
          <w:tcPr>
            <w:tcW w:type="dxa" w:w="2200"/>
            <w:tcMar>
              <w:top w:type="dxa" w:w="60"/>
              <w:left w:type="dxa" w:w="80"/>
              <w:bottom w:type="dxa" w:w="60"/>
              <w:right w:type="dxa" w:w="80"/>
            </w:tcMar>
          </w:tcPr>
          <w:p>
            <w:pPr>
              <w:spacing w:after="40"/>
            </w:pPr>
            <w:r>
              <w:rPr>
                <w:sz w:val="17"/>
                <w:szCs w:val="17"/>
              </w:rPr>
              <w:t xml:space="preserve">Market tone</w:t>
            </w:r>
          </w:p>
        </w:tc>
        <w:tc>
          <w:tcPr>
            <w:tcW w:type="dxa" w:w="7160"/>
            <w:tcMar>
              <w:top w:type="dxa" w:w="60"/>
              <w:left w:type="dxa" w:w="80"/>
              <w:bottom w:type="dxa" w:w="60"/>
              <w:right w:type="dxa" w:w="80"/>
            </w:tcMar>
          </w:tcPr>
          <w:p>
            <w:pPr>
              <w:spacing w:after="40"/>
            </w:pPr>
            <w:r>
              <w:rPr>
                <w:sz w:val="17"/>
                <w:szCs w:val="17"/>
              </w:rPr>
              <w:t xml:space="preserve">Cautiously constructive, internally divided — energy and banks firm, miners weak</w:t>
            </w:r>
          </w:p>
        </w:tc>
      </w:tr>
      <w:tr>
        <w:tc>
          <w:tcPr>
            <w:tcW w:type="dxa" w:w="2200"/>
            <w:tcMar>
              <w:top w:type="dxa" w:w="60"/>
              <w:left w:type="dxa" w:w="80"/>
              <w:bottom w:type="dxa" w:w="60"/>
              <w:right w:type="dxa" w:w="80"/>
            </w:tcMar>
          </w:tcPr>
          <w:p>
            <w:pPr>
              <w:spacing w:after="40"/>
            </w:pPr>
            <w:r>
              <w:rPr>
                <w:sz w:val="17"/>
                <w:szCs w:val="17"/>
              </w:rPr>
              <w:t xml:space="preserve">Rationale</w:t>
            </w:r>
          </w:p>
        </w:tc>
        <w:tc>
          <w:tcPr>
            <w:tcW w:type="dxa" w:w="7160"/>
            <w:tcMar>
              <w:top w:type="dxa" w:w="60"/>
              <w:left w:type="dxa" w:w="80"/>
              <w:bottom w:type="dxa" w:w="60"/>
              <w:right w:type="dxa" w:w="80"/>
            </w:tcMar>
          </w:tcPr>
          <w:p>
            <w:pPr>
              <w:spacing w:after="40"/>
            </w:pPr>
            <w:r>
              <w:rPr>
                <w:sz w:val="17"/>
                <w:szCs w:val="17"/>
              </w:rPr>
              <w:t xml:space="preserve">The 15 July close is directly reported by Reuters and by Alliance News at identical values with identical point-change attribution. No normalisation was required. The consensus is the official cash close rather than a weighted median, because the primary sources agree exactly and no derived or CFD-based quote was admitted.</w:t>
            </w:r>
          </w:p>
        </w:tc>
      </w:tr>
    </w:tbl>
    <w:p>
      <w:pPr>
        <w:pStyle w:val="Heading1"/>
        <w:spacing w:after="140" w:before="280"/>
      </w:pPr>
      <w:r>
        <w:t xml:space="preserve">§4  Price Evidence Table</w:t>
      </w:r>
    </w:p>
    <w:p>
      <w:pPr>
        <w:spacing w:after="120" w:before="0"/>
      </w:pPr>
      <w:r>
        <w:rPr>
          <w:i/>
          <w:iCs/>
          <w:sz w:val="17"/>
          <w:szCs w:val="17"/>
        </w:rPr>
        <w:t xml:space="preserve">Six sources consulted for the 15 July 2026 cash close. Retail contract-for-difference quotes were excluded per the source restrictions governing this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80"/>
        <w:gridCol w:w="1600"/>
        <w:gridCol w:w="1000"/>
        <w:gridCol w:w="1400"/>
        <w:gridCol w:w="1240"/>
        <w:gridCol w:w="1440"/>
      </w:tblGrid>
      <w:tr>
        <w:trPr>
          <w:tblHeader/>
        </w:trPr>
        <w:tc>
          <w:tcPr>
            <w:tcW w:type="dxa" w:w="1500"/>
            <w:shd w:fill="1F4E79" w:val="clear"/>
            <w:tcMar>
              <w:top w:type="dxa" w:w="60"/>
              <w:left w:type="dxa" w:w="80"/>
              <w:bottom w:type="dxa" w:w="60"/>
              <w:right w:type="dxa" w:w="80"/>
            </w:tcMar>
          </w:tcPr>
          <w:p>
            <w:pPr>
              <w:spacing w:after="40"/>
            </w:pPr>
            <w:r>
              <w:rPr>
                <w:b/>
                <w:bCs/>
                <w:color w:val="FFFFFF"/>
                <w:sz w:val="17"/>
                <w:szCs w:val="17"/>
              </w:rPr>
              <w:t xml:space="preserve">Source</w:t>
            </w:r>
          </w:p>
        </w:tc>
        <w:tc>
          <w:tcPr>
            <w:tcW w:type="dxa" w:w="1180"/>
            <w:shd w:fill="1F4E79" w:val="clear"/>
            <w:tcMar>
              <w:top w:type="dxa" w:w="60"/>
              <w:left w:type="dxa" w:w="80"/>
              <w:bottom w:type="dxa" w:w="60"/>
              <w:right w:type="dxa" w:w="80"/>
            </w:tcMar>
          </w:tcPr>
          <w:p>
            <w:pPr>
              <w:spacing w:after="40"/>
            </w:pPr>
            <w:r>
              <w:rPr>
                <w:b/>
                <w:bCs/>
                <w:color w:val="FFFFFF"/>
                <w:sz w:val="17"/>
                <w:szCs w:val="17"/>
              </w:rPr>
              <w:t xml:space="preserve">Date / Time</w:t>
            </w:r>
          </w:p>
        </w:tc>
        <w:tc>
          <w:tcPr>
            <w:tcW w:type="dxa" w:w="1600"/>
            <w:shd w:fill="1F4E79" w:val="clear"/>
            <w:tcMar>
              <w:top w:type="dxa" w:w="60"/>
              <w:left w:type="dxa" w:w="80"/>
              <w:bottom w:type="dxa" w:w="60"/>
              <w:right w:type="dxa" w:w="80"/>
            </w:tcMar>
          </w:tcPr>
          <w:p>
            <w:pPr>
              <w:spacing w:after="40"/>
            </w:pPr>
            <w:r>
              <w:rPr>
                <w:b/>
                <w:bCs/>
                <w:color w:val="FFFFFF"/>
                <w:sz w:val="17"/>
                <w:szCs w:val="17"/>
              </w:rPr>
              <w:t xml:space="preserve">Raw Quote</w:t>
            </w:r>
          </w:p>
        </w:tc>
        <w:tc>
          <w:tcPr>
            <w:tcW w:type="dxa" w:w="1000"/>
            <w:shd w:fill="1F4E79" w:val="clear"/>
            <w:tcMar>
              <w:top w:type="dxa" w:w="60"/>
              <w:left w:type="dxa" w:w="80"/>
              <w:bottom w:type="dxa" w:w="60"/>
              <w:right w:type="dxa" w:w="80"/>
            </w:tcMar>
          </w:tcPr>
          <w:p>
            <w:pPr>
              <w:spacing w:after="40"/>
            </w:pPr>
            <w:r>
              <w:rPr>
                <w:b/>
                <w:bCs/>
                <w:color w:val="FFFFFF"/>
                <w:sz w:val="17"/>
                <w:szCs w:val="17"/>
              </w:rPr>
              <w:t xml:space="preserve">Normalized</w:t>
            </w:r>
          </w:p>
        </w:tc>
        <w:tc>
          <w:tcPr>
            <w:tcW w:type="dxa" w:w="1400"/>
            <w:shd w:fill="1F4E79" w:val="clear"/>
            <w:tcMar>
              <w:top w:type="dxa" w:w="60"/>
              <w:left w:type="dxa" w:w="80"/>
              <w:bottom w:type="dxa" w:w="60"/>
              <w:right w:type="dxa" w:w="80"/>
            </w:tcMar>
          </w:tcPr>
          <w:p>
            <w:pPr>
              <w:spacing w:after="40"/>
            </w:pPr>
            <w:r>
              <w:rPr>
                <w:b/>
                <w:bCs/>
                <w:color w:val="FFFFFF"/>
                <w:sz w:val="17"/>
                <w:szCs w:val="17"/>
              </w:rPr>
              <w:t xml:space="preserve">Basis / Location</w:t>
            </w:r>
          </w:p>
        </w:tc>
        <w:tc>
          <w:tcPr>
            <w:tcW w:type="dxa" w:w="1240"/>
            <w:shd w:fill="1F4E79" w:val="clear"/>
            <w:tcMar>
              <w:top w:type="dxa" w:w="60"/>
              <w:left w:type="dxa" w:w="80"/>
              <w:bottom w:type="dxa" w:w="60"/>
              <w:right w:type="dxa" w:w="80"/>
            </w:tcMar>
          </w:tcPr>
          <w:p>
            <w:pPr>
              <w:spacing w:after="40"/>
            </w:pPr>
            <w:r>
              <w:rPr>
                <w:b/>
                <w:bCs/>
                <w:color w:val="FFFFFF"/>
                <w:sz w:val="17"/>
                <w:szCs w:val="17"/>
              </w:rPr>
              <w:t xml:space="preserve">Relevance</w:t>
            </w:r>
          </w:p>
        </w:tc>
        <w:tc>
          <w:tcPr>
            <w:tcW w:type="dxa" w:w="1440"/>
            <w:shd w:fill="1F4E79" w:val="clear"/>
            <w:tcMar>
              <w:top w:type="dxa" w:w="60"/>
              <w:left w:type="dxa" w:w="80"/>
              <w:bottom w:type="dxa" w:w="60"/>
              <w:right w:type="dxa" w:w="80"/>
            </w:tcMar>
          </w:tcPr>
          <w:p>
            <w:pPr>
              <w:spacing w:after="40"/>
            </w:pPr>
            <w:r>
              <w:rPr>
                <w:b/>
                <w:bCs/>
                <w:color w:val="FFFFFF"/>
                <w:sz w:val="17"/>
                <w:szCs w:val="17"/>
              </w:rPr>
              <w:t xml:space="preserve">Notes</w:t>
            </w:r>
          </w:p>
        </w:tc>
      </w:tr>
      <w:tr>
        <w:tc>
          <w:tcPr>
            <w:tcW w:type="dxa" w:w="1500"/>
            <w:tcMar>
              <w:top w:type="dxa" w:w="60"/>
              <w:left w:type="dxa" w:w="80"/>
              <w:bottom w:type="dxa" w:w="60"/>
              <w:right w:type="dxa" w:w="80"/>
            </w:tcMar>
          </w:tcPr>
          <w:p>
            <w:pPr>
              <w:spacing w:after="40"/>
            </w:pPr>
            <w:r>
              <w:rPr>
                <w:sz w:val="17"/>
                <w:szCs w:val="17"/>
              </w:rPr>
              <w:t xml:space="preserve">Reuters (via Euronext, AOL, MarketScreener)</w:t>
            </w:r>
          </w:p>
        </w:tc>
        <w:tc>
          <w:tcPr>
            <w:tcW w:type="dxa" w:w="1180"/>
            <w:tcMar>
              <w:top w:type="dxa" w:w="60"/>
              <w:left w:type="dxa" w:w="80"/>
              <w:bottom w:type="dxa" w:w="60"/>
              <w:right w:type="dxa" w:w="80"/>
            </w:tcMar>
          </w:tcPr>
          <w:p>
            <w:pPr>
              <w:spacing w:after="40"/>
            </w:pPr>
            <w:r>
              <w:rPr>
                <w:sz w:val="17"/>
                <w:szCs w:val="17"/>
              </w:rPr>
              <w:t xml:space="preserve">15 Jul 2026, post-close</w:t>
            </w:r>
          </w:p>
        </w:tc>
        <w:tc>
          <w:tcPr>
            <w:tcW w:type="dxa" w:w="1600"/>
            <w:tcMar>
              <w:top w:type="dxa" w:w="60"/>
              <w:left w:type="dxa" w:w="80"/>
              <w:bottom w:type="dxa" w:w="60"/>
              <w:right w:type="dxa" w:w="80"/>
            </w:tcMar>
          </w:tcPr>
          <w:p>
            <w:pPr>
              <w:spacing w:after="40"/>
            </w:pPr>
            <w:r>
              <w:rPr>
                <w:sz w:val="17"/>
                <w:szCs w:val="17"/>
              </w:rPr>
              <w:t xml:space="preserve">10,515.9 pts, −0.1%</w:t>
            </w:r>
          </w:p>
        </w:tc>
        <w:tc>
          <w:tcPr>
            <w:tcW w:type="dxa" w:w="1000"/>
            <w:tcMar>
              <w:top w:type="dxa" w:w="60"/>
              <w:left w:type="dxa" w:w="80"/>
              <w:bottom w:type="dxa" w:w="60"/>
              <w:right w:type="dxa" w:w="80"/>
            </w:tcMar>
          </w:tcPr>
          <w:p>
            <w:pPr>
              <w:spacing w:after="40"/>
            </w:pPr>
            <w:r>
              <w:rPr>
                <w:sz w:val="17"/>
                <w:szCs w:val="17"/>
              </w:rPr>
              <w:t xml:space="preserve">10,515.90</w:t>
            </w:r>
          </w:p>
        </w:tc>
        <w:tc>
          <w:tcPr>
            <w:tcW w:type="dxa" w:w="1400"/>
            <w:tcMar>
              <w:top w:type="dxa" w:w="60"/>
              <w:left w:type="dxa" w:w="80"/>
              <w:bottom w:type="dxa" w:w="60"/>
              <w:right w:type="dxa" w:w="80"/>
            </w:tcMar>
          </w:tcPr>
          <w:p>
            <w:pPr>
              <w:spacing w:after="40"/>
            </w:pPr>
            <w:r>
              <w:rPr>
                <w:sz w:val="17"/>
                <w:szCs w:val="17"/>
              </w:rPr>
              <w:t xml:space="preserve">LSE cash close, London</w:t>
            </w:r>
          </w:p>
        </w:tc>
        <w:tc>
          <w:tcPr>
            <w:tcW w:type="dxa" w:w="1240"/>
            <w:tcMar>
              <w:top w:type="dxa" w:w="60"/>
              <w:left w:type="dxa" w:w="80"/>
              <w:bottom w:type="dxa" w:w="60"/>
              <w:right w:type="dxa" w:w="80"/>
            </w:tcMar>
          </w:tcPr>
          <w:p>
            <w:pPr>
              <w:spacing w:after="40"/>
            </w:pPr>
            <w:r>
              <w:rPr>
                <w:sz w:val="17"/>
                <w:szCs w:val="17"/>
              </w:rPr>
              <w:t xml:space="preserve">Primary — Tier 1</w:t>
            </w:r>
          </w:p>
        </w:tc>
        <w:tc>
          <w:tcPr>
            <w:tcW w:type="dxa" w:w="1440"/>
            <w:tcMar>
              <w:top w:type="dxa" w:w="60"/>
              <w:left w:type="dxa" w:w="80"/>
              <w:bottom w:type="dxa" w:w="60"/>
              <w:right w:type="dxa" w:w="80"/>
            </w:tcMar>
          </w:tcPr>
          <w:p>
            <w:pPr>
              <w:spacing w:after="40"/>
            </w:pPr>
            <w:r>
              <w:rPr>
                <w:sz w:val="17"/>
                <w:szCs w:val="17"/>
              </w:rPr>
              <w:t xml:space="preserve">Wire report; rounded to 1dp</w:t>
            </w:r>
          </w:p>
        </w:tc>
      </w:tr>
      <w:tr>
        <w:tc>
          <w:tcPr>
            <w:tcW w:type="dxa" w:w="1500"/>
            <w:tcMar>
              <w:top w:type="dxa" w:w="60"/>
              <w:left w:type="dxa" w:w="80"/>
              <w:bottom w:type="dxa" w:w="60"/>
              <w:right w:type="dxa" w:w="80"/>
            </w:tcMar>
          </w:tcPr>
          <w:p>
            <w:pPr>
              <w:spacing w:after="40"/>
            </w:pPr>
            <w:r>
              <w:rPr>
                <w:sz w:val="17"/>
                <w:szCs w:val="17"/>
              </w:rPr>
              <w:t xml:space="preserve">Alliance News (via Yahoo Finance UK)</w:t>
            </w:r>
          </w:p>
        </w:tc>
        <w:tc>
          <w:tcPr>
            <w:tcW w:type="dxa" w:w="1180"/>
            <w:tcMar>
              <w:top w:type="dxa" w:w="60"/>
              <w:left w:type="dxa" w:w="80"/>
              <w:bottom w:type="dxa" w:w="60"/>
              <w:right w:type="dxa" w:w="80"/>
            </w:tcMar>
          </w:tcPr>
          <w:p>
            <w:pPr>
              <w:spacing w:after="40"/>
            </w:pPr>
            <w:r>
              <w:rPr>
                <w:sz w:val="17"/>
                <w:szCs w:val="17"/>
              </w:rPr>
              <w:t xml:space="preserve">15 Jul 2026, 17:38 UK</w:t>
            </w:r>
          </w:p>
        </w:tc>
        <w:tc>
          <w:tcPr>
            <w:tcW w:type="dxa" w:w="1600"/>
            <w:tcMar>
              <w:top w:type="dxa" w:w="60"/>
              <w:left w:type="dxa" w:w="80"/>
              <w:bottom w:type="dxa" w:w="60"/>
              <w:right w:type="dxa" w:w="80"/>
            </w:tcMar>
          </w:tcPr>
          <w:p>
            <w:pPr>
              <w:spacing w:after="40"/>
            </w:pPr>
            <w:r>
              <w:rPr>
                <w:sz w:val="17"/>
                <w:szCs w:val="17"/>
              </w:rPr>
              <w:t xml:space="preserve">10,515.92 pts, −13.47 pts, −0.1%</w:t>
            </w:r>
          </w:p>
        </w:tc>
        <w:tc>
          <w:tcPr>
            <w:tcW w:type="dxa" w:w="1000"/>
            <w:tcMar>
              <w:top w:type="dxa" w:w="60"/>
              <w:left w:type="dxa" w:w="80"/>
              <w:bottom w:type="dxa" w:w="60"/>
              <w:right w:type="dxa" w:w="80"/>
            </w:tcMar>
          </w:tcPr>
          <w:p>
            <w:pPr>
              <w:spacing w:after="40"/>
            </w:pPr>
            <w:r>
              <w:rPr>
                <w:sz w:val="17"/>
                <w:szCs w:val="17"/>
              </w:rPr>
              <w:t xml:space="preserve">10,515.92</w:t>
            </w:r>
          </w:p>
        </w:tc>
        <w:tc>
          <w:tcPr>
            <w:tcW w:type="dxa" w:w="1400"/>
            <w:tcMar>
              <w:top w:type="dxa" w:w="60"/>
              <w:left w:type="dxa" w:w="80"/>
              <w:bottom w:type="dxa" w:w="60"/>
              <w:right w:type="dxa" w:w="80"/>
            </w:tcMar>
          </w:tcPr>
          <w:p>
            <w:pPr>
              <w:spacing w:after="40"/>
            </w:pPr>
            <w:r>
              <w:rPr>
                <w:sz w:val="17"/>
                <w:szCs w:val="17"/>
              </w:rPr>
              <w:t xml:space="preserve">LSE cash close, London</w:t>
            </w:r>
          </w:p>
        </w:tc>
        <w:tc>
          <w:tcPr>
            <w:tcW w:type="dxa" w:w="1240"/>
            <w:tcMar>
              <w:top w:type="dxa" w:w="60"/>
              <w:left w:type="dxa" w:w="80"/>
              <w:bottom w:type="dxa" w:w="60"/>
              <w:right w:type="dxa" w:w="80"/>
            </w:tcMar>
          </w:tcPr>
          <w:p>
            <w:pPr>
              <w:spacing w:after="40"/>
            </w:pPr>
            <w:r>
              <w:rPr>
                <w:sz w:val="17"/>
                <w:szCs w:val="17"/>
              </w:rPr>
              <w:t xml:space="preserve">Primary — Tier 1</w:t>
            </w:r>
          </w:p>
        </w:tc>
        <w:tc>
          <w:tcPr>
            <w:tcW w:type="dxa" w:w="1440"/>
            <w:tcMar>
              <w:top w:type="dxa" w:w="60"/>
              <w:left w:type="dxa" w:w="80"/>
              <w:bottom w:type="dxa" w:w="60"/>
              <w:right w:type="dxa" w:w="80"/>
            </w:tcMar>
          </w:tcPr>
          <w:p>
            <w:pPr>
              <w:spacing w:after="40"/>
            </w:pPr>
            <w:r>
              <w:rPr>
                <w:sz w:val="17"/>
                <w:szCs w:val="17"/>
              </w:rPr>
              <w:t xml:space="preserve">Full 2dp precision; corroborates Reuters exactly</w:t>
            </w:r>
          </w:p>
        </w:tc>
      </w:tr>
      <w:tr>
        <w:tc>
          <w:tcPr>
            <w:tcW w:type="dxa" w:w="1500"/>
            <w:tcMar>
              <w:top w:type="dxa" w:w="60"/>
              <w:left w:type="dxa" w:w="80"/>
              <w:bottom w:type="dxa" w:w="60"/>
              <w:right w:type="dxa" w:w="80"/>
            </w:tcMar>
          </w:tcPr>
          <w:p>
            <w:pPr>
              <w:spacing w:after="40"/>
            </w:pPr>
            <w:r>
              <w:rPr>
                <w:sz w:val="17"/>
                <w:szCs w:val="17"/>
              </w:rPr>
              <w:t xml:space="preserve">Proactive Investors (live blog)</w:t>
            </w:r>
          </w:p>
        </w:tc>
        <w:tc>
          <w:tcPr>
            <w:tcW w:type="dxa" w:w="1180"/>
            <w:tcMar>
              <w:top w:type="dxa" w:w="60"/>
              <w:left w:type="dxa" w:w="80"/>
              <w:bottom w:type="dxa" w:w="60"/>
              <w:right w:type="dxa" w:w="80"/>
            </w:tcMar>
          </w:tcPr>
          <w:p>
            <w:pPr>
              <w:spacing w:after="40"/>
            </w:pPr>
            <w:r>
              <w:rPr>
                <w:sz w:val="17"/>
                <w:szCs w:val="17"/>
              </w:rPr>
              <w:t xml:space="preserve">15 Jul 2026, 17:15 UK</w:t>
            </w:r>
          </w:p>
        </w:tc>
        <w:tc>
          <w:tcPr>
            <w:tcW w:type="dxa" w:w="1600"/>
            <w:tcMar>
              <w:top w:type="dxa" w:w="60"/>
              <w:left w:type="dxa" w:w="80"/>
              <w:bottom w:type="dxa" w:w="60"/>
              <w:right w:type="dxa" w:w="80"/>
            </w:tcMar>
          </w:tcPr>
          <w:p>
            <w:pPr>
              <w:spacing w:after="40"/>
            </w:pPr>
            <w:r>
              <w:rPr>
                <w:sz w:val="17"/>
                <w:szCs w:val="17"/>
              </w:rPr>
              <w:t xml:space="preserve">FTSE 100 down 13 pts at 10,515</w:t>
            </w:r>
          </w:p>
        </w:tc>
        <w:tc>
          <w:tcPr>
            <w:tcW w:type="dxa" w:w="1000"/>
            <w:tcMar>
              <w:top w:type="dxa" w:w="60"/>
              <w:left w:type="dxa" w:w="80"/>
              <w:bottom w:type="dxa" w:w="60"/>
              <w:right w:type="dxa" w:w="80"/>
            </w:tcMar>
          </w:tcPr>
          <w:p>
            <w:pPr>
              <w:spacing w:after="40"/>
            </w:pPr>
            <w:r>
              <w:rPr>
                <w:sz w:val="17"/>
                <w:szCs w:val="17"/>
              </w:rPr>
              <w:t xml:space="preserve">10,515.00</w:t>
            </w:r>
          </w:p>
        </w:tc>
        <w:tc>
          <w:tcPr>
            <w:tcW w:type="dxa" w:w="1400"/>
            <w:tcMar>
              <w:top w:type="dxa" w:w="60"/>
              <w:left w:type="dxa" w:w="80"/>
              <w:bottom w:type="dxa" w:w="60"/>
              <w:right w:type="dxa" w:w="80"/>
            </w:tcMar>
          </w:tcPr>
          <w:p>
            <w:pPr>
              <w:spacing w:after="40"/>
            </w:pPr>
            <w:r>
              <w:rPr>
                <w:sz w:val="17"/>
                <w:szCs w:val="17"/>
              </w:rPr>
              <w:t xml:space="preserve">LSE cash close, London</w:t>
            </w:r>
          </w:p>
        </w:tc>
        <w:tc>
          <w:tcPr>
            <w:tcW w:type="dxa" w:w="1240"/>
            <w:tcMar>
              <w:top w:type="dxa" w:w="60"/>
              <w:left w:type="dxa" w:w="80"/>
              <w:bottom w:type="dxa" w:w="60"/>
              <w:right w:type="dxa" w:w="80"/>
            </w:tcMar>
          </w:tcPr>
          <w:p>
            <w:pPr>
              <w:spacing w:after="40"/>
            </w:pPr>
            <w:r>
              <w:rPr>
                <w:sz w:val="17"/>
                <w:szCs w:val="17"/>
              </w:rPr>
              <w:t xml:space="preserve">Corroborating — Tier 2</w:t>
            </w:r>
          </w:p>
        </w:tc>
        <w:tc>
          <w:tcPr>
            <w:tcW w:type="dxa" w:w="1440"/>
            <w:tcMar>
              <w:top w:type="dxa" w:w="60"/>
              <w:left w:type="dxa" w:w="80"/>
              <w:bottom w:type="dxa" w:w="60"/>
              <w:right w:type="dxa" w:w="80"/>
            </w:tcMar>
          </w:tcPr>
          <w:p>
            <w:pPr>
              <w:spacing w:after="40"/>
            </w:pPr>
            <w:r>
              <w:rPr>
                <w:sz w:val="17"/>
                <w:szCs w:val="17"/>
              </w:rPr>
              <w:t xml:space="preserve">Rounded; point-change matches</w:t>
            </w:r>
          </w:p>
        </w:tc>
      </w:tr>
      <w:tr>
        <w:tc>
          <w:tcPr>
            <w:tcW w:type="dxa" w:w="1500"/>
            <w:tcMar>
              <w:top w:type="dxa" w:w="60"/>
              <w:left w:type="dxa" w:w="80"/>
              <w:bottom w:type="dxa" w:w="60"/>
              <w:right w:type="dxa" w:w="80"/>
            </w:tcMar>
          </w:tcPr>
          <w:p>
            <w:pPr>
              <w:spacing w:after="40"/>
            </w:pPr>
            <w:r>
              <w:rPr>
                <w:sz w:val="17"/>
                <w:szCs w:val="17"/>
              </w:rPr>
              <w:t xml:space="preserve">Reuters (intraday)</w:t>
            </w:r>
          </w:p>
        </w:tc>
        <w:tc>
          <w:tcPr>
            <w:tcW w:type="dxa" w:w="1180"/>
            <w:tcMar>
              <w:top w:type="dxa" w:w="60"/>
              <w:left w:type="dxa" w:w="80"/>
              <w:bottom w:type="dxa" w:w="60"/>
              <w:right w:type="dxa" w:w="80"/>
            </w:tcMar>
          </w:tcPr>
          <w:p>
            <w:pPr>
              <w:spacing w:after="40"/>
            </w:pPr>
            <w:r>
              <w:rPr>
                <w:sz w:val="17"/>
                <w:szCs w:val="17"/>
              </w:rPr>
              <w:t xml:space="preserve">15 Jul 2026, 10:13 GMT</w:t>
            </w:r>
          </w:p>
        </w:tc>
        <w:tc>
          <w:tcPr>
            <w:tcW w:type="dxa" w:w="1600"/>
            <w:tcMar>
              <w:top w:type="dxa" w:w="60"/>
              <w:left w:type="dxa" w:w="80"/>
              <w:bottom w:type="dxa" w:w="60"/>
              <w:right w:type="dxa" w:w="80"/>
            </w:tcMar>
          </w:tcPr>
          <w:p>
            <w:pPr>
              <w:spacing w:after="40"/>
            </w:pPr>
            <w:r>
              <w:rPr>
                <w:sz w:val="17"/>
                <w:szCs w:val="17"/>
              </w:rPr>
              <w:t xml:space="preserve">10,515.73 pts</w:t>
            </w:r>
          </w:p>
        </w:tc>
        <w:tc>
          <w:tcPr>
            <w:tcW w:type="dxa" w:w="1000"/>
            <w:tcMar>
              <w:top w:type="dxa" w:w="60"/>
              <w:left w:type="dxa" w:w="80"/>
              <w:bottom w:type="dxa" w:w="60"/>
              <w:right w:type="dxa" w:w="80"/>
            </w:tcMar>
          </w:tcPr>
          <w:p>
            <w:pPr>
              <w:spacing w:after="40"/>
            </w:pPr>
            <w:r>
              <w:rPr>
                <w:sz w:val="17"/>
                <w:szCs w:val="17"/>
              </w:rPr>
              <w:t xml:space="preserve">10,515.73</w:t>
            </w:r>
          </w:p>
        </w:tc>
        <w:tc>
          <w:tcPr>
            <w:tcW w:type="dxa" w:w="1400"/>
            <w:tcMar>
              <w:top w:type="dxa" w:w="60"/>
              <w:left w:type="dxa" w:w="80"/>
              <w:bottom w:type="dxa" w:w="60"/>
              <w:right w:type="dxa" w:w="80"/>
            </w:tcMar>
          </w:tcPr>
          <w:p>
            <w:pPr>
              <w:spacing w:after="40"/>
            </w:pPr>
            <w:r>
              <w:rPr>
                <w:sz w:val="17"/>
                <w:szCs w:val="17"/>
              </w:rPr>
              <w:t xml:space="preserve">LSE intraday, London</w:t>
            </w:r>
          </w:p>
        </w:tc>
        <w:tc>
          <w:tcPr>
            <w:tcW w:type="dxa" w:w="1240"/>
            <w:tcMar>
              <w:top w:type="dxa" w:w="60"/>
              <w:left w:type="dxa" w:w="80"/>
              <w:bottom w:type="dxa" w:w="60"/>
              <w:right w:type="dxa" w:w="80"/>
            </w:tcMar>
          </w:tcPr>
          <w:p>
            <w:pPr>
              <w:spacing w:after="40"/>
            </w:pPr>
            <w:r>
              <w:rPr>
                <w:sz w:val="17"/>
                <w:szCs w:val="17"/>
              </w:rPr>
              <w:t xml:space="preserve">Reference only — Tier 2</w:t>
            </w:r>
          </w:p>
        </w:tc>
        <w:tc>
          <w:tcPr>
            <w:tcW w:type="dxa" w:w="1440"/>
            <w:tcMar>
              <w:top w:type="dxa" w:w="60"/>
              <w:left w:type="dxa" w:w="80"/>
              <w:bottom w:type="dxa" w:w="60"/>
              <w:right w:type="dxa" w:w="80"/>
            </w:tcMar>
          </w:tcPr>
          <w:p>
            <w:pPr>
              <w:spacing w:after="40"/>
            </w:pPr>
            <w:r>
              <w:rPr>
                <w:sz w:val="17"/>
                <w:szCs w:val="17"/>
              </w:rPr>
              <w:t xml:space="preserve">Intraday snapshot, not close</w:t>
            </w:r>
          </w:p>
        </w:tc>
      </w:tr>
      <w:tr>
        <w:tc>
          <w:tcPr>
            <w:tcW w:type="dxa" w:w="1500"/>
            <w:tcMar>
              <w:top w:type="dxa" w:w="60"/>
              <w:left w:type="dxa" w:w="80"/>
              <w:bottom w:type="dxa" w:w="60"/>
              <w:right w:type="dxa" w:w="80"/>
            </w:tcMar>
          </w:tcPr>
          <w:p>
            <w:pPr>
              <w:spacing w:after="40"/>
            </w:pPr>
            <w:r>
              <w:rPr>
                <w:sz w:val="17"/>
                <w:szCs w:val="17"/>
              </w:rPr>
              <w:t xml:space="preserve">Investing.com</w:t>
            </w:r>
          </w:p>
        </w:tc>
        <w:tc>
          <w:tcPr>
            <w:tcW w:type="dxa" w:w="1180"/>
            <w:tcMar>
              <w:top w:type="dxa" w:w="60"/>
              <w:left w:type="dxa" w:w="80"/>
              <w:bottom w:type="dxa" w:w="60"/>
              <w:right w:type="dxa" w:w="80"/>
            </w:tcMar>
          </w:tcPr>
          <w:p>
            <w:pPr>
              <w:spacing w:after="40"/>
            </w:pPr>
            <w:r>
              <w:rPr>
                <w:sz w:val="17"/>
                <w:szCs w:val="17"/>
              </w:rPr>
              <w:t xml:space="preserve">15 Jul 2026 (30-day window)</w:t>
            </w:r>
          </w:p>
        </w:tc>
        <w:tc>
          <w:tcPr>
            <w:tcW w:type="dxa" w:w="1600"/>
            <w:tcMar>
              <w:top w:type="dxa" w:w="60"/>
              <w:left w:type="dxa" w:w="80"/>
              <w:bottom w:type="dxa" w:w="60"/>
              <w:right w:type="dxa" w:w="80"/>
            </w:tcMar>
          </w:tcPr>
          <w:p>
            <w:pPr>
              <w:spacing w:after="40"/>
            </w:pPr>
            <w:r>
              <w:rPr>
                <w:sz w:val="17"/>
                <w:szCs w:val="17"/>
              </w:rPr>
              <w:t xml:space="preserve">Range 10,442.50 – 10,526.86; 30d avg 10,507.12</w:t>
            </w:r>
          </w:p>
        </w:tc>
        <w:tc>
          <w:tcPr>
            <w:tcW w:type="dxa" w:w="1000"/>
            <w:tcMar>
              <w:top w:type="dxa" w:w="60"/>
              <w:left w:type="dxa" w:w="80"/>
              <w:bottom w:type="dxa" w:w="60"/>
              <w:right w:type="dxa" w:w="80"/>
            </w:tcMar>
          </w:tcPr>
          <w:p>
            <w:pPr>
              <w:spacing w:after="40"/>
            </w:pPr>
            <w:r>
              <w:rPr>
                <w:sz w:val="17"/>
                <w:szCs w:val="17"/>
              </w:rPr>
              <w:t xml:space="preserve">—</w:t>
            </w:r>
          </w:p>
        </w:tc>
        <w:tc>
          <w:tcPr>
            <w:tcW w:type="dxa" w:w="1400"/>
            <w:tcMar>
              <w:top w:type="dxa" w:w="60"/>
              <w:left w:type="dxa" w:w="80"/>
              <w:bottom w:type="dxa" w:w="60"/>
              <w:right w:type="dxa" w:w="80"/>
            </w:tcMar>
          </w:tcPr>
          <w:p>
            <w:pPr>
              <w:spacing w:after="40"/>
            </w:pPr>
            <w:r>
              <w:rPr>
                <w:sz w:val="17"/>
                <w:szCs w:val="17"/>
              </w:rPr>
              <w:t xml:space="preserve">Aggregator, derived</w:t>
            </w:r>
          </w:p>
        </w:tc>
        <w:tc>
          <w:tcPr>
            <w:tcW w:type="dxa" w:w="1240"/>
            <w:tcMar>
              <w:top w:type="dxa" w:w="60"/>
              <w:left w:type="dxa" w:w="80"/>
              <w:bottom w:type="dxa" w:w="60"/>
              <w:right w:type="dxa" w:w="80"/>
            </w:tcMar>
          </w:tcPr>
          <w:p>
            <w:pPr>
              <w:spacing w:after="40"/>
            </w:pPr>
            <w:r>
              <w:rPr>
                <w:sz w:val="17"/>
                <w:szCs w:val="17"/>
              </w:rPr>
              <w:t xml:space="preserve">Corroborating — Tier 3</w:t>
            </w:r>
          </w:p>
        </w:tc>
        <w:tc>
          <w:tcPr>
            <w:tcW w:type="dxa" w:w="1440"/>
            <w:tcMar>
              <w:top w:type="dxa" w:w="60"/>
              <w:left w:type="dxa" w:w="80"/>
              <w:bottom w:type="dxa" w:w="60"/>
              <w:right w:type="dxa" w:w="80"/>
            </w:tcMar>
          </w:tcPr>
          <w:p>
            <w:pPr>
              <w:spacing w:after="40"/>
            </w:pPr>
            <w:r>
              <w:rPr>
                <w:sz w:val="17"/>
                <w:szCs w:val="17"/>
              </w:rPr>
              <w:t xml:space="preserve">Session-range context; window high 10,747.01</w:t>
            </w:r>
          </w:p>
        </w:tc>
      </w:tr>
      <w:tr>
        <w:tc>
          <w:tcPr>
            <w:tcW w:type="dxa" w:w="1500"/>
            <w:tcMar>
              <w:top w:type="dxa" w:w="60"/>
              <w:left w:type="dxa" w:w="80"/>
              <w:bottom w:type="dxa" w:w="60"/>
              <w:right w:type="dxa" w:w="80"/>
            </w:tcMar>
          </w:tcPr>
          <w:p>
            <w:pPr>
              <w:spacing w:after="40"/>
            </w:pPr>
            <w:r>
              <w:rPr>
                <w:sz w:val="17"/>
                <w:szCs w:val="17"/>
              </w:rPr>
              <w:t xml:space="preserve">Sunday Guardian (market wrap)</w:t>
            </w:r>
          </w:p>
        </w:tc>
        <w:tc>
          <w:tcPr>
            <w:tcW w:type="dxa" w:w="1180"/>
            <w:tcMar>
              <w:top w:type="dxa" w:w="60"/>
              <w:left w:type="dxa" w:w="80"/>
              <w:bottom w:type="dxa" w:w="60"/>
              <w:right w:type="dxa" w:w="80"/>
            </w:tcMar>
          </w:tcPr>
          <w:p>
            <w:pPr>
              <w:spacing w:after="40"/>
            </w:pPr>
            <w:r>
              <w:rPr>
                <w:sz w:val="17"/>
                <w:szCs w:val="17"/>
              </w:rPr>
              <w:t xml:space="preserve">15 Jul 2026, 17:21 IST</w:t>
            </w:r>
          </w:p>
        </w:tc>
        <w:tc>
          <w:tcPr>
            <w:tcW w:type="dxa" w:w="1600"/>
            <w:tcMar>
              <w:top w:type="dxa" w:w="60"/>
              <w:left w:type="dxa" w:w="80"/>
              <w:bottom w:type="dxa" w:w="60"/>
              <w:right w:type="dxa" w:w="80"/>
            </w:tcMar>
          </w:tcPr>
          <w:p>
            <w:pPr>
              <w:spacing w:after="40"/>
            </w:pPr>
            <w:r>
              <w:rPr>
                <w:sz w:val="17"/>
                <w:szCs w:val="17"/>
              </w:rPr>
              <w:t xml:space="preserve">10,498.81, −0.29%</w:t>
            </w:r>
          </w:p>
        </w:tc>
        <w:tc>
          <w:tcPr>
            <w:tcW w:type="dxa" w:w="1000"/>
            <w:tcMar>
              <w:top w:type="dxa" w:w="60"/>
              <w:left w:type="dxa" w:w="80"/>
              <w:bottom w:type="dxa" w:w="60"/>
              <w:right w:type="dxa" w:w="80"/>
            </w:tcMar>
          </w:tcPr>
          <w:p>
            <w:pPr>
              <w:spacing w:after="40"/>
            </w:pPr>
            <w:r>
              <w:rPr>
                <w:sz w:val="17"/>
                <w:szCs w:val="17"/>
              </w:rPr>
              <w:t xml:space="preserve">10,498.81</w:t>
            </w:r>
          </w:p>
        </w:tc>
        <w:tc>
          <w:tcPr>
            <w:tcW w:type="dxa" w:w="1400"/>
            <w:tcMar>
              <w:top w:type="dxa" w:w="60"/>
              <w:left w:type="dxa" w:w="80"/>
              <w:bottom w:type="dxa" w:w="60"/>
              <w:right w:type="dxa" w:w="80"/>
            </w:tcMar>
          </w:tcPr>
          <w:p>
            <w:pPr>
              <w:spacing w:after="40"/>
            </w:pPr>
            <w:r>
              <w:rPr>
                <w:sz w:val="17"/>
                <w:szCs w:val="17"/>
              </w:rPr>
              <w:t xml:space="preserve">LSE, London</w:t>
            </w:r>
          </w:p>
        </w:tc>
        <w:tc>
          <w:tcPr>
            <w:tcW w:type="dxa" w:w="1240"/>
            <w:tcMar>
              <w:top w:type="dxa" w:w="60"/>
              <w:left w:type="dxa" w:w="80"/>
              <w:bottom w:type="dxa" w:w="60"/>
              <w:right w:type="dxa" w:w="80"/>
            </w:tcMar>
          </w:tcPr>
          <w:p>
            <w:pPr>
              <w:spacing w:after="40"/>
            </w:pPr>
            <w:r>
              <w:rPr>
                <w:sz w:val="17"/>
                <w:szCs w:val="17"/>
              </w:rPr>
              <w:t xml:space="preserve">EXCLUDED</w:t>
            </w:r>
          </w:p>
        </w:tc>
        <w:tc>
          <w:tcPr>
            <w:tcW w:type="dxa" w:w="1440"/>
            <w:tcMar>
              <w:top w:type="dxa" w:w="60"/>
              <w:left w:type="dxa" w:w="80"/>
              <w:bottom w:type="dxa" w:w="60"/>
              <w:right w:type="dxa" w:w="80"/>
            </w:tcMar>
          </w:tcPr>
          <w:p>
            <w:pPr>
              <w:spacing w:after="40"/>
            </w:pPr>
            <w:r>
              <w:rPr>
                <w:sz w:val="17"/>
                <w:szCs w:val="17"/>
              </w:rPr>
              <w:t xml:space="preserve">Conflicts with two Tier-1 primaries on both level and percentage; treated as a stale intraday capture</w:t>
            </w:r>
          </w:p>
        </w:tc>
      </w:tr>
    </w:tbl>
    <w:p>
      <w:pPr>
        <w:pStyle w:val="Heading1"/>
        <w:spacing w:after="140" w:before="280"/>
      </w:pPr>
      <w:r>
        <w:t xml:space="preserve">§5  Consensus Build Explanation</w:t>
      </w:r>
    </w:p>
    <w:p>
      <w:pPr>
        <w:spacing w:after="120" w:before="0"/>
      </w:pPr>
      <w:r>
        <w:rPr>
          <w:sz w:val="20"/>
          <w:szCs w:val="20"/>
        </w:rPr>
        <w:t xml:space="preserve">Normalisation. All admitted quotes are already denominated in index points on the same basis — the London Stock Exchange cash close of the FTSE 100 — so no currency, contract-month, or location normalisation was required. The only transformation applied was decimal alignment: Reuters reports to one decimal place (10,515.9) and Alliance News to two (10,515.92). These are the same observation at different precision, not two competing observations.</w:t>
      </w:r>
    </w:p>
    <w:p>
      <w:pPr>
        <w:spacing w:after="120" w:before="0"/>
      </w:pPr>
      <w:r>
        <w:rPr>
          <w:sz w:val="20"/>
          <w:szCs w:val="20"/>
        </w:rPr>
        <w:t xml:space="preserve">Weighting. The stated consensus method for this instance is a weighted median. In this case the two highest-weighted observations agree exactly, so the weighted median collapses to the reported official close and no dispersion calculation was meaningful. Tier-1 wire reports of an official index close were weighted above aggregator data, and aggregator data above derived or CFD-referenced quotes, which were excluded outright.</w:t>
      </w:r>
    </w:p>
    <w:p>
      <w:pPr>
        <w:spacing w:after="120" w:before="0"/>
      </w:pPr>
      <w:r>
        <w:rPr>
          <w:sz w:val="20"/>
          <w:szCs w:val="20"/>
        </w:rPr>
        <w:t xml:space="preserve">Exclusions. One source (Sunday Guardian) reported 10,498.81 and −0.29% for the same session. This conflicts with two independent Tier-1 primaries on both the level and the direction magnitude, and its timestamp (17:21 IST, equivalent to 12:51 UK) places it well before the 16:30 UK close. It is therefore an intraday capture mislabelled as a session result, and was excluded rather than blended. Blending it would have dragged the consensus roughly 17 points below the corroborated official close for no evidentiary gain.</w:t>
      </w:r>
    </w:p>
    <w:p>
      <w:pPr>
        <w:spacing w:after="120" w:before="0"/>
      </w:pPr>
      <w:r>
        <w:rPr>
          <w:sz w:val="20"/>
          <w:szCs w:val="20"/>
        </w:rPr>
        <w:t xml:space="preserve">Why this number is defensible. 10,515.92 is the value reported by the exchange-facing wire services, is internally consistent with the reported point change (−13.47 from the 14 July close of 10,529.39, which itself is dual-source corroborated), and reconciles arithmetically: 10,529.39 − 13.47 = 10,515.92. That arithmetic closure across two separate sessions and two separate source sets is the strongest available evidence.</w:t>
      </w:r>
    </w:p>
    <w:p>
      <w:pPr>
        <w:pStyle w:val="Heading1"/>
        <w:spacing w:after="140" w:before="280"/>
      </w:pPr>
      <w:r>
        <w:t xml:space="preserve">§6  Validated OHLC + RSI2 Table (5-Day)</w:t>
      </w:r>
    </w:p>
    <w:p>
      <w:pPr>
        <w:pStyle w:val="Heading2"/>
        <w:spacing w:after="100" w:before="200"/>
      </w:pPr>
      <w:r>
        <w:t xml:space="preserve">FTSE 100 — 5 validated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080"/>
        <w:gridCol w:w="1080"/>
        <w:gridCol w:w="1080"/>
        <w:gridCol w:w="1080"/>
        <w:gridCol w:w="780"/>
        <w:gridCol w:w="1000"/>
        <w:gridCol w:w="3020"/>
      </w:tblGrid>
      <w:tr>
        <w:trPr>
          <w:tblHeader/>
        </w:trPr>
        <w:tc>
          <w:tcPr>
            <w:tcW w:type="dxa" w:w="1240"/>
            <w:shd w:fill="1F4E79" w:val="clear"/>
            <w:tcMar>
              <w:top w:type="dxa" w:w="60"/>
              <w:left w:type="dxa" w:w="80"/>
              <w:bottom w:type="dxa" w:w="60"/>
              <w:right w:type="dxa" w:w="80"/>
            </w:tcMar>
          </w:tcPr>
          <w:p>
            <w:pPr>
              <w:spacing w:after="40"/>
            </w:pPr>
            <w:r>
              <w:rPr>
                <w:b/>
                <w:bCs/>
                <w:color w:val="FFFFFF"/>
                <w:sz w:val="17"/>
                <w:szCs w:val="17"/>
              </w:rPr>
              <w:t xml:space="preserve">Session</w:t>
            </w:r>
          </w:p>
        </w:tc>
        <w:tc>
          <w:tcPr>
            <w:tcW w:type="dxa" w:w="1080"/>
            <w:shd w:fill="1F4E79" w:val="clear"/>
            <w:tcMar>
              <w:top w:type="dxa" w:w="60"/>
              <w:left w:type="dxa" w:w="80"/>
              <w:bottom w:type="dxa" w:w="60"/>
              <w:right w:type="dxa" w:w="80"/>
            </w:tcMar>
          </w:tcPr>
          <w:p>
            <w:pPr>
              <w:spacing w:after="40"/>
            </w:pPr>
            <w:r>
              <w:rPr>
                <w:b/>
                <w:bCs/>
                <w:color w:val="FFFFFF"/>
                <w:sz w:val="17"/>
                <w:szCs w:val="17"/>
              </w:rPr>
              <w:t xml:space="preserve">Open</w:t>
            </w:r>
          </w:p>
        </w:tc>
        <w:tc>
          <w:tcPr>
            <w:tcW w:type="dxa" w:w="1080"/>
            <w:shd w:fill="1F4E79" w:val="clear"/>
            <w:tcMar>
              <w:top w:type="dxa" w:w="60"/>
              <w:left w:type="dxa" w:w="80"/>
              <w:bottom w:type="dxa" w:w="60"/>
              <w:right w:type="dxa" w:w="80"/>
            </w:tcMar>
          </w:tcPr>
          <w:p>
            <w:pPr>
              <w:spacing w:after="40"/>
            </w:pPr>
            <w:r>
              <w:rPr>
                <w:b/>
                <w:bCs/>
                <w:color w:val="FFFFFF"/>
                <w:sz w:val="17"/>
                <w:szCs w:val="17"/>
              </w:rPr>
              <w:t xml:space="preserve">High</w:t>
            </w:r>
          </w:p>
        </w:tc>
        <w:tc>
          <w:tcPr>
            <w:tcW w:type="dxa" w:w="1080"/>
            <w:shd w:fill="1F4E79" w:val="clear"/>
            <w:tcMar>
              <w:top w:type="dxa" w:w="60"/>
              <w:left w:type="dxa" w:w="80"/>
              <w:bottom w:type="dxa" w:w="60"/>
              <w:right w:type="dxa" w:w="80"/>
            </w:tcMar>
          </w:tcPr>
          <w:p>
            <w:pPr>
              <w:spacing w:after="40"/>
            </w:pPr>
            <w:r>
              <w:rPr>
                <w:b/>
                <w:bCs/>
                <w:color w:val="FFFFFF"/>
                <w:sz w:val="17"/>
                <w:szCs w:val="17"/>
              </w:rPr>
              <w:t xml:space="preserve">Low</w:t>
            </w:r>
          </w:p>
        </w:tc>
        <w:tc>
          <w:tcPr>
            <w:tcW w:type="dxa" w:w="1080"/>
            <w:shd w:fill="1F4E79" w:val="clear"/>
            <w:tcMar>
              <w:top w:type="dxa" w:w="60"/>
              <w:left w:type="dxa" w:w="80"/>
              <w:bottom w:type="dxa" w:w="60"/>
              <w:right w:type="dxa" w:w="80"/>
            </w:tcMar>
          </w:tcPr>
          <w:p>
            <w:pPr>
              <w:spacing w:after="40"/>
            </w:pPr>
            <w:r>
              <w:rPr>
                <w:b/>
                <w:bCs/>
                <w:color w:val="FFFFFF"/>
                <w:sz w:val="17"/>
                <w:szCs w:val="17"/>
              </w:rPr>
              <w:t xml:space="preserve">Close</w:t>
            </w:r>
          </w:p>
        </w:tc>
        <w:tc>
          <w:tcPr>
            <w:tcW w:type="dxa" w:w="780"/>
            <w:shd w:fill="1F4E79" w:val="clear"/>
            <w:tcMar>
              <w:top w:type="dxa" w:w="60"/>
              <w:left w:type="dxa" w:w="80"/>
              <w:bottom w:type="dxa" w:w="60"/>
              <w:right w:type="dxa" w:w="80"/>
            </w:tcMar>
          </w:tcPr>
          <w:p>
            <w:pPr>
              <w:spacing w:after="40"/>
            </w:pPr>
            <w:r>
              <w:rPr>
                <w:b/>
                <w:bCs/>
                <w:color w:val="FFFFFF"/>
                <w:sz w:val="17"/>
                <w:szCs w:val="17"/>
              </w:rPr>
              <w:t xml:space="preserve">RSI2</w:t>
            </w:r>
          </w:p>
        </w:tc>
        <w:tc>
          <w:tcPr>
            <w:tcW w:type="dxa" w:w="1000"/>
            <w:shd w:fill="1F4E79" w:val="clear"/>
            <w:tcMar>
              <w:top w:type="dxa" w:w="60"/>
              <w:left w:type="dxa" w:w="80"/>
              <w:bottom w:type="dxa" w:w="60"/>
              <w:right w:type="dxa" w:w="80"/>
            </w:tcMar>
          </w:tcPr>
          <w:p>
            <w:pPr>
              <w:spacing w:after="40"/>
            </w:pPr>
            <w:r>
              <w:rPr>
                <w:b/>
                <w:bCs/>
                <w:color w:val="FFFFFF"/>
                <w:sz w:val="17"/>
                <w:szCs w:val="17"/>
              </w:rPr>
              <w:t xml:space="preserve">True Range</w:t>
            </w:r>
          </w:p>
        </w:tc>
        <w:tc>
          <w:tcPr>
            <w:tcW w:type="dxa" w:w="3020"/>
            <w:shd w:fill="1F4E79" w:val="clear"/>
            <w:tcMar>
              <w:top w:type="dxa" w:w="60"/>
              <w:left w:type="dxa" w:w="80"/>
              <w:bottom w:type="dxa" w:w="60"/>
              <w:right w:type="dxa" w:w="80"/>
            </w:tcMar>
          </w:tcPr>
          <w:p>
            <w:pPr>
              <w:spacing w:after="40"/>
            </w:pPr>
            <w:r>
              <w:rPr>
                <w:b/>
                <w:bCs/>
                <w:color w:val="FFFFFF"/>
                <w:sz w:val="17"/>
                <w:szCs w:val="17"/>
              </w:rPr>
              <w:t xml:space="preserve">Corroboration</w:t>
            </w:r>
          </w:p>
        </w:tc>
      </w:tr>
      <w:tr>
        <w:tc>
          <w:tcPr>
            <w:tcW w:type="dxa" w:w="1240"/>
            <w:tcMar>
              <w:top w:type="dxa" w:w="60"/>
              <w:left w:type="dxa" w:w="80"/>
              <w:bottom w:type="dxa" w:w="60"/>
              <w:right w:type="dxa" w:w="80"/>
            </w:tcMar>
          </w:tcPr>
          <w:p>
            <w:pPr>
              <w:spacing w:after="40"/>
            </w:pPr>
            <w:r>
              <w:rPr>
                <w:sz w:val="17"/>
                <w:szCs w:val="17"/>
              </w:rPr>
              <w:t xml:space="preserve">Thu 9 Jul 2026</w:t>
            </w:r>
          </w:p>
        </w:tc>
        <w:tc>
          <w:tcPr>
            <w:tcW w:type="dxa" w:w="1080"/>
            <w:tcMar>
              <w:top w:type="dxa" w:w="60"/>
              <w:left w:type="dxa" w:w="80"/>
              <w:bottom w:type="dxa" w:w="60"/>
              <w:right w:type="dxa" w:w="80"/>
            </w:tcMar>
          </w:tcPr>
          <w:p>
            <w:pPr>
              <w:spacing w:after="40"/>
            </w:pPr>
            <w:r>
              <w:rPr>
                <w:sz w:val="17"/>
                <w:szCs w:val="17"/>
              </w:rPr>
              <w:t xml:space="preserve">10,489.04</w:t>
            </w:r>
          </w:p>
        </w:tc>
        <w:tc>
          <w:tcPr>
            <w:tcW w:type="dxa" w:w="1080"/>
            <w:tcMar>
              <w:top w:type="dxa" w:w="60"/>
              <w:left w:type="dxa" w:w="80"/>
              <w:bottom w:type="dxa" w:w="60"/>
              <w:right w:type="dxa" w:w="80"/>
            </w:tcMar>
          </w:tcPr>
          <w:p>
            <w:pPr>
              <w:spacing w:after="40"/>
            </w:pPr>
            <w:r>
              <w:rPr>
                <w:sz w:val="17"/>
                <w:szCs w:val="17"/>
              </w:rPr>
              <w:t xml:space="preserve">10,520.00</w:t>
            </w:r>
          </w:p>
        </w:tc>
        <w:tc>
          <w:tcPr>
            <w:tcW w:type="dxa" w:w="1080"/>
            <w:tcMar>
              <w:top w:type="dxa" w:w="60"/>
              <w:left w:type="dxa" w:w="80"/>
              <w:bottom w:type="dxa" w:w="60"/>
              <w:right w:type="dxa" w:w="80"/>
            </w:tcMar>
          </w:tcPr>
          <w:p>
            <w:pPr>
              <w:spacing w:after="40"/>
            </w:pPr>
            <w:r>
              <w:rPr>
                <w:sz w:val="17"/>
                <w:szCs w:val="17"/>
              </w:rPr>
              <w:t xml:space="preserve">10,420.00</w:t>
            </w:r>
          </w:p>
        </w:tc>
        <w:tc>
          <w:tcPr>
            <w:tcW w:type="dxa" w:w="1080"/>
            <w:tcMar>
              <w:top w:type="dxa" w:w="60"/>
              <w:left w:type="dxa" w:w="80"/>
              <w:bottom w:type="dxa" w:w="60"/>
              <w:right w:type="dxa" w:w="80"/>
            </w:tcMar>
          </w:tcPr>
          <w:p>
            <w:pPr>
              <w:spacing w:after="40"/>
            </w:pPr>
            <w:r>
              <w:rPr>
                <w:sz w:val="17"/>
                <w:szCs w:val="17"/>
              </w:rPr>
              <w:t xml:space="preserve">10,465.00</w:t>
            </w:r>
          </w:p>
        </w:tc>
        <w:tc>
          <w:tcPr>
            <w:tcW w:type="dxa" w:w="780"/>
            <w:tcMar>
              <w:top w:type="dxa" w:w="60"/>
              <w:left w:type="dxa" w:w="80"/>
              <w:bottom w:type="dxa" w:w="60"/>
              <w:right w:type="dxa" w:w="80"/>
            </w:tcMar>
          </w:tcPr>
          <w:p>
            <w:pPr>
              <w:spacing w:after="40"/>
            </w:pPr>
            <w:r>
              <w:rPr>
                <w:sz w:val="17"/>
                <w:szCs w:val="17"/>
              </w:rPr>
              <w:t xml:space="preserve">0.0</w:t>
            </w:r>
          </w:p>
        </w:tc>
        <w:tc>
          <w:tcPr>
            <w:tcW w:type="dxa" w:w="1000"/>
            <w:tcMar>
              <w:top w:type="dxa" w:w="60"/>
              <w:left w:type="dxa" w:w="80"/>
              <w:bottom w:type="dxa" w:w="60"/>
              <w:right w:type="dxa" w:w="80"/>
            </w:tcMar>
          </w:tcPr>
          <w:p>
            <w:pPr>
              <w:spacing w:after="40"/>
            </w:pPr>
            <w:r>
              <w:rPr>
                <w:sz w:val="17"/>
                <w:szCs w:val="17"/>
              </w:rPr>
              <w:t xml:space="preserve">100.00</w:t>
            </w:r>
          </w:p>
        </w:tc>
        <w:tc>
          <w:tcPr>
            <w:tcW w:type="dxa" w:w="3020"/>
            <w:tcMar>
              <w:top w:type="dxa" w:w="60"/>
              <w:left w:type="dxa" w:w="80"/>
              <w:bottom w:type="dxa" w:w="60"/>
              <w:right w:type="dxa" w:w="80"/>
            </w:tcMar>
          </w:tcPr>
          <w:p>
            <w:pPr>
              <w:spacing w:after="40"/>
            </w:pPr>
            <w:r>
              <w:rPr>
                <w:sz w:val="17"/>
                <w:szCs w:val="17"/>
              </w:rPr>
              <w:t xml:space="preserve">Single-source indicative</w:t>
            </w:r>
          </w:p>
        </w:tc>
      </w:tr>
      <w:tr>
        <w:tc>
          <w:tcPr>
            <w:tcW w:type="dxa" w:w="1240"/>
            <w:tcMar>
              <w:top w:type="dxa" w:w="60"/>
              <w:left w:type="dxa" w:w="80"/>
              <w:bottom w:type="dxa" w:w="60"/>
              <w:right w:type="dxa" w:w="80"/>
            </w:tcMar>
          </w:tcPr>
          <w:p>
            <w:pPr>
              <w:spacing w:after="40"/>
            </w:pPr>
            <w:r>
              <w:rPr>
                <w:sz w:val="17"/>
                <w:szCs w:val="17"/>
              </w:rPr>
              <w:t xml:space="preserve">Fri 10 Jul 2026</w:t>
            </w:r>
          </w:p>
        </w:tc>
        <w:tc>
          <w:tcPr>
            <w:tcW w:type="dxa" w:w="1080"/>
            <w:tcMar>
              <w:top w:type="dxa" w:w="60"/>
              <w:left w:type="dxa" w:w="80"/>
              <w:bottom w:type="dxa" w:w="60"/>
              <w:right w:type="dxa" w:w="80"/>
            </w:tcMar>
          </w:tcPr>
          <w:p>
            <w:pPr>
              <w:spacing w:after="40"/>
            </w:pPr>
            <w:r>
              <w:rPr>
                <w:sz w:val="17"/>
                <w:szCs w:val="17"/>
              </w:rPr>
              <w:t xml:space="preserve">10,465.00</w:t>
            </w:r>
          </w:p>
        </w:tc>
        <w:tc>
          <w:tcPr>
            <w:tcW w:type="dxa" w:w="1080"/>
            <w:tcMar>
              <w:top w:type="dxa" w:w="60"/>
              <w:left w:type="dxa" w:w="80"/>
              <w:bottom w:type="dxa" w:w="60"/>
              <w:right w:type="dxa" w:w="80"/>
            </w:tcMar>
          </w:tcPr>
          <w:p>
            <w:pPr>
              <w:spacing w:after="40"/>
            </w:pPr>
            <w:r>
              <w:rPr>
                <w:sz w:val="17"/>
                <w:szCs w:val="17"/>
              </w:rPr>
              <w:t xml:space="preserve">10,510.00</w:t>
            </w:r>
          </w:p>
        </w:tc>
        <w:tc>
          <w:tcPr>
            <w:tcW w:type="dxa" w:w="1080"/>
            <w:tcMar>
              <w:top w:type="dxa" w:w="60"/>
              <w:left w:type="dxa" w:w="80"/>
              <w:bottom w:type="dxa" w:w="60"/>
              <w:right w:type="dxa" w:w="80"/>
            </w:tcMar>
          </w:tcPr>
          <w:p>
            <w:pPr>
              <w:spacing w:after="40"/>
            </w:pPr>
            <w:r>
              <w:rPr>
                <w:sz w:val="17"/>
                <w:szCs w:val="17"/>
              </w:rPr>
              <w:t xml:space="preserve">10,440.00</w:t>
            </w:r>
          </w:p>
        </w:tc>
        <w:tc>
          <w:tcPr>
            <w:tcW w:type="dxa" w:w="1080"/>
            <w:tcMar>
              <w:top w:type="dxa" w:w="60"/>
              <w:left w:type="dxa" w:w="80"/>
              <w:bottom w:type="dxa" w:w="60"/>
              <w:right w:type="dxa" w:w="80"/>
            </w:tcMar>
          </w:tcPr>
          <w:p>
            <w:pPr>
              <w:spacing w:after="40"/>
            </w:pPr>
            <w:r>
              <w:rPr>
                <w:sz w:val="17"/>
                <w:szCs w:val="17"/>
              </w:rPr>
              <w:t xml:space="preserve">10,496.90</w:t>
            </w:r>
          </w:p>
        </w:tc>
        <w:tc>
          <w:tcPr>
            <w:tcW w:type="dxa" w:w="780"/>
            <w:tcMar>
              <w:top w:type="dxa" w:w="60"/>
              <w:left w:type="dxa" w:w="80"/>
              <w:bottom w:type="dxa" w:w="60"/>
              <w:right w:type="dxa" w:w="80"/>
            </w:tcMar>
          </w:tcPr>
          <w:p>
            <w:pPr>
              <w:spacing w:after="40"/>
            </w:pPr>
            <w:r>
              <w:rPr>
                <w:sz w:val="17"/>
                <w:szCs w:val="17"/>
              </w:rPr>
              <w:t xml:space="preserve">57.0</w:t>
            </w:r>
          </w:p>
        </w:tc>
        <w:tc>
          <w:tcPr>
            <w:tcW w:type="dxa" w:w="1000"/>
            <w:tcMar>
              <w:top w:type="dxa" w:w="60"/>
              <w:left w:type="dxa" w:w="80"/>
              <w:bottom w:type="dxa" w:w="60"/>
              <w:right w:type="dxa" w:w="80"/>
            </w:tcMar>
          </w:tcPr>
          <w:p>
            <w:pPr>
              <w:spacing w:after="40"/>
            </w:pPr>
            <w:r>
              <w:rPr>
                <w:sz w:val="17"/>
                <w:szCs w:val="17"/>
              </w:rPr>
              <w:t xml:space="preserve">70.00</w:t>
            </w:r>
          </w:p>
        </w:tc>
        <w:tc>
          <w:tcPr>
            <w:tcW w:type="dxa" w:w="3020"/>
            <w:tcMar>
              <w:top w:type="dxa" w:w="60"/>
              <w:left w:type="dxa" w:w="80"/>
              <w:bottom w:type="dxa" w:w="60"/>
              <w:right w:type="dxa" w:w="80"/>
            </w:tcMar>
          </w:tcPr>
          <w:p>
            <w:pPr>
              <w:spacing w:after="40"/>
            </w:pPr>
            <w:r>
              <w:rPr>
                <w:sz w:val="17"/>
                <w:szCs w:val="17"/>
              </w:rPr>
              <w:t xml:space="preserve">Single-source indicative</w:t>
            </w:r>
          </w:p>
        </w:tc>
      </w:tr>
      <w:tr>
        <w:tc>
          <w:tcPr>
            <w:tcW w:type="dxa" w:w="1240"/>
            <w:tcMar>
              <w:top w:type="dxa" w:w="60"/>
              <w:left w:type="dxa" w:w="80"/>
              <w:bottom w:type="dxa" w:w="60"/>
              <w:right w:type="dxa" w:w="80"/>
            </w:tcMar>
          </w:tcPr>
          <w:p>
            <w:pPr>
              <w:spacing w:after="40"/>
            </w:pPr>
            <w:r>
              <w:rPr>
                <w:sz w:val="17"/>
                <w:szCs w:val="17"/>
              </w:rPr>
              <w:t xml:space="preserve">Mon 13 Jul 2026</w:t>
            </w:r>
          </w:p>
        </w:tc>
        <w:tc>
          <w:tcPr>
            <w:tcW w:type="dxa" w:w="1080"/>
            <w:tcMar>
              <w:top w:type="dxa" w:w="60"/>
              <w:left w:type="dxa" w:w="80"/>
              <w:bottom w:type="dxa" w:w="60"/>
              <w:right w:type="dxa" w:w="80"/>
            </w:tcMar>
          </w:tcPr>
          <w:p>
            <w:pPr>
              <w:spacing w:after="40"/>
            </w:pPr>
            <w:r>
              <w:rPr>
                <w:sz w:val="17"/>
                <w:szCs w:val="17"/>
              </w:rPr>
              <w:t xml:space="preserve">10,496.90</w:t>
            </w:r>
          </w:p>
        </w:tc>
        <w:tc>
          <w:tcPr>
            <w:tcW w:type="dxa" w:w="1080"/>
            <w:tcMar>
              <w:top w:type="dxa" w:w="60"/>
              <w:left w:type="dxa" w:w="80"/>
              <w:bottom w:type="dxa" w:w="60"/>
              <w:right w:type="dxa" w:w="80"/>
            </w:tcMar>
          </w:tcPr>
          <w:p>
            <w:pPr>
              <w:spacing w:after="40"/>
            </w:pPr>
            <w:r>
              <w:rPr>
                <w:sz w:val="17"/>
                <w:szCs w:val="17"/>
              </w:rPr>
              <w:t xml:space="preserve">10,520.00</w:t>
            </w:r>
          </w:p>
        </w:tc>
        <w:tc>
          <w:tcPr>
            <w:tcW w:type="dxa" w:w="1080"/>
            <w:tcMar>
              <w:top w:type="dxa" w:w="60"/>
              <w:left w:type="dxa" w:w="80"/>
              <w:bottom w:type="dxa" w:w="60"/>
              <w:right w:type="dxa" w:w="80"/>
            </w:tcMar>
          </w:tcPr>
          <w:p>
            <w:pPr>
              <w:spacing w:after="40"/>
            </w:pPr>
            <w:r>
              <w:rPr>
                <w:sz w:val="17"/>
                <w:szCs w:val="17"/>
              </w:rPr>
              <w:t xml:space="preserve">10,470.00</w:t>
            </w:r>
          </w:p>
        </w:tc>
        <w:tc>
          <w:tcPr>
            <w:tcW w:type="dxa" w:w="1080"/>
            <w:tcMar>
              <w:top w:type="dxa" w:w="60"/>
              <w:left w:type="dxa" w:w="80"/>
              <w:bottom w:type="dxa" w:w="60"/>
              <w:right w:type="dxa" w:w="80"/>
            </w:tcMar>
          </w:tcPr>
          <w:p>
            <w:pPr>
              <w:spacing w:after="40"/>
            </w:pPr>
            <w:r>
              <w:rPr>
                <w:sz w:val="17"/>
                <w:szCs w:val="17"/>
              </w:rPr>
              <w:t xml:space="preserve">10,496.00</w:t>
            </w:r>
          </w:p>
        </w:tc>
        <w:tc>
          <w:tcPr>
            <w:tcW w:type="dxa" w:w="780"/>
            <w:tcMar>
              <w:top w:type="dxa" w:w="60"/>
              <w:left w:type="dxa" w:w="80"/>
              <w:bottom w:type="dxa" w:w="60"/>
              <w:right w:type="dxa" w:w="80"/>
            </w:tcMar>
          </w:tcPr>
          <w:p>
            <w:pPr>
              <w:spacing w:after="40"/>
            </w:pPr>
            <w:r>
              <w:rPr>
                <w:sz w:val="17"/>
                <w:szCs w:val="17"/>
              </w:rPr>
              <w:t xml:space="preserve">55.3</w:t>
            </w:r>
          </w:p>
        </w:tc>
        <w:tc>
          <w:tcPr>
            <w:tcW w:type="dxa" w:w="1000"/>
            <w:tcMar>
              <w:top w:type="dxa" w:w="60"/>
              <w:left w:type="dxa" w:w="80"/>
              <w:bottom w:type="dxa" w:w="60"/>
              <w:right w:type="dxa" w:w="80"/>
            </w:tcMar>
          </w:tcPr>
          <w:p>
            <w:pPr>
              <w:spacing w:after="40"/>
            </w:pPr>
            <w:r>
              <w:rPr>
                <w:sz w:val="17"/>
                <w:szCs w:val="17"/>
              </w:rPr>
              <w:t xml:space="preserve">50.00</w:t>
            </w:r>
          </w:p>
        </w:tc>
        <w:tc>
          <w:tcPr>
            <w:tcW w:type="dxa" w:w="3020"/>
            <w:tcMar>
              <w:top w:type="dxa" w:w="60"/>
              <w:left w:type="dxa" w:w="80"/>
              <w:bottom w:type="dxa" w:w="60"/>
              <w:right w:type="dxa" w:w="80"/>
            </w:tcMar>
          </w:tcPr>
          <w:p>
            <w:pPr>
              <w:spacing w:after="40"/>
            </w:pPr>
            <w:r>
              <w:rPr>
                <w:sz w:val="17"/>
                <w:szCs w:val="17"/>
              </w:rPr>
              <w:t xml:space="preserve">Close corroborated (2 sources); O/H/L indicative</w:t>
            </w:r>
          </w:p>
        </w:tc>
      </w:tr>
      <w:tr>
        <w:tc>
          <w:tcPr>
            <w:tcW w:type="dxa" w:w="1240"/>
            <w:tcMar>
              <w:top w:type="dxa" w:w="60"/>
              <w:left w:type="dxa" w:w="80"/>
              <w:bottom w:type="dxa" w:w="60"/>
              <w:right w:type="dxa" w:w="80"/>
            </w:tcMar>
          </w:tcPr>
          <w:p>
            <w:pPr>
              <w:spacing w:after="40"/>
            </w:pPr>
            <w:r>
              <w:rPr>
                <w:sz w:val="17"/>
                <w:szCs w:val="17"/>
              </w:rPr>
              <w:t xml:space="preserve">Tue 14 Jul 2026</w:t>
            </w:r>
          </w:p>
        </w:tc>
        <w:tc>
          <w:tcPr>
            <w:tcW w:type="dxa" w:w="1080"/>
            <w:tcMar>
              <w:top w:type="dxa" w:w="60"/>
              <w:left w:type="dxa" w:w="80"/>
              <w:bottom w:type="dxa" w:w="60"/>
              <w:right w:type="dxa" w:w="80"/>
            </w:tcMar>
          </w:tcPr>
          <w:p>
            <w:pPr>
              <w:spacing w:after="40"/>
            </w:pPr>
            <w:r>
              <w:rPr>
                <w:sz w:val="17"/>
                <w:szCs w:val="17"/>
              </w:rPr>
              <w:t xml:space="preserve">10,470.08</w:t>
            </w:r>
          </w:p>
        </w:tc>
        <w:tc>
          <w:tcPr>
            <w:tcW w:type="dxa" w:w="1080"/>
            <w:tcMar>
              <w:top w:type="dxa" w:w="60"/>
              <w:left w:type="dxa" w:w="80"/>
              <w:bottom w:type="dxa" w:w="60"/>
              <w:right w:type="dxa" w:w="80"/>
            </w:tcMar>
          </w:tcPr>
          <w:p>
            <w:pPr>
              <w:spacing w:after="40"/>
            </w:pPr>
            <w:r>
              <w:rPr>
                <w:sz w:val="17"/>
                <w:szCs w:val="17"/>
              </w:rPr>
              <w:t xml:space="preserve">10,552.56</w:t>
            </w:r>
          </w:p>
        </w:tc>
        <w:tc>
          <w:tcPr>
            <w:tcW w:type="dxa" w:w="1080"/>
            <w:tcMar>
              <w:top w:type="dxa" w:w="60"/>
              <w:left w:type="dxa" w:w="80"/>
              <w:bottom w:type="dxa" w:w="60"/>
              <w:right w:type="dxa" w:w="80"/>
            </w:tcMar>
          </w:tcPr>
          <w:p>
            <w:pPr>
              <w:spacing w:after="40"/>
            </w:pPr>
            <w:r>
              <w:rPr>
                <w:sz w:val="17"/>
                <w:szCs w:val="17"/>
              </w:rPr>
              <w:t xml:space="preserve">10,422.98</w:t>
            </w:r>
          </w:p>
        </w:tc>
        <w:tc>
          <w:tcPr>
            <w:tcW w:type="dxa" w:w="1080"/>
            <w:tcMar>
              <w:top w:type="dxa" w:w="60"/>
              <w:left w:type="dxa" w:w="80"/>
              <w:bottom w:type="dxa" w:w="60"/>
              <w:right w:type="dxa" w:w="80"/>
            </w:tcMar>
          </w:tcPr>
          <w:p>
            <w:pPr>
              <w:spacing w:after="40"/>
            </w:pPr>
            <w:r>
              <w:rPr>
                <w:sz w:val="17"/>
                <w:szCs w:val="17"/>
              </w:rPr>
              <w:t xml:space="preserve">10,529.39</w:t>
            </w:r>
          </w:p>
        </w:tc>
        <w:tc>
          <w:tcPr>
            <w:tcW w:type="dxa" w:w="780"/>
            <w:tcMar>
              <w:top w:type="dxa" w:w="60"/>
              <w:left w:type="dxa" w:w="80"/>
              <w:bottom w:type="dxa" w:w="60"/>
              <w:right w:type="dxa" w:w="80"/>
            </w:tcMar>
          </w:tcPr>
          <w:p>
            <w:pPr>
              <w:spacing w:after="40"/>
            </w:pPr>
            <w:r>
              <w:rPr>
                <w:sz w:val="17"/>
                <w:szCs w:val="17"/>
              </w:rPr>
              <w:t xml:space="preserve">86.5</w:t>
            </w:r>
          </w:p>
        </w:tc>
        <w:tc>
          <w:tcPr>
            <w:tcW w:type="dxa" w:w="1000"/>
            <w:tcMar>
              <w:top w:type="dxa" w:w="60"/>
              <w:left w:type="dxa" w:w="80"/>
              <w:bottom w:type="dxa" w:w="60"/>
              <w:right w:type="dxa" w:w="80"/>
            </w:tcMar>
          </w:tcPr>
          <w:p>
            <w:pPr>
              <w:spacing w:after="40"/>
            </w:pPr>
            <w:r>
              <w:rPr>
                <w:sz w:val="17"/>
                <w:szCs w:val="17"/>
              </w:rPr>
              <w:t xml:space="preserve">129.58</w:t>
            </w:r>
          </w:p>
        </w:tc>
        <w:tc>
          <w:tcPr>
            <w:tcW w:type="dxa" w:w="3020"/>
            <w:tcMar>
              <w:top w:type="dxa" w:w="60"/>
              <w:left w:type="dxa" w:w="80"/>
              <w:bottom w:type="dxa" w:w="60"/>
              <w:right w:type="dxa" w:w="80"/>
            </w:tcMar>
          </w:tcPr>
          <w:p>
            <w:pPr>
              <w:spacing w:after="40"/>
            </w:pPr>
            <w:r>
              <w:rPr>
                <w:sz w:val="17"/>
                <w:szCs w:val="17"/>
              </w:rPr>
              <w:t xml:space="preserve">Fully corroborated (Reuters × BBN Times × Investing.com)</w:t>
            </w:r>
          </w:p>
        </w:tc>
      </w:tr>
      <w:tr>
        <w:tc>
          <w:tcPr>
            <w:tcW w:type="dxa" w:w="1240"/>
            <w:tcMar>
              <w:top w:type="dxa" w:w="60"/>
              <w:left w:type="dxa" w:w="80"/>
              <w:bottom w:type="dxa" w:w="60"/>
              <w:right w:type="dxa" w:w="80"/>
            </w:tcMar>
          </w:tcPr>
          <w:p>
            <w:pPr>
              <w:spacing w:after="40"/>
            </w:pPr>
            <w:r>
              <w:rPr>
                <w:sz w:val="17"/>
                <w:szCs w:val="17"/>
              </w:rPr>
              <w:t xml:space="preserve">Wed 15 Jul 2026</w:t>
            </w:r>
          </w:p>
        </w:tc>
        <w:tc>
          <w:tcPr>
            <w:tcW w:type="dxa" w:w="1080"/>
            <w:tcMar>
              <w:top w:type="dxa" w:w="60"/>
              <w:left w:type="dxa" w:w="80"/>
              <w:bottom w:type="dxa" w:w="60"/>
              <w:right w:type="dxa" w:w="80"/>
            </w:tcMar>
          </w:tcPr>
          <w:p>
            <w:pPr>
              <w:spacing w:after="40"/>
            </w:pPr>
            <w:r>
              <w:rPr>
                <w:sz w:val="17"/>
                <w:szCs w:val="17"/>
              </w:rPr>
              <w:t xml:space="preserve">10,510.00</w:t>
            </w:r>
          </w:p>
        </w:tc>
        <w:tc>
          <w:tcPr>
            <w:tcW w:type="dxa" w:w="1080"/>
            <w:tcMar>
              <w:top w:type="dxa" w:w="60"/>
              <w:left w:type="dxa" w:w="80"/>
              <w:bottom w:type="dxa" w:w="60"/>
              <w:right w:type="dxa" w:w="80"/>
            </w:tcMar>
          </w:tcPr>
          <w:p>
            <w:pPr>
              <w:spacing w:after="40"/>
            </w:pPr>
            <w:r>
              <w:rPr>
                <w:sz w:val="17"/>
                <w:szCs w:val="17"/>
              </w:rPr>
              <w:t xml:space="preserve">10,545.00</w:t>
            </w:r>
          </w:p>
        </w:tc>
        <w:tc>
          <w:tcPr>
            <w:tcW w:type="dxa" w:w="1080"/>
            <w:tcMar>
              <w:top w:type="dxa" w:w="60"/>
              <w:left w:type="dxa" w:w="80"/>
              <w:bottom w:type="dxa" w:w="60"/>
              <w:right w:type="dxa" w:w="80"/>
            </w:tcMar>
          </w:tcPr>
          <w:p>
            <w:pPr>
              <w:spacing w:after="40"/>
            </w:pPr>
            <w:r>
              <w:rPr>
                <w:sz w:val="17"/>
                <w:szCs w:val="17"/>
              </w:rPr>
              <w:t xml:space="preserve">10,480.00</w:t>
            </w:r>
          </w:p>
        </w:tc>
        <w:tc>
          <w:tcPr>
            <w:tcW w:type="dxa" w:w="1080"/>
            <w:tcMar>
              <w:top w:type="dxa" w:w="60"/>
              <w:left w:type="dxa" w:w="80"/>
              <w:bottom w:type="dxa" w:w="60"/>
              <w:right w:type="dxa" w:w="80"/>
            </w:tcMar>
          </w:tcPr>
          <w:p>
            <w:pPr>
              <w:spacing w:after="40"/>
            </w:pPr>
            <w:r>
              <w:rPr>
                <w:sz w:val="17"/>
                <w:szCs w:val="17"/>
              </w:rPr>
              <w:t xml:space="preserve">10,515.92</w:t>
            </w:r>
          </w:p>
        </w:tc>
        <w:tc>
          <w:tcPr>
            <w:tcW w:type="dxa" w:w="780"/>
            <w:tcMar>
              <w:top w:type="dxa" w:w="60"/>
              <w:left w:type="dxa" w:w="80"/>
              <w:bottom w:type="dxa" w:w="60"/>
              <w:right w:type="dxa" w:w="80"/>
            </w:tcMar>
          </w:tcPr>
          <w:p>
            <w:pPr>
              <w:spacing w:after="40"/>
            </w:pPr>
            <w:r>
              <w:rPr>
                <w:sz w:val="17"/>
                <w:szCs w:val="17"/>
              </w:rPr>
              <w:t xml:space="preserve">55.3</w:t>
            </w:r>
          </w:p>
        </w:tc>
        <w:tc>
          <w:tcPr>
            <w:tcW w:type="dxa" w:w="1000"/>
            <w:tcMar>
              <w:top w:type="dxa" w:w="60"/>
              <w:left w:type="dxa" w:w="80"/>
              <w:bottom w:type="dxa" w:w="60"/>
              <w:right w:type="dxa" w:w="80"/>
            </w:tcMar>
          </w:tcPr>
          <w:p>
            <w:pPr>
              <w:spacing w:after="40"/>
            </w:pPr>
            <w:r>
              <w:rPr>
                <w:sz w:val="17"/>
                <w:szCs w:val="17"/>
              </w:rPr>
              <w:t xml:space="preserve">65.00</w:t>
            </w:r>
          </w:p>
        </w:tc>
        <w:tc>
          <w:tcPr>
            <w:tcW w:type="dxa" w:w="3020"/>
            <w:tcMar>
              <w:top w:type="dxa" w:w="60"/>
              <w:left w:type="dxa" w:w="80"/>
              <w:bottom w:type="dxa" w:w="60"/>
              <w:right w:type="dxa" w:w="80"/>
            </w:tcMar>
          </w:tcPr>
          <w:p>
            <w:pPr>
              <w:spacing w:after="40"/>
            </w:pPr>
            <w:r>
              <w:rPr>
                <w:sz w:val="17"/>
                <w:szCs w:val="17"/>
              </w:rPr>
              <w:t xml:space="preserve">Close corroborated (Reuters × Alliance News); O/H/L indicative</w:t>
            </w:r>
          </w:p>
        </w:tc>
      </w:tr>
    </w:tbl>
    <w:p>
      <w:pPr>
        <w:spacing w:after="120" w:before="0"/>
      </w:pPr>
      <w:r>
        <w:rPr>
          <w:i/>
          <w:iCs/>
          <w:sz w:val="17"/>
          <w:szCs w:val="17"/>
        </w:rPr>
        <w:t xml:space="preserve">Data-quality statement. Only two sessions in this window carry full dual-source corroboration across all four OHLC fields (14 July fully; 15 July on the close). Intraday highs and lows for 9, 10, 13 and 15 July are reconstructed from wire-reported percentage moves and aggregator range data, and are flagged single-source indicative throughout. This flag propagates to every downstream section that consumes these values — in particular the pivot tables in §11 and the trade cards in §21. RSI2 for 9 July prints 0.0 because both prior sessions in the seeding window were down closes; this is a mathematically correct boundary value on a short window, not an error, but it should not be read as a conventional oversold signal given the seeding limitation.</w:t>
      </w:r>
    </w:p>
    <w:p>
      <w:pPr>
        <w:pStyle w:val="Heading2"/>
        <w:spacing w:after="100" w:before="200"/>
      </w:pPr>
      <w:r>
        <w:t xml:space="preserve">EURO STOXX 50 — reference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960"/>
      </w:tblGrid>
      <w:tr>
        <w:trPr>
          <w:tblHeader/>
        </w:trPr>
        <w:tc>
          <w:tcPr>
            <w:tcW w:type="dxa" w:w="1400"/>
            <w:shd w:fill="1F4E79" w:val="clear"/>
            <w:tcMar>
              <w:top w:type="dxa" w:w="60"/>
              <w:left w:type="dxa" w:w="80"/>
              <w:bottom w:type="dxa" w:w="60"/>
              <w:right w:type="dxa" w:w="80"/>
            </w:tcMar>
          </w:tcPr>
          <w:p>
            <w:pPr>
              <w:spacing w:after="40"/>
            </w:pPr>
            <w:r>
              <w:rPr>
                <w:b/>
                <w:bCs/>
                <w:color w:val="FFFFFF"/>
                <w:sz w:val="17"/>
                <w:szCs w:val="17"/>
              </w:rPr>
              <w:t xml:space="preserve">Session</w:t>
            </w:r>
          </w:p>
        </w:tc>
        <w:tc>
          <w:tcPr>
            <w:tcW w:type="dxa" w:w="1500"/>
            <w:shd w:fill="1F4E79" w:val="clear"/>
            <w:tcMar>
              <w:top w:type="dxa" w:w="60"/>
              <w:left w:type="dxa" w:w="80"/>
              <w:bottom w:type="dxa" w:w="60"/>
              <w:right w:type="dxa" w:w="80"/>
            </w:tcMar>
          </w:tcPr>
          <w:p>
            <w:pPr>
              <w:spacing w:after="40"/>
            </w:pPr>
            <w:r>
              <w:rPr>
                <w:b/>
                <w:bCs/>
                <w:color w:val="FFFFFF"/>
                <w:sz w:val="17"/>
                <w:szCs w:val="17"/>
              </w:rPr>
              <w:t xml:space="preserve">Open</w:t>
            </w:r>
          </w:p>
        </w:tc>
        <w:tc>
          <w:tcPr>
            <w:tcW w:type="dxa" w:w="1500"/>
            <w:shd w:fill="1F4E79" w:val="clear"/>
            <w:tcMar>
              <w:top w:type="dxa" w:w="60"/>
              <w:left w:type="dxa" w:w="80"/>
              <w:bottom w:type="dxa" w:w="60"/>
              <w:right w:type="dxa" w:w="80"/>
            </w:tcMar>
          </w:tcPr>
          <w:p>
            <w:pPr>
              <w:spacing w:after="40"/>
            </w:pPr>
            <w:r>
              <w:rPr>
                <w:b/>
                <w:bCs/>
                <w:color w:val="FFFFFF"/>
                <w:sz w:val="17"/>
                <w:szCs w:val="17"/>
              </w:rPr>
              <w:t xml:space="preserve">High</w:t>
            </w:r>
          </w:p>
        </w:tc>
        <w:tc>
          <w:tcPr>
            <w:tcW w:type="dxa" w:w="1500"/>
            <w:shd w:fill="1F4E79" w:val="clear"/>
            <w:tcMar>
              <w:top w:type="dxa" w:w="60"/>
              <w:left w:type="dxa" w:w="80"/>
              <w:bottom w:type="dxa" w:w="60"/>
              <w:right w:type="dxa" w:w="80"/>
            </w:tcMar>
          </w:tcPr>
          <w:p>
            <w:pPr>
              <w:spacing w:after="40"/>
            </w:pPr>
            <w:r>
              <w:rPr>
                <w:b/>
                <w:bCs/>
                <w:color w:val="FFFFFF"/>
                <w:sz w:val="17"/>
                <w:szCs w:val="17"/>
              </w:rPr>
              <w:t xml:space="preserve">Low</w:t>
            </w:r>
          </w:p>
        </w:tc>
        <w:tc>
          <w:tcPr>
            <w:tcW w:type="dxa" w:w="1500"/>
            <w:shd w:fill="1F4E79" w:val="clear"/>
            <w:tcMar>
              <w:top w:type="dxa" w:w="60"/>
              <w:left w:type="dxa" w:w="80"/>
              <w:bottom w:type="dxa" w:w="60"/>
              <w:right w:type="dxa" w:w="80"/>
            </w:tcMar>
          </w:tcPr>
          <w:p>
            <w:pPr>
              <w:spacing w:after="40"/>
            </w:pPr>
            <w:r>
              <w:rPr>
                <w:b/>
                <w:bCs/>
                <w:color w:val="FFFFFF"/>
                <w:sz w:val="17"/>
                <w:szCs w:val="17"/>
              </w:rPr>
              <w:t xml:space="preserve">Close (EUR)</w:t>
            </w:r>
          </w:p>
        </w:tc>
        <w:tc>
          <w:tcPr>
            <w:tcW w:type="dxa" w:w="1960"/>
            <w:shd w:fill="1F4E79" w:val="clear"/>
            <w:tcMar>
              <w:top w:type="dxa" w:w="60"/>
              <w:left w:type="dxa" w:w="80"/>
              <w:bottom w:type="dxa" w:w="60"/>
              <w:right w:type="dxa" w:w="80"/>
            </w:tcMar>
          </w:tcPr>
          <w:p>
            <w:pPr>
              <w:spacing w:after="40"/>
            </w:pPr>
            <w:r>
              <w:rPr>
                <w:b/>
                <w:bCs/>
                <w:color w:val="FFFFFF"/>
                <w:sz w:val="17"/>
                <w:szCs w:val="17"/>
              </w:rPr>
              <w:t xml:space="preserve">Corroboration</w:t>
            </w:r>
          </w:p>
        </w:tc>
      </w:tr>
      <w:tr>
        <w:tc>
          <w:tcPr>
            <w:tcW w:type="dxa" w:w="1400"/>
            <w:tcMar>
              <w:top w:type="dxa" w:w="60"/>
              <w:left w:type="dxa" w:w="80"/>
              <w:bottom w:type="dxa" w:w="60"/>
              <w:right w:type="dxa" w:w="80"/>
            </w:tcMar>
          </w:tcPr>
          <w:p>
            <w:pPr>
              <w:spacing w:after="40"/>
            </w:pPr>
            <w:r>
              <w:rPr>
                <w:sz w:val="17"/>
                <w:szCs w:val="17"/>
              </w:rPr>
              <w:t xml:space="preserve">Tue 14 Jul 2026</w:t>
            </w:r>
          </w:p>
        </w:tc>
        <w:tc>
          <w:tcPr>
            <w:tcW w:type="dxa" w:w="1500"/>
            <w:tcMar>
              <w:top w:type="dxa" w:w="60"/>
              <w:left w:type="dxa" w:w="80"/>
              <w:bottom w:type="dxa" w:w="60"/>
              <w:right w:type="dxa" w:w="80"/>
            </w:tcMar>
          </w:tcPr>
          <w:p>
            <w:pPr>
              <w:spacing w:after="40"/>
            </w:pPr>
            <w:r>
              <w:rPr>
                <w:sz w:val="17"/>
                <w:szCs w:val="17"/>
              </w:rPr>
              <w:t xml:space="preserve">6,270.77</w:t>
            </w:r>
          </w:p>
        </w:tc>
        <w:tc>
          <w:tcPr>
            <w:tcW w:type="dxa" w:w="1500"/>
            <w:tcMar>
              <w:top w:type="dxa" w:w="60"/>
              <w:left w:type="dxa" w:w="80"/>
              <w:bottom w:type="dxa" w:w="60"/>
              <w:right w:type="dxa" w:w="80"/>
            </w:tcMar>
          </w:tcPr>
          <w:p>
            <w:pPr>
              <w:spacing w:after="40"/>
            </w:pPr>
            <w:r>
              <w:rPr>
                <w:sz w:val="17"/>
                <w:szCs w:val="17"/>
              </w:rPr>
              <w:t xml:space="preserve">6,296.04</w:t>
            </w:r>
          </w:p>
        </w:tc>
        <w:tc>
          <w:tcPr>
            <w:tcW w:type="dxa" w:w="1500"/>
            <w:tcMar>
              <w:top w:type="dxa" w:w="60"/>
              <w:left w:type="dxa" w:w="80"/>
              <w:bottom w:type="dxa" w:w="60"/>
              <w:right w:type="dxa" w:w="80"/>
            </w:tcMar>
          </w:tcPr>
          <w:p>
            <w:pPr>
              <w:spacing w:after="40"/>
            </w:pPr>
            <w:r>
              <w:rPr>
                <w:sz w:val="17"/>
                <w:szCs w:val="17"/>
              </w:rPr>
              <w:t xml:space="preserve">6,255.60</w:t>
            </w:r>
          </w:p>
        </w:tc>
        <w:tc>
          <w:tcPr>
            <w:tcW w:type="dxa" w:w="1500"/>
            <w:tcMar>
              <w:top w:type="dxa" w:w="60"/>
              <w:left w:type="dxa" w:w="80"/>
              <w:bottom w:type="dxa" w:w="60"/>
              <w:right w:type="dxa" w:w="80"/>
            </w:tcMar>
          </w:tcPr>
          <w:p>
            <w:pPr>
              <w:spacing w:after="40"/>
            </w:pPr>
            <w:r>
              <w:rPr>
                <w:sz w:val="17"/>
                <w:szCs w:val="17"/>
              </w:rPr>
              <w:t xml:space="preserve">6,265.58</w:t>
            </w:r>
          </w:p>
        </w:tc>
        <w:tc>
          <w:tcPr>
            <w:tcW w:type="dxa" w:w="1960"/>
            <w:tcMar>
              <w:top w:type="dxa" w:w="60"/>
              <w:left w:type="dxa" w:w="80"/>
              <w:bottom w:type="dxa" w:w="60"/>
              <w:right w:type="dxa" w:w="80"/>
            </w:tcMar>
          </w:tcPr>
          <w:p>
            <w:pPr>
              <w:spacing w:after="40"/>
            </w:pPr>
            <w:r>
              <w:rPr>
                <w:sz w:val="17"/>
                <w:szCs w:val="17"/>
              </w:rPr>
              <w:t xml:space="preserve">Corroborated (Yahoo Finance × Investing.com)</w:t>
            </w:r>
          </w:p>
        </w:tc>
      </w:tr>
      <w:tr>
        <w:tc>
          <w:tcPr>
            <w:tcW w:type="dxa" w:w="1400"/>
            <w:tcMar>
              <w:top w:type="dxa" w:w="60"/>
              <w:left w:type="dxa" w:w="80"/>
              <w:bottom w:type="dxa" w:w="60"/>
              <w:right w:type="dxa" w:w="80"/>
            </w:tcMar>
          </w:tcPr>
          <w:p>
            <w:pPr>
              <w:spacing w:after="40"/>
            </w:pPr>
            <w:r>
              <w:rPr>
                <w:sz w:val="17"/>
                <w:szCs w:val="17"/>
              </w:rPr>
              <w:t xml:space="preserve">Wed 15 Jul 2026</w:t>
            </w:r>
          </w:p>
        </w:tc>
        <w:tc>
          <w:tcPr>
            <w:tcW w:type="dxa" w:w="1500"/>
            <w:tcMar>
              <w:top w:type="dxa" w:w="60"/>
              <w:left w:type="dxa" w:w="80"/>
              <w:bottom w:type="dxa" w:w="60"/>
              <w:right w:type="dxa" w:w="80"/>
            </w:tcMar>
          </w:tcPr>
          <w:p>
            <w:pPr>
              <w:spacing w:after="40"/>
            </w:pPr>
            <w:r>
              <w:rPr>
                <w:sz w:val="17"/>
                <w:szCs w:val="17"/>
              </w:rPr>
              <w:t xml:space="preserve">6,258.85</w:t>
            </w:r>
          </w:p>
        </w:tc>
        <w:tc>
          <w:tcPr>
            <w:tcW w:type="dxa" w:w="1500"/>
            <w:tcMar>
              <w:top w:type="dxa" w:w="60"/>
              <w:left w:type="dxa" w:w="80"/>
              <w:bottom w:type="dxa" w:w="60"/>
              <w:right w:type="dxa" w:w="80"/>
            </w:tcMar>
          </w:tcPr>
          <w:p>
            <w:pPr>
              <w:spacing w:after="40"/>
            </w:pPr>
            <w:r>
              <w:rPr>
                <w:sz w:val="17"/>
                <w:szCs w:val="17"/>
              </w:rPr>
              <w:t xml:space="preserve">6,266.40</w:t>
            </w:r>
          </w:p>
        </w:tc>
        <w:tc>
          <w:tcPr>
            <w:tcW w:type="dxa" w:w="1500"/>
            <w:tcMar>
              <w:top w:type="dxa" w:w="60"/>
              <w:left w:type="dxa" w:w="80"/>
              <w:bottom w:type="dxa" w:w="60"/>
              <w:right w:type="dxa" w:w="80"/>
            </w:tcMar>
          </w:tcPr>
          <w:p>
            <w:pPr>
              <w:spacing w:after="40"/>
            </w:pPr>
            <w:r>
              <w:rPr>
                <w:sz w:val="17"/>
                <w:szCs w:val="17"/>
              </w:rPr>
              <w:t xml:space="preserve">6,227.85</w:t>
            </w:r>
          </w:p>
        </w:tc>
        <w:tc>
          <w:tcPr>
            <w:tcW w:type="dxa" w:w="1500"/>
            <w:tcMar>
              <w:top w:type="dxa" w:w="60"/>
              <w:left w:type="dxa" w:w="80"/>
              <w:bottom w:type="dxa" w:w="60"/>
              <w:right w:type="dxa" w:w="80"/>
            </w:tcMar>
          </w:tcPr>
          <w:p>
            <w:pPr>
              <w:spacing w:after="40"/>
            </w:pPr>
            <w:r>
              <w:rPr>
                <w:sz w:val="17"/>
                <w:szCs w:val="17"/>
              </w:rPr>
              <w:t xml:space="preserve">≈6,267</w:t>
            </w:r>
          </w:p>
        </w:tc>
        <w:tc>
          <w:tcPr>
            <w:tcW w:type="dxa" w:w="1960"/>
            <w:tcMar>
              <w:top w:type="dxa" w:w="60"/>
              <w:left w:type="dxa" w:w="80"/>
              <w:bottom w:type="dxa" w:w="60"/>
              <w:right w:type="dxa" w:w="80"/>
            </w:tcMar>
          </w:tcPr>
          <w:p>
            <w:pPr>
              <w:spacing w:after="40"/>
            </w:pPr>
            <w:r>
              <w:rPr>
                <w:sz w:val="17"/>
                <w:szCs w:val="17"/>
              </w:rPr>
              <w:t xml:space="preserve">Single-source indicative (Trading Economics, rounded)</w:t>
            </w:r>
          </w:p>
        </w:tc>
      </w:tr>
    </w:tbl>
    <w:p>
      <w:pPr>
        <w:spacing w:after="120" w:before="0"/>
      </w:pPr>
      <w:r>
        <w:rPr>
          <w:i/>
          <w:iCs/>
          <w:sz w:val="17"/>
          <w:szCs w:val="17"/>
        </w:rPr>
        <w:t xml:space="preserve">The EURO STOXX 50 series is materially less well corroborated than the FTSE 100 series for this window. The 15 July close is available only as a rounded figure with a −0.2% attribution. Per the presentation standard for this instance, the EURO STOXX 50 receives an OHLC table as the designated secondary asset but does not receive trade cards, and its data quality does not constrain the primary analysis.</w:t>
      </w:r>
    </w:p>
    <w:p>
      <w:pPr>
        <w:pStyle w:val="Heading1"/>
        <w:spacing w:after="140" w:before="280"/>
      </w:pPr>
      <w:r>
        <w:t xml:space="preserve">§7  Charts</w:t>
      </w:r>
    </w:p>
    <w:p>
      <w:pPr>
        <w:pStyle w:val="Heading2"/>
        <w:spacing w:after="100" w:before="200"/>
      </w:pPr>
      <w:r>
        <w:t xml:space="preserve">7a  Five-day candlestick</w:t>
      </w:r>
    </w:p>
    <w:p>
      <w:pPr>
        <w:spacing w:after="1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19425"/>
                    </a:xfrm>
                    <a:prstGeom prst="rect">
                      <a:avLst/>
                    </a:prstGeom>
                  </pic:spPr>
                </pic:pic>
              </a:graphicData>
            </a:graphic>
          </wp:inline>
        </w:drawing>
      </w:r>
    </w:p>
    <w:p>
      <w:pPr>
        <w:pStyle w:val="Heading2"/>
        <w:spacing w:after="100" w:before="200"/>
      </w:pPr>
      <w:r>
        <w:t xml:space="preserve">7b  Distance from session open</w:t>
      </w:r>
    </w:p>
    <w:p>
      <w:pPr>
        <w:spacing w:after="1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19425"/>
                    </a:xfrm>
                    <a:prstGeom prst="rect">
                      <a:avLst/>
                    </a:prstGeom>
                  </pic:spPr>
                </pic:pic>
              </a:graphicData>
            </a:graphic>
          </wp:inline>
        </w:drawing>
      </w:r>
    </w:p>
    <w:p>
      <w:pPr>
        <w:pStyle w:val="Heading2"/>
        <w:spacing w:after="100" w:before="200"/>
      </w:pPr>
      <w:r>
        <w:t xml:space="preserve">7c  Structure across available validated sessions</w:t>
      </w:r>
    </w:p>
    <w:p>
      <w:pPr>
        <w:spacing w:after="160"/>
        <w:jc w:val="center"/>
      </w:pPr>
      <w:r>
        <w:drawing>
          <wp:inline distT="0" distB="0" distL="0" distR="0">
            <wp:extent cx="6000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2762250"/>
                    </a:xfrm>
                    <a:prstGeom prst="rect">
                      <a:avLst/>
                    </a:prstGeom>
                  </pic:spPr>
                </pic:pic>
              </a:graphicData>
            </a:graphic>
          </wp:inline>
        </w:drawing>
      </w:r>
    </w:p>
    <w:p>
      <w:pPr>
        <w:spacing w:after="120" w:before="0"/>
      </w:pPr>
      <w:r>
        <w:rPr>
          <w:i/>
          <w:iCs/>
          <w:sz w:val="17"/>
          <w:szCs w:val="17"/>
        </w:rPr>
        <w:t xml:space="preserve">This chart is drawn on the sessions for which validated data could be assembled, not a contiguous 25-session block. A data gap spans 17 June to 7 July, where corroborated daily OHLC could not be retrieved within the source standard. The gap is disclosed rather than interpolated, and the medium-term regime read in §9 is qualified accordingly.</w:t>
      </w:r>
    </w:p>
    <w:p>
      <w:pPr>
        <w:pStyle w:val="Heading2"/>
        <w:spacing w:after="100" w:before="200"/>
      </w:pPr>
      <w:r>
        <w:t xml:space="preserve">7d  Comparative volatility regime</w:t>
      </w:r>
    </w:p>
    <w:p>
      <w:pPr>
        <w:spacing w:after="1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19425"/>
                    </a:xfrm>
                    <a:prstGeom prst="rect">
                      <a:avLst/>
                    </a:prstGeom>
                  </pic:spPr>
                </pic:pic>
              </a:graphicData>
            </a:graphic>
          </wp:inline>
        </w:drawing>
      </w:r>
    </w:p>
    <w:p>
      <w:pPr>
        <w:spacing w:after="120" w:before="0"/>
      </w:pPr>
      <w:r>
        <w:rPr>
          <w:i/>
          <w:iCs/>
          <w:sz w:val="17"/>
          <w:szCs w:val="17"/>
        </w:rPr>
        <w:t xml:space="preserve">Counter volatility series are scaled indicative reads derived from reported daily percentage moves rather than from full validated OHLC, and are presented for regime comparison only.</w:t>
      </w:r>
    </w:p>
    <w:p>
      <w:pPr>
        <w:pStyle w:val="Heading2"/>
        <w:spacing w:after="100" w:before="200"/>
      </w:pPr>
      <w:r>
        <w:t xml:space="preserve">7e  Pivot structure</w:t>
      </w:r>
    </w:p>
    <w:p>
      <w:pPr>
        <w:spacing w:after="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pStyle w:val="Heading1"/>
        <w:spacing w:after="140" w:before="280"/>
      </w:pPr>
      <w:r>
        <w:t xml:space="preserve">§8  Short-Term Technical Analysis</w:t>
      </w:r>
    </w:p>
    <w:p>
      <w:pPr>
        <w:spacing w:after="120" w:before="0"/>
      </w:pPr>
      <w:r>
        <w:rPr>
          <w:sz w:val="20"/>
          <w:szCs w:val="20"/>
        </w:rPr>
        <w:t xml:space="preserve">Candle-by-candle. Thursday 9 July opened at the prior close of 10,489.04 and sold to 10,420.00 before closing at 10,465.00 — a down session that extended the 8 July collapse (a −1.7% day driven by the initial Middle East escalation) but at roughly half the range, the first sign that the selling was losing force. Friday 10 July reversed: the index opened at 10,465.00, held a higher low at 10,440.00, and closed at 10,496.90, recovering the bulk of the previous session. Monday 13 July was the narrowest session of the window — a 50-point range and a close of 10,496.00, effectively unchanged from Friday. That inside-day compression is the pivot of the whole sequence.</w:t>
      </w:r>
    </w:p>
    <w:p>
      <w:pPr>
        <w:spacing w:after="120" w:before="0"/>
      </w:pPr>
      <w:r>
        <w:rPr>
          <w:sz w:val="20"/>
          <w:szCs w:val="20"/>
        </w:rPr>
        <w:t xml:space="preserve">Tuesday 14 July is the most informative candle in the window and the only fully corroborated one. It opened at 10,470.08, sold immediately to 10,422.98 in a choppy opening two hours on US–Iran risk aversion, then rallied steadily through the afternoon to a session high of 10,552.56 and closed at 10,529.39 — a gain of 31.10 points, or 0.30%, and a recovery of nearly 130 points from the intraday low. The candle is a long-tailed bullish reversal: buyers absorbed a full retest of the 9 July low region and closed the index in the upper quarter of the day's range. London outperformed every major continental bourse that session (see §6).</w:t>
      </w:r>
    </w:p>
    <w:p>
      <w:pPr>
        <w:spacing w:after="120" w:before="0"/>
      </w:pPr>
      <w:r>
        <w:rPr>
          <w:sz w:val="20"/>
          <w:szCs w:val="20"/>
        </w:rPr>
        <w:t xml:space="preserve">Wednesday 15 July failed to extend. The index opened near 10,510, traded a 65-point range, and closed at 10,515.92, down 13.47 points, snapping a three-day winning streak. Critically, it did not retrace the 14 July gain — it stalled. Precious-metal miners fell 2.7% and industrial miners 2.1% on the China GDP miss, while energy dipped 0.9% tracking crude. The session was a sector-rotation standoff, not a directional statement.</w:t>
      </w:r>
    </w:p>
    <w:p>
      <w:pPr>
        <w:spacing w:after="120" w:before="0"/>
      </w:pPr>
      <w:r>
        <w:rPr>
          <w:sz w:val="20"/>
          <w:szCs w:val="20"/>
        </w:rPr>
        <w:t xml:space="preserve">Sequence assessment. The five-day sequence is: capitulation-aftermath (9 Jul) → recovery (10 Jul) → compression (13 Jul) → expansion-reversal (14 Jul) → stall (15 Jul). Net travel is +50.92 points across five sessions on a cumulative true range of roughly 415 points — the index has moved a small fraction of the distance it actually travelled. This is the signature of a transitional tape: real two-way flow, no sustained directional commitment. Lows are rising (10,420.00 → 10,440.00 → 10,470.00 → 10,422.98 → 10,480.00) with one violation on the 14th that was immediately rejected. Highs are broadly flat in the 10,510–10,553 band. That is a market coiling beneath resistance rather than trending into it.</w:t>
      </w:r>
    </w:p>
    <w:p>
      <w:pPr>
        <w:spacing w:after="120" w:before="0"/>
      </w:pPr>
      <w:r>
        <w:rPr>
          <w:sz w:val="20"/>
          <w:szCs w:val="20"/>
        </w:rPr>
        <w:t xml:space="preserve">RSI2 reads 55.3 at the 15 July close — squarely mid-range, neither overbought nor oversold, and consistent with the stall read. The RSI2 spike to 86.5 on 14 July confirmed the reversal candle but has already unwound, which removes the short-term overbought objection to further upside without itself supplying a buy signal.</w:t>
      </w:r>
    </w:p>
    <w:p>
      <w:pPr>
        <w:pStyle w:val="Heading1"/>
        <w:spacing w:after="140" w:before="280"/>
      </w:pPr>
      <w:r>
        <w:t xml:space="preserve">§9  Medium-Term Regime &amp; VOLator</w:t>
      </w:r>
    </w:p>
    <w:p>
      <w:pPr>
        <w:spacing w:after="120" w:before="0"/>
      </w:pPr>
      <w:r>
        <w:rPr>
          <w:sz w:val="20"/>
          <w:szCs w:val="20"/>
        </w:rPr>
        <w:t xml:space="preserve">Regime classification: TRANSITION. The available medium-term evidence does not support a trending label in either direction. The index traded a record zone near 10,930 in late February, spent March materially lower near 10,090, rebuilt through May and June in a 10,230–10,570 band, and now sits at 10,515.92 — within that same band, at its upper portion. Across the assembled window the structure is a wide, rotational range with heavy session overlap and no persistent directional drift. The February record high remains roughly 4% above the current level and has not been challenged in over four months.</w:t>
      </w:r>
    </w:p>
    <w:p>
      <w:pPr>
        <w:spacing w:after="120" w:before="0"/>
      </w:pPr>
      <w:r>
        <w:rPr>
          <w:sz w:val="20"/>
          <w:szCs w:val="20"/>
        </w:rPr>
        <w:t xml:space="preserve">The 8 July selloff (−1.7%) broke the June rising structure and the subsequent four sessions have rebuilt most of that loss without reclaiming the highs. That is the textbook definition of a transition: the prior structure has been broken and tested, and the next confirmed break carries elevated follow-through probability precisely because the range has already been faked out.</w:t>
      </w:r>
    </w:p>
    <w:p>
      <w:pPr>
        <w:spacing w:after="120" w:before="0"/>
      </w:pPr>
      <w:r>
        <w:rPr>
          <w:sz w:val="20"/>
          <w:szCs w:val="20"/>
        </w:rPr>
        <w:t xml:space="preserve">VOLator read. Average true range across the six-session window is approximately 104 points. The sequence — 210 → 100 → 70 → 50 → 130 → 65 — shows compression from the 8 July shock into the 13 July inside day, a single-session expansion on the 14th, and re-compression on the 15th. Scaled against its own window history the FTSE 100 volatility series ends near the flatline, having spiked and immediately mean-reverted. Compression, not expansion, is the current state, and compression into a resistance shelf typically resolves with a directional break rather than a drift. The scaled series ends below the counters, indicating the FTSE 100 is currently the calmer instrument in its peer set.</w:t>
      </w:r>
    </w:p>
    <w:p>
      <w:pPr>
        <w:spacing w:after="120" w:before="0"/>
      </w:pPr>
      <w:r>
        <w:rPr>
          <w:sz w:val="20"/>
          <w:szCs w:val="20"/>
        </w:rPr>
        <w:t xml:space="preserve">Regime and VOLator agreement. The two agree. A transitional structure with compressing volatility beneath defined resistance is a coherent, internally consistent read — it is a market waiting for a catalyst, not a market in conflict with itself.</w:t>
      </w:r>
    </w:p>
    <w:p>
      <w:pPr>
        <w:spacing w:after="120" w:before="0"/>
      </w:pPr>
      <w:r>
        <w:rPr>
          <w:b w:val="false"/>
          <w:bCs w:val="false"/>
          <w:sz w:val="20"/>
          <w:szCs w:val="20"/>
        </w:rPr>
        <w:t xml:space="preserve">Kaufman confirmation. The Kaufman efficiency ratio reads 0.26 on the available window, against a trending threshold of 0.13. Read literally this classifies the tape as TRENDING and therefore contradicts the transitional label derived from structure. Two considerations govern the resolution. First, the reading is computed on a six-session window rather than the specified thirteen-session lookback, because corroborated data for the intervening period could not be assembled — it is mechanically an efficiency measure of the post-selloff recovery leg in isolation, which will always read efficient. Second, the structural evidence (four months without challenging the highs, heavy overlap, a broken-then-rebuilt June structure) is broad and unambiguous where the efficiency reading is narrow and window-limited. Structure takes precedence: the regime label stands at TRANSITION. The Kaufman reading is retained in the direction score at its specified weight rather than discarded, so its bullish contribution is preserved without allowing it to overturn the regime.</w:t>
      </w:r>
    </w:p>
    <w:p>
      <w:pPr>
        <w:pStyle w:val="Heading1"/>
        <w:spacing w:after="140" w:before="28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500"/>
        <w:gridCol w:w="2400"/>
        <w:gridCol w:w="1220"/>
        <w:gridCol w:w="3000"/>
      </w:tblGrid>
      <w:tr>
        <w:trPr>
          <w:tblHeader/>
        </w:trPr>
        <w:tc>
          <w:tcPr>
            <w:tcW w:type="dxa" w:w="1240"/>
            <w:shd w:fill="1F4E79" w:val="clear"/>
            <w:tcMar>
              <w:top w:type="dxa" w:w="60"/>
              <w:left w:type="dxa" w:w="80"/>
              <w:bottom w:type="dxa" w:w="60"/>
              <w:right w:type="dxa" w:w="80"/>
            </w:tcMar>
          </w:tcPr>
          <w:p>
            <w:pPr>
              <w:spacing w:after="40"/>
            </w:pPr>
            <w:r>
              <w:rPr>
                <w:b/>
                <w:bCs/>
                <w:color w:val="FFFFFF"/>
                <w:sz w:val="17"/>
                <w:szCs w:val="17"/>
              </w:rPr>
              <w:t xml:space="preserve">Counter</w:t>
            </w:r>
          </w:p>
        </w:tc>
        <w:tc>
          <w:tcPr>
            <w:tcW w:type="dxa" w:w="1500"/>
            <w:shd w:fill="1F4E79" w:val="clear"/>
            <w:tcMar>
              <w:top w:type="dxa" w:w="60"/>
              <w:left w:type="dxa" w:w="80"/>
              <w:bottom w:type="dxa" w:w="60"/>
              <w:right w:type="dxa" w:w="80"/>
            </w:tcMar>
          </w:tcPr>
          <w:p>
            <w:pPr>
              <w:spacing w:after="40"/>
            </w:pPr>
            <w:r>
              <w:rPr>
                <w:b/>
                <w:bCs/>
                <w:color w:val="FFFFFF"/>
                <w:sz w:val="17"/>
                <w:szCs w:val="17"/>
              </w:rPr>
              <w:t xml:space="preserve">5-day direction</w:t>
            </w:r>
          </w:p>
        </w:tc>
        <w:tc>
          <w:tcPr>
            <w:tcW w:type="dxa" w:w="2400"/>
            <w:shd w:fill="1F4E79" w:val="clear"/>
            <w:tcMar>
              <w:top w:type="dxa" w:w="60"/>
              <w:left w:type="dxa" w:w="80"/>
              <w:bottom w:type="dxa" w:w="60"/>
              <w:right w:type="dxa" w:w="80"/>
            </w:tcMar>
          </w:tcPr>
          <w:p>
            <w:pPr>
              <w:spacing w:after="40"/>
            </w:pPr>
            <w:r>
              <w:rPr>
                <w:b/>
                <w:bCs/>
                <w:color w:val="FFFFFF"/>
                <w:sz w:val="17"/>
                <w:szCs w:val="17"/>
              </w:rPr>
              <w:t xml:space="preserve">Mechanism</w:t>
            </w:r>
          </w:p>
        </w:tc>
        <w:tc>
          <w:tcPr>
            <w:tcW w:type="dxa" w:w="1220"/>
            <w:shd w:fill="1F4E79" w:val="clear"/>
            <w:tcMar>
              <w:top w:type="dxa" w:w="60"/>
              <w:left w:type="dxa" w:w="80"/>
              <w:bottom w:type="dxa" w:w="60"/>
              <w:right w:type="dxa" w:w="80"/>
            </w:tcMar>
          </w:tcPr>
          <w:p>
            <w:pPr>
              <w:spacing w:after="40"/>
            </w:pPr>
            <w:r>
              <w:rPr>
                <w:b/>
                <w:bCs/>
                <w:color w:val="FFFFFF"/>
                <w:sz w:val="17"/>
                <w:szCs w:val="17"/>
              </w:rPr>
              <w:t xml:space="preserve">Confirmation status</w:t>
            </w:r>
          </w:p>
        </w:tc>
        <w:tc>
          <w:tcPr>
            <w:tcW w:type="dxa" w:w="3000"/>
            <w:shd w:fill="1F4E79" w:val="clear"/>
            <w:tcMar>
              <w:top w:type="dxa" w:w="60"/>
              <w:left w:type="dxa" w:w="80"/>
              <w:bottom w:type="dxa" w:w="60"/>
              <w:right w:type="dxa" w:w="80"/>
            </w:tcMar>
          </w:tcPr>
          <w:p>
            <w:pPr>
              <w:spacing w:after="40"/>
            </w:pPr>
            <w:r>
              <w:rPr>
                <w:b/>
                <w:bCs/>
                <w:color w:val="FFFFFF"/>
                <w:sz w:val="17"/>
                <w:szCs w:val="17"/>
              </w:rPr>
              <w:t xml:space="preserve">Implication</w:t>
            </w:r>
          </w:p>
        </w:tc>
      </w:tr>
      <w:tr>
        <w:tc>
          <w:tcPr>
            <w:tcW w:type="dxa" w:w="1240"/>
            <w:tcMar>
              <w:top w:type="dxa" w:w="60"/>
              <w:left w:type="dxa" w:w="80"/>
              <w:bottom w:type="dxa" w:w="60"/>
              <w:right w:type="dxa" w:w="80"/>
            </w:tcMar>
          </w:tcPr>
          <w:p>
            <w:pPr>
              <w:spacing w:after="40"/>
            </w:pPr>
            <w:r>
              <w:rPr>
                <w:sz w:val="17"/>
                <w:szCs w:val="17"/>
              </w:rPr>
              <w:t xml:space="preserve">Dollar Index</w:t>
            </w:r>
          </w:p>
        </w:tc>
        <w:tc>
          <w:tcPr>
            <w:tcW w:type="dxa" w:w="1500"/>
            <w:tcMar>
              <w:top w:type="dxa" w:w="60"/>
              <w:left w:type="dxa" w:w="80"/>
              <w:bottom w:type="dxa" w:w="60"/>
              <w:right w:type="dxa" w:w="80"/>
            </w:tcMar>
          </w:tcPr>
          <w:p>
            <w:pPr>
              <w:spacing w:after="40"/>
            </w:pPr>
            <w:r>
              <w:rPr>
                <w:sz w:val="17"/>
                <w:szCs w:val="17"/>
              </w:rPr>
              <w:t xml:space="preserve">Falling — extended weakness on 15 Jul after tumbling from a two-week high; sterling firmed to 1.3486 from 1.3396</w:t>
            </w:r>
          </w:p>
        </w:tc>
        <w:tc>
          <w:tcPr>
            <w:tcW w:type="dxa" w:w="2400"/>
            <w:tcMar>
              <w:top w:type="dxa" w:w="60"/>
              <w:left w:type="dxa" w:w="80"/>
              <w:bottom w:type="dxa" w:w="60"/>
              <w:right w:type="dxa" w:w="80"/>
            </w:tcMar>
          </w:tcPr>
          <w:p>
            <w:pPr>
              <w:spacing w:after="40"/>
            </w:pPr>
            <w:r>
              <w:rPr>
                <w:sz w:val="17"/>
                <w:szCs w:val="17"/>
              </w:rPr>
              <w:t xml:space="preserve">A softer dollar mechanically reduces the GBP-translated value of the roughly 80% of FTSE 100 revenue earned overseas, compressing reported multinational earnings</w:t>
            </w:r>
          </w:p>
        </w:tc>
        <w:tc>
          <w:tcPr>
            <w:tcW w:type="dxa" w:w="1220"/>
            <w:tcMar>
              <w:top w:type="dxa" w:w="60"/>
              <w:left w:type="dxa" w:w="80"/>
              <w:bottom w:type="dxa" w:w="60"/>
              <w:right w:type="dxa" w:w="80"/>
            </w:tcMar>
          </w:tcPr>
          <w:p>
            <w:pPr>
              <w:spacing w:after="40"/>
            </w:pPr>
            <w:r>
              <w:rPr>
                <w:sz w:val="17"/>
                <w:szCs w:val="17"/>
              </w:rPr>
              <w:t xml:space="preserve">Contradicts (mildly)</w:t>
            </w:r>
          </w:p>
        </w:tc>
        <w:tc>
          <w:tcPr>
            <w:tcW w:type="dxa" w:w="3000"/>
            <w:tcMar>
              <w:top w:type="dxa" w:w="60"/>
              <w:left w:type="dxa" w:w="80"/>
              <w:bottom w:type="dxa" w:w="60"/>
              <w:right w:type="dxa" w:w="80"/>
            </w:tcMar>
          </w:tcPr>
          <w:p>
            <w:pPr>
              <w:spacing w:after="40"/>
            </w:pPr>
            <w:r>
              <w:rPr>
                <w:sz w:val="17"/>
                <w:szCs w:val="17"/>
              </w:rPr>
              <w:t xml:space="preserve">The most direct headwind in the counter set. Sterling strength against both the dollar and the euro on 15 July is a genuine drag on the index's largest earnings channel and argues against aggressive upside sizing</w:t>
            </w:r>
          </w:p>
        </w:tc>
      </w:tr>
      <w:tr>
        <w:tc>
          <w:tcPr>
            <w:tcW w:type="dxa" w:w="1240"/>
            <w:tcMar>
              <w:top w:type="dxa" w:w="60"/>
              <w:left w:type="dxa" w:w="80"/>
              <w:bottom w:type="dxa" w:w="60"/>
              <w:right w:type="dxa" w:w="80"/>
            </w:tcMar>
          </w:tcPr>
          <w:p>
            <w:pPr>
              <w:spacing w:after="40"/>
            </w:pPr>
            <w:r>
              <w:rPr>
                <w:sz w:val="17"/>
                <w:szCs w:val="17"/>
              </w:rPr>
              <w:t xml:space="preserve">S&amp;P 500</w:t>
            </w:r>
          </w:p>
        </w:tc>
        <w:tc>
          <w:tcPr>
            <w:tcW w:type="dxa" w:w="1500"/>
            <w:tcMar>
              <w:top w:type="dxa" w:w="60"/>
              <w:left w:type="dxa" w:w="80"/>
              <w:bottom w:type="dxa" w:w="60"/>
              <w:right w:type="dxa" w:w="80"/>
            </w:tcMar>
          </w:tcPr>
          <w:p>
            <w:pPr>
              <w:spacing w:after="40"/>
            </w:pPr>
            <w:r>
              <w:rPr>
                <w:sz w:val="17"/>
                <w:szCs w:val="17"/>
              </w:rPr>
              <w:t xml:space="preserve">Rising — closed 15 Jul up 0.38% at 7,572.40, a third consecutive advance, on cooling inflation data</w:t>
            </w:r>
          </w:p>
        </w:tc>
        <w:tc>
          <w:tcPr>
            <w:tcW w:type="dxa" w:w="2400"/>
            <w:tcMar>
              <w:top w:type="dxa" w:w="60"/>
              <w:left w:type="dxa" w:w="80"/>
              <w:bottom w:type="dxa" w:w="60"/>
              <w:right w:type="dxa" w:w="80"/>
            </w:tcMar>
          </w:tcPr>
          <w:p>
            <w:pPr>
              <w:spacing w:after="40"/>
            </w:pPr>
            <w:r>
              <w:rPr>
                <w:sz w:val="17"/>
                <w:szCs w:val="17"/>
              </w:rPr>
              <w:t xml:space="preserve">Common-factor global risk beta. US large-cap strength transmits to European large-cap via cross-border flows and shared rate expectations</w:t>
            </w:r>
          </w:p>
        </w:tc>
        <w:tc>
          <w:tcPr>
            <w:tcW w:type="dxa" w:w="1220"/>
            <w:tcMar>
              <w:top w:type="dxa" w:w="60"/>
              <w:left w:type="dxa" w:w="80"/>
              <w:bottom w:type="dxa" w:w="60"/>
              <w:right w:type="dxa" w:w="80"/>
            </w:tcMar>
          </w:tcPr>
          <w:p>
            <w:pPr>
              <w:spacing w:after="40"/>
            </w:pPr>
            <w:r>
              <w:rPr>
                <w:sz w:val="17"/>
                <w:szCs w:val="17"/>
              </w:rPr>
              <w:t xml:space="preserve">Confirms</w:t>
            </w:r>
          </w:p>
        </w:tc>
        <w:tc>
          <w:tcPr>
            <w:tcW w:type="dxa" w:w="3000"/>
            <w:tcMar>
              <w:top w:type="dxa" w:w="60"/>
              <w:left w:type="dxa" w:w="80"/>
              <w:bottom w:type="dxa" w:w="60"/>
              <w:right w:type="dxa" w:w="80"/>
            </w:tcMar>
          </w:tcPr>
          <w:p>
            <w:pPr>
              <w:spacing w:after="40"/>
            </w:pPr>
            <w:r>
              <w:rPr>
                <w:sz w:val="17"/>
                <w:szCs w:val="17"/>
              </w:rPr>
              <w:t xml:space="preserve">The strongest positive in the counter set. The same softer-inflation catalyst that lifted Wall Street banks lifted UK banks on 14 July (Barclays and HSBC both +1.9%, Lloyds +1%)</w:t>
            </w:r>
          </w:p>
        </w:tc>
      </w:tr>
      <w:tr>
        <w:tc>
          <w:tcPr>
            <w:tcW w:type="dxa" w:w="1240"/>
            <w:tcMar>
              <w:top w:type="dxa" w:w="60"/>
              <w:left w:type="dxa" w:w="80"/>
              <w:bottom w:type="dxa" w:w="60"/>
              <w:right w:type="dxa" w:w="80"/>
            </w:tcMar>
          </w:tcPr>
          <w:p>
            <w:pPr>
              <w:spacing w:after="40"/>
            </w:pPr>
            <w:r>
              <w:rPr>
                <w:sz w:val="17"/>
                <w:szCs w:val="17"/>
              </w:rPr>
              <w:t xml:space="preserve">DAX 40</w:t>
            </w:r>
          </w:p>
        </w:tc>
        <w:tc>
          <w:tcPr>
            <w:tcW w:type="dxa" w:w="1500"/>
            <w:tcMar>
              <w:top w:type="dxa" w:w="60"/>
              <w:left w:type="dxa" w:w="80"/>
              <w:bottom w:type="dxa" w:w="60"/>
              <w:right w:type="dxa" w:w="80"/>
            </w:tcMar>
          </w:tcPr>
          <w:p>
            <w:pPr>
              <w:spacing w:after="40"/>
            </w:pPr>
            <w:r>
              <w:rPr>
                <w:sz w:val="17"/>
                <w:szCs w:val="17"/>
              </w:rPr>
              <w:t xml:space="preserve">Falling — down roughly 182 points to 24,964 during the 15 Jul session</w:t>
            </w:r>
          </w:p>
        </w:tc>
        <w:tc>
          <w:tcPr>
            <w:tcW w:type="dxa" w:w="2400"/>
            <w:tcMar>
              <w:top w:type="dxa" w:w="60"/>
              <w:left w:type="dxa" w:w="80"/>
              <w:bottom w:type="dxa" w:w="60"/>
              <w:right w:type="dxa" w:w="80"/>
            </w:tcMar>
          </w:tcPr>
          <w:p>
            <w:pPr>
              <w:spacing w:after="40"/>
            </w:pPr>
            <w:r>
              <w:rPr>
                <w:sz w:val="17"/>
                <w:szCs w:val="17"/>
              </w:rPr>
              <w:t xml:space="preserve">European equity proxy with an industrials-heavy weighting, contrasted against the FTSE 100's energy and financials skew</w:t>
            </w:r>
          </w:p>
        </w:tc>
        <w:tc>
          <w:tcPr>
            <w:tcW w:type="dxa" w:w="1220"/>
            <w:tcMar>
              <w:top w:type="dxa" w:w="60"/>
              <w:left w:type="dxa" w:w="80"/>
              <w:bottom w:type="dxa" w:w="60"/>
              <w:right w:type="dxa" w:w="80"/>
            </w:tcMar>
          </w:tcPr>
          <w:p>
            <w:pPr>
              <w:spacing w:after="40"/>
            </w:pPr>
            <w:r>
              <w:rPr>
                <w:sz w:val="17"/>
                <w:szCs w:val="17"/>
              </w:rPr>
              <w:t xml:space="preserve">Contradicts</w:t>
            </w:r>
          </w:p>
        </w:tc>
        <w:tc>
          <w:tcPr>
            <w:tcW w:type="dxa" w:w="3000"/>
            <w:tcMar>
              <w:top w:type="dxa" w:w="60"/>
              <w:left w:type="dxa" w:w="80"/>
              <w:bottom w:type="dxa" w:w="60"/>
              <w:right w:type="dxa" w:w="80"/>
            </w:tcMar>
          </w:tcPr>
          <w:p>
            <w:pPr>
              <w:spacing w:after="40"/>
            </w:pPr>
            <w:r>
              <w:rPr>
                <w:sz w:val="17"/>
                <w:szCs w:val="17"/>
              </w:rPr>
              <w:t xml:space="preserve">German industrial exposure is being punished by the China GDP miss more heavily than UK large-cap. That the FTSE 100 fell only 0.1% while the DAX fell materially more is evidence of relative UK resilience, but it also confirms the China demand shock is real and is transmitting into European equity</w:t>
            </w:r>
          </w:p>
        </w:tc>
      </w:tr>
      <w:tr>
        <w:tc>
          <w:tcPr>
            <w:tcW w:type="dxa" w:w="1240"/>
            <w:tcMar>
              <w:top w:type="dxa" w:w="60"/>
              <w:left w:type="dxa" w:w="80"/>
              <w:bottom w:type="dxa" w:w="60"/>
              <w:right w:type="dxa" w:w="80"/>
            </w:tcMar>
          </w:tcPr>
          <w:p>
            <w:pPr>
              <w:spacing w:after="40"/>
            </w:pPr>
            <w:r>
              <w:rPr>
                <w:sz w:val="17"/>
                <w:szCs w:val="17"/>
              </w:rPr>
              <w:t xml:space="preserve">EURO STOXX 50 (secondary)</w:t>
            </w:r>
          </w:p>
        </w:tc>
        <w:tc>
          <w:tcPr>
            <w:tcW w:type="dxa" w:w="1500"/>
            <w:tcMar>
              <w:top w:type="dxa" w:w="60"/>
              <w:left w:type="dxa" w:w="80"/>
              <w:bottom w:type="dxa" w:w="60"/>
              <w:right w:type="dxa" w:w="80"/>
            </w:tcMar>
          </w:tcPr>
          <w:p>
            <w:pPr>
              <w:spacing w:after="40"/>
            </w:pPr>
            <w:r>
              <w:rPr>
                <w:sz w:val="17"/>
                <w:szCs w:val="17"/>
              </w:rPr>
              <w:t xml:space="preserve">Broadly flat — closed 15 Jul near 6,267, down roughly 0.2%; 14 Jul close 6,265.58</w:t>
            </w:r>
          </w:p>
        </w:tc>
        <w:tc>
          <w:tcPr>
            <w:tcW w:type="dxa" w:w="2400"/>
            <w:tcMar>
              <w:top w:type="dxa" w:w="60"/>
              <w:left w:type="dxa" w:w="80"/>
              <w:bottom w:type="dxa" w:w="60"/>
              <w:right w:type="dxa" w:w="80"/>
            </w:tcMar>
          </w:tcPr>
          <w:p>
            <w:pPr>
              <w:spacing w:after="40"/>
            </w:pPr>
            <w:r>
              <w:rPr>
                <w:sz w:val="17"/>
                <w:szCs w:val="17"/>
              </w:rPr>
              <w:t xml:space="preserve">Direct Eurozone large-cap comparator; shares the FTSE 100's financials weight without its energy weight</w:t>
            </w:r>
          </w:p>
        </w:tc>
        <w:tc>
          <w:tcPr>
            <w:tcW w:type="dxa" w:w="1220"/>
            <w:tcMar>
              <w:top w:type="dxa" w:w="60"/>
              <w:left w:type="dxa" w:w="80"/>
              <w:bottom w:type="dxa" w:w="60"/>
              <w:right w:type="dxa" w:w="80"/>
            </w:tcMar>
          </w:tcPr>
          <w:p>
            <w:pPr>
              <w:spacing w:after="40"/>
            </w:pPr>
            <w:r>
              <w:rPr>
                <w:sz w:val="17"/>
                <w:szCs w:val="17"/>
              </w:rPr>
              <w:t xml:space="preserve">Neutral</w:t>
            </w:r>
          </w:p>
        </w:tc>
        <w:tc>
          <w:tcPr>
            <w:tcW w:type="dxa" w:w="3000"/>
            <w:tcMar>
              <w:top w:type="dxa" w:w="60"/>
              <w:left w:type="dxa" w:w="80"/>
              <w:bottom w:type="dxa" w:w="60"/>
              <w:right w:type="dxa" w:w="80"/>
            </w:tcMar>
          </w:tcPr>
          <w:p>
            <w:pPr>
              <w:spacing w:after="40"/>
            </w:pPr>
            <w:r>
              <w:rPr>
                <w:sz w:val="17"/>
                <w:szCs w:val="17"/>
              </w:rPr>
              <w:t xml:space="preserve">Confirms the stall read rather than resolving it. Both indices are pinned near unchanged with divergent internals — the paralysis is regional, not UK-specific</w:t>
            </w:r>
          </w:p>
        </w:tc>
      </w:tr>
    </w:tbl>
    <w:p>
      <w:pPr>
        <w:spacing w:after="120" w:before="0"/>
      </w:pPr>
      <w:r>
        <w:rPr>
          <w:b/>
          <w:bCs/>
          <w:sz w:val="20"/>
          <w:szCs w:val="20"/>
        </w:rPr>
        <w:t xml:space="preserve">Contradiction flag. The counter set does not resolve cleanly. The Dollar Index and the DAX 40 both contradict a bullish regime read, while the S&amp;P 500 confirms it and the EURO STOXX 50 abstains. The aggregate is MIXED, not CONFIRM — and it is treated as MIXED in the direction score, which materially reduces the cross-asset contribution relative to a clean confirmation. This contradiction is not resolved here; it is carried forward into §15 and §16 explicitly.</w:t>
      </w:r>
    </w:p>
    <w:p>
      <w:pPr>
        <w:pStyle w:val="Heading1"/>
        <w:spacing w:after="140" w:before="280"/>
      </w:pPr>
      <w:r>
        <w:t xml:space="preserve">§11  Floor Pivot Analysis</w:t>
      </w:r>
    </w:p>
    <w:p>
      <w:pPr>
        <w:pStyle w:val="Heading2"/>
        <w:spacing w:after="100" w:before="200"/>
      </w:pPr>
      <w:r>
        <w:t xml:space="preserve">11a  Daily pivots — derived from the 15 July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shd w:fill="1F4E79" w:val="clear"/>
            <w:tcMar>
              <w:top w:type="dxa" w:w="60"/>
              <w:left w:type="dxa" w:w="80"/>
              <w:bottom w:type="dxa" w:w="60"/>
              <w:right w:type="dxa" w:w="80"/>
            </w:tcMar>
          </w:tcPr>
          <w:p>
            <w:pPr>
              <w:spacing w:after="40"/>
            </w:pPr>
            <w:r>
              <w:rPr>
                <w:b/>
                <w:bCs/>
                <w:color w:val="FFFFFF"/>
                <w:sz w:val="17"/>
                <w:szCs w:val="17"/>
              </w:rPr>
              <w:t xml:space="preserve">Level</w:t>
            </w:r>
          </w:p>
        </w:tc>
        <w:tc>
          <w:tcPr>
            <w:tcW w:type="dxa" w:w="3800"/>
            <w:shd w:fill="1F4E79" w:val="clear"/>
            <w:tcMar>
              <w:top w:type="dxa" w:w="60"/>
              <w:left w:type="dxa" w:w="80"/>
              <w:bottom w:type="dxa" w:w="60"/>
              <w:right w:type="dxa" w:w="80"/>
            </w:tcMar>
          </w:tcPr>
          <w:p>
            <w:pPr>
              <w:spacing w:after="40"/>
            </w:pPr>
            <w:r>
              <w:rPr>
                <w:b/>
                <w:bCs/>
                <w:color w:val="FFFFFF"/>
                <w:sz w:val="17"/>
                <w:szCs w:val="17"/>
              </w:rPr>
              <w:t xml:space="preserve">Value (index points)</w:t>
            </w:r>
          </w:p>
        </w:tc>
        <w:tc>
          <w:tcPr>
            <w:tcW w:type="dxa" w:w="3760"/>
            <w:shd w:fill="1F4E79" w:val="clear"/>
            <w:tcMar>
              <w:top w:type="dxa" w:w="60"/>
              <w:left w:type="dxa" w:w="80"/>
              <w:bottom w:type="dxa" w:w="60"/>
              <w:right w:type="dxa" w:w="80"/>
            </w:tcMar>
          </w:tcPr>
          <w:p>
            <w:pPr>
              <w:spacing w:after="40"/>
            </w:pPr>
            <w:r>
              <w:rPr>
                <w:b/>
                <w:bCs/>
                <w:color w:val="FFFFFF"/>
                <w:sz w:val="17"/>
                <w:szCs w:val="17"/>
              </w:rPr>
              <w:t xml:space="preserve">Distance from close</w:t>
            </w:r>
          </w:p>
        </w:tc>
      </w:tr>
      <w:tr>
        <w:tc>
          <w:tcPr>
            <w:tcW w:type="dxa" w:w="1800"/>
            <w:tcMar>
              <w:top w:type="dxa" w:w="60"/>
              <w:left w:type="dxa" w:w="80"/>
              <w:bottom w:type="dxa" w:w="60"/>
              <w:right w:type="dxa" w:w="80"/>
            </w:tcMar>
          </w:tcPr>
          <w:p>
            <w:pPr>
              <w:spacing w:after="40"/>
            </w:pPr>
            <w:r>
              <w:rPr>
                <w:sz w:val="17"/>
                <w:szCs w:val="17"/>
              </w:rPr>
              <w:t xml:space="preserve">R5</w:t>
            </w:r>
          </w:p>
        </w:tc>
        <w:tc>
          <w:tcPr>
            <w:tcW w:type="dxa" w:w="3800"/>
            <w:tcMar>
              <w:top w:type="dxa" w:w="60"/>
              <w:left w:type="dxa" w:w="80"/>
              <w:bottom w:type="dxa" w:w="60"/>
              <w:right w:type="dxa" w:w="80"/>
            </w:tcMar>
          </w:tcPr>
          <w:p>
            <w:pPr>
              <w:spacing w:after="40"/>
            </w:pPr>
            <w:r>
              <w:rPr>
                <w:sz w:val="17"/>
                <w:szCs w:val="17"/>
              </w:rPr>
              <w:t xml:space="preserve">10,677.28</w:t>
            </w:r>
          </w:p>
        </w:tc>
        <w:tc>
          <w:tcPr>
            <w:tcW w:type="dxa" w:w="3760"/>
            <w:tcMar>
              <w:top w:type="dxa" w:w="60"/>
              <w:left w:type="dxa" w:w="80"/>
              <w:bottom w:type="dxa" w:w="60"/>
              <w:right w:type="dxa" w:w="80"/>
            </w:tcMar>
          </w:tcPr>
          <w:p>
            <w:pPr>
              <w:spacing w:after="40"/>
            </w:pPr>
            <w:r>
              <w:rPr>
                <w:sz w:val="17"/>
                <w:szCs w:val="17"/>
              </w:rPr>
              <w:t xml:space="preserve">+161.36</w:t>
            </w:r>
          </w:p>
        </w:tc>
      </w:tr>
      <w:tr>
        <w:tc>
          <w:tcPr>
            <w:tcW w:type="dxa" w:w="1800"/>
            <w:tcMar>
              <w:top w:type="dxa" w:w="60"/>
              <w:left w:type="dxa" w:w="80"/>
              <w:bottom w:type="dxa" w:w="60"/>
              <w:right w:type="dxa" w:w="80"/>
            </w:tcMar>
          </w:tcPr>
          <w:p>
            <w:pPr>
              <w:spacing w:after="40"/>
            </w:pPr>
            <w:r>
              <w:rPr>
                <w:sz w:val="17"/>
                <w:szCs w:val="17"/>
              </w:rPr>
              <w:t xml:space="preserve">R4</w:t>
            </w:r>
          </w:p>
        </w:tc>
        <w:tc>
          <w:tcPr>
            <w:tcW w:type="dxa" w:w="3800"/>
            <w:tcMar>
              <w:top w:type="dxa" w:w="60"/>
              <w:left w:type="dxa" w:w="80"/>
              <w:bottom w:type="dxa" w:w="60"/>
              <w:right w:type="dxa" w:w="80"/>
            </w:tcMar>
          </w:tcPr>
          <w:p>
            <w:pPr>
              <w:spacing w:after="40"/>
            </w:pPr>
            <w:r>
              <w:rPr>
                <w:sz w:val="17"/>
                <w:szCs w:val="17"/>
              </w:rPr>
              <w:t xml:space="preserve">10,643.64</w:t>
            </w:r>
          </w:p>
        </w:tc>
        <w:tc>
          <w:tcPr>
            <w:tcW w:type="dxa" w:w="3760"/>
            <w:tcMar>
              <w:top w:type="dxa" w:w="60"/>
              <w:left w:type="dxa" w:w="80"/>
              <w:bottom w:type="dxa" w:w="60"/>
              <w:right w:type="dxa" w:w="80"/>
            </w:tcMar>
          </w:tcPr>
          <w:p>
            <w:pPr>
              <w:spacing w:after="40"/>
            </w:pPr>
            <w:r>
              <w:rPr>
                <w:sz w:val="17"/>
                <w:szCs w:val="17"/>
              </w:rPr>
              <w:t xml:space="preserve">+127.72</w:t>
            </w:r>
          </w:p>
        </w:tc>
      </w:tr>
      <w:tr>
        <w:tc>
          <w:tcPr>
            <w:tcW w:type="dxa" w:w="1800"/>
            <w:tcMar>
              <w:top w:type="dxa" w:w="60"/>
              <w:left w:type="dxa" w:w="80"/>
              <w:bottom w:type="dxa" w:w="60"/>
              <w:right w:type="dxa" w:w="80"/>
            </w:tcMar>
          </w:tcPr>
          <w:p>
            <w:pPr>
              <w:spacing w:after="40"/>
            </w:pPr>
            <w:r>
              <w:rPr>
                <w:sz w:val="17"/>
                <w:szCs w:val="17"/>
              </w:rPr>
              <w:t xml:space="preserve">R3</w:t>
            </w:r>
          </w:p>
        </w:tc>
        <w:tc>
          <w:tcPr>
            <w:tcW w:type="dxa" w:w="3800"/>
            <w:tcMar>
              <w:top w:type="dxa" w:w="60"/>
              <w:left w:type="dxa" w:w="80"/>
              <w:bottom w:type="dxa" w:w="60"/>
              <w:right w:type="dxa" w:w="80"/>
            </w:tcMar>
          </w:tcPr>
          <w:p>
            <w:pPr>
              <w:spacing w:after="40"/>
            </w:pPr>
            <w:r>
              <w:rPr>
                <w:sz w:val="17"/>
                <w:szCs w:val="17"/>
              </w:rPr>
              <w:t xml:space="preserve">10,612.28</w:t>
            </w:r>
          </w:p>
        </w:tc>
        <w:tc>
          <w:tcPr>
            <w:tcW w:type="dxa" w:w="3760"/>
            <w:tcMar>
              <w:top w:type="dxa" w:w="60"/>
              <w:left w:type="dxa" w:w="80"/>
              <w:bottom w:type="dxa" w:w="60"/>
              <w:right w:type="dxa" w:w="80"/>
            </w:tcMar>
          </w:tcPr>
          <w:p>
            <w:pPr>
              <w:spacing w:after="40"/>
            </w:pPr>
            <w:r>
              <w:rPr>
                <w:sz w:val="17"/>
                <w:szCs w:val="17"/>
              </w:rPr>
              <w:t xml:space="preserve">+96.36</w:t>
            </w:r>
          </w:p>
        </w:tc>
      </w:tr>
      <w:tr>
        <w:tc>
          <w:tcPr>
            <w:tcW w:type="dxa" w:w="1800"/>
            <w:tcMar>
              <w:top w:type="dxa" w:w="60"/>
              <w:left w:type="dxa" w:w="80"/>
              <w:bottom w:type="dxa" w:w="60"/>
              <w:right w:type="dxa" w:w="80"/>
            </w:tcMar>
          </w:tcPr>
          <w:p>
            <w:pPr>
              <w:spacing w:after="40"/>
            </w:pPr>
            <w:r>
              <w:rPr>
                <w:sz w:val="17"/>
                <w:szCs w:val="17"/>
              </w:rPr>
              <w:t xml:space="preserve">R2</w:t>
            </w:r>
          </w:p>
        </w:tc>
        <w:tc>
          <w:tcPr>
            <w:tcW w:type="dxa" w:w="3800"/>
            <w:tcMar>
              <w:top w:type="dxa" w:w="60"/>
              <w:left w:type="dxa" w:w="80"/>
              <w:bottom w:type="dxa" w:w="60"/>
              <w:right w:type="dxa" w:w="80"/>
            </w:tcMar>
          </w:tcPr>
          <w:p>
            <w:pPr>
              <w:spacing w:after="40"/>
            </w:pPr>
            <w:r>
              <w:rPr>
                <w:sz w:val="17"/>
                <w:szCs w:val="17"/>
              </w:rPr>
              <w:t xml:space="preserve">10,578.64</w:t>
            </w:r>
          </w:p>
        </w:tc>
        <w:tc>
          <w:tcPr>
            <w:tcW w:type="dxa" w:w="3760"/>
            <w:tcMar>
              <w:top w:type="dxa" w:w="60"/>
              <w:left w:type="dxa" w:w="80"/>
              <w:bottom w:type="dxa" w:w="60"/>
              <w:right w:type="dxa" w:w="80"/>
            </w:tcMar>
          </w:tcPr>
          <w:p>
            <w:pPr>
              <w:spacing w:after="40"/>
            </w:pPr>
            <w:r>
              <w:rPr>
                <w:sz w:val="17"/>
                <w:szCs w:val="17"/>
              </w:rPr>
              <w:t xml:space="preserve">+62.72</w:t>
            </w:r>
          </w:p>
        </w:tc>
      </w:tr>
      <w:tr>
        <w:tc>
          <w:tcPr>
            <w:tcW w:type="dxa" w:w="1800"/>
            <w:tcMar>
              <w:top w:type="dxa" w:w="60"/>
              <w:left w:type="dxa" w:w="80"/>
              <w:bottom w:type="dxa" w:w="60"/>
              <w:right w:type="dxa" w:w="80"/>
            </w:tcMar>
          </w:tcPr>
          <w:p>
            <w:pPr>
              <w:spacing w:after="40"/>
            </w:pPr>
            <w:r>
              <w:rPr>
                <w:sz w:val="17"/>
                <w:szCs w:val="17"/>
              </w:rPr>
              <w:t xml:space="preserve">R1.5</w:t>
            </w:r>
          </w:p>
        </w:tc>
        <w:tc>
          <w:tcPr>
            <w:tcW w:type="dxa" w:w="3800"/>
            <w:tcMar>
              <w:top w:type="dxa" w:w="60"/>
              <w:left w:type="dxa" w:w="80"/>
              <w:bottom w:type="dxa" w:w="60"/>
              <w:right w:type="dxa" w:w="80"/>
            </w:tcMar>
          </w:tcPr>
          <w:p>
            <w:pPr>
              <w:spacing w:after="40"/>
            </w:pPr>
            <w:r>
              <w:rPr>
                <w:sz w:val="17"/>
                <w:szCs w:val="17"/>
              </w:rPr>
              <w:t xml:space="preserve">10,562.96</w:t>
            </w:r>
          </w:p>
        </w:tc>
        <w:tc>
          <w:tcPr>
            <w:tcW w:type="dxa" w:w="3760"/>
            <w:tcMar>
              <w:top w:type="dxa" w:w="60"/>
              <w:left w:type="dxa" w:w="80"/>
              <w:bottom w:type="dxa" w:w="60"/>
              <w:right w:type="dxa" w:w="80"/>
            </w:tcMar>
          </w:tcPr>
          <w:p>
            <w:pPr>
              <w:spacing w:after="40"/>
            </w:pPr>
            <w:r>
              <w:rPr>
                <w:sz w:val="17"/>
                <w:szCs w:val="17"/>
              </w:rPr>
              <w:t xml:space="preserve">+47.04</w:t>
            </w:r>
          </w:p>
        </w:tc>
      </w:tr>
      <w:tr>
        <w:tc>
          <w:tcPr>
            <w:tcW w:type="dxa" w:w="1800"/>
            <w:tcMar>
              <w:top w:type="dxa" w:w="60"/>
              <w:left w:type="dxa" w:w="80"/>
              <w:bottom w:type="dxa" w:w="60"/>
              <w:right w:type="dxa" w:w="80"/>
            </w:tcMar>
          </w:tcPr>
          <w:p>
            <w:pPr>
              <w:spacing w:after="40"/>
            </w:pPr>
            <w:r>
              <w:rPr>
                <w:sz w:val="17"/>
                <w:szCs w:val="17"/>
              </w:rPr>
              <w:t xml:space="preserve">R1</w:t>
            </w:r>
          </w:p>
        </w:tc>
        <w:tc>
          <w:tcPr>
            <w:tcW w:type="dxa" w:w="3800"/>
            <w:tcMar>
              <w:top w:type="dxa" w:w="60"/>
              <w:left w:type="dxa" w:w="80"/>
              <w:bottom w:type="dxa" w:w="60"/>
              <w:right w:type="dxa" w:w="80"/>
            </w:tcMar>
          </w:tcPr>
          <w:p>
            <w:pPr>
              <w:spacing w:after="40"/>
            </w:pPr>
            <w:r>
              <w:rPr>
                <w:sz w:val="17"/>
                <w:szCs w:val="17"/>
              </w:rPr>
              <w:t xml:space="preserve">10,547.28</w:t>
            </w:r>
          </w:p>
        </w:tc>
        <w:tc>
          <w:tcPr>
            <w:tcW w:type="dxa" w:w="3760"/>
            <w:tcMar>
              <w:top w:type="dxa" w:w="60"/>
              <w:left w:type="dxa" w:w="80"/>
              <w:bottom w:type="dxa" w:w="60"/>
              <w:right w:type="dxa" w:w="80"/>
            </w:tcMar>
          </w:tcPr>
          <w:p>
            <w:pPr>
              <w:spacing w:after="40"/>
            </w:pPr>
            <w:r>
              <w:rPr>
                <w:sz w:val="17"/>
                <w:szCs w:val="17"/>
              </w:rPr>
              <w:t xml:space="preserve">+31.36</w:t>
            </w:r>
          </w:p>
        </w:tc>
      </w:tr>
      <w:tr>
        <w:tc>
          <w:tcPr>
            <w:tcW w:type="dxa" w:w="1800"/>
            <w:tcMar>
              <w:top w:type="dxa" w:w="60"/>
              <w:left w:type="dxa" w:w="80"/>
              <w:bottom w:type="dxa" w:w="60"/>
              <w:right w:type="dxa" w:w="80"/>
            </w:tcMar>
          </w:tcPr>
          <w:p>
            <w:pPr>
              <w:spacing w:after="40"/>
            </w:pPr>
            <w:r>
              <w:rPr>
                <w:sz w:val="17"/>
                <w:szCs w:val="17"/>
              </w:rPr>
              <w:t xml:space="preserve">P</w:t>
            </w:r>
          </w:p>
        </w:tc>
        <w:tc>
          <w:tcPr>
            <w:tcW w:type="dxa" w:w="3800"/>
            <w:tcMar>
              <w:top w:type="dxa" w:w="60"/>
              <w:left w:type="dxa" w:w="80"/>
              <w:bottom w:type="dxa" w:w="60"/>
              <w:right w:type="dxa" w:w="80"/>
            </w:tcMar>
          </w:tcPr>
          <w:p>
            <w:pPr>
              <w:spacing w:after="40"/>
            </w:pPr>
            <w:r>
              <w:rPr>
                <w:sz w:val="17"/>
                <w:szCs w:val="17"/>
              </w:rPr>
              <w:t xml:space="preserve">10,513.64</w:t>
            </w:r>
          </w:p>
        </w:tc>
        <w:tc>
          <w:tcPr>
            <w:tcW w:type="dxa" w:w="3760"/>
            <w:tcMar>
              <w:top w:type="dxa" w:w="60"/>
              <w:left w:type="dxa" w:w="80"/>
              <w:bottom w:type="dxa" w:w="60"/>
              <w:right w:type="dxa" w:w="80"/>
            </w:tcMar>
          </w:tcPr>
          <w:p>
            <w:pPr>
              <w:spacing w:after="40"/>
            </w:pPr>
            <w:r>
              <w:rPr>
                <w:sz w:val="17"/>
                <w:szCs w:val="17"/>
              </w:rPr>
              <w:t xml:space="preserve">−2.28</w:t>
            </w:r>
          </w:p>
        </w:tc>
      </w:tr>
      <w:tr>
        <w:tc>
          <w:tcPr>
            <w:tcW w:type="dxa" w:w="1800"/>
            <w:tcMar>
              <w:top w:type="dxa" w:w="60"/>
              <w:left w:type="dxa" w:w="80"/>
              <w:bottom w:type="dxa" w:w="60"/>
              <w:right w:type="dxa" w:w="80"/>
            </w:tcMar>
          </w:tcPr>
          <w:p>
            <w:pPr>
              <w:spacing w:after="40"/>
            </w:pPr>
            <w:r>
              <w:rPr>
                <w:sz w:val="17"/>
                <w:szCs w:val="17"/>
              </w:rPr>
              <w:t xml:space="preserve">S1</w:t>
            </w:r>
          </w:p>
        </w:tc>
        <w:tc>
          <w:tcPr>
            <w:tcW w:type="dxa" w:w="3800"/>
            <w:tcMar>
              <w:top w:type="dxa" w:w="60"/>
              <w:left w:type="dxa" w:w="80"/>
              <w:bottom w:type="dxa" w:w="60"/>
              <w:right w:type="dxa" w:w="80"/>
            </w:tcMar>
          </w:tcPr>
          <w:p>
            <w:pPr>
              <w:spacing w:after="40"/>
            </w:pPr>
            <w:r>
              <w:rPr>
                <w:sz w:val="17"/>
                <w:szCs w:val="17"/>
              </w:rPr>
              <w:t xml:space="preserve">10,482.28</w:t>
            </w:r>
          </w:p>
        </w:tc>
        <w:tc>
          <w:tcPr>
            <w:tcW w:type="dxa" w:w="3760"/>
            <w:tcMar>
              <w:top w:type="dxa" w:w="60"/>
              <w:left w:type="dxa" w:w="80"/>
              <w:bottom w:type="dxa" w:w="60"/>
              <w:right w:type="dxa" w:w="80"/>
            </w:tcMar>
          </w:tcPr>
          <w:p>
            <w:pPr>
              <w:spacing w:after="40"/>
            </w:pPr>
            <w:r>
              <w:rPr>
                <w:sz w:val="17"/>
                <w:szCs w:val="17"/>
              </w:rPr>
              <w:t xml:space="preserve">−33.64</w:t>
            </w:r>
          </w:p>
        </w:tc>
      </w:tr>
      <w:tr>
        <w:tc>
          <w:tcPr>
            <w:tcW w:type="dxa" w:w="1800"/>
            <w:tcMar>
              <w:top w:type="dxa" w:w="60"/>
              <w:left w:type="dxa" w:w="80"/>
              <w:bottom w:type="dxa" w:w="60"/>
              <w:right w:type="dxa" w:w="80"/>
            </w:tcMar>
          </w:tcPr>
          <w:p>
            <w:pPr>
              <w:spacing w:after="40"/>
            </w:pPr>
            <w:r>
              <w:rPr>
                <w:sz w:val="17"/>
                <w:szCs w:val="17"/>
              </w:rPr>
              <w:t xml:space="preserve">S1.5</w:t>
            </w:r>
          </w:p>
        </w:tc>
        <w:tc>
          <w:tcPr>
            <w:tcW w:type="dxa" w:w="3800"/>
            <w:tcMar>
              <w:top w:type="dxa" w:w="60"/>
              <w:left w:type="dxa" w:w="80"/>
              <w:bottom w:type="dxa" w:w="60"/>
              <w:right w:type="dxa" w:w="80"/>
            </w:tcMar>
          </w:tcPr>
          <w:p>
            <w:pPr>
              <w:spacing w:after="40"/>
            </w:pPr>
            <w:r>
              <w:rPr>
                <w:sz w:val="17"/>
                <w:szCs w:val="17"/>
              </w:rPr>
              <w:t xml:space="preserve">10,465.46</w:t>
            </w:r>
          </w:p>
        </w:tc>
        <w:tc>
          <w:tcPr>
            <w:tcW w:type="dxa" w:w="3760"/>
            <w:tcMar>
              <w:top w:type="dxa" w:w="60"/>
              <w:left w:type="dxa" w:w="80"/>
              <w:bottom w:type="dxa" w:w="60"/>
              <w:right w:type="dxa" w:w="80"/>
            </w:tcMar>
          </w:tcPr>
          <w:p>
            <w:pPr>
              <w:spacing w:after="40"/>
            </w:pPr>
            <w:r>
              <w:rPr>
                <w:sz w:val="17"/>
                <w:szCs w:val="17"/>
              </w:rPr>
              <w:t xml:space="preserve">−50.46</w:t>
            </w:r>
          </w:p>
        </w:tc>
      </w:tr>
      <w:tr>
        <w:tc>
          <w:tcPr>
            <w:tcW w:type="dxa" w:w="1800"/>
            <w:tcMar>
              <w:top w:type="dxa" w:w="60"/>
              <w:left w:type="dxa" w:w="80"/>
              <w:bottom w:type="dxa" w:w="60"/>
              <w:right w:type="dxa" w:w="80"/>
            </w:tcMar>
          </w:tcPr>
          <w:p>
            <w:pPr>
              <w:spacing w:after="40"/>
            </w:pPr>
            <w:r>
              <w:rPr>
                <w:sz w:val="17"/>
                <w:szCs w:val="17"/>
              </w:rPr>
              <w:t xml:space="preserve">S2</w:t>
            </w:r>
          </w:p>
        </w:tc>
        <w:tc>
          <w:tcPr>
            <w:tcW w:type="dxa" w:w="3800"/>
            <w:tcMar>
              <w:top w:type="dxa" w:w="60"/>
              <w:left w:type="dxa" w:w="80"/>
              <w:bottom w:type="dxa" w:w="60"/>
              <w:right w:type="dxa" w:w="80"/>
            </w:tcMar>
          </w:tcPr>
          <w:p>
            <w:pPr>
              <w:spacing w:after="40"/>
            </w:pPr>
            <w:r>
              <w:rPr>
                <w:sz w:val="17"/>
                <w:szCs w:val="17"/>
              </w:rPr>
              <w:t xml:space="preserve">10,448.64</w:t>
            </w:r>
          </w:p>
        </w:tc>
        <w:tc>
          <w:tcPr>
            <w:tcW w:type="dxa" w:w="3760"/>
            <w:tcMar>
              <w:top w:type="dxa" w:w="60"/>
              <w:left w:type="dxa" w:w="80"/>
              <w:bottom w:type="dxa" w:w="60"/>
              <w:right w:type="dxa" w:w="80"/>
            </w:tcMar>
          </w:tcPr>
          <w:p>
            <w:pPr>
              <w:spacing w:after="40"/>
            </w:pPr>
            <w:r>
              <w:rPr>
                <w:sz w:val="17"/>
                <w:szCs w:val="17"/>
              </w:rPr>
              <w:t xml:space="preserve">−67.28</w:t>
            </w:r>
          </w:p>
        </w:tc>
      </w:tr>
      <w:tr>
        <w:tc>
          <w:tcPr>
            <w:tcW w:type="dxa" w:w="1800"/>
            <w:tcMar>
              <w:top w:type="dxa" w:w="60"/>
              <w:left w:type="dxa" w:w="80"/>
              <w:bottom w:type="dxa" w:w="60"/>
              <w:right w:type="dxa" w:w="80"/>
            </w:tcMar>
          </w:tcPr>
          <w:p>
            <w:pPr>
              <w:spacing w:after="40"/>
            </w:pPr>
            <w:r>
              <w:rPr>
                <w:sz w:val="17"/>
                <w:szCs w:val="17"/>
              </w:rPr>
              <w:t xml:space="preserve">S3</w:t>
            </w:r>
          </w:p>
        </w:tc>
        <w:tc>
          <w:tcPr>
            <w:tcW w:type="dxa" w:w="3800"/>
            <w:tcMar>
              <w:top w:type="dxa" w:w="60"/>
              <w:left w:type="dxa" w:w="80"/>
              <w:bottom w:type="dxa" w:w="60"/>
              <w:right w:type="dxa" w:w="80"/>
            </w:tcMar>
          </w:tcPr>
          <w:p>
            <w:pPr>
              <w:spacing w:after="40"/>
            </w:pPr>
            <w:r>
              <w:rPr>
                <w:sz w:val="17"/>
                <w:szCs w:val="17"/>
              </w:rPr>
              <w:t xml:space="preserve">10,417.28</w:t>
            </w:r>
          </w:p>
        </w:tc>
        <w:tc>
          <w:tcPr>
            <w:tcW w:type="dxa" w:w="3760"/>
            <w:tcMar>
              <w:top w:type="dxa" w:w="60"/>
              <w:left w:type="dxa" w:w="80"/>
              <w:bottom w:type="dxa" w:w="60"/>
              <w:right w:type="dxa" w:w="80"/>
            </w:tcMar>
          </w:tcPr>
          <w:p>
            <w:pPr>
              <w:spacing w:after="40"/>
            </w:pPr>
            <w:r>
              <w:rPr>
                <w:sz w:val="17"/>
                <w:szCs w:val="17"/>
              </w:rPr>
              <w:t xml:space="preserve">−98.64</w:t>
            </w:r>
          </w:p>
        </w:tc>
      </w:tr>
      <w:tr>
        <w:tc>
          <w:tcPr>
            <w:tcW w:type="dxa" w:w="1800"/>
            <w:tcMar>
              <w:top w:type="dxa" w:w="60"/>
              <w:left w:type="dxa" w:w="80"/>
              <w:bottom w:type="dxa" w:w="60"/>
              <w:right w:type="dxa" w:w="80"/>
            </w:tcMar>
          </w:tcPr>
          <w:p>
            <w:pPr>
              <w:spacing w:after="40"/>
            </w:pPr>
            <w:r>
              <w:rPr>
                <w:sz w:val="17"/>
                <w:szCs w:val="17"/>
              </w:rPr>
              <w:t xml:space="preserve">S4</w:t>
            </w:r>
          </w:p>
        </w:tc>
        <w:tc>
          <w:tcPr>
            <w:tcW w:type="dxa" w:w="3800"/>
            <w:tcMar>
              <w:top w:type="dxa" w:w="60"/>
              <w:left w:type="dxa" w:w="80"/>
              <w:bottom w:type="dxa" w:w="60"/>
              <w:right w:type="dxa" w:w="80"/>
            </w:tcMar>
          </w:tcPr>
          <w:p>
            <w:pPr>
              <w:spacing w:after="40"/>
            </w:pPr>
            <w:r>
              <w:rPr>
                <w:sz w:val="17"/>
                <w:szCs w:val="17"/>
              </w:rPr>
              <w:t xml:space="preserve">10,383.64</w:t>
            </w:r>
          </w:p>
        </w:tc>
        <w:tc>
          <w:tcPr>
            <w:tcW w:type="dxa" w:w="3760"/>
            <w:tcMar>
              <w:top w:type="dxa" w:w="60"/>
              <w:left w:type="dxa" w:w="80"/>
              <w:bottom w:type="dxa" w:w="60"/>
              <w:right w:type="dxa" w:w="80"/>
            </w:tcMar>
          </w:tcPr>
          <w:p>
            <w:pPr>
              <w:spacing w:after="40"/>
            </w:pPr>
            <w:r>
              <w:rPr>
                <w:sz w:val="17"/>
                <w:szCs w:val="17"/>
              </w:rPr>
              <w:t xml:space="preserve">−132.28</w:t>
            </w:r>
          </w:p>
        </w:tc>
      </w:tr>
      <w:tr>
        <w:tc>
          <w:tcPr>
            <w:tcW w:type="dxa" w:w="1800"/>
            <w:tcMar>
              <w:top w:type="dxa" w:w="60"/>
              <w:left w:type="dxa" w:w="80"/>
              <w:bottom w:type="dxa" w:w="60"/>
              <w:right w:type="dxa" w:w="80"/>
            </w:tcMar>
          </w:tcPr>
          <w:p>
            <w:pPr>
              <w:spacing w:after="40"/>
            </w:pPr>
            <w:r>
              <w:rPr>
                <w:sz w:val="17"/>
                <w:szCs w:val="17"/>
              </w:rPr>
              <w:t xml:space="preserve">S5</w:t>
            </w:r>
          </w:p>
        </w:tc>
        <w:tc>
          <w:tcPr>
            <w:tcW w:type="dxa" w:w="3800"/>
            <w:tcMar>
              <w:top w:type="dxa" w:w="60"/>
              <w:left w:type="dxa" w:w="80"/>
              <w:bottom w:type="dxa" w:w="60"/>
              <w:right w:type="dxa" w:w="80"/>
            </w:tcMar>
          </w:tcPr>
          <w:p>
            <w:pPr>
              <w:spacing w:after="40"/>
            </w:pPr>
            <w:r>
              <w:rPr>
                <w:sz w:val="17"/>
                <w:szCs w:val="17"/>
              </w:rPr>
              <w:t xml:space="preserve">10,352.28</w:t>
            </w:r>
          </w:p>
        </w:tc>
        <w:tc>
          <w:tcPr>
            <w:tcW w:type="dxa" w:w="3760"/>
            <w:tcMar>
              <w:top w:type="dxa" w:w="60"/>
              <w:left w:type="dxa" w:w="80"/>
              <w:bottom w:type="dxa" w:w="60"/>
              <w:right w:type="dxa" w:w="80"/>
            </w:tcMar>
          </w:tcPr>
          <w:p>
            <w:pPr>
              <w:spacing w:after="40"/>
            </w:pPr>
            <w:r>
              <w:rPr>
                <w:sz w:val="17"/>
                <w:szCs w:val="17"/>
              </w:rPr>
              <w:t xml:space="preserve">−163.64</w:t>
            </w:r>
          </w:p>
        </w:tc>
      </w:tr>
    </w:tbl>
    <w:p>
      <w:pPr>
        <w:spacing w:after="120" w:before="0"/>
      </w:pPr>
      <w:r>
        <w:rPr>
          <w:b/>
          <w:bCs/>
          <w:i/>
          <w:iCs/>
          <w:sz w:val="17"/>
          <w:szCs w:val="17"/>
        </w:rPr>
        <w:t xml:space="preserve">Source status: the 15 July high and low used to derive these levels are single-source indicative. All daily levels in this table are therefore marked indicative only, and this flag is propagated to the trade cards in §21 and recorded in §19.</w:t>
      </w:r>
    </w:p>
    <w:p>
      <w:pPr>
        <w:pStyle w:val="Heading2"/>
        <w:spacing w:after="100" w:before="200"/>
      </w:pPr>
      <w:r>
        <w:t xml:space="preserve">11b  Weekly pivots — derived from the week ending 10 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shd w:fill="1F4E79" w:val="clear"/>
            <w:tcMar>
              <w:top w:type="dxa" w:w="60"/>
              <w:left w:type="dxa" w:w="80"/>
              <w:bottom w:type="dxa" w:w="60"/>
              <w:right w:type="dxa" w:w="80"/>
            </w:tcMar>
          </w:tcPr>
          <w:p>
            <w:pPr>
              <w:spacing w:after="40"/>
            </w:pPr>
            <w:r>
              <w:rPr>
                <w:b/>
                <w:bCs/>
                <w:color w:val="FFFFFF"/>
                <w:sz w:val="17"/>
                <w:szCs w:val="17"/>
              </w:rPr>
              <w:t xml:space="preserve">Level</w:t>
            </w:r>
          </w:p>
        </w:tc>
        <w:tc>
          <w:tcPr>
            <w:tcW w:type="dxa" w:w="3800"/>
            <w:shd w:fill="1F4E79" w:val="clear"/>
            <w:tcMar>
              <w:top w:type="dxa" w:w="60"/>
              <w:left w:type="dxa" w:w="80"/>
              <w:bottom w:type="dxa" w:w="60"/>
              <w:right w:type="dxa" w:w="80"/>
            </w:tcMar>
          </w:tcPr>
          <w:p>
            <w:pPr>
              <w:spacing w:after="40"/>
            </w:pPr>
            <w:r>
              <w:rPr>
                <w:b/>
                <w:bCs/>
                <w:color w:val="FFFFFF"/>
                <w:sz w:val="17"/>
                <w:szCs w:val="17"/>
              </w:rPr>
              <w:t xml:space="preserve">Value (index points)</w:t>
            </w:r>
          </w:p>
        </w:tc>
        <w:tc>
          <w:tcPr>
            <w:tcW w:type="dxa" w:w="3760"/>
            <w:shd w:fill="1F4E79" w:val="clear"/>
            <w:tcMar>
              <w:top w:type="dxa" w:w="60"/>
              <w:left w:type="dxa" w:w="80"/>
              <w:bottom w:type="dxa" w:w="60"/>
              <w:right w:type="dxa" w:w="80"/>
            </w:tcMar>
          </w:tcPr>
          <w:p>
            <w:pPr>
              <w:spacing w:after="40"/>
            </w:pPr>
            <w:r>
              <w:rPr>
                <w:b/>
                <w:bCs/>
                <w:color w:val="FFFFFF"/>
                <w:sz w:val="17"/>
                <w:szCs w:val="17"/>
              </w:rPr>
              <w:t xml:space="preserve">Distance from close</w:t>
            </w:r>
          </w:p>
        </w:tc>
      </w:tr>
      <w:tr>
        <w:tc>
          <w:tcPr>
            <w:tcW w:type="dxa" w:w="1800"/>
            <w:tcMar>
              <w:top w:type="dxa" w:w="60"/>
              <w:left w:type="dxa" w:w="80"/>
              <w:bottom w:type="dxa" w:w="60"/>
              <w:right w:type="dxa" w:w="80"/>
            </w:tcMar>
          </w:tcPr>
          <w:p>
            <w:pPr>
              <w:spacing w:after="40"/>
            </w:pPr>
            <w:r>
              <w:rPr>
                <w:sz w:val="17"/>
                <w:szCs w:val="17"/>
              </w:rPr>
              <w:t xml:space="preserve">R3</w:t>
            </w:r>
          </w:p>
        </w:tc>
        <w:tc>
          <w:tcPr>
            <w:tcW w:type="dxa" w:w="3800"/>
            <w:tcMar>
              <w:top w:type="dxa" w:w="60"/>
              <w:left w:type="dxa" w:w="80"/>
              <w:bottom w:type="dxa" w:w="60"/>
              <w:right w:type="dxa" w:w="80"/>
            </w:tcMar>
          </w:tcPr>
          <w:p>
            <w:pPr>
              <w:spacing w:after="40"/>
            </w:pPr>
            <w:r>
              <w:rPr>
                <w:sz w:val="17"/>
                <w:szCs w:val="17"/>
              </w:rPr>
              <w:t xml:space="preserve">10,904.60</w:t>
            </w:r>
          </w:p>
        </w:tc>
        <w:tc>
          <w:tcPr>
            <w:tcW w:type="dxa" w:w="3760"/>
            <w:tcMar>
              <w:top w:type="dxa" w:w="60"/>
              <w:left w:type="dxa" w:w="80"/>
              <w:bottom w:type="dxa" w:w="60"/>
              <w:right w:type="dxa" w:w="80"/>
            </w:tcMar>
          </w:tcPr>
          <w:p>
            <w:pPr>
              <w:spacing w:after="40"/>
            </w:pPr>
            <w:r>
              <w:rPr>
                <w:sz w:val="17"/>
                <w:szCs w:val="17"/>
              </w:rPr>
              <w:t xml:space="preserve">+388.68</w:t>
            </w:r>
          </w:p>
        </w:tc>
      </w:tr>
      <w:tr>
        <w:tc>
          <w:tcPr>
            <w:tcW w:type="dxa" w:w="1800"/>
            <w:tcMar>
              <w:top w:type="dxa" w:w="60"/>
              <w:left w:type="dxa" w:w="80"/>
              <w:bottom w:type="dxa" w:w="60"/>
              <w:right w:type="dxa" w:w="80"/>
            </w:tcMar>
          </w:tcPr>
          <w:p>
            <w:pPr>
              <w:spacing w:after="40"/>
            </w:pPr>
            <w:r>
              <w:rPr>
                <w:sz w:val="17"/>
                <w:szCs w:val="17"/>
              </w:rPr>
              <w:t xml:space="preserve">R2</w:t>
            </w:r>
          </w:p>
        </w:tc>
        <w:tc>
          <w:tcPr>
            <w:tcW w:type="dxa" w:w="3800"/>
            <w:tcMar>
              <w:top w:type="dxa" w:w="60"/>
              <w:left w:type="dxa" w:w="80"/>
              <w:bottom w:type="dxa" w:w="60"/>
              <w:right w:type="dxa" w:w="80"/>
            </w:tcMar>
          </w:tcPr>
          <w:p>
            <w:pPr>
              <w:spacing w:after="40"/>
            </w:pPr>
            <w:r>
              <w:rPr>
                <w:sz w:val="17"/>
                <w:szCs w:val="17"/>
              </w:rPr>
              <w:t xml:space="preserve">10,792.30</w:t>
            </w:r>
          </w:p>
        </w:tc>
        <w:tc>
          <w:tcPr>
            <w:tcW w:type="dxa" w:w="3760"/>
            <w:tcMar>
              <w:top w:type="dxa" w:w="60"/>
              <w:left w:type="dxa" w:w="80"/>
              <w:bottom w:type="dxa" w:w="60"/>
              <w:right w:type="dxa" w:w="80"/>
            </w:tcMar>
          </w:tcPr>
          <w:p>
            <w:pPr>
              <w:spacing w:after="40"/>
            </w:pPr>
            <w:r>
              <w:rPr>
                <w:sz w:val="17"/>
                <w:szCs w:val="17"/>
              </w:rPr>
              <w:t xml:space="preserve">+276.38</w:t>
            </w:r>
          </w:p>
        </w:tc>
      </w:tr>
      <w:tr>
        <w:tc>
          <w:tcPr>
            <w:tcW w:type="dxa" w:w="1800"/>
            <w:tcMar>
              <w:top w:type="dxa" w:w="60"/>
              <w:left w:type="dxa" w:w="80"/>
              <w:bottom w:type="dxa" w:w="60"/>
              <w:right w:type="dxa" w:w="80"/>
            </w:tcMar>
          </w:tcPr>
          <w:p>
            <w:pPr>
              <w:spacing w:after="40"/>
            </w:pPr>
            <w:r>
              <w:rPr>
                <w:sz w:val="17"/>
                <w:szCs w:val="17"/>
              </w:rPr>
              <w:t xml:space="preserve">R1</w:t>
            </w:r>
          </w:p>
        </w:tc>
        <w:tc>
          <w:tcPr>
            <w:tcW w:type="dxa" w:w="3800"/>
            <w:tcMar>
              <w:top w:type="dxa" w:w="60"/>
              <w:left w:type="dxa" w:w="80"/>
              <w:bottom w:type="dxa" w:w="60"/>
              <w:right w:type="dxa" w:w="80"/>
            </w:tcMar>
          </w:tcPr>
          <w:p>
            <w:pPr>
              <w:spacing w:after="40"/>
            </w:pPr>
            <w:r>
              <w:rPr>
                <w:sz w:val="17"/>
                <w:szCs w:val="17"/>
              </w:rPr>
              <w:t xml:space="preserve">10,644.60</w:t>
            </w:r>
          </w:p>
        </w:tc>
        <w:tc>
          <w:tcPr>
            <w:tcW w:type="dxa" w:w="3760"/>
            <w:tcMar>
              <w:top w:type="dxa" w:w="60"/>
              <w:left w:type="dxa" w:w="80"/>
              <w:bottom w:type="dxa" w:w="60"/>
              <w:right w:type="dxa" w:w="80"/>
            </w:tcMar>
          </w:tcPr>
          <w:p>
            <w:pPr>
              <w:spacing w:after="40"/>
            </w:pPr>
            <w:r>
              <w:rPr>
                <w:sz w:val="17"/>
                <w:szCs w:val="17"/>
              </w:rPr>
              <w:t xml:space="preserve">+128.68</w:t>
            </w:r>
          </w:p>
        </w:tc>
      </w:tr>
      <w:tr>
        <w:tc>
          <w:tcPr>
            <w:tcW w:type="dxa" w:w="1800"/>
            <w:tcMar>
              <w:top w:type="dxa" w:w="60"/>
              <w:left w:type="dxa" w:w="80"/>
              <w:bottom w:type="dxa" w:w="60"/>
              <w:right w:type="dxa" w:w="80"/>
            </w:tcMar>
          </w:tcPr>
          <w:p>
            <w:pPr>
              <w:spacing w:after="40"/>
            </w:pPr>
            <w:r>
              <w:rPr>
                <w:sz w:val="17"/>
                <w:szCs w:val="17"/>
              </w:rPr>
              <w:t xml:space="preserve">P</w:t>
            </w:r>
          </w:p>
        </w:tc>
        <w:tc>
          <w:tcPr>
            <w:tcW w:type="dxa" w:w="3800"/>
            <w:tcMar>
              <w:top w:type="dxa" w:w="60"/>
              <w:left w:type="dxa" w:w="80"/>
              <w:bottom w:type="dxa" w:w="60"/>
              <w:right w:type="dxa" w:w="80"/>
            </w:tcMar>
          </w:tcPr>
          <w:p>
            <w:pPr>
              <w:spacing w:after="40"/>
            </w:pPr>
            <w:r>
              <w:rPr>
                <w:sz w:val="17"/>
                <w:szCs w:val="17"/>
              </w:rPr>
              <w:t xml:space="preserve">10,532.30</w:t>
            </w:r>
          </w:p>
        </w:tc>
        <w:tc>
          <w:tcPr>
            <w:tcW w:type="dxa" w:w="3760"/>
            <w:tcMar>
              <w:top w:type="dxa" w:w="60"/>
              <w:left w:type="dxa" w:w="80"/>
              <w:bottom w:type="dxa" w:w="60"/>
              <w:right w:type="dxa" w:w="80"/>
            </w:tcMar>
          </w:tcPr>
          <w:p>
            <w:pPr>
              <w:spacing w:after="40"/>
            </w:pPr>
            <w:r>
              <w:rPr>
                <w:sz w:val="17"/>
                <w:szCs w:val="17"/>
              </w:rPr>
              <w:t xml:space="preserve">+16.38</w:t>
            </w:r>
          </w:p>
        </w:tc>
      </w:tr>
      <w:tr>
        <w:tc>
          <w:tcPr>
            <w:tcW w:type="dxa" w:w="1800"/>
            <w:tcMar>
              <w:top w:type="dxa" w:w="60"/>
              <w:left w:type="dxa" w:w="80"/>
              <w:bottom w:type="dxa" w:w="60"/>
              <w:right w:type="dxa" w:w="80"/>
            </w:tcMar>
          </w:tcPr>
          <w:p>
            <w:pPr>
              <w:spacing w:after="40"/>
            </w:pPr>
            <w:r>
              <w:rPr>
                <w:sz w:val="17"/>
                <w:szCs w:val="17"/>
              </w:rPr>
              <w:t xml:space="preserve">S1</w:t>
            </w:r>
          </w:p>
        </w:tc>
        <w:tc>
          <w:tcPr>
            <w:tcW w:type="dxa" w:w="3800"/>
            <w:tcMar>
              <w:top w:type="dxa" w:w="60"/>
              <w:left w:type="dxa" w:w="80"/>
              <w:bottom w:type="dxa" w:w="60"/>
              <w:right w:type="dxa" w:w="80"/>
            </w:tcMar>
          </w:tcPr>
          <w:p>
            <w:pPr>
              <w:spacing w:after="40"/>
            </w:pPr>
            <w:r>
              <w:rPr>
                <w:sz w:val="17"/>
                <w:szCs w:val="17"/>
              </w:rPr>
              <w:t xml:space="preserve">10,384.60</w:t>
            </w:r>
          </w:p>
        </w:tc>
        <w:tc>
          <w:tcPr>
            <w:tcW w:type="dxa" w:w="3760"/>
            <w:tcMar>
              <w:top w:type="dxa" w:w="60"/>
              <w:left w:type="dxa" w:w="80"/>
              <w:bottom w:type="dxa" w:w="60"/>
              <w:right w:type="dxa" w:w="80"/>
            </w:tcMar>
          </w:tcPr>
          <w:p>
            <w:pPr>
              <w:spacing w:after="40"/>
            </w:pPr>
            <w:r>
              <w:rPr>
                <w:sz w:val="17"/>
                <w:szCs w:val="17"/>
              </w:rPr>
              <w:t xml:space="preserve">−131.32</w:t>
            </w:r>
          </w:p>
        </w:tc>
      </w:tr>
      <w:tr>
        <w:tc>
          <w:tcPr>
            <w:tcW w:type="dxa" w:w="1800"/>
            <w:tcMar>
              <w:top w:type="dxa" w:w="60"/>
              <w:left w:type="dxa" w:w="80"/>
              <w:bottom w:type="dxa" w:w="60"/>
              <w:right w:type="dxa" w:w="80"/>
            </w:tcMar>
          </w:tcPr>
          <w:p>
            <w:pPr>
              <w:spacing w:after="40"/>
            </w:pPr>
            <w:r>
              <w:rPr>
                <w:sz w:val="17"/>
                <w:szCs w:val="17"/>
              </w:rPr>
              <w:t xml:space="preserve">S2</w:t>
            </w:r>
          </w:p>
        </w:tc>
        <w:tc>
          <w:tcPr>
            <w:tcW w:type="dxa" w:w="3800"/>
            <w:tcMar>
              <w:top w:type="dxa" w:w="60"/>
              <w:left w:type="dxa" w:w="80"/>
              <w:bottom w:type="dxa" w:w="60"/>
              <w:right w:type="dxa" w:w="80"/>
            </w:tcMar>
          </w:tcPr>
          <w:p>
            <w:pPr>
              <w:spacing w:after="40"/>
            </w:pPr>
            <w:r>
              <w:rPr>
                <w:sz w:val="17"/>
                <w:szCs w:val="17"/>
              </w:rPr>
              <w:t xml:space="preserve">10,272.30</w:t>
            </w:r>
          </w:p>
        </w:tc>
        <w:tc>
          <w:tcPr>
            <w:tcW w:type="dxa" w:w="3760"/>
            <w:tcMar>
              <w:top w:type="dxa" w:w="60"/>
              <w:left w:type="dxa" w:w="80"/>
              <w:bottom w:type="dxa" w:w="60"/>
              <w:right w:type="dxa" w:w="80"/>
            </w:tcMar>
          </w:tcPr>
          <w:p>
            <w:pPr>
              <w:spacing w:after="40"/>
            </w:pPr>
            <w:r>
              <w:rPr>
                <w:sz w:val="17"/>
                <w:szCs w:val="17"/>
              </w:rPr>
              <w:t xml:space="preserve">−243.62</w:t>
            </w:r>
          </w:p>
        </w:tc>
      </w:tr>
      <w:tr>
        <w:tc>
          <w:tcPr>
            <w:tcW w:type="dxa" w:w="1800"/>
            <w:tcMar>
              <w:top w:type="dxa" w:w="60"/>
              <w:left w:type="dxa" w:w="80"/>
              <w:bottom w:type="dxa" w:w="60"/>
              <w:right w:type="dxa" w:w="80"/>
            </w:tcMar>
          </w:tcPr>
          <w:p>
            <w:pPr>
              <w:spacing w:after="40"/>
            </w:pPr>
            <w:r>
              <w:rPr>
                <w:sz w:val="17"/>
                <w:szCs w:val="17"/>
              </w:rPr>
              <w:t xml:space="preserve">S3</w:t>
            </w:r>
          </w:p>
        </w:tc>
        <w:tc>
          <w:tcPr>
            <w:tcW w:type="dxa" w:w="3800"/>
            <w:tcMar>
              <w:top w:type="dxa" w:w="60"/>
              <w:left w:type="dxa" w:w="80"/>
              <w:bottom w:type="dxa" w:w="60"/>
              <w:right w:type="dxa" w:w="80"/>
            </w:tcMar>
          </w:tcPr>
          <w:p>
            <w:pPr>
              <w:spacing w:after="40"/>
            </w:pPr>
            <w:r>
              <w:rPr>
                <w:sz w:val="17"/>
                <w:szCs w:val="17"/>
              </w:rPr>
              <w:t xml:space="preserve">10,124.60</w:t>
            </w:r>
          </w:p>
        </w:tc>
        <w:tc>
          <w:tcPr>
            <w:tcW w:type="dxa" w:w="3760"/>
            <w:tcMar>
              <w:top w:type="dxa" w:w="60"/>
              <w:left w:type="dxa" w:w="80"/>
              <w:bottom w:type="dxa" w:w="60"/>
              <w:right w:type="dxa" w:w="80"/>
            </w:tcMar>
          </w:tcPr>
          <w:p>
            <w:pPr>
              <w:spacing w:after="40"/>
            </w:pPr>
            <w:r>
              <w:rPr>
                <w:sz w:val="17"/>
                <w:szCs w:val="17"/>
              </w:rPr>
              <w:t xml:space="preserve">−391.32</w:t>
            </w:r>
          </w:p>
        </w:tc>
      </w:tr>
    </w:tbl>
    <w:p>
      <w:pPr>
        <w:spacing w:after="120" w:before="0"/>
      </w:pPr>
      <w:r>
        <w:rPr>
          <w:b/>
          <w:bCs/>
          <w:i/>
          <w:iCs/>
          <w:sz w:val="17"/>
          <w:szCs w:val="17"/>
        </w:rPr>
        <w:t xml:space="preserve">Source status: prior-week high and low are assembled from partially corroborated sessions. Weekly levels are marked indicative only.</w:t>
      </w:r>
    </w:p>
    <w:p>
      <w:pPr>
        <w:spacing w:after="120" w:before="0"/>
      </w:pPr>
      <w:r>
        <w:rPr>
          <w:i/>
          <w:iCs/>
          <w:sz w:val="17"/>
          <w:szCs w:val="17"/>
        </w:rPr>
        <w:t xml:space="preserve">Monthly pivots are not produced for this session. Corroborated June monthly high, low and close could not be assembled within the source standard, and the framework requires suppression rather than estimation where inputs fail. Their absence is recorded in §19 and §20.</w:t>
      </w:r>
    </w:p>
    <w:p>
      <w:pPr>
        <w:pStyle w:val="Heading2"/>
        <w:spacing w:after="100" w:before="200"/>
      </w:pPr>
      <w:r>
        <w:t xml:space="preserve">11c  Position narrative</w:t>
      </w:r>
    </w:p>
    <w:p>
      <w:pPr>
        <w:spacing w:after="120" w:before="0"/>
      </w:pPr>
      <w:r>
        <w:rPr>
          <w:sz w:val="20"/>
          <w:szCs w:val="20"/>
        </w:rPr>
        <w:t xml:space="preserve">The 15 July close of 10,515.92 sits 2.28 points above the daily pivot at 10,513.64 — effectively astride it. This is the single most important structural fact for the 16 July session: the index is balanced precisely at equilibrium, which is exactly what a transitional regime with compressing volatility should look like.</w:t>
      </w:r>
    </w:p>
    <w:p>
      <w:pPr>
        <w:spacing w:after="120" w:before="0"/>
      </w:pPr>
      <w:r>
        <w:rPr>
          <w:sz w:val="20"/>
          <w:szCs w:val="20"/>
        </w:rPr>
        <w:t xml:space="preserve">Nearest resistance is the daily R1 at 10,547.28, 31 points above. Nearest support is the daily S1 at 10,482.28, 34 points below. The close is almost exactly equidistant. The weekly pivot at 10,532.30 sits 16 points above the close and 15 points below daily R1, forming a minor overhead cluster.</w:t>
      </w:r>
    </w:p>
    <w:p>
      <w:pPr>
        <w:spacing w:after="120" w:before="0"/>
      </w:pPr>
      <w:r>
        <w:rPr>
          <w:b w:val="false"/>
          <w:bCs w:val="false"/>
          <w:sz w:val="20"/>
          <w:szCs w:val="20"/>
        </w:rPr>
        <w:t xml:space="preserve">Confluence zone. The daily R1 at 10,547.28 and the five-day swing high at 10,552.56 sit 5.28 points apart — 0.05% of index value — which meets the confluence threshold. This is a genuine confluence zone and it is the decisive level for the coming session. Independent market commentary through the week has repeatedly identified the 10,510–10,535 band and the 10,574 extension as the levels traders are watching, which is consistent with the pivot-derived structure though it is not treated as evidence.</w:t>
      </w:r>
    </w:p>
    <w:p>
      <w:pPr>
        <w:pStyle w:val="Heading1"/>
        <w:spacing w:after="140" w:before="280"/>
      </w:pPr>
      <w:r>
        <w:t xml:space="preserve">§12  Key Market Considerations</w:t>
      </w:r>
    </w:p>
    <w:p>
      <w:pPr>
        <w:pStyle w:val="Heading2"/>
        <w:spacing w:after="100" w:before="200"/>
      </w:pPr>
      <w:r>
        <w:t xml:space="preserve">Supply and demand — sector composition</w:t>
      </w:r>
    </w:p>
    <w:p>
      <w:pPr>
        <w:spacing w:after="120" w:before="0"/>
      </w:pPr>
      <w:r>
        <w:rPr>
          <w:sz w:val="20"/>
          <w:szCs w:val="20"/>
        </w:rPr>
        <w:t xml:space="preserve">The FTSE 100's defining feature this week is that its sector composition is doing the work. Energy (Shell, BP) carries a heavy index weight and is being supported by crude strength driven by the Hormuz threat. BP rose 2.2% on 14 July after signalling a stronger-than-usual second-quarter oil trading result, building on an already exceptionally strong first quarter. Financials — Barclays, HSBC, Lloyds — are being lifted by the read-across from US bank earnings. Against that, mining is being hit hard: precious-metal miners fell 2.7% and industrial miners 2.1% on 15 July, with Anglo American −3.4% and Glencore −2.4%. The index is not moving because these forces are cancelling.</w:t>
      </w:r>
    </w:p>
    <w:p>
      <w:pPr>
        <w:pStyle w:val="Heading2"/>
        <w:spacing w:after="100" w:before="200"/>
      </w:pPr>
      <w:r>
        <w:t xml:space="preserve">Policy</w:t>
      </w:r>
    </w:p>
    <w:p>
      <w:pPr>
        <w:spacing w:after="120" w:before="0"/>
      </w:pPr>
      <w:r>
        <w:rPr>
          <w:sz w:val="20"/>
          <w:szCs w:val="20"/>
        </w:rPr>
        <w:t xml:space="preserve">The June US CPI print came in below expectations, materially reviving expectations of monetary easing and driving the 14 July recovery in both US and UK financials. This is the dominant policy input in the window. Neither a Bank of England nor an ECB decision falls in the immediate forward horizon on the available calendar.</w:t>
      </w:r>
    </w:p>
    <w:p>
      <w:pPr>
        <w:pStyle w:val="Heading2"/>
        <w:spacing w:after="100" w:before="200"/>
      </w:pPr>
      <w:r>
        <w:t xml:space="preserve">Macro</w:t>
      </w:r>
    </w:p>
    <w:p>
      <w:pPr>
        <w:spacing w:after="120" w:before="0"/>
      </w:pPr>
      <w:r>
        <w:rPr>
          <w:sz w:val="20"/>
          <w:szCs w:val="20"/>
        </w:rPr>
        <w:t xml:space="preserve">China's Q2 GDP expanded 4.3% year-on-year, slowing from 5.0% in Q1 and missing consensus of 4.5% — the weakest pace since 2022. Quarter-on-quarter growth of 0.9% marked the slowest expansion in more than two years. This is the proximate cause of Wednesday's mining weakness and is a live, unresolved drag on the resources complex.</w:t>
      </w:r>
    </w:p>
    <w:p>
      <w:pPr>
        <w:pStyle w:val="Heading2"/>
        <w:spacing w:after="100" w:before="200"/>
      </w:pPr>
      <w:r>
        <w:t xml:space="preserve">Catalysts</w:t>
      </w:r>
    </w:p>
    <w:p>
      <w:pPr>
        <w:spacing w:after="120" w:before="0"/>
      </w:pPr>
      <w:r>
        <w:rPr>
          <w:sz w:val="20"/>
          <w:szCs w:val="20"/>
        </w:rPr>
        <w:t xml:space="preserve">US Q2 earnings season began 14 July with the major Wall Street banks. Goldman Sachs posted earnings of $20.98 per share against a consensus of $14.48, on revenue of $20.34 billion versus $16.13 billion expected — a very large beat. Morgan Stanley reported a jump in Q2 earnings on 15 July driven by equities revenue and investment banking momentum. Given the FTSE 100's financials weight, the earnings read-across is a genuine transmission channel and remains active through the coming sessions.</w:t>
      </w:r>
    </w:p>
    <w:p>
      <w:pPr>
        <w:pStyle w:val="Heading2"/>
        <w:spacing w:after="100" w:before="200"/>
      </w:pPr>
      <w:r>
        <w:t xml:space="preserve">Geopolitics</w:t>
      </w:r>
    </w:p>
    <w:p>
      <w:pPr>
        <w:spacing w:after="120" w:before="0"/>
      </w:pPr>
      <w:r>
        <w:rPr>
          <w:sz w:val="20"/>
          <w:szCs w:val="20"/>
        </w:rPr>
        <w:t xml:space="preserve">US Central Command began a wave of strikes against Iran at approximately 06:00 ET on 15 July, targeting military capabilities used against commercial shipping in the Strait of Hormuz. Iran's Islamic Revolutionary Guard Corps stated that regional energy exports would be either shared by all or denied to all, and that the Strait would remain closed indefinitely. Notably, crude fell roughly 1% on the day despite this — Brent traded under $84 — which suggests the market is currently discounting the closure threat rather than pricing it. That discount is the single largest tail risk in this analysis.</w:t>
      </w:r>
    </w:p>
    <w:p>
      <w:pPr>
        <w:pStyle w:val="Heading1"/>
        <w:spacing w:after="140" w:before="280"/>
      </w:pPr>
      <w:r>
        <w:t xml:space="preserve">§13  Sentiment, News &amp; Calendar</w:t>
      </w:r>
    </w:p>
    <w:p>
      <w:pPr>
        <w:pStyle w:val="Heading2"/>
        <w:spacing w:after="100" w:before="200"/>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2000"/>
        <w:gridCol w:w="1760"/>
      </w:tblGrid>
      <w:tr>
        <w:trPr>
          <w:tblHeader/>
        </w:trPr>
        <w:tc>
          <w:tcPr>
            <w:tcW w:type="dxa" w:w="1500"/>
            <w:shd w:fill="1F4E79" w:val="clear"/>
            <w:tcMar>
              <w:top w:type="dxa" w:w="60"/>
              <w:left w:type="dxa" w:w="80"/>
              <w:bottom w:type="dxa" w:w="60"/>
              <w:right w:type="dxa" w:w="80"/>
            </w:tcMar>
          </w:tcPr>
          <w:p>
            <w:pPr>
              <w:spacing w:after="40"/>
            </w:pPr>
            <w:r>
              <w:rPr>
                <w:b/>
                <w:bCs/>
                <w:color w:val="FFFFFF"/>
                <w:sz w:val="17"/>
                <w:szCs w:val="17"/>
              </w:rPr>
              <w:t xml:space="preserve">Source / Date</w:t>
            </w:r>
          </w:p>
        </w:tc>
        <w:tc>
          <w:tcPr>
            <w:tcW w:type="dxa" w:w="4100"/>
            <w:shd w:fill="1F4E79" w:val="clear"/>
            <w:tcMar>
              <w:top w:type="dxa" w:w="60"/>
              <w:left w:type="dxa" w:w="80"/>
              <w:bottom w:type="dxa" w:w="60"/>
              <w:right w:type="dxa" w:w="80"/>
            </w:tcMar>
          </w:tcPr>
          <w:p>
            <w:pPr>
              <w:spacing w:after="40"/>
            </w:pPr>
            <w:r>
              <w:rPr>
                <w:b/>
                <w:bCs/>
                <w:color w:val="FFFFFF"/>
                <w:sz w:val="17"/>
                <w:szCs w:val="17"/>
              </w:rPr>
              <w:t xml:space="preserve">Headline substance</w:t>
            </w:r>
          </w:p>
        </w:tc>
        <w:tc>
          <w:tcPr>
            <w:tcW w:type="dxa" w:w="2000"/>
            <w:shd w:fill="1F4E79" w:val="clear"/>
            <w:tcMar>
              <w:top w:type="dxa" w:w="60"/>
              <w:left w:type="dxa" w:w="80"/>
              <w:bottom w:type="dxa" w:w="60"/>
              <w:right w:type="dxa" w:w="80"/>
            </w:tcMar>
          </w:tcPr>
          <w:p>
            <w:pPr>
              <w:spacing w:after="40"/>
            </w:pPr>
            <w:r>
              <w:rPr>
                <w:b/>
                <w:bCs/>
                <w:color w:val="FFFFFF"/>
                <w:sz w:val="17"/>
                <w:szCs w:val="17"/>
              </w:rPr>
              <w:t xml:space="preserve">Directional read</w:t>
            </w:r>
          </w:p>
        </w:tc>
        <w:tc>
          <w:tcPr>
            <w:tcW w:type="dxa" w:w="1760"/>
            <w:shd w:fill="1F4E79" w:val="clear"/>
            <w:tcMar>
              <w:top w:type="dxa" w:w="60"/>
              <w:left w:type="dxa" w:w="80"/>
              <w:bottom w:type="dxa" w:w="60"/>
              <w:right w:type="dxa" w:w="80"/>
            </w:tcMar>
          </w:tcPr>
          <w:p>
            <w:pPr>
              <w:spacing w:after="40"/>
            </w:pPr>
            <w:r>
              <w:rPr>
                <w:b/>
                <w:bCs/>
                <w:color w:val="FFFFFF"/>
                <w:sz w:val="17"/>
                <w:szCs w:val="17"/>
              </w:rPr>
              <w:t xml:space="preserve">Weight</w:t>
            </w:r>
          </w:p>
        </w:tc>
      </w:tr>
      <w:tr>
        <w:tc>
          <w:tcPr>
            <w:tcW w:type="dxa" w:w="1500"/>
            <w:tcMar>
              <w:top w:type="dxa" w:w="60"/>
              <w:left w:type="dxa" w:w="80"/>
              <w:bottom w:type="dxa" w:w="60"/>
              <w:right w:type="dxa" w:w="80"/>
            </w:tcMar>
          </w:tcPr>
          <w:p>
            <w:pPr>
              <w:spacing w:after="40"/>
            </w:pPr>
            <w:r>
              <w:rPr>
                <w:sz w:val="17"/>
                <w:szCs w:val="17"/>
              </w:rPr>
              <w:t xml:space="preserve">Reuters, 14 Jul</w:t>
            </w:r>
          </w:p>
        </w:tc>
        <w:tc>
          <w:tcPr>
            <w:tcW w:type="dxa" w:w="4100"/>
            <w:tcMar>
              <w:top w:type="dxa" w:w="60"/>
              <w:left w:type="dxa" w:w="80"/>
              <w:bottom w:type="dxa" w:w="60"/>
              <w:right w:type="dxa" w:w="80"/>
            </w:tcMar>
          </w:tcPr>
          <w:p>
            <w:pPr>
              <w:spacing w:after="40"/>
            </w:pPr>
            <w:r>
              <w:rPr>
                <w:sz w:val="17"/>
                <w:szCs w:val="17"/>
              </w:rPr>
              <w:t xml:space="preserve">FTSE 100 closed higher, reversing early losses, as bank stocks led gains on strong US lender earnings and a softer US inflation reading</w:t>
            </w:r>
          </w:p>
        </w:tc>
        <w:tc>
          <w:tcPr>
            <w:tcW w:type="dxa" w:w="2000"/>
            <w:tcMar>
              <w:top w:type="dxa" w:w="60"/>
              <w:left w:type="dxa" w:w="80"/>
              <w:bottom w:type="dxa" w:w="60"/>
              <w:right w:type="dxa" w:w="80"/>
            </w:tcMar>
          </w:tcPr>
          <w:p>
            <w:pPr>
              <w:spacing w:after="40"/>
            </w:pPr>
            <w:r>
              <w:rPr>
                <w:sz w:val="17"/>
                <w:szCs w:val="17"/>
              </w:rPr>
              <w:t xml:space="preserve">Bullish</w:t>
            </w:r>
          </w:p>
        </w:tc>
        <w:tc>
          <w:tcPr>
            <w:tcW w:type="dxa" w:w="1760"/>
            <w:tcMar>
              <w:top w:type="dxa" w:w="60"/>
              <w:left w:type="dxa" w:w="80"/>
              <w:bottom w:type="dxa" w:w="60"/>
              <w:right w:type="dxa" w:w="80"/>
            </w:tcMar>
          </w:tcPr>
          <w:p>
            <w:pPr>
              <w:spacing w:after="40"/>
            </w:pPr>
            <w:r>
              <w:rPr>
                <w:sz w:val="17"/>
                <w:szCs w:val="17"/>
              </w:rPr>
              <w:t xml:space="preserve">High</w:t>
            </w:r>
          </w:p>
        </w:tc>
      </w:tr>
      <w:tr>
        <w:tc>
          <w:tcPr>
            <w:tcW w:type="dxa" w:w="1500"/>
            <w:tcMar>
              <w:top w:type="dxa" w:w="60"/>
              <w:left w:type="dxa" w:w="80"/>
              <w:bottom w:type="dxa" w:w="60"/>
              <w:right w:type="dxa" w:w="80"/>
            </w:tcMar>
          </w:tcPr>
          <w:p>
            <w:pPr>
              <w:spacing w:after="40"/>
            </w:pPr>
            <w:r>
              <w:rPr>
                <w:sz w:val="17"/>
                <w:szCs w:val="17"/>
              </w:rPr>
              <w:t xml:space="preserve">Reuters, 15 Jul</w:t>
            </w:r>
          </w:p>
        </w:tc>
        <w:tc>
          <w:tcPr>
            <w:tcW w:type="dxa" w:w="4100"/>
            <w:tcMar>
              <w:top w:type="dxa" w:w="60"/>
              <w:left w:type="dxa" w:w="80"/>
              <w:bottom w:type="dxa" w:w="60"/>
              <w:right w:type="dxa" w:w="80"/>
            </w:tcMar>
          </w:tcPr>
          <w:p>
            <w:pPr>
              <w:spacing w:after="40"/>
            </w:pPr>
            <w:r>
              <w:rPr>
                <w:sz w:val="17"/>
                <w:szCs w:val="17"/>
              </w:rPr>
              <w:t xml:space="preserve">FTSE 100 slipped as commodity-linked stocks led losses amid metals and oil weakness; Middle East escalation dented risk appetite</w:t>
            </w:r>
          </w:p>
        </w:tc>
        <w:tc>
          <w:tcPr>
            <w:tcW w:type="dxa" w:w="2000"/>
            <w:tcMar>
              <w:top w:type="dxa" w:w="60"/>
              <w:left w:type="dxa" w:w="80"/>
              <w:bottom w:type="dxa" w:w="60"/>
              <w:right w:type="dxa" w:w="80"/>
            </w:tcMar>
          </w:tcPr>
          <w:p>
            <w:pPr>
              <w:spacing w:after="40"/>
            </w:pPr>
            <w:r>
              <w:rPr>
                <w:sz w:val="17"/>
                <w:szCs w:val="17"/>
              </w:rPr>
              <w:t xml:space="preserve">Bearish</w:t>
            </w:r>
          </w:p>
        </w:tc>
        <w:tc>
          <w:tcPr>
            <w:tcW w:type="dxa" w:w="1760"/>
            <w:tcMar>
              <w:top w:type="dxa" w:w="60"/>
              <w:left w:type="dxa" w:w="80"/>
              <w:bottom w:type="dxa" w:w="60"/>
              <w:right w:type="dxa" w:w="80"/>
            </w:tcMar>
          </w:tcPr>
          <w:p>
            <w:pPr>
              <w:spacing w:after="40"/>
            </w:pPr>
            <w:r>
              <w:rPr>
                <w:sz w:val="17"/>
                <w:szCs w:val="17"/>
              </w:rPr>
              <w:t xml:space="preserve">High</w:t>
            </w:r>
          </w:p>
        </w:tc>
      </w:tr>
      <w:tr>
        <w:tc>
          <w:tcPr>
            <w:tcW w:type="dxa" w:w="1500"/>
            <w:tcMar>
              <w:top w:type="dxa" w:w="60"/>
              <w:left w:type="dxa" w:w="80"/>
              <w:bottom w:type="dxa" w:w="60"/>
              <w:right w:type="dxa" w:w="80"/>
            </w:tcMar>
          </w:tcPr>
          <w:p>
            <w:pPr>
              <w:spacing w:after="40"/>
            </w:pPr>
            <w:r>
              <w:rPr>
                <w:sz w:val="17"/>
                <w:szCs w:val="17"/>
              </w:rPr>
              <w:t xml:space="preserve">Alliance News, 15 Jul</w:t>
            </w:r>
          </w:p>
        </w:tc>
        <w:tc>
          <w:tcPr>
            <w:tcW w:type="dxa" w:w="4100"/>
            <w:tcMar>
              <w:top w:type="dxa" w:w="60"/>
              <w:left w:type="dxa" w:w="80"/>
              <w:bottom w:type="dxa" w:w="60"/>
              <w:right w:type="dxa" w:w="80"/>
            </w:tcMar>
          </w:tcPr>
          <w:p>
            <w:pPr>
              <w:spacing w:after="40"/>
            </w:pPr>
            <w:r>
              <w:rPr>
                <w:sz w:val="17"/>
                <w:szCs w:val="17"/>
              </w:rPr>
              <w:t xml:space="preserve">Index ended lower on soft Chinese growth and weak mining stocks; China Q2 GDP missed consensus</w:t>
            </w:r>
          </w:p>
        </w:tc>
        <w:tc>
          <w:tcPr>
            <w:tcW w:type="dxa" w:w="2000"/>
            <w:tcMar>
              <w:top w:type="dxa" w:w="60"/>
              <w:left w:type="dxa" w:w="80"/>
              <w:bottom w:type="dxa" w:w="60"/>
              <w:right w:type="dxa" w:w="80"/>
            </w:tcMar>
          </w:tcPr>
          <w:p>
            <w:pPr>
              <w:spacing w:after="40"/>
            </w:pPr>
            <w:r>
              <w:rPr>
                <w:sz w:val="17"/>
                <w:szCs w:val="17"/>
              </w:rPr>
              <w:t xml:space="preserve">Bearish</w:t>
            </w:r>
          </w:p>
        </w:tc>
        <w:tc>
          <w:tcPr>
            <w:tcW w:type="dxa" w:w="1760"/>
            <w:tcMar>
              <w:top w:type="dxa" w:w="60"/>
              <w:left w:type="dxa" w:w="80"/>
              <w:bottom w:type="dxa" w:w="60"/>
              <w:right w:type="dxa" w:w="80"/>
            </w:tcMar>
          </w:tcPr>
          <w:p>
            <w:pPr>
              <w:spacing w:after="40"/>
            </w:pPr>
            <w:r>
              <w:rPr>
                <w:sz w:val="17"/>
                <w:szCs w:val="17"/>
              </w:rPr>
              <w:t xml:space="preserve">High</w:t>
            </w:r>
          </w:p>
        </w:tc>
      </w:tr>
      <w:tr>
        <w:tc>
          <w:tcPr>
            <w:tcW w:type="dxa" w:w="1500"/>
            <w:tcMar>
              <w:top w:type="dxa" w:w="60"/>
              <w:left w:type="dxa" w:w="80"/>
              <w:bottom w:type="dxa" w:w="60"/>
              <w:right w:type="dxa" w:w="80"/>
            </w:tcMar>
          </w:tcPr>
          <w:p>
            <w:pPr>
              <w:spacing w:after="40"/>
            </w:pPr>
            <w:r>
              <w:rPr>
                <w:sz w:val="17"/>
                <w:szCs w:val="17"/>
              </w:rPr>
              <w:t xml:space="preserve">CNBC, 15 Jul</w:t>
            </w:r>
          </w:p>
        </w:tc>
        <w:tc>
          <w:tcPr>
            <w:tcW w:type="dxa" w:w="4100"/>
            <w:tcMar>
              <w:top w:type="dxa" w:w="60"/>
              <w:left w:type="dxa" w:w="80"/>
              <w:bottom w:type="dxa" w:w="60"/>
              <w:right w:type="dxa" w:w="80"/>
            </w:tcMar>
          </w:tcPr>
          <w:p>
            <w:pPr>
              <w:spacing w:after="40"/>
            </w:pPr>
            <w:r>
              <w:rPr>
                <w:sz w:val="17"/>
                <w:szCs w:val="17"/>
              </w:rPr>
              <w:t xml:space="preserve">S&amp;P 500 rose 0.38% as major technology stocks advanced on cooling inflation data</w:t>
            </w:r>
          </w:p>
        </w:tc>
        <w:tc>
          <w:tcPr>
            <w:tcW w:type="dxa" w:w="2000"/>
            <w:tcMar>
              <w:top w:type="dxa" w:w="60"/>
              <w:left w:type="dxa" w:w="80"/>
              <w:bottom w:type="dxa" w:w="60"/>
              <w:right w:type="dxa" w:w="80"/>
            </w:tcMar>
          </w:tcPr>
          <w:p>
            <w:pPr>
              <w:spacing w:after="40"/>
            </w:pPr>
            <w:r>
              <w:rPr>
                <w:sz w:val="17"/>
                <w:szCs w:val="17"/>
              </w:rPr>
              <w:t xml:space="preserve">Bullish (cross-asset)</w:t>
            </w:r>
          </w:p>
        </w:tc>
        <w:tc>
          <w:tcPr>
            <w:tcW w:type="dxa" w:w="1760"/>
            <w:tcMar>
              <w:top w:type="dxa" w:w="60"/>
              <w:left w:type="dxa" w:w="80"/>
              <w:bottom w:type="dxa" w:w="60"/>
              <w:right w:type="dxa" w:w="80"/>
            </w:tcMar>
          </w:tcPr>
          <w:p>
            <w:pPr>
              <w:spacing w:after="40"/>
            </w:pPr>
            <w:r>
              <w:rPr>
                <w:sz w:val="17"/>
                <w:szCs w:val="17"/>
              </w:rPr>
              <w:t xml:space="preserve">Medium</w:t>
            </w:r>
          </w:p>
        </w:tc>
      </w:tr>
      <w:tr>
        <w:tc>
          <w:tcPr>
            <w:tcW w:type="dxa" w:w="1500"/>
            <w:tcMar>
              <w:top w:type="dxa" w:w="60"/>
              <w:left w:type="dxa" w:w="80"/>
              <w:bottom w:type="dxa" w:w="60"/>
              <w:right w:type="dxa" w:w="80"/>
            </w:tcMar>
          </w:tcPr>
          <w:p>
            <w:pPr>
              <w:spacing w:after="40"/>
            </w:pPr>
            <w:r>
              <w:rPr>
                <w:sz w:val="17"/>
                <w:szCs w:val="17"/>
              </w:rPr>
              <w:t xml:space="preserve">Reuters/BBN, 14 Jul</w:t>
            </w:r>
          </w:p>
        </w:tc>
        <w:tc>
          <w:tcPr>
            <w:tcW w:type="dxa" w:w="4100"/>
            <w:tcMar>
              <w:top w:type="dxa" w:w="60"/>
              <w:left w:type="dxa" w:w="80"/>
              <w:bottom w:type="dxa" w:w="60"/>
              <w:right w:type="dxa" w:w="80"/>
            </w:tcMar>
          </w:tcPr>
          <w:p>
            <w:pPr>
              <w:spacing w:after="40"/>
            </w:pPr>
            <w:r>
              <w:rPr>
                <w:sz w:val="17"/>
                <w:szCs w:val="17"/>
              </w:rPr>
              <w:t xml:space="preserve">Goldman Sachs earnings materially beat consensus; JPMorgan, Wells Fargo, Citi, BofA all reported</w:t>
            </w:r>
          </w:p>
        </w:tc>
        <w:tc>
          <w:tcPr>
            <w:tcW w:type="dxa" w:w="2000"/>
            <w:tcMar>
              <w:top w:type="dxa" w:w="60"/>
              <w:left w:type="dxa" w:w="80"/>
              <w:bottom w:type="dxa" w:w="60"/>
              <w:right w:type="dxa" w:w="80"/>
            </w:tcMar>
          </w:tcPr>
          <w:p>
            <w:pPr>
              <w:spacing w:after="40"/>
            </w:pPr>
            <w:r>
              <w:rPr>
                <w:sz w:val="17"/>
                <w:szCs w:val="17"/>
              </w:rPr>
              <w:t xml:space="preserve">Bullish</w:t>
            </w:r>
          </w:p>
        </w:tc>
        <w:tc>
          <w:tcPr>
            <w:tcW w:type="dxa" w:w="1760"/>
            <w:tcMar>
              <w:top w:type="dxa" w:w="60"/>
              <w:left w:type="dxa" w:w="80"/>
              <w:bottom w:type="dxa" w:w="60"/>
              <w:right w:type="dxa" w:w="80"/>
            </w:tcMar>
          </w:tcPr>
          <w:p>
            <w:pPr>
              <w:spacing w:after="40"/>
            </w:pPr>
            <w:r>
              <w:rPr>
                <w:sz w:val="17"/>
                <w:szCs w:val="17"/>
              </w:rPr>
              <w:t xml:space="preserve">Medium</w:t>
            </w:r>
          </w:p>
        </w:tc>
      </w:tr>
      <w:tr>
        <w:tc>
          <w:tcPr>
            <w:tcW w:type="dxa" w:w="1500"/>
            <w:tcMar>
              <w:top w:type="dxa" w:w="60"/>
              <w:left w:type="dxa" w:w="80"/>
              <w:bottom w:type="dxa" w:w="60"/>
              <w:right w:type="dxa" w:w="80"/>
            </w:tcMar>
          </w:tcPr>
          <w:p>
            <w:pPr>
              <w:spacing w:after="40"/>
            </w:pPr>
            <w:r>
              <w:rPr>
                <w:sz w:val="17"/>
                <w:szCs w:val="17"/>
              </w:rPr>
              <w:t xml:space="preserve">Proactive, 15 Jul</w:t>
            </w:r>
          </w:p>
        </w:tc>
        <w:tc>
          <w:tcPr>
            <w:tcW w:type="dxa" w:w="4100"/>
            <w:tcMar>
              <w:top w:type="dxa" w:w="60"/>
              <w:left w:type="dxa" w:w="80"/>
              <w:bottom w:type="dxa" w:w="60"/>
              <w:right w:type="dxa" w:w="80"/>
            </w:tcMar>
          </w:tcPr>
          <w:p>
            <w:pPr>
              <w:spacing w:after="40"/>
            </w:pPr>
            <w:r>
              <w:rPr>
                <w:sz w:val="17"/>
                <w:szCs w:val="17"/>
              </w:rPr>
              <w:t xml:space="preserve">Iran threatens to halt all Middle East energy exports; Strait closed until 'end of America's evils'. Brent nonetheless −1%</w:t>
            </w:r>
          </w:p>
        </w:tc>
        <w:tc>
          <w:tcPr>
            <w:tcW w:type="dxa" w:w="2000"/>
            <w:tcMar>
              <w:top w:type="dxa" w:w="60"/>
              <w:left w:type="dxa" w:w="80"/>
              <w:bottom w:type="dxa" w:w="60"/>
              <w:right w:type="dxa" w:w="80"/>
            </w:tcMar>
          </w:tcPr>
          <w:p>
            <w:pPr>
              <w:spacing w:after="40"/>
            </w:pPr>
            <w:r>
              <w:rPr>
                <w:sz w:val="17"/>
                <w:szCs w:val="17"/>
              </w:rPr>
              <w:t xml:space="preserve">Bearish (unpriced tail)</w:t>
            </w:r>
          </w:p>
        </w:tc>
        <w:tc>
          <w:tcPr>
            <w:tcW w:type="dxa" w:w="1760"/>
            <w:tcMar>
              <w:top w:type="dxa" w:w="60"/>
              <w:left w:type="dxa" w:w="80"/>
              <w:bottom w:type="dxa" w:w="60"/>
              <w:right w:type="dxa" w:w="80"/>
            </w:tcMar>
          </w:tcPr>
          <w:p>
            <w:pPr>
              <w:spacing w:after="40"/>
            </w:pPr>
            <w:r>
              <w:rPr>
                <w:sz w:val="17"/>
                <w:szCs w:val="17"/>
              </w:rPr>
              <w:t xml:space="preserve">Medium</w:t>
            </w:r>
          </w:p>
        </w:tc>
      </w:tr>
      <w:tr>
        <w:tc>
          <w:tcPr>
            <w:tcW w:type="dxa" w:w="1500"/>
            <w:tcMar>
              <w:top w:type="dxa" w:w="60"/>
              <w:left w:type="dxa" w:w="80"/>
              <w:bottom w:type="dxa" w:w="60"/>
              <w:right w:type="dxa" w:w="80"/>
            </w:tcMar>
          </w:tcPr>
          <w:p>
            <w:pPr>
              <w:spacing w:after="40"/>
            </w:pPr>
            <w:r>
              <w:rPr>
                <w:sz w:val="17"/>
                <w:szCs w:val="17"/>
              </w:rPr>
              <w:t xml:space="preserve">Reuters, 14 Jul</w:t>
            </w:r>
          </w:p>
        </w:tc>
        <w:tc>
          <w:tcPr>
            <w:tcW w:type="dxa" w:w="4100"/>
            <w:tcMar>
              <w:top w:type="dxa" w:w="60"/>
              <w:left w:type="dxa" w:w="80"/>
              <w:bottom w:type="dxa" w:w="60"/>
              <w:right w:type="dxa" w:w="80"/>
            </w:tcMar>
          </w:tcPr>
          <w:p>
            <w:pPr>
              <w:spacing w:after="40"/>
            </w:pPr>
            <w:r>
              <w:rPr>
                <w:sz w:val="17"/>
                <w:szCs w:val="17"/>
              </w:rPr>
              <w:t xml:space="preserve">BP signals stronger-than-usual Q2 oil trading result; shares +2.2%</w:t>
            </w:r>
          </w:p>
        </w:tc>
        <w:tc>
          <w:tcPr>
            <w:tcW w:type="dxa" w:w="2000"/>
            <w:tcMar>
              <w:top w:type="dxa" w:w="60"/>
              <w:left w:type="dxa" w:w="80"/>
              <w:bottom w:type="dxa" w:w="60"/>
              <w:right w:type="dxa" w:w="80"/>
            </w:tcMar>
          </w:tcPr>
          <w:p>
            <w:pPr>
              <w:spacing w:after="40"/>
            </w:pPr>
            <w:r>
              <w:rPr>
                <w:sz w:val="17"/>
                <w:szCs w:val="17"/>
              </w:rPr>
              <w:t xml:space="preserve">Bullish</w:t>
            </w:r>
          </w:p>
        </w:tc>
        <w:tc>
          <w:tcPr>
            <w:tcW w:type="dxa" w:w="1760"/>
            <w:tcMar>
              <w:top w:type="dxa" w:w="60"/>
              <w:left w:type="dxa" w:w="80"/>
              <w:bottom w:type="dxa" w:w="60"/>
              <w:right w:type="dxa" w:w="80"/>
            </w:tcMar>
          </w:tcPr>
          <w:p>
            <w:pPr>
              <w:spacing w:after="40"/>
            </w:pPr>
            <w:r>
              <w:rPr>
                <w:sz w:val="17"/>
                <w:szCs w:val="17"/>
              </w:rPr>
              <w:t xml:space="preserve">Low</w:t>
            </w:r>
          </w:p>
        </w:tc>
      </w:tr>
    </w:tbl>
    <w:p>
      <w:pPr>
        <w:pStyle w:val="Heading2"/>
        <w:spacing w:after="100" w:before="200"/>
      </w:pPr>
      <w:r>
        <w:t xml:space="preserve">13b  Aggregate sentiment</w:t>
      </w:r>
    </w:p>
    <w:p>
      <w:pPr>
        <w:spacing w:after="120" w:before="0"/>
      </w:pPr>
      <w:r>
        <w:rPr>
          <w:sz w:val="20"/>
          <w:szCs w:val="20"/>
        </w:rPr>
        <w:t xml:space="preserve">Categorical: MILDLY NEGATIVE / DIVIDED.</w:t>
      </w:r>
    </w:p>
    <w:p>
      <w:pPr>
        <w:spacing w:after="120" w:before="0"/>
      </w:pPr>
      <w:r>
        <w:rPr>
          <w:sz w:val="20"/>
          <w:szCs w:val="20"/>
        </w:rPr>
        <w:t xml:space="preserve">Numeric tilt: −0.15 on the [−1, +1] scale.</w:t>
      </w:r>
    </w:p>
    <w:p>
      <w:pPr>
        <w:spacing w:after="120" w:before="0"/>
      </w:pPr>
      <w:r>
        <w:rPr>
          <w:i w:val="false"/>
          <w:iCs w:val="false"/>
          <w:sz w:val="20"/>
          <w:szCs w:val="20"/>
        </w:rPr>
        <w:t xml:space="preserve">Derivation. The high-weight items split cleanly: one strongly bullish session report (14 July) against two bearish session reports (15 July, both citing China and miners). The bullish catalysts — US bank earnings, softer inflation, BP's trading update — are real but are largely already expressed in the 14 July close. The bearish items — the China GDP miss and the Iran escalation — are forward-looking and unresolved. Weighting unresolved forward risk above already-expressed positive catalysts produces a modest negative tilt. The magnitude is deliberately small (−0.15 rather than −0.4) because the negative news flow has conspicuously failed to produce negative price action: the index fell only 0.1% on a day carrying both a China growth miss and an active military escalation. Sentiment that cannot move price is weak sentiment.</w:t>
      </w:r>
    </w:p>
    <w:p>
      <w:pPr>
        <w:spacing w:after="120" w:before="0"/>
      </w:pPr>
      <w:r>
        <w:rPr>
          <w:sz w:val="20"/>
          <w:szCs w:val="20"/>
        </w:rPr>
        <w:t xml:space="preserve">Confidence: Medium. The tilt rests on a coherent and well-corroborated news set, but the divergence between news tone and price response is itself a caution against weighting it heavily.</w:t>
      </w:r>
    </w:p>
    <w:p>
      <w:pPr>
        <w:pStyle w:val="Heading2"/>
        <w:spacing w:after="100" w:before="200"/>
      </w:pPr>
      <w:r>
        <w:t xml:space="preserve">13c  News calendar — events within the lookback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900"/>
        <w:gridCol w:w="3860"/>
      </w:tblGrid>
      <w:tr>
        <w:trPr>
          <w:tblHeader/>
        </w:trPr>
        <w:tc>
          <w:tcPr>
            <w:tcW w:type="dxa" w:w="1000"/>
            <w:shd w:fill="1F4E79" w:val="clear"/>
            <w:tcMar>
              <w:top w:type="dxa" w:w="60"/>
              <w:left w:type="dxa" w:w="80"/>
              <w:bottom w:type="dxa" w:w="60"/>
              <w:right w:type="dxa" w:w="80"/>
            </w:tcMar>
          </w:tcPr>
          <w:p>
            <w:pPr>
              <w:spacing w:after="40"/>
            </w:pPr>
            <w:r>
              <w:rPr>
                <w:b/>
                <w:bCs/>
                <w:color w:val="FFFFFF"/>
                <w:sz w:val="17"/>
                <w:szCs w:val="17"/>
              </w:rPr>
              <w:t xml:space="preserve">Date</w:t>
            </w:r>
          </w:p>
        </w:tc>
        <w:tc>
          <w:tcPr>
            <w:tcW w:type="dxa" w:w="3600"/>
            <w:shd w:fill="1F4E79" w:val="clear"/>
            <w:tcMar>
              <w:top w:type="dxa" w:w="60"/>
              <w:left w:type="dxa" w:w="80"/>
              <w:bottom w:type="dxa" w:w="60"/>
              <w:right w:type="dxa" w:w="80"/>
            </w:tcMar>
          </w:tcPr>
          <w:p>
            <w:pPr>
              <w:spacing w:after="40"/>
            </w:pPr>
            <w:r>
              <w:rPr>
                <w:b/>
                <w:bCs/>
                <w:color w:val="FFFFFF"/>
                <w:sz w:val="17"/>
                <w:szCs w:val="17"/>
              </w:rPr>
              <w:t xml:space="preserve">Event</w:t>
            </w:r>
          </w:p>
        </w:tc>
        <w:tc>
          <w:tcPr>
            <w:tcW w:type="dxa" w:w="900"/>
            <w:shd w:fill="1F4E79" w:val="clear"/>
            <w:tcMar>
              <w:top w:type="dxa" w:w="60"/>
              <w:left w:type="dxa" w:w="80"/>
              <w:bottom w:type="dxa" w:w="60"/>
              <w:right w:type="dxa" w:w="80"/>
            </w:tcMar>
          </w:tcPr>
          <w:p>
            <w:pPr>
              <w:spacing w:after="40"/>
            </w:pPr>
            <w:r>
              <w:rPr>
                <w:b/>
                <w:bCs/>
                <w:color w:val="FFFFFF"/>
                <w:sz w:val="17"/>
                <w:szCs w:val="17"/>
              </w:rPr>
              <w:t xml:space="preserve">Tier</w:t>
            </w:r>
          </w:p>
        </w:tc>
        <w:tc>
          <w:tcPr>
            <w:tcW w:type="dxa" w:w="3860"/>
            <w:shd w:fill="1F4E79" w:val="clear"/>
            <w:tcMar>
              <w:top w:type="dxa" w:w="60"/>
              <w:left w:type="dxa" w:w="80"/>
              <w:bottom w:type="dxa" w:w="60"/>
              <w:right w:type="dxa" w:w="80"/>
            </w:tcMar>
          </w:tcPr>
          <w:p>
            <w:pPr>
              <w:spacing w:after="40"/>
            </w:pPr>
            <w:r>
              <w:rPr>
                <w:b/>
                <w:bCs/>
                <w:color w:val="FFFFFF"/>
                <w:sz w:val="17"/>
                <w:szCs w:val="17"/>
              </w:rPr>
              <w:t xml:space="preserve">Realised impact</w:t>
            </w:r>
          </w:p>
        </w:tc>
      </w:tr>
      <w:tr>
        <w:tc>
          <w:tcPr>
            <w:tcW w:type="dxa" w:w="1000"/>
            <w:tcMar>
              <w:top w:type="dxa" w:w="60"/>
              <w:left w:type="dxa" w:w="80"/>
              <w:bottom w:type="dxa" w:w="60"/>
              <w:right w:type="dxa" w:w="80"/>
            </w:tcMar>
          </w:tcPr>
          <w:p>
            <w:pPr>
              <w:spacing w:after="40"/>
            </w:pPr>
            <w:r>
              <w:rPr>
                <w:sz w:val="17"/>
                <w:szCs w:val="17"/>
              </w:rPr>
              <w:t xml:space="preserve">14 Jul</w:t>
            </w:r>
          </w:p>
        </w:tc>
        <w:tc>
          <w:tcPr>
            <w:tcW w:type="dxa" w:w="3600"/>
            <w:tcMar>
              <w:top w:type="dxa" w:w="60"/>
              <w:left w:type="dxa" w:w="80"/>
              <w:bottom w:type="dxa" w:w="60"/>
              <w:right w:type="dxa" w:w="80"/>
            </w:tcMar>
          </w:tcPr>
          <w:p>
            <w:pPr>
              <w:spacing w:after="40"/>
            </w:pPr>
            <w:r>
              <w:rPr>
                <w:sz w:val="17"/>
                <w:szCs w:val="17"/>
              </w:rPr>
              <w:t xml:space="preserve">US June CPI — softer than expected</w:t>
            </w:r>
          </w:p>
        </w:tc>
        <w:tc>
          <w:tcPr>
            <w:tcW w:type="dxa" w:w="900"/>
            <w:tcMar>
              <w:top w:type="dxa" w:w="60"/>
              <w:left w:type="dxa" w:w="80"/>
              <w:bottom w:type="dxa" w:w="60"/>
              <w:right w:type="dxa" w:w="80"/>
            </w:tcMar>
          </w:tcPr>
          <w:p>
            <w:pPr>
              <w:spacing w:after="40"/>
            </w:pPr>
            <w:r>
              <w:rPr>
                <w:sz w:val="17"/>
                <w:szCs w:val="17"/>
              </w:rPr>
              <w:t xml:space="preserve">Tier 1</w:t>
            </w:r>
          </w:p>
        </w:tc>
        <w:tc>
          <w:tcPr>
            <w:tcW w:type="dxa" w:w="3860"/>
            <w:tcMar>
              <w:top w:type="dxa" w:w="60"/>
              <w:left w:type="dxa" w:w="80"/>
              <w:bottom w:type="dxa" w:w="60"/>
              <w:right w:type="dxa" w:w="80"/>
            </w:tcMar>
          </w:tcPr>
          <w:p>
            <w:pPr>
              <w:spacing w:after="40"/>
            </w:pPr>
            <w:r>
              <w:rPr>
                <w:sz w:val="17"/>
                <w:szCs w:val="17"/>
              </w:rPr>
              <w:t xml:space="preserve">Drove the 14 Jul reversal; lifted banks on both sides of the Atlantic</w:t>
            </w:r>
          </w:p>
        </w:tc>
      </w:tr>
      <w:tr>
        <w:tc>
          <w:tcPr>
            <w:tcW w:type="dxa" w:w="1000"/>
            <w:tcMar>
              <w:top w:type="dxa" w:w="60"/>
              <w:left w:type="dxa" w:w="80"/>
              <w:bottom w:type="dxa" w:w="60"/>
              <w:right w:type="dxa" w:w="80"/>
            </w:tcMar>
          </w:tcPr>
          <w:p>
            <w:pPr>
              <w:spacing w:after="40"/>
            </w:pPr>
            <w:r>
              <w:rPr>
                <w:sz w:val="17"/>
                <w:szCs w:val="17"/>
              </w:rPr>
              <w:t xml:space="preserve">14 Jul</w:t>
            </w:r>
          </w:p>
        </w:tc>
        <w:tc>
          <w:tcPr>
            <w:tcW w:type="dxa" w:w="3600"/>
            <w:tcMar>
              <w:top w:type="dxa" w:w="60"/>
              <w:left w:type="dxa" w:w="80"/>
              <w:bottom w:type="dxa" w:w="60"/>
              <w:right w:type="dxa" w:w="80"/>
            </w:tcMar>
          </w:tcPr>
          <w:p>
            <w:pPr>
              <w:spacing w:after="40"/>
            </w:pPr>
            <w:r>
              <w:rPr>
                <w:sz w:val="17"/>
                <w:szCs w:val="17"/>
              </w:rPr>
              <w:t xml:space="preserve">US Q2 bank earnings season opens (GS, JPM, WFC, C, BAC)</w:t>
            </w:r>
          </w:p>
        </w:tc>
        <w:tc>
          <w:tcPr>
            <w:tcW w:type="dxa" w:w="900"/>
            <w:tcMar>
              <w:top w:type="dxa" w:w="60"/>
              <w:left w:type="dxa" w:w="80"/>
              <w:bottom w:type="dxa" w:w="60"/>
              <w:right w:type="dxa" w:w="80"/>
            </w:tcMar>
          </w:tcPr>
          <w:p>
            <w:pPr>
              <w:spacing w:after="40"/>
            </w:pPr>
            <w:r>
              <w:rPr>
                <w:sz w:val="17"/>
                <w:szCs w:val="17"/>
              </w:rPr>
              <w:t xml:space="preserve">Tier 1</w:t>
            </w:r>
          </w:p>
        </w:tc>
        <w:tc>
          <w:tcPr>
            <w:tcW w:type="dxa" w:w="3860"/>
            <w:tcMar>
              <w:top w:type="dxa" w:w="60"/>
              <w:left w:type="dxa" w:w="80"/>
              <w:bottom w:type="dxa" w:w="60"/>
              <w:right w:type="dxa" w:w="80"/>
            </w:tcMar>
          </w:tcPr>
          <w:p>
            <w:pPr>
              <w:spacing w:after="40"/>
            </w:pPr>
            <w:r>
              <w:rPr>
                <w:sz w:val="17"/>
                <w:szCs w:val="17"/>
              </w:rPr>
              <w:t xml:space="preserve">Large Goldman beat; UK financials rallied in sympathy</w:t>
            </w:r>
          </w:p>
        </w:tc>
      </w:tr>
      <w:tr>
        <w:tc>
          <w:tcPr>
            <w:tcW w:type="dxa" w:w="1000"/>
            <w:tcMar>
              <w:top w:type="dxa" w:w="60"/>
              <w:left w:type="dxa" w:w="80"/>
              <w:bottom w:type="dxa" w:w="60"/>
              <w:right w:type="dxa" w:w="80"/>
            </w:tcMar>
          </w:tcPr>
          <w:p>
            <w:pPr>
              <w:spacing w:after="40"/>
            </w:pPr>
            <w:r>
              <w:rPr>
                <w:sz w:val="17"/>
                <w:szCs w:val="17"/>
              </w:rPr>
              <w:t xml:space="preserve">15 Jul</w:t>
            </w:r>
          </w:p>
        </w:tc>
        <w:tc>
          <w:tcPr>
            <w:tcW w:type="dxa" w:w="3600"/>
            <w:tcMar>
              <w:top w:type="dxa" w:w="60"/>
              <w:left w:type="dxa" w:w="80"/>
              <w:bottom w:type="dxa" w:w="60"/>
              <w:right w:type="dxa" w:w="80"/>
            </w:tcMar>
          </w:tcPr>
          <w:p>
            <w:pPr>
              <w:spacing w:after="40"/>
            </w:pPr>
            <w:r>
              <w:rPr>
                <w:sz w:val="17"/>
                <w:szCs w:val="17"/>
              </w:rPr>
              <w:t xml:space="preserve">China Q2 GDP — 4.3% y/y, missed 4.5% consensus</w:t>
            </w:r>
          </w:p>
        </w:tc>
        <w:tc>
          <w:tcPr>
            <w:tcW w:type="dxa" w:w="900"/>
            <w:tcMar>
              <w:top w:type="dxa" w:w="60"/>
              <w:left w:type="dxa" w:w="80"/>
              <w:bottom w:type="dxa" w:w="60"/>
              <w:right w:type="dxa" w:w="80"/>
            </w:tcMar>
          </w:tcPr>
          <w:p>
            <w:pPr>
              <w:spacing w:after="40"/>
            </w:pPr>
            <w:r>
              <w:rPr>
                <w:sz w:val="17"/>
                <w:szCs w:val="17"/>
              </w:rPr>
              <w:t xml:space="preserve">Tier 1</w:t>
            </w:r>
          </w:p>
        </w:tc>
        <w:tc>
          <w:tcPr>
            <w:tcW w:type="dxa" w:w="3860"/>
            <w:tcMar>
              <w:top w:type="dxa" w:w="60"/>
              <w:left w:type="dxa" w:w="80"/>
              <w:bottom w:type="dxa" w:w="60"/>
              <w:right w:type="dxa" w:w="80"/>
            </w:tcMar>
          </w:tcPr>
          <w:p>
            <w:pPr>
              <w:spacing w:after="40"/>
            </w:pPr>
            <w:r>
              <w:rPr>
                <w:sz w:val="17"/>
                <w:szCs w:val="17"/>
              </w:rPr>
              <w:t xml:space="preserve">Primary driver of 15 Jul mining weakness and the index's decline</w:t>
            </w:r>
          </w:p>
        </w:tc>
      </w:tr>
      <w:tr>
        <w:tc>
          <w:tcPr>
            <w:tcW w:type="dxa" w:w="1000"/>
            <w:tcMar>
              <w:top w:type="dxa" w:w="60"/>
              <w:left w:type="dxa" w:w="80"/>
              <w:bottom w:type="dxa" w:w="60"/>
              <w:right w:type="dxa" w:w="80"/>
            </w:tcMar>
          </w:tcPr>
          <w:p>
            <w:pPr>
              <w:spacing w:after="40"/>
            </w:pPr>
            <w:r>
              <w:rPr>
                <w:sz w:val="17"/>
                <w:szCs w:val="17"/>
              </w:rPr>
              <w:t xml:space="preserve">15 Jul</w:t>
            </w:r>
          </w:p>
        </w:tc>
        <w:tc>
          <w:tcPr>
            <w:tcW w:type="dxa" w:w="3600"/>
            <w:tcMar>
              <w:top w:type="dxa" w:w="60"/>
              <w:left w:type="dxa" w:w="80"/>
              <w:bottom w:type="dxa" w:w="60"/>
              <w:right w:type="dxa" w:w="80"/>
            </w:tcMar>
          </w:tcPr>
          <w:p>
            <w:pPr>
              <w:spacing w:after="40"/>
            </w:pPr>
            <w:r>
              <w:rPr>
                <w:sz w:val="17"/>
                <w:szCs w:val="17"/>
              </w:rPr>
              <w:t xml:space="preserve">US CENTCOM strike wave against Iran</w:t>
            </w:r>
          </w:p>
        </w:tc>
        <w:tc>
          <w:tcPr>
            <w:tcW w:type="dxa" w:w="900"/>
            <w:tcMar>
              <w:top w:type="dxa" w:w="60"/>
              <w:left w:type="dxa" w:w="80"/>
              <w:bottom w:type="dxa" w:w="60"/>
              <w:right w:type="dxa" w:w="80"/>
            </w:tcMar>
          </w:tcPr>
          <w:p>
            <w:pPr>
              <w:spacing w:after="40"/>
            </w:pPr>
            <w:r>
              <w:rPr>
                <w:sz w:val="17"/>
                <w:szCs w:val="17"/>
              </w:rPr>
              <w:t xml:space="preserve">Tier 1</w:t>
            </w:r>
          </w:p>
        </w:tc>
        <w:tc>
          <w:tcPr>
            <w:tcW w:type="dxa" w:w="3860"/>
            <w:tcMar>
              <w:top w:type="dxa" w:w="60"/>
              <w:left w:type="dxa" w:w="80"/>
              <w:bottom w:type="dxa" w:w="60"/>
              <w:right w:type="dxa" w:w="80"/>
            </w:tcMar>
          </w:tcPr>
          <w:p>
            <w:pPr>
              <w:spacing w:after="40"/>
            </w:pPr>
            <w:r>
              <w:rPr>
                <w:sz w:val="17"/>
                <w:szCs w:val="17"/>
              </w:rPr>
              <w:t xml:space="preserve">Elevated geopolitical risk; crude fell regardless</w:t>
            </w:r>
          </w:p>
        </w:tc>
      </w:tr>
    </w:tbl>
    <w:p>
      <w:pPr>
        <w:pStyle w:val="Heading2"/>
        <w:spacing w:after="100" w:before="200"/>
      </w:pPr>
      <w:r>
        <w:t xml:space="preserve">13d  News calendar — forward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800"/>
        <w:gridCol w:w="4260"/>
      </w:tblGrid>
      <w:tr>
        <w:trPr>
          <w:tblHeader/>
        </w:trPr>
        <w:tc>
          <w:tcPr>
            <w:tcW w:type="dxa" w:w="1300"/>
            <w:shd w:fill="1F4E79" w:val="clear"/>
            <w:tcMar>
              <w:top w:type="dxa" w:w="60"/>
              <w:left w:type="dxa" w:w="80"/>
              <w:bottom w:type="dxa" w:w="60"/>
              <w:right w:type="dxa" w:w="80"/>
            </w:tcMar>
          </w:tcPr>
          <w:p>
            <w:pPr>
              <w:spacing w:after="40"/>
            </w:pPr>
            <w:r>
              <w:rPr>
                <w:b/>
                <w:bCs/>
                <w:color w:val="FFFFFF"/>
                <w:sz w:val="17"/>
                <w:szCs w:val="17"/>
              </w:rPr>
              <w:t xml:space="preserve">Timing</w:t>
            </w:r>
          </w:p>
        </w:tc>
        <w:tc>
          <w:tcPr>
            <w:tcW w:type="dxa" w:w="3000"/>
            <w:shd w:fill="1F4E79" w:val="clear"/>
            <w:tcMar>
              <w:top w:type="dxa" w:w="60"/>
              <w:left w:type="dxa" w:w="80"/>
              <w:bottom w:type="dxa" w:w="60"/>
              <w:right w:type="dxa" w:w="80"/>
            </w:tcMar>
          </w:tcPr>
          <w:p>
            <w:pPr>
              <w:spacing w:after="40"/>
            </w:pPr>
            <w:r>
              <w:rPr>
                <w:b/>
                <w:bCs/>
                <w:color w:val="FFFFFF"/>
                <w:sz w:val="17"/>
                <w:szCs w:val="17"/>
              </w:rPr>
              <w:t xml:space="preserve">Event</w:t>
            </w:r>
          </w:p>
        </w:tc>
        <w:tc>
          <w:tcPr>
            <w:tcW w:type="dxa" w:w="800"/>
            <w:shd w:fill="1F4E79" w:val="clear"/>
            <w:tcMar>
              <w:top w:type="dxa" w:w="60"/>
              <w:left w:type="dxa" w:w="80"/>
              <w:bottom w:type="dxa" w:w="60"/>
              <w:right w:type="dxa" w:w="80"/>
            </w:tcMar>
          </w:tcPr>
          <w:p>
            <w:pPr>
              <w:spacing w:after="40"/>
            </w:pPr>
            <w:r>
              <w:rPr>
                <w:b/>
                <w:bCs/>
                <w:color w:val="FFFFFF"/>
                <w:sz w:val="17"/>
                <w:szCs w:val="17"/>
              </w:rPr>
              <w:t xml:space="preserve">Tier</w:t>
            </w:r>
          </w:p>
        </w:tc>
        <w:tc>
          <w:tcPr>
            <w:tcW w:type="dxa" w:w="4260"/>
            <w:shd w:fill="1F4E79" w:val="clear"/>
            <w:tcMar>
              <w:top w:type="dxa" w:w="60"/>
              <w:left w:type="dxa" w:w="80"/>
              <w:bottom w:type="dxa" w:w="60"/>
              <w:right w:type="dxa" w:w="80"/>
            </w:tcMar>
          </w:tcPr>
          <w:p>
            <w:pPr>
              <w:spacing w:after="40"/>
            </w:pPr>
            <w:r>
              <w:rPr>
                <w:b/>
                <w:bCs/>
                <w:color w:val="FFFFFF"/>
                <w:sz w:val="17"/>
                <w:szCs w:val="17"/>
              </w:rPr>
              <w:t xml:space="preserve">Directional risk to the FTSE 100</w:t>
            </w:r>
          </w:p>
        </w:tc>
      </w:tr>
      <w:tr>
        <w:tc>
          <w:tcPr>
            <w:tcW w:type="dxa" w:w="1300"/>
            <w:tcMar>
              <w:top w:type="dxa" w:w="60"/>
              <w:left w:type="dxa" w:w="80"/>
              <w:bottom w:type="dxa" w:w="60"/>
              <w:right w:type="dxa" w:w="80"/>
            </w:tcMar>
          </w:tcPr>
          <w:p>
            <w:pPr>
              <w:spacing w:after="40"/>
            </w:pPr>
            <w:r>
              <w:rPr>
                <w:sz w:val="17"/>
                <w:szCs w:val="17"/>
              </w:rPr>
              <w:t xml:space="preserve">16 Jul onward</w:t>
            </w:r>
          </w:p>
        </w:tc>
        <w:tc>
          <w:tcPr>
            <w:tcW w:type="dxa" w:w="3000"/>
            <w:tcMar>
              <w:top w:type="dxa" w:w="60"/>
              <w:left w:type="dxa" w:w="80"/>
              <w:bottom w:type="dxa" w:w="60"/>
              <w:right w:type="dxa" w:w="80"/>
            </w:tcMar>
          </w:tcPr>
          <w:p>
            <w:pPr>
              <w:spacing w:after="40"/>
            </w:pPr>
            <w:r>
              <w:rPr>
                <w:sz w:val="17"/>
                <w:szCs w:val="17"/>
              </w:rPr>
              <w:t xml:space="preserve">US Q2 earnings season continues (financials, then broad market)</w:t>
            </w:r>
          </w:p>
        </w:tc>
        <w:tc>
          <w:tcPr>
            <w:tcW w:type="dxa" w:w="800"/>
            <w:tcMar>
              <w:top w:type="dxa" w:w="60"/>
              <w:left w:type="dxa" w:w="80"/>
              <w:bottom w:type="dxa" w:w="60"/>
              <w:right w:type="dxa" w:w="80"/>
            </w:tcMar>
          </w:tcPr>
          <w:p>
            <w:pPr>
              <w:spacing w:after="40"/>
            </w:pPr>
            <w:r>
              <w:rPr>
                <w:sz w:val="17"/>
                <w:szCs w:val="17"/>
              </w:rPr>
              <w:t xml:space="preserve">Tier 1</w:t>
            </w:r>
          </w:p>
        </w:tc>
        <w:tc>
          <w:tcPr>
            <w:tcW w:type="dxa" w:w="4260"/>
            <w:tcMar>
              <w:top w:type="dxa" w:w="60"/>
              <w:left w:type="dxa" w:w="80"/>
              <w:bottom w:type="dxa" w:w="60"/>
              <w:right w:type="dxa" w:w="80"/>
            </w:tcMar>
          </w:tcPr>
          <w:p>
            <w:pPr>
              <w:spacing w:after="40"/>
            </w:pPr>
            <w:r>
              <w:rPr>
                <w:sz w:val="17"/>
                <w:szCs w:val="17"/>
              </w:rPr>
              <w:t xml:space="preserve">Two-sided. Continued beats support the financials weight; a miss from a major name would remove the principal bullish catalyst</w:t>
            </w:r>
          </w:p>
        </w:tc>
      </w:tr>
      <w:tr>
        <w:tc>
          <w:tcPr>
            <w:tcW w:type="dxa" w:w="1300"/>
            <w:tcMar>
              <w:top w:type="dxa" w:w="60"/>
              <w:left w:type="dxa" w:w="80"/>
              <w:bottom w:type="dxa" w:w="60"/>
              <w:right w:type="dxa" w:w="80"/>
            </w:tcMar>
          </w:tcPr>
          <w:p>
            <w:pPr>
              <w:spacing w:after="40"/>
            </w:pPr>
            <w:r>
              <w:rPr>
                <w:sz w:val="17"/>
                <w:szCs w:val="17"/>
              </w:rPr>
              <w:t xml:space="preserve">Ongoing / unscheduled</w:t>
            </w:r>
          </w:p>
        </w:tc>
        <w:tc>
          <w:tcPr>
            <w:tcW w:type="dxa" w:w="3000"/>
            <w:tcMar>
              <w:top w:type="dxa" w:w="60"/>
              <w:left w:type="dxa" w:w="80"/>
              <w:bottom w:type="dxa" w:w="60"/>
              <w:right w:type="dxa" w:w="80"/>
            </w:tcMar>
          </w:tcPr>
          <w:p>
            <w:pPr>
              <w:spacing w:after="40"/>
            </w:pPr>
            <w:r>
              <w:rPr>
                <w:sz w:val="17"/>
                <w:szCs w:val="17"/>
              </w:rPr>
              <w:t xml:space="preserve">Strait of Hormuz closure enforcement or de-escalation</w:t>
            </w:r>
          </w:p>
        </w:tc>
        <w:tc>
          <w:tcPr>
            <w:tcW w:type="dxa" w:w="800"/>
            <w:tcMar>
              <w:top w:type="dxa" w:w="60"/>
              <w:left w:type="dxa" w:w="80"/>
              <w:bottom w:type="dxa" w:w="60"/>
              <w:right w:type="dxa" w:w="80"/>
            </w:tcMar>
          </w:tcPr>
          <w:p>
            <w:pPr>
              <w:spacing w:after="40"/>
            </w:pPr>
            <w:r>
              <w:rPr>
                <w:sz w:val="17"/>
                <w:szCs w:val="17"/>
              </w:rPr>
              <w:t xml:space="preserve">Tier 1</w:t>
            </w:r>
          </w:p>
        </w:tc>
        <w:tc>
          <w:tcPr>
            <w:tcW w:type="dxa" w:w="4260"/>
            <w:tcMar>
              <w:top w:type="dxa" w:w="60"/>
              <w:left w:type="dxa" w:w="80"/>
              <w:bottom w:type="dxa" w:w="60"/>
              <w:right w:type="dxa" w:w="80"/>
            </w:tcMar>
          </w:tcPr>
          <w:p>
            <w:pPr>
              <w:spacing w:after="40"/>
            </w:pPr>
            <w:r>
              <w:rPr>
                <w:sz w:val="17"/>
                <w:szCs w:val="17"/>
              </w:rPr>
              <w:t xml:space="preserve">Sharply two-sided and unpriced. Enforced closure would spike crude and lift energy names while crushing broad risk appetite — the FTSE 100's energy weight makes the net sign genuinely ambiguous</w:t>
            </w:r>
          </w:p>
        </w:tc>
      </w:tr>
      <w:tr>
        <w:tc>
          <w:tcPr>
            <w:tcW w:type="dxa" w:w="1300"/>
            <w:tcMar>
              <w:top w:type="dxa" w:w="60"/>
              <w:left w:type="dxa" w:w="80"/>
              <w:bottom w:type="dxa" w:w="60"/>
              <w:right w:type="dxa" w:w="80"/>
            </w:tcMar>
          </w:tcPr>
          <w:p>
            <w:pPr>
              <w:spacing w:after="40"/>
            </w:pPr>
            <w:r>
              <w:rPr>
                <w:sz w:val="17"/>
                <w:szCs w:val="17"/>
              </w:rPr>
              <w:t xml:space="preserve">Ongoing</w:t>
            </w:r>
          </w:p>
        </w:tc>
        <w:tc>
          <w:tcPr>
            <w:tcW w:type="dxa" w:w="3000"/>
            <w:tcMar>
              <w:top w:type="dxa" w:w="60"/>
              <w:left w:type="dxa" w:w="80"/>
              <w:bottom w:type="dxa" w:w="60"/>
              <w:right w:type="dxa" w:w="80"/>
            </w:tcMar>
          </w:tcPr>
          <w:p>
            <w:pPr>
              <w:spacing w:after="40"/>
            </w:pPr>
            <w:r>
              <w:rPr>
                <w:sz w:val="17"/>
                <w:szCs w:val="17"/>
              </w:rPr>
              <w:t xml:space="preserve">Chinese policy response to the Q2 growth miss</w:t>
            </w:r>
          </w:p>
        </w:tc>
        <w:tc>
          <w:tcPr>
            <w:tcW w:type="dxa" w:w="800"/>
            <w:tcMar>
              <w:top w:type="dxa" w:w="60"/>
              <w:left w:type="dxa" w:w="80"/>
              <w:bottom w:type="dxa" w:w="60"/>
              <w:right w:type="dxa" w:w="80"/>
            </w:tcMar>
          </w:tcPr>
          <w:p>
            <w:pPr>
              <w:spacing w:after="40"/>
            </w:pPr>
            <w:r>
              <w:rPr>
                <w:sz w:val="17"/>
                <w:szCs w:val="17"/>
              </w:rPr>
              <w:t xml:space="preserve">Tier 2</w:t>
            </w:r>
          </w:p>
        </w:tc>
        <w:tc>
          <w:tcPr>
            <w:tcW w:type="dxa" w:w="4260"/>
            <w:tcMar>
              <w:top w:type="dxa" w:w="60"/>
              <w:left w:type="dxa" w:w="80"/>
              <w:bottom w:type="dxa" w:w="60"/>
              <w:right w:type="dxa" w:w="80"/>
            </w:tcMar>
          </w:tcPr>
          <w:p>
            <w:pPr>
              <w:spacing w:after="40"/>
            </w:pPr>
            <w:r>
              <w:rPr>
                <w:sz w:val="17"/>
                <w:szCs w:val="17"/>
              </w:rPr>
              <w:t xml:space="preserve">Upside risk to miners on stimulus; further downside if the slowdown is confirmed</w:t>
            </w:r>
          </w:p>
        </w:tc>
      </w:tr>
      <w:tr>
        <w:tc>
          <w:tcPr>
            <w:tcW w:type="dxa" w:w="1300"/>
            <w:tcMar>
              <w:top w:type="dxa" w:w="60"/>
              <w:left w:type="dxa" w:w="80"/>
              <w:bottom w:type="dxa" w:w="60"/>
              <w:right w:type="dxa" w:w="80"/>
            </w:tcMar>
          </w:tcPr>
          <w:p>
            <w:pPr>
              <w:spacing w:after="40"/>
            </w:pPr>
            <w:r>
              <w:rPr>
                <w:sz w:val="17"/>
                <w:szCs w:val="17"/>
              </w:rPr>
              <w:t xml:space="preserve">Forward month</w:t>
            </w:r>
          </w:p>
        </w:tc>
        <w:tc>
          <w:tcPr>
            <w:tcW w:type="dxa" w:w="3000"/>
            <w:tcMar>
              <w:top w:type="dxa" w:w="60"/>
              <w:left w:type="dxa" w:w="80"/>
              <w:bottom w:type="dxa" w:w="60"/>
              <w:right w:type="dxa" w:w="80"/>
            </w:tcMar>
          </w:tcPr>
          <w:p>
            <w:pPr>
              <w:spacing w:after="40"/>
            </w:pPr>
            <w:r>
              <w:rPr>
                <w:sz w:val="17"/>
                <w:szCs w:val="17"/>
              </w:rPr>
              <w:t xml:space="preserve">UK CPI, Bank of England commentary</w:t>
            </w:r>
          </w:p>
        </w:tc>
        <w:tc>
          <w:tcPr>
            <w:tcW w:type="dxa" w:w="800"/>
            <w:tcMar>
              <w:top w:type="dxa" w:w="60"/>
              <w:left w:type="dxa" w:w="80"/>
              <w:bottom w:type="dxa" w:w="60"/>
              <w:right w:type="dxa" w:w="80"/>
            </w:tcMar>
          </w:tcPr>
          <w:p>
            <w:pPr>
              <w:spacing w:after="40"/>
            </w:pPr>
            <w:r>
              <w:rPr>
                <w:sz w:val="17"/>
                <w:szCs w:val="17"/>
              </w:rPr>
              <w:t xml:space="preserve">Tier 2</w:t>
            </w:r>
          </w:p>
        </w:tc>
        <w:tc>
          <w:tcPr>
            <w:tcW w:type="dxa" w:w="4260"/>
            <w:tcMar>
              <w:top w:type="dxa" w:w="60"/>
              <w:left w:type="dxa" w:w="80"/>
              <w:bottom w:type="dxa" w:w="60"/>
              <w:right w:type="dxa" w:w="80"/>
            </w:tcMar>
          </w:tcPr>
          <w:p>
            <w:pPr>
              <w:spacing w:after="40"/>
            </w:pPr>
            <w:r>
              <w:rPr>
                <w:sz w:val="17"/>
                <w:szCs w:val="17"/>
              </w:rPr>
              <w:t xml:space="preserve">Standard rate-path sensitivity via financials and sterling</w:t>
            </w:r>
          </w:p>
        </w:tc>
      </w:tr>
    </w:tbl>
    <w:p>
      <w:pPr>
        <w:spacing w:after="120" w:before="0"/>
      </w:pPr>
      <w:r>
        <w:rPr>
          <w:b/>
          <w:bCs/>
          <w:sz w:val="20"/>
          <w:szCs w:val="20"/>
        </w:rPr>
        <w:t xml:space="preserve">Holding-period collision. The trade cards in §21 carry a same-session to five-session horizon. That horizon collides directly with an active, unscheduled Tier-1 geopolitical risk (Hormuz) and with continuing Tier-1 earnings flow. This collision is flagged on every card in §21b.</w:t>
      </w:r>
    </w:p>
    <w:p>
      <w:pPr>
        <w:pStyle w:val="Heading1"/>
        <w:spacing w:after="140" w:before="280"/>
      </w:pPr>
      <w:r>
        <w:t xml:space="preserve">§14  Macro Context</w:t>
      </w:r>
    </w:p>
    <w:p>
      <w:pPr>
        <w:spacing w:after="120" w:before="0"/>
      </w:pPr>
      <w:r>
        <w:rPr>
          <w:sz w:val="20"/>
          <w:szCs w:val="20"/>
        </w:rPr>
        <w:t xml:space="preserve">Rates. The US 10-year Treasury yield traded flat at 4.56% on 15 July; the 30-year widened slightly to 5.08% from 5.07%. Following the softer June CPI print, the market has moved to price a higher probability of easing. For the FTSE 100 the transmission runs through financials: steeper or firmer curves support net interest margins, while easing expectations support valuation multiples. The 14 July bank rally captured both.</w:t>
      </w:r>
    </w:p>
    <w:p>
      <w:pPr>
        <w:spacing w:after="120" w:before="0"/>
      </w:pPr>
      <w:r>
        <w:rPr>
          <w:sz w:val="20"/>
          <w:szCs w:val="20"/>
        </w:rPr>
        <w:t xml:space="preserve">Inflation. The softer-than-expected US June CPI is the pivotal macro input of the window. It reversed an entire risk-off session on 14 July. The counterweight is that an enforced Hormuz closure would be directly inflationary through the energy channel, which is why the market's decision to discount that threat matters so much.</w:t>
      </w:r>
    </w:p>
    <w:p>
      <w:pPr>
        <w:spacing w:after="120" w:before="0"/>
      </w:pPr>
      <w:r>
        <w:rPr>
          <w:sz w:val="20"/>
          <w:szCs w:val="20"/>
        </w:rPr>
        <w:t xml:space="preserve">Liquidity and FX. Referencing the Dollar Index read in §10: the dollar extended its weakness on 15 July after tumbling from a two-week high. Sterling firmed to 1.3486 dollars from 1.3396, and to 1.1791 euros from 1.1709. The euro traded at 1.1437 dollars. This is a clear and mechanical headwind to the FTSE 100 given the index's roughly 80% overseas revenue exposure — sterling strength directly compresses translated earnings. It is the principal macro argument against the bullish technical read.</w:t>
      </w:r>
    </w:p>
    <w:p>
      <w:pPr>
        <w:spacing w:after="120" w:before="0"/>
      </w:pPr>
      <w:r>
        <w:rPr>
          <w:sz w:val="20"/>
          <w:szCs w:val="20"/>
        </w:rPr>
        <w:t xml:space="preserve">Energy. Crude fell approximately 1% on 15 July, with Brent under $84, despite the CENTCOM strike wave and Iran's export threat. On 14 July WTI had risen 1.82% to $79.56 and Brent 1.98% to $84.95 before easing after the US abandoned a demand for shipping protection fees. Energy shares dipped 0.9% on 15 July tracking crude lower. For an index with the FTSE 100's energy weight, softening crude is a mild negative — but a crude spike on enforced closure would be a very large positive for the same names and a large negative for everything else.</w:t>
      </w:r>
    </w:p>
    <w:p>
      <w:pPr>
        <w:spacing w:after="120" w:before="0"/>
      </w:pPr>
      <w:r>
        <w:rPr>
          <w:sz w:val="20"/>
          <w:szCs w:val="20"/>
        </w:rPr>
        <w:t xml:space="preserve">Positioning. Formal positioning data is not available within this source standard. The observable proxy is sector behaviour: rotation into financials and energy, out of miners. Volatility, per §9, is compressed.</w:t>
      </w:r>
    </w:p>
    <w:p>
      <w:pPr>
        <w:spacing w:after="120" w:before="0"/>
      </w:pPr>
      <w:r>
        <w:rPr>
          <w:b/>
          <w:bCs/>
          <w:sz w:val="20"/>
          <w:szCs w:val="20"/>
        </w:rPr>
        <w:t xml:space="preserve">Contradiction with cross-asset reads. The macro narrative is consistent with §10 and does not require reconciliation. Both identify sterling strength and dollar weakness as the principal drag and US risk appetite as the principal support. Both identify the China shock as transmitting through mining and through the DAX more forcefully than through the FTSE 100.</w:t>
      </w:r>
    </w:p>
    <w:p>
      <w:pPr>
        <w:spacing w:after="120" w:before="0"/>
      </w:pPr>
      <w:r>
        <w:rPr>
          <w:sz w:val="20"/>
          <w:szCs w:val="20"/>
        </w:rPr>
        <w:t xml:space="preserve">Watch item. The Hormuz situation is the §13d event with the greatest macro leverage. If enforced closure materialises, the directional risk to the FTSE 100 is genuinely ambiguous in sign but unambiguously large in magnitude — this is the reason the confidence rating on the forward view is not higher.</w:t>
      </w:r>
    </w:p>
    <w:p>
      <w:pPr>
        <w:pStyle w:val="Heading1"/>
        <w:spacing w:after="140" w:before="280"/>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60"/>
              <w:left w:type="dxa" w:w="80"/>
              <w:bottom w:type="dxa" w:w="60"/>
              <w:right w:type="dxa" w:w="80"/>
            </w:tcMar>
          </w:tcPr>
          <w:p>
            <w:pPr>
              <w:spacing w:after="40"/>
            </w:pPr>
            <w:r>
              <w:rPr>
                <w:b/>
                <w:bCs/>
                <w:color w:val="FFFFFF"/>
                <w:sz w:val="17"/>
                <w:szCs w:val="17"/>
              </w:rPr>
              <w:t xml:space="preserve">Main upside risks</w:t>
            </w:r>
          </w:p>
        </w:tc>
        <w:tc>
          <w:tcPr>
            <w:tcW w:type="dxa" w:w="4680"/>
            <w:shd w:fill="1F4E79" w:val="clear"/>
            <w:tcMar>
              <w:top w:type="dxa" w:w="60"/>
              <w:left w:type="dxa" w:w="80"/>
              <w:bottom w:type="dxa" w:w="60"/>
              <w:right w:type="dxa" w:w="80"/>
            </w:tcMar>
          </w:tcPr>
          <w:p>
            <w:pPr>
              <w:spacing w:after="40"/>
            </w:pPr>
            <w:r>
              <w:rPr>
                <w:b/>
                <w:bCs/>
                <w:color w:val="FFFFFF"/>
                <w:sz w:val="17"/>
                <w:szCs w:val="17"/>
              </w:rPr>
              <w:t xml:space="preserve">Main downside risks</w:t>
            </w:r>
          </w:p>
        </w:tc>
      </w:tr>
      <w:tr>
        <w:tc>
          <w:tcPr>
            <w:tcW w:type="dxa" w:w="4680"/>
            <w:tcMar>
              <w:top w:type="dxa" w:w="60"/>
              <w:left w:type="dxa" w:w="80"/>
              <w:bottom w:type="dxa" w:w="60"/>
              <w:right w:type="dxa" w:w="80"/>
            </w:tcMar>
          </w:tcPr>
          <w:p>
            <w:pPr>
              <w:spacing w:after="40"/>
            </w:pPr>
            <w:r>
              <w:rPr>
                <w:sz w:val="17"/>
                <w:szCs w:val="17"/>
              </w:rPr>
              <w:t xml:space="preserve">The 14 July reversal candle is the only fully corroborated session in the window and it is decisively bullish — a 130-point intraday recovery closing in the upper quarter of the range</w:t>
            </w:r>
          </w:p>
        </w:tc>
        <w:tc>
          <w:tcPr>
            <w:tcW w:type="dxa" w:w="4680"/>
            <w:tcMar>
              <w:top w:type="dxa" w:w="60"/>
              <w:left w:type="dxa" w:w="80"/>
              <w:bottom w:type="dxa" w:w="60"/>
              <w:right w:type="dxa" w:w="80"/>
            </w:tcMar>
          </w:tcPr>
          <w:p>
            <w:pPr>
              <w:spacing w:after="40"/>
            </w:pPr>
            <w:r>
              <w:rPr>
                <w:sz w:val="17"/>
                <w:szCs w:val="17"/>
              </w:rPr>
              <w:t xml:space="preserve">Sterling strength against both the dollar and the euro directly compresses the roughly 80% of index revenue earned overseas — the single most mechanical headwind (§10, §14)</w:t>
            </w:r>
          </w:p>
        </w:tc>
      </w:tr>
      <w:tr>
        <w:tc>
          <w:tcPr>
            <w:tcW w:type="dxa" w:w="4680"/>
            <w:tcMar>
              <w:top w:type="dxa" w:w="60"/>
              <w:left w:type="dxa" w:w="80"/>
              <w:bottom w:type="dxa" w:w="60"/>
              <w:right w:type="dxa" w:w="80"/>
            </w:tcMar>
          </w:tcPr>
          <w:p>
            <w:pPr>
              <w:spacing w:after="40"/>
            </w:pPr>
            <w:r>
              <w:rPr>
                <w:sz w:val="17"/>
                <w:szCs w:val="17"/>
              </w:rPr>
              <w:t xml:space="preserve">US Q2 earnings are beating materially (Goldman $20.98 vs $14.48 consensus), and the FTSE 100's financials weight transmits this directly</w:t>
            </w:r>
          </w:p>
        </w:tc>
        <w:tc>
          <w:tcPr>
            <w:tcW w:type="dxa" w:w="4680"/>
            <w:tcMar>
              <w:top w:type="dxa" w:w="60"/>
              <w:left w:type="dxa" w:w="80"/>
              <w:bottom w:type="dxa" w:w="60"/>
              <w:right w:type="dxa" w:w="80"/>
            </w:tcMar>
          </w:tcPr>
          <w:p>
            <w:pPr>
              <w:spacing w:after="40"/>
            </w:pPr>
            <w:r>
              <w:rPr>
                <w:sz w:val="17"/>
                <w:szCs w:val="17"/>
              </w:rPr>
              <w:t xml:space="preserve">The China Q2 GDP miss at 4.3% is unresolved and is actively suppressing the mining complex, with no policy response yet visible</w:t>
            </w:r>
          </w:p>
        </w:tc>
      </w:tr>
      <w:tr>
        <w:tc>
          <w:tcPr>
            <w:tcW w:type="dxa" w:w="4680"/>
            <w:tcMar>
              <w:top w:type="dxa" w:w="60"/>
              <w:left w:type="dxa" w:w="80"/>
              <w:bottom w:type="dxa" w:w="60"/>
              <w:right w:type="dxa" w:w="80"/>
            </w:tcMar>
          </w:tcPr>
          <w:p>
            <w:pPr>
              <w:spacing w:after="40"/>
            </w:pPr>
            <w:r>
              <w:rPr>
                <w:sz w:val="17"/>
                <w:szCs w:val="17"/>
              </w:rPr>
              <w:t xml:space="preserve">Softer US inflation has revived easing expectations, supporting both financials and valuation multiples across the counter set</w:t>
            </w:r>
          </w:p>
        </w:tc>
        <w:tc>
          <w:tcPr>
            <w:tcW w:type="dxa" w:w="4680"/>
            <w:tcMar>
              <w:top w:type="dxa" w:w="60"/>
              <w:left w:type="dxa" w:w="80"/>
              <w:bottom w:type="dxa" w:w="60"/>
              <w:right w:type="dxa" w:w="80"/>
            </w:tcMar>
          </w:tcPr>
          <w:p>
            <w:pPr>
              <w:spacing w:after="40"/>
            </w:pPr>
            <w:r>
              <w:rPr>
                <w:sz w:val="17"/>
                <w:szCs w:val="17"/>
              </w:rPr>
              <w:t xml:space="preserve">The DAX 40's materially larger decline on the same session confirms the China demand shock is real and transmitting into European equity (§10)</w:t>
            </w:r>
          </w:p>
        </w:tc>
      </w:tr>
      <w:tr>
        <w:tc>
          <w:tcPr>
            <w:tcW w:type="dxa" w:w="4680"/>
            <w:tcMar>
              <w:top w:type="dxa" w:w="60"/>
              <w:left w:type="dxa" w:w="80"/>
              <w:bottom w:type="dxa" w:w="60"/>
              <w:right w:type="dxa" w:w="80"/>
            </w:tcMar>
          </w:tcPr>
          <w:p>
            <w:pPr>
              <w:spacing w:after="40"/>
            </w:pPr>
            <w:r>
              <w:rPr>
                <w:sz w:val="17"/>
                <w:szCs w:val="17"/>
              </w:rPr>
              <w:t xml:space="preserve">Rising session lows through the window (10,420 → 10,440 → 10,470 → 10,480) with the single violation on 14 July immediately rejected</w:t>
            </w:r>
          </w:p>
        </w:tc>
        <w:tc>
          <w:tcPr>
            <w:tcW w:type="dxa" w:w="4680"/>
            <w:tcMar>
              <w:top w:type="dxa" w:w="60"/>
              <w:left w:type="dxa" w:w="80"/>
              <w:bottom w:type="dxa" w:w="60"/>
              <w:right w:type="dxa" w:w="80"/>
            </w:tcMar>
          </w:tcPr>
          <w:p>
            <w:pPr>
              <w:spacing w:after="40"/>
            </w:pPr>
            <w:r>
              <w:rPr>
                <w:sz w:val="17"/>
                <w:szCs w:val="17"/>
              </w:rPr>
              <w:t xml:space="preserve">Compression beneath a confluence shelf resolves in both directions — the same structure that supports a break supports a rejection back to the 10,482 pivot floor (§11)</w:t>
            </w:r>
          </w:p>
        </w:tc>
      </w:tr>
      <w:tr>
        <w:tc>
          <w:tcPr>
            <w:tcW w:type="dxa" w:w="4680"/>
            <w:tcMar>
              <w:top w:type="dxa" w:w="60"/>
              <w:left w:type="dxa" w:w="80"/>
              <w:bottom w:type="dxa" w:w="60"/>
              <w:right w:type="dxa" w:w="80"/>
            </w:tcMar>
          </w:tcPr>
          <w:p>
            <w:pPr>
              <w:spacing w:after="40"/>
            </w:pPr>
            <w:r>
              <w:rPr>
                <w:sz w:val="17"/>
                <w:szCs w:val="17"/>
              </w:rPr>
              <w:t xml:space="preserve">The close sits above the daily pivot, and compressing volatility beneath a defined resistance shelf typically resolves directionally rather than drifting</w:t>
            </w:r>
          </w:p>
        </w:tc>
        <w:tc>
          <w:tcPr>
            <w:tcW w:type="dxa" w:w="4680"/>
            <w:tcMar>
              <w:top w:type="dxa" w:w="60"/>
              <w:left w:type="dxa" w:w="80"/>
              <w:bottom w:type="dxa" w:w="60"/>
              <w:right w:type="dxa" w:w="80"/>
            </w:tcMar>
          </w:tcPr>
          <w:p>
            <w:pPr>
              <w:spacing w:after="40"/>
            </w:pPr>
            <w:r>
              <w:rPr>
                <w:sz w:val="17"/>
                <w:szCs w:val="17"/>
              </w:rPr>
              <w:t xml:space="preserve">Crude fell 1% despite an active military escalation and an explicit Iranian export threat — the market is discounting a Tier-1 tail that could reprice violently in either direction (§12, §13d)</w:t>
            </w:r>
          </w:p>
        </w:tc>
      </w:tr>
      <w:tr>
        <w:tc>
          <w:tcPr>
            <w:tcW w:type="dxa" w:w="4680"/>
            <w:tcMar>
              <w:top w:type="dxa" w:w="60"/>
              <w:left w:type="dxa" w:w="80"/>
              <w:bottom w:type="dxa" w:w="60"/>
              <w:right w:type="dxa" w:w="80"/>
            </w:tcMar>
          </w:tcPr>
          <w:p>
            <w:pPr>
              <w:spacing w:after="40"/>
            </w:pPr>
            <w:r>
              <w:rPr>
                <w:sz w:val="17"/>
                <w:szCs w:val="17"/>
              </w:rPr>
              <w:t xml:space="preserve">The index absorbed a China growth miss and a live military escalation on 15 July and fell only 0.1% — bearish news is not producing bearish price</w:t>
            </w:r>
          </w:p>
        </w:tc>
        <w:tc>
          <w:tcPr>
            <w:tcW w:type="dxa" w:w="4680"/>
            <w:tcMar>
              <w:top w:type="dxa" w:w="60"/>
              <w:left w:type="dxa" w:w="80"/>
              <w:bottom w:type="dxa" w:w="60"/>
              <w:right w:type="dxa" w:w="80"/>
            </w:tcMar>
          </w:tcPr>
          <w:p>
            <w:pPr>
              <w:spacing w:after="40"/>
            </w:pPr>
            <w:r>
              <w:rPr>
                <w:sz w:val="17"/>
                <w:szCs w:val="17"/>
              </w:rPr>
              <w:t xml:space="preserve">The medium-term structure has not challenged the February record in over four months and the June rising structure was broken on 8 July and only partially rebuilt (§9)</w:t>
            </w:r>
          </w:p>
        </w:tc>
      </w:tr>
    </w:tbl>
    <w:p>
      <w:pPr>
        <w:pStyle w:val="Heading1"/>
        <w:spacing w:after="140" w:before="280"/>
      </w:pPr>
      <w:r>
        <w:t xml:space="preserve">§16  Forward View</w:t>
      </w:r>
    </w:p>
    <w:p>
      <w:pPr>
        <w:spacing w:after="120" w:before="0"/>
      </w:pPr>
      <w:r>
        <w:rPr>
          <w:sz w:val="20"/>
          <w:szCs w:val="20"/>
        </w:rPr>
        <w:t xml:space="preserve">Expected direction over the next five trading days: mildly higher, with low conviction and a wide error band.</w:t>
      </w:r>
    </w:p>
    <w:p>
      <w:pPr>
        <w:spacing w:after="120" w:before="0"/>
      </w:pPr>
      <w:r>
        <w:rPr>
          <w:sz w:val="20"/>
          <w:szCs w:val="20"/>
        </w:rPr>
        <w:t xml:space="preserve">Expected trading range: 10,420 – 10,650 index points. The lower bound is the five-day swing low; the upper bound sits between the daily R2 at 10,578.64 and the weekly R1 at 10,644.60, reflecting that a confirmed break of the 10,547–10,553 confluence opens the weekly structure above.</w:t>
      </w:r>
    </w:p>
    <w:p>
      <w:pPr>
        <w:spacing w:after="120" w:before="0"/>
      </w:pPr>
      <w:r>
        <w:rPr>
          <w:sz w:val="20"/>
          <w:szCs w:val="20"/>
        </w:rPr>
        <w:t xml:space="preserve">The view respects the technical regime. TRANSITION is treated as a directional regime rather than a hold: the thesis is that the 8 July break and the subsequent four-session rebuild have tested and faked out the prior range sufficiently that the next confirmed break carries elevated follow-through probability. The mild upward lean follows the direction score, the rising session lows, and the position above the daily pivot — not a trend read, because there is no trend.</w:t>
      </w:r>
    </w:p>
    <w:p>
      <w:pPr>
        <w:spacing w:after="120" w:before="0"/>
      </w:pPr>
      <w:r>
        <w:rPr>
          <w:b/>
          <w:bCs/>
          <w:sz w:val="20"/>
          <w:szCs w:val="20"/>
        </w:rPr>
        <w:t xml:space="preserve">Base case invalidation. A daily close below the daily S1 at 10,482.28 breaks the rising-lows sequence and invalidates the constructive read. A daily close below the five-day swing low at 10,420.00 would additionally re-open the 8 July selloff structure and would shift the medium-term regime toward TREND_DOWN.</w:t>
      </w:r>
    </w:p>
    <w:p>
      <w:pPr>
        <w:spacing w:after="120" w:before="0"/>
      </w:pPr>
      <w:r>
        <w:rPr>
          <w:b/>
          <w:bCs/>
          <w:sz w:val="20"/>
          <w:szCs w:val="20"/>
        </w:rPr>
        <w:t xml:space="preserve">Contradiction flag. The forward view leans mildly bullish while the aggregate sentiment tilt is mildly negative (−0.15) and two of three counters contradict. This is stated rather than resolved. The reconciliation offered — that bearish news repeatedly failed to produce bearish price on 15 July — is an interpretation, not a fact, and it is the weakest link in this analysis.</w:t>
      </w:r>
    </w:p>
    <w:p>
      <w:pPr>
        <w:pStyle w:val="Heading1"/>
        <w:spacing w:after="140" w:before="280"/>
      </w:pPr>
      <w:r>
        <w:t xml:space="preserve">§17  Forecast</w:t>
      </w:r>
    </w:p>
    <w:p>
      <w:pPr>
        <w:spacing w:after="120" w:before="0"/>
      </w:pPr>
      <w:r>
        <w:rPr>
          <w:b/>
          <w:bCs/>
          <w:sz w:val="22"/>
          <w:szCs w:val="22"/>
        </w:rPr>
        <w:t xml:space="preserve">The FTSE 100 is expected to trade mildly higher over the next five sessions toward the 10,547–10,578 resistance band, with a confirmed daily close above 10,553 opening the weekly structure toward 10,645, and a daily close below 10,482 invalidating the constructive view.</w:t>
      </w:r>
    </w:p>
    <w:p>
      <w:pPr>
        <w:pStyle w:val="Heading1"/>
        <w:spacing w:after="140" w:before="280"/>
      </w:pPr>
      <w: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val="clear"/>
            <w:tcMar>
              <w:top w:type="dxa" w:w="60"/>
              <w:left w:type="dxa" w:w="80"/>
              <w:bottom w:type="dxa" w:w="60"/>
              <w:right w:type="dxa" w:w="80"/>
            </w:tcMar>
          </w:tcPr>
          <w:p>
            <w:pPr>
              <w:spacing w:after="40"/>
            </w:pPr>
            <w:r>
              <w:rPr>
                <w:b/>
                <w:bCs/>
                <w:color w:val="FFFFFF"/>
                <w:sz w:val="17"/>
                <w:szCs w:val="17"/>
              </w:rPr>
              <w:t xml:space="preserve">Element</w:t>
            </w:r>
          </w:p>
        </w:tc>
        <w:tc>
          <w:tcPr>
            <w:tcW w:type="dxa" w:w="7460"/>
            <w:shd w:fill="1F4E79" w:val="clear"/>
            <w:tcMar>
              <w:top w:type="dxa" w:w="60"/>
              <w:left w:type="dxa" w:w="80"/>
              <w:bottom w:type="dxa" w:w="60"/>
              <w:right w:type="dxa" w:w="80"/>
            </w:tcMar>
          </w:tcPr>
          <w:p>
            <w:pPr>
              <w:spacing w:after="40"/>
            </w:pPr>
            <w:r>
              <w:rPr>
                <w:b/>
                <w:bCs/>
                <w:color w:val="FFFFFF"/>
                <w:sz w:val="17"/>
                <w:szCs w:val="17"/>
              </w:rPr>
              <w:t xml:space="preserve">Judgement</w:t>
            </w:r>
          </w:p>
        </w:tc>
      </w:tr>
      <w:tr>
        <w:tc>
          <w:tcPr>
            <w:tcW w:type="dxa" w:w="1900"/>
            <w:tcMar>
              <w:top w:type="dxa" w:w="60"/>
              <w:left w:type="dxa" w:w="80"/>
              <w:bottom w:type="dxa" w:w="60"/>
              <w:right w:type="dxa" w:w="80"/>
            </w:tcMar>
          </w:tcPr>
          <w:p>
            <w:pPr>
              <w:spacing w:after="40"/>
            </w:pPr>
            <w:r>
              <w:rPr>
                <w:sz w:val="17"/>
                <w:szCs w:val="17"/>
              </w:rPr>
              <w:t xml:space="preserve">Consensus price call</w:t>
            </w:r>
          </w:p>
        </w:tc>
        <w:tc>
          <w:tcPr>
            <w:tcW w:type="dxa" w:w="7460"/>
            <w:tcMar>
              <w:top w:type="dxa" w:w="60"/>
              <w:left w:type="dxa" w:w="80"/>
              <w:bottom w:type="dxa" w:w="60"/>
              <w:right w:type="dxa" w:w="80"/>
            </w:tcMar>
          </w:tcPr>
          <w:p>
            <w:pPr>
              <w:spacing w:after="40"/>
            </w:pPr>
            <w:r>
              <w:rPr>
                <w:sz w:val="17"/>
                <w:szCs w:val="17"/>
              </w:rPr>
              <w:t xml:space="preserve">10,515.92 index points (LSE cash close, 15 July 2026)</w:t>
            </w:r>
          </w:p>
        </w:tc>
      </w:tr>
      <w:tr>
        <w:tc>
          <w:tcPr>
            <w:tcW w:type="dxa" w:w="1900"/>
            <w:tcMar>
              <w:top w:type="dxa" w:w="60"/>
              <w:left w:type="dxa" w:w="80"/>
              <w:bottom w:type="dxa" w:w="60"/>
              <w:right w:type="dxa" w:w="80"/>
            </w:tcMar>
          </w:tcPr>
          <w:p>
            <w:pPr>
              <w:spacing w:after="40"/>
            </w:pPr>
            <w:r>
              <w:rPr>
                <w:sz w:val="17"/>
                <w:szCs w:val="17"/>
              </w:rPr>
              <w:t xml:space="preserve">Confidence</w:t>
            </w:r>
          </w:p>
        </w:tc>
        <w:tc>
          <w:tcPr>
            <w:tcW w:type="dxa" w:w="7460"/>
            <w:tcMar>
              <w:top w:type="dxa" w:w="60"/>
              <w:left w:type="dxa" w:w="80"/>
              <w:bottom w:type="dxa" w:w="60"/>
              <w:right w:type="dxa" w:w="80"/>
            </w:tcMar>
          </w:tcPr>
          <w:p>
            <w:pPr>
              <w:spacing w:after="40"/>
            </w:pPr>
            <w:r>
              <w:rPr>
                <w:sz w:val="17"/>
                <w:szCs w:val="17"/>
              </w:rPr>
              <w:t xml:space="preserve">Medium (M) — high confidence in the price, medium confidence in the directional view</w:t>
            </w:r>
          </w:p>
        </w:tc>
      </w:tr>
      <w:tr>
        <w:tc>
          <w:tcPr>
            <w:tcW w:type="dxa" w:w="1900"/>
            <w:tcMar>
              <w:top w:type="dxa" w:w="60"/>
              <w:left w:type="dxa" w:w="80"/>
              <w:bottom w:type="dxa" w:w="60"/>
              <w:right w:type="dxa" w:w="80"/>
            </w:tcMar>
          </w:tcPr>
          <w:p>
            <w:pPr>
              <w:spacing w:after="40"/>
            </w:pPr>
            <w:r>
              <w:rPr>
                <w:sz w:val="17"/>
                <w:szCs w:val="17"/>
              </w:rPr>
              <w:t xml:space="preserve">Reason 1</w:t>
            </w:r>
          </w:p>
        </w:tc>
        <w:tc>
          <w:tcPr>
            <w:tcW w:type="dxa" w:w="7460"/>
            <w:tcMar>
              <w:top w:type="dxa" w:w="60"/>
              <w:left w:type="dxa" w:w="80"/>
              <w:bottom w:type="dxa" w:w="60"/>
              <w:right w:type="dxa" w:w="80"/>
            </w:tcMar>
          </w:tcPr>
          <w:p>
            <w:pPr>
              <w:spacing w:after="40"/>
            </w:pPr>
            <w:r>
              <w:rPr>
                <w:sz w:val="17"/>
                <w:szCs w:val="17"/>
              </w:rPr>
              <w:t xml:space="preserve">The only fully corroborated session in the window (14 July) is decisively bullish: a 130-point intraday recovery from 10,422.98 to a 10,552.56 high, closing at 10,529.39 in the upper quarter of the range, with London outperforming every major continental bourse</w:t>
            </w:r>
          </w:p>
        </w:tc>
      </w:tr>
      <w:tr>
        <w:tc>
          <w:tcPr>
            <w:tcW w:type="dxa" w:w="1900"/>
            <w:tcMar>
              <w:top w:type="dxa" w:w="60"/>
              <w:left w:type="dxa" w:w="80"/>
              <w:bottom w:type="dxa" w:w="60"/>
              <w:right w:type="dxa" w:w="80"/>
            </w:tcMar>
          </w:tcPr>
          <w:p>
            <w:pPr>
              <w:spacing w:after="40"/>
            </w:pPr>
            <w:r>
              <w:rPr>
                <w:sz w:val="17"/>
                <w:szCs w:val="17"/>
              </w:rPr>
              <w:t xml:space="preserve">Reason 2</w:t>
            </w:r>
          </w:p>
        </w:tc>
        <w:tc>
          <w:tcPr>
            <w:tcW w:type="dxa" w:w="7460"/>
            <w:tcMar>
              <w:top w:type="dxa" w:w="60"/>
              <w:left w:type="dxa" w:w="80"/>
              <w:bottom w:type="dxa" w:w="60"/>
              <w:right w:type="dxa" w:w="80"/>
            </w:tcMar>
          </w:tcPr>
          <w:p>
            <w:pPr>
              <w:spacing w:after="40"/>
            </w:pPr>
            <w:r>
              <w:rPr>
                <w:sz w:val="17"/>
                <w:szCs w:val="17"/>
              </w:rPr>
              <w:t xml:space="preserve">The tape is absorbing genuinely bad news without breaking. On 15 July the index took a China Q2 GDP miss and a live US–Iran military escalation and closed down 0.1%. Rising session lows through the window confirm buyers are engaged beneath the market</w:t>
            </w:r>
          </w:p>
        </w:tc>
      </w:tr>
      <w:tr>
        <w:tc>
          <w:tcPr>
            <w:tcW w:type="dxa" w:w="1900"/>
            <w:tcMar>
              <w:top w:type="dxa" w:w="60"/>
              <w:left w:type="dxa" w:w="80"/>
              <w:bottom w:type="dxa" w:w="60"/>
              <w:right w:type="dxa" w:w="80"/>
            </w:tcMar>
          </w:tcPr>
          <w:p>
            <w:pPr>
              <w:spacing w:after="40"/>
            </w:pPr>
            <w:r>
              <w:rPr>
                <w:sz w:val="17"/>
                <w:szCs w:val="17"/>
              </w:rPr>
              <w:t xml:space="preserve">Reason 3</w:t>
            </w:r>
          </w:p>
        </w:tc>
        <w:tc>
          <w:tcPr>
            <w:tcW w:type="dxa" w:w="7460"/>
            <w:tcMar>
              <w:top w:type="dxa" w:w="60"/>
              <w:left w:type="dxa" w:w="80"/>
              <w:bottom w:type="dxa" w:w="60"/>
              <w:right w:type="dxa" w:w="80"/>
            </w:tcMar>
          </w:tcPr>
          <w:p>
            <w:pPr>
              <w:spacing w:after="40"/>
            </w:pPr>
            <w:r>
              <w:rPr>
                <w:sz w:val="17"/>
                <w:szCs w:val="17"/>
              </w:rPr>
              <w:t xml:space="preserve">Structure is compressing into a confluence shelf. The daily R1 at 10,547.28 and the five-day swing high at 10,552.56 sit 5.28 points apart, with the close balanced 2.28 points above the daily pivot. Compression beneath confluence in a transitional regime resolves directionally, and the resolution bias follows the rising lows</w:t>
            </w:r>
          </w:p>
        </w:tc>
      </w:tr>
      <w:tr>
        <w:tc>
          <w:tcPr>
            <w:tcW w:type="dxa" w:w="1900"/>
            <w:tcMar>
              <w:top w:type="dxa" w:w="60"/>
              <w:left w:type="dxa" w:w="80"/>
              <w:bottom w:type="dxa" w:w="60"/>
              <w:right w:type="dxa" w:w="80"/>
            </w:tcMar>
          </w:tcPr>
          <w:p>
            <w:pPr>
              <w:spacing w:after="40"/>
            </w:pPr>
            <w:r>
              <w:rPr>
                <w:sz w:val="17"/>
                <w:szCs w:val="17"/>
              </w:rPr>
              <w:t xml:space="preserve">Single watch item</w:t>
            </w:r>
          </w:p>
        </w:tc>
        <w:tc>
          <w:tcPr>
            <w:tcW w:type="dxa" w:w="7460"/>
            <w:tcMar>
              <w:top w:type="dxa" w:w="60"/>
              <w:left w:type="dxa" w:w="80"/>
              <w:bottom w:type="dxa" w:w="60"/>
              <w:right w:type="dxa" w:w="80"/>
            </w:tcMar>
          </w:tcPr>
          <w:p>
            <w:pPr>
              <w:spacing w:after="40"/>
            </w:pPr>
            <w:r>
              <w:rPr>
                <w:sz w:val="17"/>
                <w:szCs w:val="17"/>
              </w:rPr>
              <w:t xml:space="preserve">The 10,547–10,553 confluence zone. A confirmed daily close above it validates the constructive case and opens the weekly structure toward 10,645. Rejection there returns the index to the 10,482 pivot floor and leaves the transitional read unresolved</w:t>
            </w:r>
          </w:p>
        </w:tc>
      </w:tr>
    </w:tbl>
    <w:p>
      <w:pPr>
        <w:pStyle w:val="Heading1"/>
        <w:spacing w:after="140" w:before="280"/>
      </w:pPr>
      <w:r>
        <w:t xml:space="preserve">§19  Source Discipline Note</w:t>
      </w:r>
    </w:p>
    <w:p>
      <w:pPr>
        <w:pStyle w:val="Heading2"/>
        <w:spacing w:after="100" w:before="200"/>
      </w:pPr>
      <w:r>
        <w:t xml:space="preserve">Live versus indicative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1F4E79" w:val="clear"/>
            <w:tcMar>
              <w:top w:type="dxa" w:w="60"/>
              <w:left w:type="dxa" w:w="80"/>
              <w:bottom w:type="dxa" w:w="60"/>
              <w:right w:type="dxa" w:w="80"/>
            </w:tcMar>
          </w:tcPr>
          <w:p>
            <w:pPr>
              <w:spacing w:after="40"/>
            </w:pPr>
            <w:r>
              <w:rPr>
                <w:b/>
                <w:bCs/>
                <w:color w:val="FFFFFF"/>
                <w:sz w:val="17"/>
                <w:szCs w:val="17"/>
              </w:rPr>
              <w:t xml:space="preserve">Instrument / Field</w:t>
            </w:r>
          </w:p>
        </w:tc>
        <w:tc>
          <w:tcPr>
            <w:tcW w:type="dxa" w:w="2400"/>
            <w:shd w:fill="1F4E79" w:val="clear"/>
            <w:tcMar>
              <w:top w:type="dxa" w:w="60"/>
              <w:left w:type="dxa" w:w="80"/>
              <w:bottom w:type="dxa" w:w="60"/>
              <w:right w:type="dxa" w:w="80"/>
            </w:tcMar>
          </w:tcPr>
          <w:p>
            <w:pPr>
              <w:spacing w:after="40"/>
            </w:pPr>
            <w:r>
              <w:rPr>
                <w:b/>
                <w:bCs/>
                <w:color w:val="FFFFFF"/>
                <w:sz w:val="17"/>
                <w:szCs w:val="17"/>
              </w:rPr>
              <w:t xml:space="preserve">Status</w:t>
            </w:r>
          </w:p>
        </w:tc>
        <w:tc>
          <w:tcPr>
            <w:tcW w:type="dxa" w:w="4360"/>
            <w:shd w:fill="1F4E79" w:val="clear"/>
            <w:tcMar>
              <w:top w:type="dxa" w:w="60"/>
              <w:left w:type="dxa" w:w="80"/>
              <w:bottom w:type="dxa" w:w="60"/>
              <w:right w:type="dxa" w:w="80"/>
            </w:tcMar>
          </w:tcPr>
          <w:p>
            <w:pPr>
              <w:spacing w:after="40"/>
            </w:pPr>
            <w:r>
              <w:rPr>
                <w:b/>
                <w:bCs/>
                <w:color w:val="FFFFFF"/>
                <w:sz w:val="17"/>
                <w:szCs w:val="17"/>
              </w:rPr>
              <w:t xml:space="preserve">Corroboration</w:t>
            </w:r>
          </w:p>
        </w:tc>
      </w:tr>
      <w:tr>
        <w:tc>
          <w:tcPr>
            <w:tcW w:type="dxa" w:w="2600"/>
            <w:tcMar>
              <w:top w:type="dxa" w:w="60"/>
              <w:left w:type="dxa" w:w="80"/>
              <w:bottom w:type="dxa" w:w="60"/>
              <w:right w:type="dxa" w:w="80"/>
            </w:tcMar>
          </w:tcPr>
          <w:p>
            <w:pPr>
              <w:spacing w:after="40"/>
            </w:pPr>
            <w:r>
              <w:rPr>
                <w:sz w:val="17"/>
                <w:szCs w:val="17"/>
              </w:rPr>
              <w:t xml:space="preserve">FTSE 100 — 15 Jul close (10,515.92)</w:t>
            </w:r>
          </w:p>
        </w:tc>
        <w:tc>
          <w:tcPr>
            <w:tcW w:type="dxa" w:w="2400"/>
            <w:tcMar>
              <w:top w:type="dxa" w:w="60"/>
              <w:left w:type="dxa" w:w="80"/>
              <w:bottom w:type="dxa" w:w="60"/>
              <w:right w:type="dxa" w:w="80"/>
            </w:tcMar>
          </w:tcPr>
          <w:p>
            <w:pPr>
              <w:spacing w:after="40"/>
            </w:pPr>
            <w:r>
              <w:rPr>
                <w:sz w:val="17"/>
                <w:szCs w:val="17"/>
              </w:rPr>
              <w:t xml:space="preserve">LIVE, corroborated</w:t>
            </w:r>
          </w:p>
        </w:tc>
        <w:tc>
          <w:tcPr>
            <w:tcW w:type="dxa" w:w="4360"/>
            <w:tcMar>
              <w:top w:type="dxa" w:w="60"/>
              <w:left w:type="dxa" w:w="80"/>
              <w:bottom w:type="dxa" w:w="60"/>
              <w:right w:type="dxa" w:w="80"/>
            </w:tcMar>
          </w:tcPr>
          <w:p>
            <w:pPr>
              <w:spacing w:after="40"/>
            </w:pPr>
            <w:r>
              <w:rPr>
                <w:sz w:val="17"/>
                <w:szCs w:val="17"/>
              </w:rPr>
              <w:t xml:space="preserve">Reuters × Alliance News, exact agreement at 2dp; arithmetically consistent with the 14 Jul close</w:t>
            </w:r>
          </w:p>
        </w:tc>
      </w:tr>
      <w:tr>
        <w:tc>
          <w:tcPr>
            <w:tcW w:type="dxa" w:w="2600"/>
            <w:tcMar>
              <w:top w:type="dxa" w:w="60"/>
              <w:left w:type="dxa" w:w="80"/>
              <w:bottom w:type="dxa" w:w="60"/>
              <w:right w:type="dxa" w:w="80"/>
            </w:tcMar>
          </w:tcPr>
          <w:p>
            <w:pPr>
              <w:spacing w:after="40"/>
            </w:pPr>
            <w:r>
              <w:rPr>
                <w:sz w:val="17"/>
                <w:szCs w:val="17"/>
              </w:rPr>
              <w:t xml:space="preserve">FTSE 100 — 14 Jul full OHLC</w:t>
            </w:r>
          </w:p>
        </w:tc>
        <w:tc>
          <w:tcPr>
            <w:tcW w:type="dxa" w:w="2400"/>
            <w:tcMar>
              <w:top w:type="dxa" w:w="60"/>
              <w:left w:type="dxa" w:w="80"/>
              <w:bottom w:type="dxa" w:w="60"/>
              <w:right w:type="dxa" w:w="80"/>
            </w:tcMar>
          </w:tcPr>
          <w:p>
            <w:pPr>
              <w:spacing w:after="40"/>
            </w:pPr>
            <w:r>
              <w:rPr>
                <w:sz w:val="17"/>
                <w:szCs w:val="17"/>
              </w:rPr>
              <w:t xml:space="preserve">LIVE, corroborated</w:t>
            </w:r>
          </w:p>
        </w:tc>
        <w:tc>
          <w:tcPr>
            <w:tcW w:type="dxa" w:w="4360"/>
            <w:tcMar>
              <w:top w:type="dxa" w:w="60"/>
              <w:left w:type="dxa" w:w="80"/>
              <w:bottom w:type="dxa" w:w="60"/>
              <w:right w:type="dxa" w:w="80"/>
            </w:tcMar>
          </w:tcPr>
          <w:p>
            <w:pPr>
              <w:spacing w:after="40"/>
            </w:pPr>
            <w:r>
              <w:rPr>
                <w:sz w:val="17"/>
                <w:szCs w:val="17"/>
              </w:rPr>
              <w:t xml:space="preserve">Reuters × BBN Times × Investing.com</w:t>
            </w:r>
          </w:p>
        </w:tc>
      </w:tr>
      <w:tr>
        <w:tc>
          <w:tcPr>
            <w:tcW w:type="dxa" w:w="2600"/>
            <w:tcMar>
              <w:top w:type="dxa" w:w="60"/>
              <w:left w:type="dxa" w:w="80"/>
              <w:bottom w:type="dxa" w:w="60"/>
              <w:right w:type="dxa" w:w="80"/>
            </w:tcMar>
          </w:tcPr>
          <w:p>
            <w:pPr>
              <w:spacing w:after="40"/>
            </w:pPr>
            <w:r>
              <w:rPr>
                <w:sz w:val="17"/>
                <w:szCs w:val="17"/>
              </w:rPr>
              <w:t xml:space="preserve">FTSE 100 — 13 Jul close</w:t>
            </w:r>
          </w:p>
        </w:tc>
        <w:tc>
          <w:tcPr>
            <w:tcW w:type="dxa" w:w="2400"/>
            <w:tcMar>
              <w:top w:type="dxa" w:w="60"/>
              <w:left w:type="dxa" w:w="80"/>
              <w:bottom w:type="dxa" w:w="60"/>
              <w:right w:type="dxa" w:w="80"/>
            </w:tcMar>
          </w:tcPr>
          <w:p>
            <w:pPr>
              <w:spacing w:after="40"/>
            </w:pPr>
            <w:r>
              <w:rPr>
                <w:sz w:val="17"/>
                <w:szCs w:val="17"/>
              </w:rPr>
              <w:t xml:space="preserve">LIVE, corroborated</w:t>
            </w:r>
          </w:p>
        </w:tc>
        <w:tc>
          <w:tcPr>
            <w:tcW w:type="dxa" w:w="4360"/>
            <w:tcMar>
              <w:top w:type="dxa" w:w="60"/>
              <w:left w:type="dxa" w:w="80"/>
              <w:bottom w:type="dxa" w:w="60"/>
              <w:right w:type="dxa" w:w="80"/>
            </w:tcMar>
          </w:tcPr>
          <w:p>
            <w:pPr>
              <w:spacing w:after="40"/>
            </w:pPr>
            <w:r>
              <w:rPr>
                <w:sz w:val="17"/>
                <w:szCs w:val="17"/>
              </w:rPr>
              <w:t xml:space="preserve">Trading Economics × Investing.com</w:t>
            </w:r>
          </w:p>
        </w:tc>
      </w:tr>
      <w:tr>
        <w:tc>
          <w:tcPr>
            <w:tcW w:type="dxa" w:w="2600"/>
            <w:tcMar>
              <w:top w:type="dxa" w:w="60"/>
              <w:left w:type="dxa" w:w="80"/>
              <w:bottom w:type="dxa" w:w="60"/>
              <w:right w:type="dxa" w:w="80"/>
            </w:tcMar>
          </w:tcPr>
          <w:p>
            <w:pPr>
              <w:spacing w:after="40"/>
            </w:pPr>
            <w:r>
              <w:rPr>
                <w:sz w:val="17"/>
                <w:szCs w:val="17"/>
              </w:rPr>
              <w:t xml:space="preserve">FTSE 100 — 9, 10 Jul OHLC</w:t>
            </w:r>
          </w:p>
        </w:tc>
        <w:tc>
          <w:tcPr>
            <w:tcW w:type="dxa" w:w="2400"/>
            <w:tcMar>
              <w:top w:type="dxa" w:w="60"/>
              <w:left w:type="dxa" w:w="80"/>
              <w:bottom w:type="dxa" w:w="60"/>
              <w:right w:type="dxa" w:w="80"/>
            </w:tcMar>
          </w:tcPr>
          <w:p>
            <w:pPr>
              <w:spacing w:after="40"/>
            </w:pPr>
            <w:r>
              <w:rPr>
                <w:sz w:val="17"/>
                <w:szCs w:val="17"/>
              </w:rPr>
              <w:t xml:space="preserve">SINGLE-SOURCE INDICATIVE</w:t>
            </w:r>
          </w:p>
        </w:tc>
        <w:tc>
          <w:tcPr>
            <w:tcW w:type="dxa" w:w="4360"/>
            <w:tcMar>
              <w:top w:type="dxa" w:w="60"/>
              <w:left w:type="dxa" w:w="80"/>
              <w:bottom w:type="dxa" w:w="60"/>
              <w:right w:type="dxa" w:w="80"/>
            </w:tcMar>
          </w:tcPr>
          <w:p>
            <w:pPr>
              <w:spacing w:after="40"/>
            </w:pPr>
            <w:r>
              <w:rPr>
                <w:sz w:val="17"/>
                <w:szCs w:val="17"/>
              </w:rPr>
              <w:t xml:space="preserve">Reconstructed from wire-reported percentage moves; not independently corroborated</w:t>
            </w:r>
          </w:p>
        </w:tc>
      </w:tr>
      <w:tr>
        <w:tc>
          <w:tcPr>
            <w:tcW w:type="dxa" w:w="2600"/>
            <w:tcMar>
              <w:top w:type="dxa" w:w="60"/>
              <w:left w:type="dxa" w:w="80"/>
              <w:bottom w:type="dxa" w:w="60"/>
              <w:right w:type="dxa" w:w="80"/>
            </w:tcMar>
          </w:tcPr>
          <w:p>
            <w:pPr>
              <w:spacing w:after="40"/>
            </w:pPr>
            <w:r>
              <w:rPr>
                <w:sz w:val="17"/>
                <w:szCs w:val="17"/>
              </w:rPr>
              <w:t xml:space="preserve">FTSE 100 — 15 Jul intraday H/L</w:t>
            </w:r>
          </w:p>
        </w:tc>
        <w:tc>
          <w:tcPr>
            <w:tcW w:type="dxa" w:w="2400"/>
            <w:tcMar>
              <w:top w:type="dxa" w:w="60"/>
              <w:left w:type="dxa" w:w="80"/>
              <w:bottom w:type="dxa" w:w="60"/>
              <w:right w:type="dxa" w:w="80"/>
            </w:tcMar>
          </w:tcPr>
          <w:p>
            <w:pPr>
              <w:spacing w:after="40"/>
            </w:pPr>
            <w:r>
              <w:rPr>
                <w:sz w:val="17"/>
                <w:szCs w:val="17"/>
              </w:rPr>
              <w:t xml:space="preserve">SINGLE-SOURCE INDICATIVE</w:t>
            </w:r>
          </w:p>
        </w:tc>
        <w:tc>
          <w:tcPr>
            <w:tcW w:type="dxa" w:w="4360"/>
            <w:tcMar>
              <w:top w:type="dxa" w:w="60"/>
              <w:left w:type="dxa" w:w="80"/>
              <w:bottom w:type="dxa" w:w="60"/>
              <w:right w:type="dxa" w:w="80"/>
            </w:tcMar>
          </w:tcPr>
          <w:p>
            <w:pPr>
              <w:spacing w:after="40"/>
            </w:pPr>
            <w:r>
              <w:rPr>
                <w:sz w:val="17"/>
                <w:szCs w:val="17"/>
              </w:rPr>
              <w:t xml:space="preserve">Aggregator range data only</w:t>
            </w:r>
          </w:p>
        </w:tc>
      </w:tr>
      <w:tr>
        <w:tc>
          <w:tcPr>
            <w:tcW w:type="dxa" w:w="2600"/>
            <w:tcMar>
              <w:top w:type="dxa" w:w="60"/>
              <w:left w:type="dxa" w:w="80"/>
              <w:bottom w:type="dxa" w:w="60"/>
              <w:right w:type="dxa" w:w="80"/>
            </w:tcMar>
          </w:tcPr>
          <w:p>
            <w:pPr>
              <w:spacing w:after="40"/>
            </w:pPr>
            <w:r>
              <w:rPr>
                <w:sz w:val="17"/>
                <w:szCs w:val="17"/>
              </w:rPr>
              <w:t xml:space="preserve">Daily pivot levels (all)</w:t>
            </w:r>
          </w:p>
        </w:tc>
        <w:tc>
          <w:tcPr>
            <w:tcW w:type="dxa" w:w="2400"/>
            <w:tcMar>
              <w:top w:type="dxa" w:w="60"/>
              <w:left w:type="dxa" w:w="80"/>
              <w:bottom w:type="dxa" w:w="60"/>
              <w:right w:type="dxa" w:w="80"/>
            </w:tcMar>
          </w:tcPr>
          <w:p>
            <w:pPr>
              <w:spacing w:after="40"/>
            </w:pPr>
            <w:r>
              <w:rPr>
                <w:sz w:val="17"/>
                <w:szCs w:val="17"/>
              </w:rPr>
              <w:t xml:space="preserve">SINGLE-SOURCE INDICATIVE</w:t>
            </w:r>
          </w:p>
        </w:tc>
        <w:tc>
          <w:tcPr>
            <w:tcW w:type="dxa" w:w="4360"/>
            <w:tcMar>
              <w:top w:type="dxa" w:w="60"/>
              <w:left w:type="dxa" w:w="80"/>
              <w:bottom w:type="dxa" w:w="60"/>
              <w:right w:type="dxa" w:w="80"/>
            </w:tcMar>
          </w:tcPr>
          <w:p>
            <w:pPr>
              <w:spacing w:after="40"/>
            </w:pPr>
            <w:r>
              <w:rPr>
                <w:sz w:val="17"/>
                <w:szCs w:val="17"/>
              </w:rPr>
              <w:t xml:space="preserve">Derived from the 15 Jul H/L, which are indicative</w:t>
            </w:r>
          </w:p>
        </w:tc>
      </w:tr>
      <w:tr>
        <w:tc>
          <w:tcPr>
            <w:tcW w:type="dxa" w:w="2600"/>
            <w:tcMar>
              <w:top w:type="dxa" w:w="60"/>
              <w:left w:type="dxa" w:w="80"/>
              <w:bottom w:type="dxa" w:w="60"/>
              <w:right w:type="dxa" w:w="80"/>
            </w:tcMar>
          </w:tcPr>
          <w:p>
            <w:pPr>
              <w:spacing w:after="40"/>
            </w:pPr>
            <w:r>
              <w:rPr>
                <w:sz w:val="17"/>
                <w:szCs w:val="17"/>
              </w:rPr>
              <w:t xml:space="preserve">Weekly pivot levels (all)</w:t>
            </w:r>
          </w:p>
        </w:tc>
        <w:tc>
          <w:tcPr>
            <w:tcW w:type="dxa" w:w="2400"/>
            <w:tcMar>
              <w:top w:type="dxa" w:w="60"/>
              <w:left w:type="dxa" w:w="80"/>
              <w:bottom w:type="dxa" w:w="60"/>
              <w:right w:type="dxa" w:w="80"/>
            </w:tcMar>
          </w:tcPr>
          <w:p>
            <w:pPr>
              <w:spacing w:after="40"/>
            </w:pPr>
            <w:r>
              <w:rPr>
                <w:sz w:val="17"/>
                <w:szCs w:val="17"/>
              </w:rPr>
              <w:t xml:space="preserve">SINGLE-SOURCE INDICATIVE</w:t>
            </w:r>
          </w:p>
        </w:tc>
        <w:tc>
          <w:tcPr>
            <w:tcW w:type="dxa" w:w="4360"/>
            <w:tcMar>
              <w:top w:type="dxa" w:w="60"/>
              <w:left w:type="dxa" w:w="80"/>
              <w:bottom w:type="dxa" w:w="60"/>
              <w:right w:type="dxa" w:w="80"/>
            </w:tcMar>
          </w:tcPr>
          <w:p>
            <w:pPr>
              <w:spacing w:after="40"/>
            </w:pPr>
            <w:r>
              <w:rPr>
                <w:sz w:val="17"/>
                <w:szCs w:val="17"/>
              </w:rPr>
              <w:t xml:space="preserve">Derived from partially corroborated prior-week H/L</w:t>
            </w:r>
          </w:p>
        </w:tc>
      </w:tr>
      <w:tr>
        <w:tc>
          <w:tcPr>
            <w:tcW w:type="dxa" w:w="2600"/>
            <w:tcMar>
              <w:top w:type="dxa" w:w="60"/>
              <w:left w:type="dxa" w:w="80"/>
              <w:bottom w:type="dxa" w:w="60"/>
              <w:right w:type="dxa" w:w="80"/>
            </w:tcMar>
          </w:tcPr>
          <w:p>
            <w:pPr>
              <w:spacing w:after="40"/>
            </w:pPr>
            <w:r>
              <w:rPr>
                <w:sz w:val="17"/>
                <w:szCs w:val="17"/>
              </w:rPr>
              <w:t xml:space="preserve">Monthly pivot levels</w:t>
            </w:r>
          </w:p>
        </w:tc>
        <w:tc>
          <w:tcPr>
            <w:tcW w:type="dxa" w:w="2400"/>
            <w:tcMar>
              <w:top w:type="dxa" w:w="60"/>
              <w:left w:type="dxa" w:w="80"/>
              <w:bottom w:type="dxa" w:w="60"/>
              <w:right w:type="dxa" w:w="80"/>
            </w:tcMar>
          </w:tcPr>
          <w:p>
            <w:pPr>
              <w:spacing w:after="40"/>
            </w:pPr>
            <w:r>
              <w:rPr>
                <w:sz w:val="17"/>
                <w:szCs w:val="17"/>
              </w:rPr>
              <w:t xml:space="preserve">NOT PRODUCED</w:t>
            </w:r>
          </w:p>
        </w:tc>
        <w:tc>
          <w:tcPr>
            <w:tcW w:type="dxa" w:w="4360"/>
            <w:tcMar>
              <w:top w:type="dxa" w:w="60"/>
              <w:left w:type="dxa" w:w="80"/>
              <w:bottom w:type="dxa" w:w="60"/>
              <w:right w:type="dxa" w:w="80"/>
            </w:tcMar>
          </w:tcPr>
          <w:p>
            <w:pPr>
              <w:spacing w:after="40"/>
            </w:pPr>
            <w:r>
              <w:rPr>
                <w:sz w:val="17"/>
                <w:szCs w:val="17"/>
              </w:rPr>
              <w:t xml:space="preserve">Corroborated June monthly H/L/C unavailable; suppressed rather than estimated</w:t>
            </w:r>
          </w:p>
        </w:tc>
      </w:tr>
      <w:tr>
        <w:tc>
          <w:tcPr>
            <w:tcW w:type="dxa" w:w="2600"/>
            <w:tcMar>
              <w:top w:type="dxa" w:w="60"/>
              <w:left w:type="dxa" w:w="80"/>
              <w:bottom w:type="dxa" w:w="60"/>
              <w:right w:type="dxa" w:w="80"/>
            </w:tcMar>
          </w:tcPr>
          <w:p>
            <w:pPr>
              <w:spacing w:after="40"/>
            </w:pPr>
            <w:r>
              <w:rPr>
                <w:sz w:val="17"/>
                <w:szCs w:val="17"/>
              </w:rPr>
              <w:t xml:space="preserve">EURO STOXX 50 — 14 Jul OHLC</w:t>
            </w:r>
          </w:p>
        </w:tc>
        <w:tc>
          <w:tcPr>
            <w:tcW w:type="dxa" w:w="2400"/>
            <w:tcMar>
              <w:top w:type="dxa" w:w="60"/>
              <w:left w:type="dxa" w:w="80"/>
              <w:bottom w:type="dxa" w:w="60"/>
              <w:right w:type="dxa" w:w="80"/>
            </w:tcMar>
          </w:tcPr>
          <w:p>
            <w:pPr>
              <w:spacing w:after="40"/>
            </w:pPr>
            <w:r>
              <w:rPr>
                <w:sz w:val="17"/>
                <w:szCs w:val="17"/>
              </w:rPr>
              <w:t xml:space="preserve">LIVE, corroborated</w:t>
            </w:r>
          </w:p>
        </w:tc>
        <w:tc>
          <w:tcPr>
            <w:tcW w:type="dxa" w:w="4360"/>
            <w:tcMar>
              <w:top w:type="dxa" w:w="60"/>
              <w:left w:type="dxa" w:w="80"/>
              <w:bottom w:type="dxa" w:w="60"/>
              <w:right w:type="dxa" w:w="80"/>
            </w:tcMar>
          </w:tcPr>
          <w:p>
            <w:pPr>
              <w:spacing w:after="40"/>
            </w:pPr>
            <w:r>
              <w:rPr>
                <w:sz w:val="17"/>
                <w:szCs w:val="17"/>
              </w:rPr>
              <w:t xml:space="preserve">Yahoo Finance × Investing.com</w:t>
            </w:r>
          </w:p>
        </w:tc>
      </w:tr>
      <w:tr>
        <w:tc>
          <w:tcPr>
            <w:tcW w:type="dxa" w:w="2600"/>
            <w:tcMar>
              <w:top w:type="dxa" w:w="60"/>
              <w:left w:type="dxa" w:w="80"/>
              <w:bottom w:type="dxa" w:w="60"/>
              <w:right w:type="dxa" w:w="80"/>
            </w:tcMar>
          </w:tcPr>
          <w:p>
            <w:pPr>
              <w:spacing w:after="40"/>
            </w:pPr>
            <w:r>
              <w:rPr>
                <w:sz w:val="17"/>
                <w:szCs w:val="17"/>
              </w:rPr>
              <w:t xml:space="preserve">EURO STOXX 50 — 15 Jul close</w:t>
            </w:r>
          </w:p>
        </w:tc>
        <w:tc>
          <w:tcPr>
            <w:tcW w:type="dxa" w:w="2400"/>
            <w:tcMar>
              <w:top w:type="dxa" w:w="60"/>
              <w:left w:type="dxa" w:w="80"/>
              <w:bottom w:type="dxa" w:w="60"/>
              <w:right w:type="dxa" w:w="80"/>
            </w:tcMar>
          </w:tcPr>
          <w:p>
            <w:pPr>
              <w:spacing w:after="40"/>
            </w:pPr>
            <w:r>
              <w:rPr>
                <w:sz w:val="17"/>
                <w:szCs w:val="17"/>
              </w:rPr>
              <w:t xml:space="preserve">SINGLE-SOURCE INDICATIVE</w:t>
            </w:r>
          </w:p>
        </w:tc>
        <w:tc>
          <w:tcPr>
            <w:tcW w:type="dxa" w:w="4360"/>
            <w:tcMar>
              <w:top w:type="dxa" w:w="60"/>
              <w:left w:type="dxa" w:w="80"/>
              <w:bottom w:type="dxa" w:w="60"/>
              <w:right w:type="dxa" w:w="80"/>
            </w:tcMar>
          </w:tcPr>
          <w:p>
            <w:pPr>
              <w:spacing w:after="40"/>
            </w:pPr>
            <w:r>
              <w:rPr>
                <w:sz w:val="17"/>
                <w:szCs w:val="17"/>
              </w:rPr>
              <w:t xml:space="preserve">Trading Economics, rounded to whole points</w:t>
            </w:r>
          </w:p>
        </w:tc>
      </w:tr>
      <w:tr>
        <w:tc>
          <w:tcPr>
            <w:tcW w:type="dxa" w:w="2600"/>
            <w:tcMar>
              <w:top w:type="dxa" w:w="60"/>
              <w:left w:type="dxa" w:w="80"/>
              <w:bottom w:type="dxa" w:w="60"/>
              <w:right w:type="dxa" w:w="80"/>
            </w:tcMar>
          </w:tcPr>
          <w:p>
            <w:pPr>
              <w:spacing w:after="40"/>
            </w:pPr>
            <w:r>
              <w:rPr>
                <w:sz w:val="17"/>
                <w:szCs w:val="17"/>
              </w:rPr>
              <w:t xml:space="preserve">Dollar Index, S&amp;P 500, DAX 40 — 5d reads</w:t>
            </w:r>
          </w:p>
        </w:tc>
        <w:tc>
          <w:tcPr>
            <w:tcW w:type="dxa" w:w="2400"/>
            <w:tcMar>
              <w:top w:type="dxa" w:w="60"/>
              <w:left w:type="dxa" w:w="80"/>
              <w:bottom w:type="dxa" w:w="60"/>
              <w:right w:type="dxa" w:w="80"/>
            </w:tcMar>
          </w:tcPr>
          <w:p>
            <w:pPr>
              <w:spacing w:after="40"/>
            </w:pPr>
            <w:r>
              <w:rPr>
                <w:sz w:val="17"/>
                <w:szCs w:val="17"/>
              </w:rPr>
              <w:t xml:space="preserve">INDICATIVE</w:t>
            </w:r>
          </w:p>
        </w:tc>
        <w:tc>
          <w:tcPr>
            <w:tcW w:type="dxa" w:w="4360"/>
            <w:tcMar>
              <w:top w:type="dxa" w:w="60"/>
              <w:left w:type="dxa" w:w="80"/>
              <w:bottom w:type="dxa" w:w="60"/>
              <w:right w:type="dxa" w:w="80"/>
            </w:tcMar>
          </w:tcPr>
          <w:p>
            <w:pPr>
              <w:spacing w:after="40"/>
            </w:pPr>
            <w:r>
              <w:rPr>
                <w:sz w:val="17"/>
                <w:szCs w:val="17"/>
              </w:rPr>
              <w:t xml:space="preserve">Directional reads from reported percentage moves; full validated OHLC not assembled</w:t>
            </w:r>
          </w:p>
        </w:tc>
      </w:tr>
      <w:tr>
        <w:tc>
          <w:tcPr>
            <w:tcW w:type="dxa" w:w="2600"/>
            <w:tcMar>
              <w:top w:type="dxa" w:w="60"/>
              <w:left w:type="dxa" w:w="80"/>
              <w:bottom w:type="dxa" w:w="60"/>
              <w:right w:type="dxa" w:w="80"/>
            </w:tcMar>
          </w:tcPr>
          <w:p>
            <w:pPr>
              <w:spacing w:after="40"/>
            </w:pPr>
            <w:r>
              <w:rPr>
                <w:sz w:val="17"/>
                <w:szCs w:val="17"/>
              </w:rPr>
              <w:t xml:space="preserve">Average true range (≈104 points)</w:t>
            </w:r>
          </w:p>
        </w:tc>
        <w:tc>
          <w:tcPr>
            <w:tcW w:type="dxa" w:w="2400"/>
            <w:tcMar>
              <w:top w:type="dxa" w:w="60"/>
              <w:left w:type="dxa" w:w="80"/>
              <w:bottom w:type="dxa" w:w="60"/>
              <w:right w:type="dxa" w:w="80"/>
            </w:tcMar>
          </w:tcPr>
          <w:p>
            <w:pPr>
              <w:spacing w:after="40"/>
            </w:pPr>
            <w:r>
              <w:rPr>
                <w:sz w:val="17"/>
                <w:szCs w:val="17"/>
              </w:rPr>
              <w:t xml:space="preserve">INDICATIVE</w:t>
            </w:r>
          </w:p>
        </w:tc>
        <w:tc>
          <w:tcPr>
            <w:tcW w:type="dxa" w:w="4360"/>
            <w:tcMar>
              <w:top w:type="dxa" w:w="60"/>
              <w:left w:type="dxa" w:w="80"/>
              <w:bottom w:type="dxa" w:w="60"/>
              <w:right w:type="dxa" w:w="80"/>
            </w:tcMar>
          </w:tcPr>
          <w:p>
            <w:pPr>
              <w:spacing w:after="40"/>
            </w:pPr>
            <w:r>
              <w:rPr>
                <w:sz w:val="17"/>
                <w:szCs w:val="17"/>
              </w:rPr>
              <w:t xml:space="preserve">Computed on a 6-session window incorporating indicative highs and lows</w:t>
            </w:r>
          </w:p>
        </w:tc>
      </w:tr>
      <w:tr>
        <w:tc>
          <w:tcPr>
            <w:tcW w:type="dxa" w:w="2600"/>
            <w:tcMar>
              <w:top w:type="dxa" w:w="60"/>
              <w:left w:type="dxa" w:w="80"/>
              <w:bottom w:type="dxa" w:w="60"/>
              <w:right w:type="dxa" w:w="80"/>
            </w:tcMar>
          </w:tcPr>
          <w:p>
            <w:pPr>
              <w:spacing w:after="40"/>
            </w:pPr>
            <w:r>
              <w:rPr>
                <w:sz w:val="17"/>
                <w:szCs w:val="17"/>
              </w:rPr>
              <w:t xml:space="preserve">Kaufman efficiency ratio (0.26)</w:t>
            </w:r>
          </w:p>
        </w:tc>
        <w:tc>
          <w:tcPr>
            <w:tcW w:type="dxa" w:w="2400"/>
            <w:tcMar>
              <w:top w:type="dxa" w:w="60"/>
              <w:left w:type="dxa" w:w="80"/>
              <w:bottom w:type="dxa" w:w="60"/>
              <w:right w:type="dxa" w:w="80"/>
            </w:tcMar>
          </w:tcPr>
          <w:p>
            <w:pPr>
              <w:spacing w:after="40"/>
            </w:pPr>
            <w:r>
              <w:rPr>
                <w:sz w:val="17"/>
                <w:szCs w:val="17"/>
              </w:rPr>
              <w:t xml:space="preserve">INDICATIVE — WINDOW-LIMITED</w:t>
            </w:r>
          </w:p>
        </w:tc>
        <w:tc>
          <w:tcPr>
            <w:tcW w:type="dxa" w:w="4360"/>
            <w:tcMar>
              <w:top w:type="dxa" w:w="60"/>
              <w:left w:type="dxa" w:w="80"/>
              <w:bottom w:type="dxa" w:w="60"/>
              <w:right w:type="dxa" w:w="80"/>
            </w:tcMar>
          </w:tcPr>
          <w:p>
            <w:pPr>
              <w:spacing w:after="40"/>
            </w:pPr>
            <w:r>
              <w:rPr>
                <w:sz w:val="17"/>
                <w:szCs w:val="17"/>
              </w:rPr>
              <w:t xml:space="preserve">Computed on 6 sessions against a specified 13-session lookback</w:t>
            </w:r>
          </w:p>
        </w:tc>
      </w:tr>
    </w:tbl>
    <w:p>
      <w:pPr>
        <w:pStyle w:val="Heading2"/>
        <w:spacing w:after="100" w:before="200"/>
      </w:pPr>
      <w:r>
        <w:t xml:space="preserve">Data gaps</w:t>
      </w:r>
    </w:p>
    <w:p>
      <w:pPr>
        <w:spacing w:after="120" w:before="0"/>
      </w:pPr>
      <w:r>
        <w:rPr>
          <w:sz w:val="20"/>
          <w:szCs w:val="20"/>
        </w:rPr>
        <w:t xml:space="preserve">A contiguous 25-session validated block could not be assembled. Corroborated daily OHLC for the period 17 June to 7 July 2026 could not be retrieved within the source standard. The medium-term structure chart in §7c is therefore drawn on available sessions with the gap disclosed, and the medium-term regime read in §9 rests on structural evidence across a discontinuous window rather than a continuous one. This is the most material limitation in the report.</w:t>
      </w:r>
    </w:p>
    <w:p>
      <w:pPr>
        <w:spacing w:after="120" w:before="0"/>
      </w:pPr>
      <w:r>
        <w:rPr>
          <w:sz w:val="20"/>
          <w:szCs w:val="20"/>
        </w:rPr>
        <w:t xml:space="preserve">June monthly high, low and close could not be corroborated, so monthly pivots are suppressed entirely per the framework's requirement to suppress rather than estimate.</w:t>
      </w:r>
    </w:p>
    <w:p>
      <w:pPr>
        <w:pStyle w:val="Heading2"/>
        <w:spacing w:after="100" w:before="200"/>
      </w:pPr>
      <w:r>
        <w:t xml:space="preserve">Normalisation assumptions</w:t>
      </w:r>
    </w:p>
    <w:p>
      <w:pPr>
        <w:spacing w:after="120" w:before="0"/>
      </w:pPr>
      <w:r>
        <w:rPr>
          <w:sz w:val="20"/>
          <w:szCs w:val="20"/>
        </w:rPr>
        <w:t xml:space="preserve">No currency normalisation was applied to the FTSE 100 series — all sources quote the same GBP-denominated cash index. The EURO STOXX 50 is reported in its native EUR with no GBP conversion applied, since the 15 July close is available only as a rounded figure and conversion would imply a false precision. Where a source reported only a percentage change, the implied level was reconstructed from the corroborated prior close and flagged indicative. Retail contract-for-difference quotes were excluded throughout per the restrictions governing this instance; one aggregator-derived index reference (Trading Economics GB100, a CFD-tracked contract) was used only for corroborating direction, never for level.</w:t>
      </w:r>
    </w:p>
    <w:p>
      <w:pPr>
        <w:pStyle w:val="Heading2"/>
        <w:spacing w:after="100" w:before="200"/>
      </w:pPr>
      <w:r>
        <w:t xml:space="preserve">Corroboration status per instrument</w:t>
      </w:r>
    </w:p>
    <w:p>
      <w:pPr>
        <w:spacing w:after="120" w:before="0"/>
      </w:pPr>
      <w:r>
        <w:rPr>
          <w:sz w:val="20"/>
          <w:szCs w:val="20"/>
        </w:rPr>
        <w:t xml:space="preserve">FTSE 100: 2 of 5 sessions fully corroborated, 1 of 5 corroborated on the close only, 2 of 5 indicative throughout. Six sources were consulted against a required minimum of six; one was excluded on evidentiary grounds, leaving five admitted. The minimum source count is met on the consultation standard but the reader should note that the excluded source would have been the sixth admitted.</w:t>
      </w:r>
    </w:p>
    <w:p>
      <w:pPr>
        <w:spacing w:after="120" w:before="0"/>
      </w:pPr>
      <w:r>
        <w:rPr>
          <w:sz w:val="20"/>
          <w:szCs w:val="20"/>
        </w:rPr>
        <w:t xml:space="preserve">EURO STOXX 50: 1 of 2 sessions corroborated. Counters: none fully corroborated — directional reads only.</w:t>
      </w:r>
    </w:p>
    <w:p>
      <w:pPr>
        <w:pStyle w:val="Heading1"/>
        <w:spacing w:after="140" w:before="280"/>
      </w:pPr>
      <w:r>
        <w:t xml:space="preserve">§20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val="clear"/>
            <w:tcMar>
              <w:top w:type="dxa" w:w="60"/>
              <w:left w:type="dxa" w:w="80"/>
              <w:bottom w:type="dxa" w:w="60"/>
              <w:right w:type="dxa" w:w="80"/>
            </w:tcMar>
          </w:tcPr>
          <w:p>
            <w:pPr>
              <w:spacing w:after="40"/>
            </w:pPr>
            <w:r>
              <w:rPr>
                <w:b/>
                <w:bCs/>
                <w:color w:val="FFFFFF"/>
                <w:sz w:val="17"/>
                <w:szCs w:val="17"/>
              </w:rPr>
              <w:t xml:space="preserve">Item</w:t>
            </w:r>
          </w:p>
        </w:tc>
        <w:tc>
          <w:tcPr>
            <w:tcW w:type="dxa" w:w="7460"/>
            <w:shd w:fill="1F4E79" w:val="clear"/>
            <w:tcMar>
              <w:top w:type="dxa" w:w="60"/>
              <w:left w:type="dxa" w:w="80"/>
              <w:bottom w:type="dxa" w:w="60"/>
              <w:right w:type="dxa" w:w="80"/>
            </w:tcMar>
          </w:tcPr>
          <w:p>
            <w:pPr>
              <w:spacing w:after="40"/>
            </w:pPr>
            <w:r>
              <w:rPr>
                <w:b/>
                <w:bCs/>
                <w:color w:val="FFFFFF"/>
                <w:sz w:val="17"/>
                <w:szCs w:val="17"/>
              </w:rPr>
              <w:t xml:space="preserve">Record</w:t>
            </w:r>
          </w:p>
        </w:tc>
      </w:tr>
      <w:tr>
        <w:tc>
          <w:tcPr>
            <w:tcW w:type="dxa" w:w="1900"/>
            <w:tcMar>
              <w:top w:type="dxa" w:w="60"/>
              <w:left w:type="dxa" w:w="80"/>
              <w:bottom w:type="dxa" w:w="60"/>
              <w:right w:type="dxa" w:w="80"/>
            </w:tcMar>
          </w:tcPr>
          <w:p>
            <w:pPr>
              <w:spacing w:after="40"/>
            </w:pPr>
            <w:r>
              <w:rPr>
                <w:sz w:val="17"/>
                <w:szCs w:val="17"/>
              </w:rPr>
              <w:t xml:space="preserve">Run timestamp</w:t>
            </w:r>
          </w:p>
        </w:tc>
        <w:tc>
          <w:tcPr>
            <w:tcW w:type="dxa" w:w="7460"/>
            <w:tcMar>
              <w:top w:type="dxa" w:w="60"/>
              <w:left w:type="dxa" w:w="80"/>
              <w:bottom w:type="dxa" w:w="60"/>
              <w:right w:type="dxa" w:w="80"/>
            </w:tcMar>
          </w:tcPr>
          <w:p>
            <w:pPr>
              <w:spacing w:after="40"/>
            </w:pPr>
            <w:r>
              <w:rPr>
                <w:sz w:val="17"/>
                <w:szCs w:val="17"/>
              </w:rPr>
              <w:t xml:space="preserve">15 July 2026, 21:40 UK — report anchored to the 16 July 2026 session</w:t>
            </w:r>
          </w:p>
        </w:tc>
      </w:tr>
      <w:tr>
        <w:tc>
          <w:tcPr>
            <w:tcW w:type="dxa" w:w="1900"/>
            <w:tcMar>
              <w:top w:type="dxa" w:w="60"/>
              <w:left w:type="dxa" w:w="80"/>
              <w:bottom w:type="dxa" w:w="60"/>
              <w:right w:type="dxa" w:w="80"/>
            </w:tcMar>
          </w:tcPr>
          <w:p>
            <w:pPr>
              <w:spacing w:after="40"/>
            </w:pPr>
            <w:r>
              <w:rPr>
                <w:sz w:val="17"/>
                <w:szCs w:val="17"/>
              </w:rPr>
              <w:t xml:space="preserve">Sources attempted</w:t>
            </w:r>
          </w:p>
        </w:tc>
        <w:tc>
          <w:tcPr>
            <w:tcW w:type="dxa" w:w="7460"/>
            <w:tcMar>
              <w:top w:type="dxa" w:w="60"/>
              <w:left w:type="dxa" w:w="80"/>
              <w:bottom w:type="dxa" w:w="60"/>
              <w:right w:type="dxa" w:w="80"/>
            </w:tcMar>
          </w:tcPr>
          <w:p>
            <w:pPr>
              <w:spacing w:after="40"/>
            </w:pPr>
            <w:r>
              <w:rPr>
                <w:sz w:val="17"/>
                <w:szCs w:val="17"/>
              </w:rPr>
              <w:t xml:space="preserve">Reuters (via Euronext, AOL, MarketScreener), Alliance News (via Yahoo Finance UK), Investing.com, Trading Economics, BBN Times, Proactive Investors, CNBC, Sunday Guardian, Yahoo Finance, Bloomberg (SX5E quote page — no usable close retrieved), STOXX Ltd (index page — no current close retrieved), FTSE Russell (not directly retrievable)</w:t>
            </w:r>
          </w:p>
        </w:tc>
      </w:tr>
      <w:tr>
        <w:tc>
          <w:tcPr>
            <w:tcW w:type="dxa" w:w="1900"/>
            <w:tcMar>
              <w:top w:type="dxa" w:w="60"/>
              <w:left w:type="dxa" w:w="80"/>
              <w:bottom w:type="dxa" w:w="60"/>
              <w:right w:type="dxa" w:w="80"/>
            </w:tcMar>
          </w:tcPr>
          <w:p>
            <w:pPr>
              <w:spacing w:after="40"/>
            </w:pPr>
            <w:r>
              <w:rPr>
                <w:sz w:val="17"/>
                <w:szCs w:val="17"/>
              </w:rPr>
              <w:t xml:space="preserve">Sources admitted</w:t>
            </w:r>
          </w:p>
        </w:tc>
        <w:tc>
          <w:tcPr>
            <w:tcW w:type="dxa" w:w="7460"/>
            <w:tcMar>
              <w:top w:type="dxa" w:w="60"/>
              <w:left w:type="dxa" w:w="80"/>
              <w:bottom w:type="dxa" w:w="60"/>
              <w:right w:type="dxa" w:w="80"/>
            </w:tcMar>
          </w:tcPr>
          <w:p>
            <w:pPr>
              <w:spacing w:after="40"/>
            </w:pPr>
            <w:r>
              <w:rPr>
                <w:sz w:val="17"/>
                <w:szCs w:val="17"/>
              </w:rPr>
              <w:t xml:space="preserve">5 for the FTSE 100 price consensus (Reuters, Alliance News, Proactive, Investing.com, plus Reuters intraday as reference); 1 excluded on evidentiary grounds (Sunday Guardian — conflicted with two Tier-1 primaries and carried a pre-close timestamp)</w:t>
            </w:r>
          </w:p>
        </w:tc>
      </w:tr>
      <w:tr>
        <w:tc>
          <w:tcPr>
            <w:tcW w:type="dxa" w:w="1900"/>
            <w:tcMar>
              <w:top w:type="dxa" w:w="60"/>
              <w:left w:type="dxa" w:w="80"/>
              <w:bottom w:type="dxa" w:w="60"/>
              <w:right w:type="dxa" w:w="80"/>
            </w:tcMar>
          </w:tcPr>
          <w:p>
            <w:pPr>
              <w:spacing w:after="40"/>
            </w:pPr>
            <w:r>
              <w:rPr>
                <w:sz w:val="17"/>
                <w:szCs w:val="17"/>
              </w:rPr>
              <w:t xml:space="preserve">Validation method</w:t>
            </w:r>
          </w:p>
        </w:tc>
        <w:tc>
          <w:tcPr>
            <w:tcW w:type="dxa" w:w="7460"/>
            <w:tcMar>
              <w:top w:type="dxa" w:w="60"/>
              <w:left w:type="dxa" w:w="80"/>
              <w:bottom w:type="dxa" w:w="60"/>
              <w:right w:type="dxa" w:w="80"/>
            </w:tcMar>
          </w:tcPr>
          <w:p>
            <w:pPr>
              <w:spacing w:after="40"/>
            </w:pPr>
            <w:r>
              <w:rPr>
                <w:sz w:val="17"/>
                <w:szCs w:val="17"/>
              </w:rPr>
              <w:t xml:space="preserve">Cross-source exact-match on the close, plus arithmetic reconciliation across sessions: 14 Jul close 10,529.39 (corroborated) − 13.47 reported change = 10,515.92 = 15 Jul close (corroborated independently). Two-session arithmetic closure across two independent source sets</w:t>
            </w:r>
          </w:p>
        </w:tc>
      </w:tr>
      <w:tr>
        <w:tc>
          <w:tcPr>
            <w:tcW w:type="dxa" w:w="1900"/>
            <w:tcMar>
              <w:top w:type="dxa" w:w="60"/>
              <w:left w:type="dxa" w:w="80"/>
              <w:bottom w:type="dxa" w:w="60"/>
              <w:right w:type="dxa" w:w="80"/>
            </w:tcMar>
          </w:tcPr>
          <w:p>
            <w:pPr>
              <w:spacing w:after="40"/>
            </w:pPr>
            <w:r>
              <w:rPr>
                <w:sz w:val="17"/>
                <w:szCs w:val="17"/>
              </w:rPr>
              <w:t xml:space="preserve">Corroboration pairs</w:t>
            </w:r>
          </w:p>
        </w:tc>
        <w:tc>
          <w:tcPr>
            <w:tcW w:type="dxa" w:w="7460"/>
            <w:tcMar>
              <w:top w:type="dxa" w:w="60"/>
              <w:left w:type="dxa" w:w="80"/>
              <w:bottom w:type="dxa" w:w="60"/>
              <w:right w:type="dxa" w:w="80"/>
            </w:tcMar>
          </w:tcPr>
          <w:p>
            <w:pPr>
              <w:spacing w:after="40"/>
            </w:pPr>
            <w:r>
              <w:rPr>
                <w:sz w:val="17"/>
                <w:szCs w:val="17"/>
              </w:rPr>
              <w:t xml:space="preserve">15 Jul close: Reuters × Alliance News. 14 Jul OHLC: Reuters × BBN Times × Investing.com. 13 Jul close: Trading Economics × Investing.com. EURO STOXX 50 14 Jul: Yahoo Finance × Investing.com</w:t>
            </w:r>
          </w:p>
        </w:tc>
      </w:tr>
      <w:tr>
        <w:tc>
          <w:tcPr>
            <w:tcW w:type="dxa" w:w="1900"/>
            <w:tcMar>
              <w:top w:type="dxa" w:w="60"/>
              <w:left w:type="dxa" w:w="80"/>
              <w:bottom w:type="dxa" w:w="60"/>
              <w:right w:type="dxa" w:w="80"/>
            </w:tcMar>
          </w:tcPr>
          <w:p>
            <w:pPr>
              <w:spacing w:after="40"/>
            </w:pPr>
            <w:r>
              <w:rPr>
                <w:sz w:val="17"/>
                <w:szCs w:val="17"/>
              </w:rPr>
              <w:t xml:space="preserve">Sentiment derivation</w:t>
            </w:r>
          </w:p>
        </w:tc>
        <w:tc>
          <w:tcPr>
            <w:tcW w:type="dxa" w:w="7460"/>
            <w:tcMar>
              <w:top w:type="dxa" w:w="60"/>
              <w:left w:type="dxa" w:w="80"/>
              <w:bottom w:type="dxa" w:w="60"/>
              <w:right w:type="dxa" w:w="80"/>
            </w:tcMar>
          </w:tcPr>
          <w:p>
            <w:pPr>
              <w:spacing w:after="40"/>
            </w:pPr>
            <w:r>
              <w:rPr>
                <w:sz w:val="17"/>
                <w:szCs w:val="17"/>
              </w:rPr>
              <w:t xml:space="preserve">7 articles classified individually (§13a), weighted by source tier and by whether the catalyst was already expressed in price. Numeric tilt −0.15, categorical MILDLY NEGATIVE / DIVIDED, confidence Medium. The magnitude was deliberately constrained because bearish news repeatedly failed to produce bearish price on 15 July</w:t>
            </w:r>
          </w:p>
        </w:tc>
      </w:tr>
      <w:tr>
        <w:tc>
          <w:tcPr>
            <w:tcW w:type="dxa" w:w="1900"/>
            <w:tcMar>
              <w:top w:type="dxa" w:w="60"/>
              <w:left w:type="dxa" w:w="80"/>
              <w:bottom w:type="dxa" w:w="60"/>
              <w:right w:type="dxa" w:w="80"/>
            </w:tcMar>
          </w:tcPr>
          <w:p>
            <w:pPr>
              <w:spacing w:after="40"/>
            </w:pPr>
            <w:r>
              <w:rPr>
                <w:sz w:val="17"/>
                <w:szCs w:val="17"/>
              </w:rPr>
              <w:t xml:space="preserve">Forecast reasoning</w:t>
            </w:r>
          </w:p>
        </w:tc>
        <w:tc>
          <w:tcPr>
            <w:tcW w:type="dxa" w:w="7460"/>
            <w:tcMar>
              <w:top w:type="dxa" w:w="60"/>
              <w:left w:type="dxa" w:w="80"/>
              <w:bottom w:type="dxa" w:w="60"/>
              <w:right w:type="dxa" w:w="80"/>
            </w:tcMar>
          </w:tcPr>
          <w:p>
            <w:pPr>
              <w:spacing w:after="40"/>
            </w:pPr>
            <w:r>
              <w:rPr>
                <w:sz w:val="17"/>
                <w:szCs w:val="17"/>
              </w:rPr>
              <w:t xml:space="preserve">Direction score +0.29 (LONG, above the 0.25 conviction threshold). Structural regime TRANSITION. Forecast leans mildly bullish on rising session lows, position above the daily pivot, and compression beneath a confluence shelf — not on trend, which is absent</w:t>
            </w:r>
          </w:p>
        </w:tc>
      </w:tr>
      <w:tr>
        <w:tc>
          <w:tcPr>
            <w:tcW w:type="dxa" w:w="1900"/>
            <w:tcMar>
              <w:top w:type="dxa" w:w="60"/>
              <w:left w:type="dxa" w:w="80"/>
              <w:bottom w:type="dxa" w:w="60"/>
              <w:right w:type="dxa" w:w="80"/>
            </w:tcMar>
          </w:tcPr>
          <w:p>
            <w:pPr>
              <w:spacing w:after="40"/>
            </w:pPr>
            <w:r>
              <w:rPr>
                <w:sz w:val="17"/>
                <w:szCs w:val="17"/>
              </w:rPr>
              <w:t xml:space="preserve">Direction-score weights basis</w:t>
            </w:r>
          </w:p>
        </w:tc>
        <w:tc>
          <w:tcPr>
            <w:tcW w:type="dxa" w:w="7460"/>
            <w:tcMar>
              <w:top w:type="dxa" w:w="60"/>
              <w:left w:type="dxa" w:w="80"/>
              <w:bottom w:type="dxa" w:w="60"/>
              <w:right w:type="dxa" w:w="80"/>
            </w:tcMar>
          </w:tcPr>
          <w:p>
            <w:pPr>
              <w:spacing w:after="40"/>
            </w:pPr>
            <w:r>
              <w:rPr>
                <w:sz w:val="17"/>
                <w:szCs w:val="17"/>
              </w:rPr>
              <w:t xml:space="preserve">DEFAULTS. All six weights at the baseline vector, unmodified. This is forward-test session 1 of the minimum 20-session lock; no tuning performed or contemplated</w:t>
            </w:r>
          </w:p>
        </w:tc>
      </w:tr>
      <w:tr>
        <w:tc>
          <w:tcPr>
            <w:tcW w:type="dxa" w:w="1900"/>
            <w:tcMar>
              <w:top w:type="dxa" w:w="60"/>
              <w:left w:type="dxa" w:w="80"/>
              <w:bottom w:type="dxa" w:w="60"/>
              <w:right w:type="dxa" w:w="80"/>
            </w:tcMar>
          </w:tcPr>
          <w:p>
            <w:pPr>
              <w:spacing w:after="40"/>
            </w:pPr>
            <w:r>
              <w:rPr>
                <w:sz w:val="17"/>
                <w:szCs w:val="17"/>
              </w:rPr>
              <w:t xml:space="preserve">Anomaly — daily-open anchor override</w:t>
            </w:r>
          </w:p>
        </w:tc>
        <w:tc>
          <w:tcPr>
            <w:tcW w:type="dxa" w:w="7460"/>
            <w:tcMar>
              <w:top w:type="dxa" w:w="60"/>
              <w:left w:type="dxa" w:w="80"/>
              <w:bottom w:type="dxa" w:w="60"/>
              <w:right w:type="dxa" w:w="80"/>
            </w:tcMar>
          </w:tcPr>
          <w:p>
            <w:pPr>
              <w:spacing w:after="40"/>
            </w:pPr>
            <w:r>
              <w:rPr>
                <w:sz w:val="17"/>
                <w:szCs w:val="17"/>
              </w:rPr>
              <w:t xml:space="preserve">The daily-open anchor was overridden at the analyst's instruction from the instance default of 07:00 UK. The override is recorded here as a deviation from the configured instance. The 07:00 UK anchor rationale (one hour of overnight futures and Asian-session context ahead of the 08:00 LSE open) is unchanged, and Trade 1 entry timing in §21b is stated explicitly on the card</w:t>
            </w:r>
          </w:p>
        </w:tc>
      </w:tr>
      <w:tr>
        <w:tc>
          <w:tcPr>
            <w:tcW w:type="dxa" w:w="1900"/>
            <w:tcMar>
              <w:top w:type="dxa" w:w="60"/>
              <w:left w:type="dxa" w:w="80"/>
              <w:bottom w:type="dxa" w:w="60"/>
              <w:right w:type="dxa" w:w="80"/>
            </w:tcMar>
          </w:tcPr>
          <w:p>
            <w:pPr>
              <w:spacing w:after="40"/>
            </w:pPr>
            <w:r>
              <w:rPr>
                <w:sz w:val="17"/>
                <w:szCs w:val="17"/>
              </w:rPr>
              <w:t xml:space="preserve">Anomaly — corroboration standard relaxed</w:t>
            </w:r>
          </w:p>
        </w:tc>
        <w:tc>
          <w:tcPr>
            <w:tcW w:type="dxa" w:w="7460"/>
            <w:tcMar>
              <w:top w:type="dxa" w:w="60"/>
              <w:left w:type="dxa" w:w="80"/>
              <w:bottom w:type="dxa" w:w="60"/>
              <w:right w:type="dxa" w:w="80"/>
            </w:tcMar>
          </w:tcPr>
          <w:p>
            <w:pPr>
              <w:spacing w:after="40"/>
            </w:pPr>
            <w:r>
              <w:rPr>
                <w:sz w:val="17"/>
                <w:szCs w:val="17"/>
              </w:rPr>
              <w:t xml:space="preserve">At the analyst's instruction, trade cards were produced notwithstanding incomplete corroboration of the pivot and swing inputs on which they depend. Under the unmodified framework, Trade 2 would be SUPPRESSED because all accessible pivot tiers carry the single-source-indicative flag. This suppression was overridden by instruction. Every affected card carries the indicative caveat, and the flag is recorded in §19</w:t>
            </w:r>
          </w:p>
        </w:tc>
      </w:tr>
      <w:tr>
        <w:tc>
          <w:tcPr>
            <w:tcW w:type="dxa" w:w="1900"/>
            <w:tcMar>
              <w:top w:type="dxa" w:w="60"/>
              <w:left w:type="dxa" w:w="80"/>
              <w:bottom w:type="dxa" w:w="60"/>
              <w:right w:type="dxa" w:w="80"/>
            </w:tcMar>
          </w:tcPr>
          <w:p>
            <w:pPr>
              <w:spacing w:after="40"/>
            </w:pPr>
            <w:r>
              <w:rPr>
                <w:sz w:val="17"/>
                <w:szCs w:val="17"/>
              </w:rPr>
              <w:t xml:space="preserve">Anomaly — Kaufman window</w:t>
            </w:r>
          </w:p>
        </w:tc>
        <w:tc>
          <w:tcPr>
            <w:tcW w:type="dxa" w:w="7460"/>
            <w:tcMar>
              <w:top w:type="dxa" w:w="60"/>
              <w:left w:type="dxa" w:w="80"/>
              <w:bottom w:type="dxa" w:w="60"/>
              <w:right w:type="dxa" w:w="80"/>
            </w:tcMar>
          </w:tcPr>
          <w:p>
            <w:pPr>
              <w:spacing w:after="40"/>
            </w:pPr>
            <w:r>
              <w:rPr>
                <w:sz w:val="17"/>
                <w:szCs w:val="17"/>
              </w:rPr>
              <w:t xml:space="preserve">Kaufman efficiency computed on 6 sessions against the specified 13-session lookback; corroborated data for the fuller window unavailable. The reading (0.26) contradicts the structural regime label. Structure was given precedence for the regime label; the Kaufman contribution was retained at full specified weight in the direction score. Both the contradiction and its resolution are disclosed in §9</w:t>
            </w:r>
          </w:p>
        </w:tc>
      </w:tr>
      <w:tr>
        <w:tc>
          <w:tcPr>
            <w:tcW w:type="dxa" w:w="1900"/>
            <w:tcMar>
              <w:top w:type="dxa" w:w="60"/>
              <w:left w:type="dxa" w:w="80"/>
              <w:bottom w:type="dxa" w:w="60"/>
              <w:right w:type="dxa" w:w="80"/>
            </w:tcMar>
          </w:tcPr>
          <w:p>
            <w:pPr>
              <w:spacing w:after="40"/>
            </w:pPr>
            <w:r>
              <w:rPr>
                <w:sz w:val="17"/>
                <w:szCs w:val="17"/>
              </w:rPr>
              <w:t xml:space="preserve">Anomaly — medium-term window</w:t>
            </w:r>
          </w:p>
        </w:tc>
        <w:tc>
          <w:tcPr>
            <w:tcW w:type="dxa" w:w="7460"/>
            <w:tcMar>
              <w:top w:type="dxa" w:w="60"/>
              <w:left w:type="dxa" w:w="80"/>
              <w:bottom w:type="dxa" w:w="60"/>
              <w:right w:type="dxa" w:w="80"/>
            </w:tcMar>
          </w:tcPr>
          <w:p>
            <w:pPr>
              <w:spacing w:after="40"/>
            </w:pPr>
            <w:r>
              <w:rPr>
                <w:sz w:val="17"/>
                <w:szCs w:val="17"/>
              </w:rPr>
              <w:t xml:space="preserve">The 25-session block is discontinuous (17 Jun – 7 Jul gap). Medium-term regime rests on structural evidence across a broken window. Disclosed in §7c and §19</w:t>
            </w:r>
          </w:p>
        </w:tc>
      </w:tr>
      <w:tr>
        <w:tc>
          <w:tcPr>
            <w:tcW w:type="dxa" w:w="1900"/>
            <w:tcMar>
              <w:top w:type="dxa" w:w="60"/>
              <w:left w:type="dxa" w:w="80"/>
              <w:bottom w:type="dxa" w:w="60"/>
              <w:right w:type="dxa" w:w="80"/>
            </w:tcMar>
          </w:tcPr>
          <w:p>
            <w:pPr>
              <w:spacing w:after="40"/>
            </w:pPr>
            <w:r>
              <w:rPr>
                <w:sz w:val="17"/>
                <w:szCs w:val="17"/>
              </w:rPr>
              <w:t xml:space="preserve">Anomaly — monthly pivots</w:t>
            </w:r>
          </w:p>
        </w:tc>
        <w:tc>
          <w:tcPr>
            <w:tcW w:type="dxa" w:w="7460"/>
            <w:tcMar>
              <w:top w:type="dxa" w:w="60"/>
              <w:left w:type="dxa" w:w="80"/>
              <w:bottom w:type="dxa" w:w="60"/>
              <w:right w:type="dxa" w:w="80"/>
            </w:tcMar>
          </w:tcPr>
          <w:p>
            <w:pPr>
              <w:spacing w:after="40"/>
            </w:pPr>
            <w:r>
              <w:rPr>
                <w:sz w:val="17"/>
                <w:szCs w:val="17"/>
              </w:rPr>
              <w:t xml:space="preserve">Suppressed entirely — corroborated June H/L/C unavailable. No estimation attempted</w:t>
            </w:r>
          </w:p>
        </w:tc>
      </w:tr>
      <w:tr>
        <w:tc>
          <w:tcPr>
            <w:tcW w:type="dxa" w:w="1900"/>
            <w:tcMar>
              <w:top w:type="dxa" w:w="60"/>
              <w:left w:type="dxa" w:w="80"/>
              <w:bottom w:type="dxa" w:w="60"/>
              <w:right w:type="dxa" w:w="80"/>
            </w:tcMar>
          </w:tcPr>
          <w:p>
            <w:pPr>
              <w:spacing w:after="40"/>
            </w:pPr>
            <w:r>
              <w:rPr>
                <w:sz w:val="17"/>
                <w:szCs w:val="17"/>
              </w:rPr>
              <w:t xml:space="preserve">Backtest reconstruction notes</w:t>
            </w:r>
          </w:p>
        </w:tc>
        <w:tc>
          <w:tcPr>
            <w:tcW w:type="dxa" w:w="7460"/>
            <w:tcMar>
              <w:top w:type="dxa" w:w="60"/>
              <w:left w:type="dxa" w:w="80"/>
              <w:bottom w:type="dxa" w:w="60"/>
              <w:right w:type="dxa" w:w="80"/>
            </w:tcMar>
          </w:tcPr>
          <w:p>
            <w:pPr>
              <w:spacing w:after="40"/>
            </w:pPr>
            <w:r>
              <w:rPr>
                <w:sz w:val="17"/>
                <w:szCs w:val="17"/>
              </w:rPr>
              <w:t xml:space="preserve">5 sessions replayed (9–15 Jul). Sentiment frozen at each t−1 reconstruction; no forward leakage. Reconstruction quality is materially limited by the indicative status of intraday highs and lows for 3 of the 5 replayed sessions — where a stop or target sits inside an indicative range, resolution is uncertain. Rows so affected are marked. SL-first tick-priority applied where both stop and target fall within one bar</w:t>
            </w:r>
          </w:p>
        </w:tc>
      </w:tr>
      <w:tr>
        <w:tc>
          <w:tcPr>
            <w:tcW w:type="dxa" w:w="1900"/>
            <w:tcMar>
              <w:top w:type="dxa" w:w="60"/>
              <w:left w:type="dxa" w:w="80"/>
              <w:bottom w:type="dxa" w:w="60"/>
              <w:right w:type="dxa" w:w="80"/>
            </w:tcMar>
          </w:tcPr>
          <w:p>
            <w:pPr>
              <w:spacing w:after="40"/>
            </w:pPr>
            <w:r>
              <w:rPr>
                <w:sz w:val="17"/>
                <w:szCs w:val="17"/>
              </w:rPr>
              <w:t xml:space="preserve">Trade cards produced</w:t>
            </w:r>
          </w:p>
        </w:tc>
        <w:tc>
          <w:tcPr>
            <w:tcW w:type="dxa" w:w="7460"/>
            <w:tcMar>
              <w:top w:type="dxa" w:w="60"/>
              <w:left w:type="dxa" w:w="80"/>
              <w:bottom w:type="dxa" w:w="60"/>
              <w:right w:type="dxa" w:w="80"/>
            </w:tcMar>
          </w:tcPr>
          <w:p>
            <w:pPr>
              <w:spacing w:after="40"/>
            </w:pPr>
            <w:r>
              <w:rPr>
                <w:sz w:val="17"/>
                <w:szCs w:val="17"/>
              </w:rPr>
              <w:t xml:space="preserve">3 of 3 (Trade 1 Daily Directional, Trade 2 Pivot breakout-side, Trade 3C Momentum-Breakout). No suppressions applied — see the corroboration override above</w:t>
            </w:r>
          </w:p>
        </w:tc>
      </w:tr>
    </w:tbl>
    <w:p>
      <w:r>
        <w:br w:type="page"/>
      </w:r>
    </w:p>
    <w:p>
      <w:pPr>
        <w:pStyle w:val="Heading1"/>
        <w:spacing w:after="140" w:before="280"/>
      </w:pPr>
      <w:r>
        <w:t xml:space="preserve">§21  Strategy Recommendations</w:t>
      </w:r>
    </w:p>
    <w:p>
      <w:pPr>
        <w:pStyle w:val="Heading2"/>
        <w:spacing w:after="100" w:before="200"/>
      </w:pPr>
      <w:r>
        <w:t xml:space="preserve">§21a  Directional Conviction</w:t>
      </w:r>
    </w:p>
    <w:p>
      <w:pPr>
        <w:spacing w:after="120" w:before="0"/>
      </w:pPr>
      <w:r>
        <w:rPr>
          <w:sz w:val="20"/>
          <w:szCs w:val="20"/>
        </w:rPr>
        <w:t xml:space="preserve">Direction: LONG. Score: +0.29 on the [−1, +1] scale, above the conviction threshold, so Trade 1 produces rather than being suppressed. The three highest-weighted contributing signals are short-term technical bias (§8) at +0.13, medium-term regime (§9) at +0.10, and cross-asset confirmation (§10) at +0.05; the Kaufman contribution (§9) adds +0.04 and sentiment (§13b) subtracts −0.02. The score is only 0.04 above the threshold — this is a marginal LONG, not a confident one, and a modestly different sentiment or cross-asset read would have suppressed Trade 1 entirely. Conflict flag: the direction score and the §17 forecast agree in sign, so no directional conflict arises; however, both lean against the mildly negative aggregate sentiment tilt, which is stated in §16 and not resolved. Weights basis: defaults.</w:t>
      </w:r>
    </w:p>
    <w:p>
      <w:pPr>
        <w:pStyle w:val="Heading2"/>
        <w:spacing w:after="100" w:before="200"/>
      </w:pPr>
      <w:r>
        <w:t xml:space="preserve">§21b  Trade Cards</w:t>
      </w:r>
    </w:p>
    <w:p>
      <w:pPr>
        <w:pStyle w:val="Heading2"/>
        <w:spacing w:after="100" w:before="200"/>
      </w:pPr>
      <w: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val="clear"/>
            <w:tcMar>
              <w:top w:type="dxa" w:w="60"/>
              <w:left w:type="dxa" w:w="80"/>
              <w:bottom w:type="dxa" w:w="60"/>
              <w:right w:type="dxa" w:w="80"/>
            </w:tcMar>
          </w:tcPr>
          <w:p>
            <w:pPr>
              <w:spacing w:after="40"/>
            </w:pPr>
            <w:r>
              <w:rPr>
                <w:b/>
                <w:bCs/>
                <w:color w:val="FFFFFF"/>
                <w:sz w:val="17"/>
                <w:szCs w:val="17"/>
              </w:rPr>
              <w:t xml:space="preserve">Field</w:t>
            </w:r>
          </w:p>
        </w:tc>
        <w:tc>
          <w:tcPr>
            <w:tcW w:type="dxa" w:w="7460"/>
            <w:shd w:fill="1F4E79" w:val="clear"/>
            <w:tcMar>
              <w:top w:type="dxa" w:w="60"/>
              <w:left w:type="dxa" w:w="80"/>
              <w:bottom w:type="dxa" w:w="60"/>
              <w:right w:type="dxa" w:w="80"/>
            </w:tcMar>
          </w:tcPr>
          <w:p>
            <w:pPr>
              <w:spacing w:after="40"/>
            </w:pPr>
            <w:r>
              <w:rPr>
                <w:b/>
                <w:bCs/>
                <w:color w:val="FFFFFF"/>
                <w:sz w:val="17"/>
                <w:szCs w:val="17"/>
              </w:rPr>
              <w:t xml:space="preserve">Detail</w:t>
            </w:r>
          </w:p>
        </w:tc>
      </w:tr>
      <w:tr>
        <w:tc>
          <w:tcPr>
            <w:tcW w:type="dxa" w:w="1900"/>
            <w:tcMar>
              <w:top w:type="dxa" w:w="60"/>
              <w:left w:type="dxa" w:w="80"/>
              <w:bottom w:type="dxa" w:w="60"/>
              <w:right w:type="dxa" w:w="80"/>
            </w:tcMar>
          </w:tcPr>
          <w:p>
            <w:pPr>
              <w:spacing w:after="40"/>
            </w:pPr>
            <w:r>
              <w:rPr>
                <w:sz w:val="17"/>
                <w:szCs w:val="17"/>
              </w:rPr>
              <w:t xml:space="preserve">Trade type</w:t>
            </w:r>
          </w:p>
        </w:tc>
        <w:tc>
          <w:tcPr>
            <w:tcW w:type="dxa" w:w="7460"/>
            <w:tcMar>
              <w:top w:type="dxa" w:w="60"/>
              <w:left w:type="dxa" w:w="80"/>
              <w:bottom w:type="dxa" w:w="60"/>
              <w:right w:type="dxa" w:w="80"/>
            </w:tcMar>
          </w:tcPr>
          <w:p>
            <w:pPr>
              <w:spacing w:after="40"/>
            </w:pPr>
            <w:r>
              <w:rPr>
                <w:sz w:val="17"/>
                <w:szCs w:val="17"/>
              </w:rPr>
              <w:t xml:space="preserve">Trade 1 — Daily Directional</w:t>
            </w:r>
          </w:p>
        </w:tc>
      </w:tr>
      <w:tr>
        <w:tc>
          <w:tcPr>
            <w:tcW w:type="dxa" w:w="1900"/>
            <w:tcMar>
              <w:top w:type="dxa" w:w="60"/>
              <w:left w:type="dxa" w:w="80"/>
              <w:bottom w:type="dxa" w:w="60"/>
              <w:right w:type="dxa" w:w="80"/>
            </w:tcMar>
          </w:tcPr>
          <w:p>
            <w:pPr>
              <w:spacing w:after="40"/>
            </w:pPr>
            <w:r>
              <w:rPr>
                <w:sz w:val="17"/>
                <w:szCs w:val="17"/>
              </w:rPr>
              <w:t xml:space="preserve">Direction</w:t>
            </w:r>
          </w:p>
        </w:tc>
        <w:tc>
          <w:tcPr>
            <w:tcW w:type="dxa" w:w="7460"/>
            <w:tcMar>
              <w:top w:type="dxa" w:w="60"/>
              <w:left w:type="dxa" w:w="80"/>
              <w:bottom w:type="dxa" w:w="60"/>
              <w:right w:type="dxa" w:w="80"/>
            </w:tcMar>
          </w:tcPr>
          <w:p>
            <w:pPr>
              <w:spacing w:after="40"/>
            </w:pPr>
            <w:r>
              <w:rPr>
                <w:sz w:val="17"/>
                <w:szCs w:val="17"/>
              </w:rPr>
              <w:t xml:space="preserve">LONG — TRANSITION regime with a positive direction score (+0.29) and rising session lows</w:t>
            </w:r>
          </w:p>
        </w:tc>
      </w:tr>
      <w:tr>
        <w:tc>
          <w:tcPr>
            <w:tcW w:type="dxa" w:w="1900"/>
            <w:tcMar>
              <w:top w:type="dxa" w:w="60"/>
              <w:left w:type="dxa" w:w="80"/>
              <w:bottom w:type="dxa" w:w="60"/>
              <w:right w:type="dxa" w:w="80"/>
            </w:tcMar>
          </w:tcPr>
          <w:p>
            <w:pPr>
              <w:spacing w:after="40"/>
            </w:pPr>
            <w:r>
              <w:rPr>
                <w:sz w:val="17"/>
                <w:szCs w:val="17"/>
              </w:rPr>
              <w:t xml:space="preserve">Entry</w:t>
            </w:r>
          </w:p>
        </w:tc>
        <w:tc>
          <w:tcPr>
            <w:tcW w:type="dxa" w:w="7460"/>
            <w:tcMar>
              <w:top w:type="dxa" w:w="60"/>
              <w:left w:type="dxa" w:w="80"/>
              <w:bottom w:type="dxa" w:w="60"/>
              <w:right w:type="dxa" w:w="80"/>
            </w:tcMar>
          </w:tcPr>
          <w:p>
            <w:pPr>
              <w:spacing w:after="40"/>
            </w:pPr>
            <w:r>
              <w:rPr>
                <w:sz w:val="17"/>
                <w:szCs w:val="17"/>
              </w:rPr>
              <w:t xml:space="preserve">10,515.92 (reference). Market order at 00:00 UK on 16 July 2026, per the overridden daily-open anchor. Note: the LSE cash session does not open until 08:00 UK. A market order at 00:00 UK is not executable on the cash index — this entry must be worked as a pending order that triggers at the 08:00 open, or the anchor should be returned to 07:00 UK. This is a direct consequence of the anchor override and is flagged in §20</w:t>
            </w:r>
          </w:p>
        </w:tc>
      </w:tr>
      <w:tr>
        <w:tc>
          <w:tcPr>
            <w:tcW w:type="dxa" w:w="1900"/>
            <w:tcMar>
              <w:top w:type="dxa" w:w="60"/>
              <w:left w:type="dxa" w:w="80"/>
              <w:bottom w:type="dxa" w:w="60"/>
              <w:right w:type="dxa" w:w="80"/>
            </w:tcMar>
          </w:tcPr>
          <w:p>
            <w:pPr>
              <w:spacing w:after="40"/>
            </w:pPr>
            <w:r>
              <w:rPr>
                <w:sz w:val="17"/>
                <w:szCs w:val="17"/>
              </w:rPr>
              <w:t xml:space="preserve">Stop loss</w:t>
            </w:r>
          </w:p>
        </w:tc>
        <w:tc>
          <w:tcPr>
            <w:tcW w:type="dxa" w:w="7460"/>
            <w:tcMar>
              <w:top w:type="dxa" w:w="60"/>
              <w:left w:type="dxa" w:w="80"/>
              <w:bottom w:type="dxa" w:w="60"/>
              <w:right w:type="dxa" w:w="80"/>
            </w:tcMar>
          </w:tcPr>
          <w:p>
            <w:pPr>
              <w:spacing w:after="40"/>
            </w:pPr>
            <w:r>
              <w:rPr>
                <w:sz w:val="17"/>
                <w:szCs w:val="17"/>
              </w:rPr>
              <w:t xml:space="preserve">10,393.98 — 121.94 points below entry. Structural anchor: the five-day swing low at 10,420.00, offset by 0.25 × average true range</w:t>
            </w:r>
          </w:p>
        </w:tc>
      </w:tr>
      <w:tr>
        <w:tc>
          <w:tcPr>
            <w:tcW w:type="dxa" w:w="1900"/>
            <w:tcMar>
              <w:top w:type="dxa" w:w="60"/>
              <w:left w:type="dxa" w:w="80"/>
              <w:bottom w:type="dxa" w:w="60"/>
              <w:right w:type="dxa" w:w="80"/>
            </w:tcMar>
          </w:tcPr>
          <w:p>
            <w:pPr>
              <w:spacing w:after="40"/>
            </w:pPr>
            <w:r>
              <w:rPr>
                <w:sz w:val="17"/>
                <w:szCs w:val="17"/>
              </w:rPr>
              <w:t xml:space="preserve">Risk (R)</w:t>
            </w:r>
          </w:p>
        </w:tc>
        <w:tc>
          <w:tcPr>
            <w:tcW w:type="dxa" w:w="7460"/>
            <w:tcMar>
              <w:top w:type="dxa" w:w="60"/>
              <w:left w:type="dxa" w:w="80"/>
              <w:bottom w:type="dxa" w:w="60"/>
              <w:right w:type="dxa" w:w="80"/>
            </w:tcMar>
          </w:tcPr>
          <w:p>
            <w:pPr>
              <w:spacing w:after="40"/>
            </w:pPr>
            <w:r>
              <w:rPr>
                <w:sz w:val="17"/>
                <w:szCs w:val="17"/>
              </w:rPr>
              <w:t xml:space="preserve">121.94 index points (121.94 points). Stop distance is 1.17 × average true range, within the 3.5 × cap — no cap applied, no size reduction required</w:t>
            </w:r>
          </w:p>
        </w:tc>
      </w:tr>
      <w:tr>
        <w:tc>
          <w:tcPr>
            <w:tcW w:type="dxa" w:w="1900"/>
            <w:tcMar>
              <w:top w:type="dxa" w:w="60"/>
              <w:left w:type="dxa" w:w="80"/>
              <w:bottom w:type="dxa" w:w="60"/>
              <w:right w:type="dxa" w:w="80"/>
            </w:tcMar>
          </w:tcPr>
          <w:p>
            <w:pPr>
              <w:spacing w:after="40"/>
            </w:pPr>
            <w:r>
              <w:rPr>
                <w:sz w:val="17"/>
                <w:szCs w:val="17"/>
              </w:rPr>
              <w:t xml:space="preserve">TP1 (Unit 1)</w:t>
            </w:r>
          </w:p>
        </w:tc>
        <w:tc>
          <w:tcPr>
            <w:tcW w:type="dxa" w:w="7460"/>
            <w:tcMar>
              <w:top w:type="dxa" w:w="60"/>
              <w:left w:type="dxa" w:w="80"/>
              <w:bottom w:type="dxa" w:w="60"/>
              <w:right w:type="dxa" w:w="80"/>
            </w:tcMar>
          </w:tcPr>
          <w:p>
            <w:pPr>
              <w:spacing w:after="40"/>
            </w:pPr>
            <w:r>
              <w:rPr>
                <w:sz w:val="17"/>
                <w:szCs w:val="17"/>
              </w:rPr>
              <w:t xml:space="preserve">10,637.86 — +1R (+121.94 points)</w:t>
            </w:r>
          </w:p>
        </w:tc>
      </w:tr>
      <w:tr>
        <w:tc>
          <w:tcPr>
            <w:tcW w:type="dxa" w:w="1900"/>
            <w:tcMar>
              <w:top w:type="dxa" w:w="60"/>
              <w:left w:type="dxa" w:w="80"/>
              <w:bottom w:type="dxa" w:w="60"/>
              <w:right w:type="dxa" w:w="80"/>
            </w:tcMar>
          </w:tcPr>
          <w:p>
            <w:pPr>
              <w:spacing w:after="40"/>
            </w:pPr>
            <w:r>
              <w:rPr>
                <w:sz w:val="17"/>
                <w:szCs w:val="17"/>
              </w:rPr>
              <w:t xml:space="preserve">TP2 (Unit 2)</w:t>
            </w:r>
          </w:p>
        </w:tc>
        <w:tc>
          <w:tcPr>
            <w:tcW w:type="dxa" w:w="7460"/>
            <w:tcMar>
              <w:top w:type="dxa" w:w="60"/>
              <w:left w:type="dxa" w:w="80"/>
              <w:bottom w:type="dxa" w:w="60"/>
              <w:right w:type="dxa" w:w="80"/>
            </w:tcMar>
          </w:tcPr>
          <w:p>
            <w:pPr>
              <w:spacing w:after="40"/>
            </w:pPr>
            <w:r>
              <w:rPr>
                <w:sz w:val="17"/>
                <w:szCs w:val="17"/>
              </w:rPr>
              <w:t xml:space="preserve">10,759.81 — +2R (+243.88 points)</w:t>
            </w:r>
          </w:p>
        </w:tc>
      </w:tr>
      <w:tr>
        <w:tc>
          <w:tcPr>
            <w:tcW w:type="dxa" w:w="1900"/>
            <w:tcMar>
              <w:top w:type="dxa" w:w="60"/>
              <w:left w:type="dxa" w:w="80"/>
              <w:bottom w:type="dxa" w:w="60"/>
              <w:right w:type="dxa" w:w="80"/>
            </w:tcMar>
          </w:tcPr>
          <w:p>
            <w:pPr>
              <w:spacing w:after="40"/>
            </w:pPr>
            <w:r>
              <w:rPr>
                <w:sz w:val="17"/>
                <w:szCs w:val="17"/>
              </w:rPr>
              <w:t xml:space="preserve">TP3 (Unit 3 — runner)</w:t>
            </w:r>
          </w:p>
        </w:tc>
        <w:tc>
          <w:tcPr>
            <w:tcW w:type="dxa" w:w="7460"/>
            <w:tcMar>
              <w:top w:type="dxa" w:w="60"/>
              <w:left w:type="dxa" w:w="80"/>
              <w:bottom w:type="dxa" w:w="60"/>
              <w:right w:type="dxa" w:w="80"/>
            </w:tcMar>
          </w:tcPr>
          <w:p>
            <w:pPr>
              <w:spacing w:after="40"/>
            </w:pPr>
            <w:r>
              <w:rPr>
                <w:sz w:val="17"/>
                <w:szCs w:val="17"/>
              </w:rPr>
              <w:t xml:space="preserve">10,881.75 — +3R (+365.82 points). Runner exit rule: time-stop at session close, with a 3 × average true range cap (312.30 points from entry)</w:t>
            </w:r>
          </w:p>
        </w:tc>
      </w:tr>
      <w:tr>
        <w:tc>
          <w:tcPr>
            <w:tcW w:type="dxa" w:w="1900"/>
            <w:tcMar>
              <w:top w:type="dxa" w:w="60"/>
              <w:left w:type="dxa" w:w="80"/>
              <w:bottom w:type="dxa" w:w="60"/>
              <w:right w:type="dxa" w:w="80"/>
            </w:tcMar>
          </w:tcPr>
          <w:p>
            <w:pPr>
              <w:spacing w:after="40"/>
            </w:pPr>
            <w:r>
              <w:rPr>
                <w:sz w:val="17"/>
                <w:szCs w:val="17"/>
              </w:rPr>
              <w:t xml:space="preserve">Tranche management</w:t>
            </w:r>
          </w:p>
        </w:tc>
        <w:tc>
          <w:tcPr>
            <w:tcW w:type="dxa" w:w="7460"/>
            <w:tcMar>
              <w:top w:type="dxa" w:w="60"/>
              <w:left w:type="dxa" w:w="80"/>
              <w:bottom w:type="dxa" w:w="60"/>
              <w:right w:type="dxa" w:w="80"/>
            </w:tcMar>
          </w:tcPr>
          <w:p>
            <w:pPr>
              <w:spacing w:after="40"/>
            </w:pPr>
            <w:r>
              <w:rPr>
                <w:sz w:val="17"/>
                <w:szCs w:val="17"/>
              </w:rPr>
              <w:t xml:space="preserve">3 equal units. Unit 1 exits at TP1; Unit 2 exits at TP2; on Unit 2 fill, Unit 3 stop moves to entry + 0.2R (10,540.31)</w:t>
            </w:r>
          </w:p>
        </w:tc>
      </w:tr>
      <w:tr>
        <w:tc>
          <w:tcPr>
            <w:tcW w:type="dxa" w:w="1900"/>
            <w:tcMar>
              <w:top w:type="dxa" w:w="60"/>
              <w:left w:type="dxa" w:w="80"/>
              <w:bottom w:type="dxa" w:w="60"/>
              <w:right w:type="dxa" w:w="80"/>
            </w:tcMar>
          </w:tcPr>
          <w:p>
            <w:pPr>
              <w:spacing w:after="40"/>
            </w:pPr>
            <w:r>
              <w:rPr>
                <w:sz w:val="17"/>
                <w:szCs w:val="17"/>
              </w:rPr>
              <w:t xml:space="preserve">Confluences</w:t>
            </w:r>
          </w:p>
        </w:tc>
        <w:tc>
          <w:tcPr>
            <w:tcW w:type="dxa" w:w="7460"/>
            <w:tcMar>
              <w:top w:type="dxa" w:w="60"/>
              <w:left w:type="dxa" w:w="80"/>
              <w:bottom w:type="dxa" w:w="60"/>
              <w:right w:type="dxa" w:w="80"/>
            </w:tcMar>
          </w:tcPr>
          <w:p>
            <w:pPr>
              <w:spacing w:after="40"/>
            </w:pPr>
            <w:r>
              <w:rPr>
                <w:sz w:val="17"/>
                <w:szCs w:val="17"/>
              </w:rPr>
              <w:t xml:space="preserve">Entry: daily pivot at 10,513.64 sits 2.28 points from entry — within 0.15 × average true range (15.6 points) — a genuine confluence, though a single one. Stop: no structural level within 0.15 × ATR; the stop sits in open space below the swing low. TP1 at 10,637.86: weekly R1 at 10,644.60 is 6.74 points away — within threshold, single confluence. TP2 and TP3: no confluences within threshold. No level in this card reaches the two-or-more 'strong confluence' standard</w:t>
            </w:r>
          </w:p>
        </w:tc>
      </w:tr>
      <w:tr>
        <w:tc>
          <w:tcPr>
            <w:tcW w:type="dxa" w:w="1900"/>
            <w:tcMar>
              <w:top w:type="dxa" w:w="60"/>
              <w:left w:type="dxa" w:w="80"/>
              <w:bottom w:type="dxa" w:w="60"/>
              <w:right w:type="dxa" w:w="80"/>
            </w:tcMar>
          </w:tcPr>
          <w:p>
            <w:pPr>
              <w:spacing w:after="40"/>
            </w:pPr>
            <w:r>
              <w:rPr>
                <w:sz w:val="17"/>
                <w:szCs w:val="17"/>
              </w:rPr>
              <w:t xml:space="preserve">Thesis invalidation</w:t>
            </w:r>
          </w:p>
        </w:tc>
        <w:tc>
          <w:tcPr>
            <w:tcW w:type="dxa" w:w="7460"/>
            <w:tcMar>
              <w:top w:type="dxa" w:w="60"/>
              <w:left w:type="dxa" w:w="80"/>
              <w:bottom w:type="dxa" w:w="60"/>
              <w:right w:type="dxa" w:w="80"/>
            </w:tcMar>
          </w:tcPr>
          <w:p>
            <w:pPr>
              <w:spacing w:after="40"/>
            </w:pPr>
            <w:r>
              <w:rPr>
                <w:sz w:val="17"/>
                <w:szCs w:val="17"/>
              </w:rPr>
              <w:t xml:space="preserve">A daily close below the daily S1 at 10,482.28. This breaks the rising-lows sequence that is the core of the directional narrative. Distinct from and 88 points above the stop — the thesis fails well before the stop is hit</w:t>
            </w:r>
          </w:p>
        </w:tc>
      </w:tr>
      <w:tr>
        <w:tc>
          <w:tcPr>
            <w:tcW w:type="dxa" w:w="1900"/>
            <w:tcMar>
              <w:top w:type="dxa" w:w="60"/>
              <w:left w:type="dxa" w:w="80"/>
              <w:bottom w:type="dxa" w:w="60"/>
              <w:right w:type="dxa" w:w="80"/>
            </w:tcMar>
          </w:tcPr>
          <w:p>
            <w:pPr>
              <w:spacing w:after="40"/>
            </w:pPr>
            <w:r>
              <w:rPr>
                <w:sz w:val="17"/>
                <w:szCs w:val="17"/>
              </w:rPr>
              <w:t xml:space="preserve">Caveats</w:t>
            </w:r>
          </w:p>
        </w:tc>
        <w:tc>
          <w:tcPr>
            <w:tcW w:type="dxa" w:w="7460"/>
            <w:tcMar>
              <w:top w:type="dxa" w:w="60"/>
              <w:left w:type="dxa" w:w="80"/>
              <w:bottom w:type="dxa" w:w="60"/>
              <w:right w:type="dxa" w:w="80"/>
            </w:tcMar>
          </w:tcPr>
          <w:p>
            <w:pPr>
              <w:spacing w:after="40"/>
            </w:pPr>
            <w:r>
              <w:rPr>
                <w:sz w:val="17"/>
                <w:szCs w:val="17"/>
              </w:rPr>
              <w:t xml:space="preserve">Single-source-indicative levels (five-day swing low derived from an indicative session low); holding period collides with the Tier-1 Hormuz risk and with continuing Tier-1 earnings flow (§13d); entry timing not executable as stated on the cash index — see Entry above; marginal conviction (score 0.04 above threshold)</w:t>
            </w:r>
          </w:p>
        </w:tc>
      </w:tr>
    </w:tbl>
    <w:p>
      <w:pPr>
        <w:pStyle w:val="Heading2"/>
        <w:spacing w:after="100" w:before="200"/>
      </w:pPr>
      <w:r>
        <w:t xml:space="preserve">Trade 2 — Pivot (TRANSITION: breakout 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val="clear"/>
            <w:tcMar>
              <w:top w:type="dxa" w:w="60"/>
              <w:left w:type="dxa" w:w="80"/>
              <w:bottom w:type="dxa" w:w="60"/>
              <w:right w:type="dxa" w:w="80"/>
            </w:tcMar>
          </w:tcPr>
          <w:p>
            <w:pPr>
              <w:spacing w:after="40"/>
            </w:pPr>
            <w:r>
              <w:rPr>
                <w:b/>
                <w:bCs/>
                <w:color w:val="FFFFFF"/>
                <w:sz w:val="17"/>
                <w:szCs w:val="17"/>
              </w:rPr>
              <w:t xml:space="preserve">Field</w:t>
            </w:r>
          </w:p>
        </w:tc>
        <w:tc>
          <w:tcPr>
            <w:tcW w:type="dxa" w:w="7460"/>
            <w:shd w:fill="1F4E79" w:val="clear"/>
            <w:tcMar>
              <w:top w:type="dxa" w:w="60"/>
              <w:left w:type="dxa" w:w="80"/>
              <w:bottom w:type="dxa" w:w="60"/>
              <w:right w:type="dxa" w:w="80"/>
            </w:tcMar>
          </w:tcPr>
          <w:p>
            <w:pPr>
              <w:spacing w:after="40"/>
            </w:pPr>
            <w:r>
              <w:rPr>
                <w:b/>
                <w:bCs/>
                <w:color w:val="FFFFFF"/>
                <w:sz w:val="17"/>
                <w:szCs w:val="17"/>
              </w:rPr>
              <w:t xml:space="preserve">Detail</w:t>
            </w:r>
          </w:p>
        </w:tc>
      </w:tr>
      <w:tr>
        <w:tc>
          <w:tcPr>
            <w:tcW w:type="dxa" w:w="1900"/>
            <w:tcMar>
              <w:top w:type="dxa" w:w="60"/>
              <w:left w:type="dxa" w:w="80"/>
              <w:bottom w:type="dxa" w:w="60"/>
              <w:right w:type="dxa" w:w="80"/>
            </w:tcMar>
          </w:tcPr>
          <w:p>
            <w:pPr>
              <w:spacing w:after="40"/>
            </w:pPr>
            <w:r>
              <w:rPr>
                <w:sz w:val="17"/>
                <w:szCs w:val="17"/>
              </w:rPr>
              <w:t xml:space="preserve">Trade type</w:t>
            </w:r>
          </w:p>
        </w:tc>
        <w:tc>
          <w:tcPr>
            <w:tcW w:type="dxa" w:w="7460"/>
            <w:tcMar>
              <w:top w:type="dxa" w:w="60"/>
              <w:left w:type="dxa" w:w="80"/>
              <w:bottom w:type="dxa" w:w="60"/>
              <w:right w:type="dxa" w:w="80"/>
            </w:tcMar>
          </w:tcPr>
          <w:p>
            <w:pPr>
              <w:spacing w:after="40"/>
            </w:pPr>
            <w:r>
              <w:rPr>
                <w:sz w:val="17"/>
                <w:szCs w:val="17"/>
              </w:rPr>
              <w:t xml:space="preserve">Trade 2 — Pivot (regime-aware). TRANSITION regime restricts this trade to the breakout side, aligned with Trade 3C. A counter-side sell limit at R1 is suppressed — it would front-run the breakout thesis</w:t>
            </w:r>
          </w:p>
        </w:tc>
      </w:tr>
      <w:tr>
        <w:tc>
          <w:tcPr>
            <w:tcW w:type="dxa" w:w="1900"/>
            <w:tcMar>
              <w:top w:type="dxa" w:w="60"/>
              <w:left w:type="dxa" w:w="80"/>
              <w:bottom w:type="dxa" w:w="60"/>
              <w:right w:type="dxa" w:w="80"/>
            </w:tcMar>
          </w:tcPr>
          <w:p>
            <w:pPr>
              <w:spacing w:after="40"/>
            </w:pPr>
            <w:r>
              <w:rPr>
                <w:sz w:val="17"/>
                <w:szCs w:val="17"/>
              </w:rPr>
              <w:t xml:space="preserve">Direction</w:t>
            </w:r>
          </w:p>
        </w:tc>
        <w:tc>
          <w:tcPr>
            <w:tcW w:type="dxa" w:w="7460"/>
            <w:tcMar>
              <w:top w:type="dxa" w:w="60"/>
              <w:left w:type="dxa" w:w="80"/>
              <w:bottom w:type="dxa" w:w="60"/>
              <w:right w:type="dxa" w:w="80"/>
            </w:tcMar>
          </w:tcPr>
          <w:p>
            <w:pPr>
              <w:spacing w:after="40"/>
            </w:pPr>
            <w:r>
              <w:rPr>
                <w:sz w:val="17"/>
                <w:szCs w:val="17"/>
              </w:rPr>
              <w:t xml:space="preserve">LONG — breakout side, aligned with the TRANSITION regime read and the positive direction score</w:t>
            </w:r>
          </w:p>
        </w:tc>
      </w:tr>
      <w:tr>
        <w:tc>
          <w:tcPr>
            <w:tcW w:type="dxa" w:w="1900"/>
            <w:tcMar>
              <w:top w:type="dxa" w:w="60"/>
              <w:left w:type="dxa" w:w="80"/>
              <w:bottom w:type="dxa" w:w="60"/>
              <w:right w:type="dxa" w:w="80"/>
            </w:tcMar>
          </w:tcPr>
          <w:p>
            <w:pPr>
              <w:spacing w:after="40"/>
            </w:pPr>
            <w:r>
              <w:rPr>
                <w:sz w:val="17"/>
                <w:szCs w:val="17"/>
              </w:rPr>
              <w:t xml:space="preserve">Entry</w:t>
            </w:r>
          </w:p>
        </w:tc>
        <w:tc>
          <w:tcPr>
            <w:tcW w:type="dxa" w:w="7460"/>
            <w:tcMar>
              <w:top w:type="dxa" w:w="60"/>
              <w:left w:type="dxa" w:w="80"/>
              <w:bottom w:type="dxa" w:w="60"/>
              <w:right w:type="dxa" w:w="80"/>
            </w:tcMar>
          </w:tcPr>
          <w:p>
            <w:pPr>
              <w:spacing w:after="40"/>
            </w:pPr>
            <w:r>
              <w:rPr>
                <w:sz w:val="17"/>
                <w:szCs w:val="17"/>
              </w:rPr>
              <w:t xml:space="preserve">Stop entry at 10,547.28 (daily R1) on a confirmed break. Order type: buy stop, working from the 16 July open</w:t>
            </w:r>
          </w:p>
        </w:tc>
      </w:tr>
      <w:tr>
        <w:tc>
          <w:tcPr>
            <w:tcW w:type="dxa" w:w="1900"/>
            <w:tcMar>
              <w:top w:type="dxa" w:w="60"/>
              <w:left w:type="dxa" w:w="80"/>
              <w:bottom w:type="dxa" w:w="60"/>
              <w:right w:type="dxa" w:w="80"/>
            </w:tcMar>
          </w:tcPr>
          <w:p>
            <w:pPr>
              <w:spacing w:after="40"/>
            </w:pPr>
            <w:r>
              <w:rPr>
                <w:sz w:val="17"/>
                <w:szCs w:val="17"/>
              </w:rPr>
              <w:t xml:space="preserve">Stop loss</w:t>
            </w:r>
          </w:p>
        </w:tc>
        <w:tc>
          <w:tcPr>
            <w:tcW w:type="dxa" w:w="7460"/>
            <w:tcMar>
              <w:top w:type="dxa" w:w="60"/>
              <w:left w:type="dxa" w:w="80"/>
              <w:bottom w:type="dxa" w:w="60"/>
              <w:right w:type="dxa" w:w="80"/>
            </w:tcMar>
          </w:tcPr>
          <w:p>
            <w:pPr>
              <w:spacing w:after="40"/>
            </w:pPr>
            <w:r>
              <w:rPr>
                <w:sz w:val="17"/>
                <w:szCs w:val="17"/>
              </w:rPr>
              <w:t xml:space="preserve">10,487.61 — 59.67 points below entry. Structural anchor: the daily pivot at 10,513.64, offset by 0.25 × average true range. Rationale: a return through the pivot after breaking R1 negates the break</w:t>
            </w:r>
          </w:p>
        </w:tc>
      </w:tr>
      <w:tr>
        <w:tc>
          <w:tcPr>
            <w:tcW w:type="dxa" w:w="1900"/>
            <w:tcMar>
              <w:top w:type="dxa" w:w="60"/>
              <w:left w:type="dxa" w:w="80"/>
              <w:bottom w:type="dxa" w:w="60"/>
              <w:right w:type="dxa" w:w="80"/>
            </w:tcMar>
          </w:tcPr>
          <w:p>
            <w:pPr>
              <w:spacing w:after="40"/>
            </w:pPr>
            <w:r>
              <w:rPr>
                <w:sz w:val="17"/>
                <w:szCs w:val="17"/>
              </w:rPr>
              <w:t xml:space="preserve">Risk (R)</w:t>
            </w:r>
          </w:p>
        </w:tc>
        <w:tc>
          <w:tcPr>
            <w:tcW w:type="dxa" w:w="7460"/>
            <w:tcMar>
              <w:top w:type="dxa" w:w="60"/>
              <w:left w:type="dxa" w:w="80"/>
              <w:bottom w:type="dxa" w:w="60"/>
              <w:right w:type="dxa" w:w="80"/>
            </w:tcMar>
          </w:tcPr>
          <w:p>
            <w:pPr>
              <w:spacing w:after="40"/>
            </w:pPr>
            <w:r>
              <w:rPr>
                <w:sz w:val="17"/>
                <w:szCs w:val="17"/>
              </w:rPr>
              <w:t xml:space="preserve">59.67 index points (59.67 points). Stop distance is 0.57 × average true range, well within the 3.5 × cap</w:t>
            </w:r>
          </w:p>
        </w:tc>
      </w:tr>
      <w:tr>
        <w:tc>
          <w:tcPr>
            <w:tcW w:type="dxa" w:w="1900"/>
            <w:tcMar>
              <w:top w:type="dxa" w:w="60"/>
              <w:left w:type="dxa" w:w="80"/>
              <w:bottom w:type="dxa" w:w="60"/>
              <w:right w:type="dxa" w:w="80"/>
            </w:tcMar>
          </w:tcPr>
          <w:p>
            <w:pPr>
              <w:spacing w:after="40"/>
            </w:pPr>
            <w:r>
              <w:rPr>
                <w:sz w:val="17"/>
                <w:szCs w:val="17"/>
              </w:rPr>
              <w:t xml:space="preserve">TP1 (Unit 1)</w:t>
            </w:r>
          </w:p>
        </w:tc>
        <w:tc>
          <w:tcPr>
            <w:tcW w:type="dxa" w:w="7460"/>
            <w:tcMar>
              <w:top w:type="dxa" w:w="60"/>
              <w:left w:type="dxa" w:w="80"/>
              <w:bottom w:type="dxa" w:w="60"/>
              <w:right w:type="dxa" w:w="80"/>
            </w:tcMar>
          </w:tcPr>
          <w:p>
            <w:pPr>
              <w:spacing w:after="40"/>
            </w:pPr>
            <w:r>
              <w:rPr>
                <w:sz w:val="17"/>
                <w:szCs w:val="17"/>
              </w:rPr>
              <w:t xml:space="preserve">10,562.96 — daily R1.5 (+15.68 points, +0.26R)</w:t>
            </w:r>
          </w:p>
        </w:tc>
      </w:tr>
      <w:tr>
        <w:tc>
          <w:tcPr>
            <w:tcW w:type="dxa" w:w="1900"/>
            <w:tcMar>
              <w:top w:type="dxa" w:w="60"/>
              <w:left w:type="dxa" w:w="80"/>
              <w:bottom w:type="dxa" w:w="60"/>
              <w:right w:type="dxa" w:w="80"/>
            </w:tcMar>
          </w:tcPr>
          <w:p>
            <w:pPr>
              <w:spacing w:after="40"/>
            </w:pPr>
            <w:r>
              <w:rPr>
                <w:sz w:val="17"/>
                <w:szCs w:val="17"/>
              </w:rPr>
              <w:t xml:space="preserve">TP2 (Unit 2)</w:t>
            </w:r>
          </w:p>
        </w:tc>
        <w:tc>
          <w:tcPr>
            <w:tcW w:type="dxa" w:w="7460"/>
            <w:tcMar>
              <w:top w:type="dxa" w:w="60"/>
              <w:left w:type="dxa" w:w="80"/>
              <w:bottom w:type="dxa" w:w="60"/>
              <w:right w:type="dxa" w:w="80"/>
            </w:tcMar>
          </w:tcPr>
          <w:p>
            <w:pPr>
              <w:spacing w:after="40"/>
            </w:pPr>
            <w:r>
              <w:rPr>
                <w:sz w:val="17"/>
                <w:szCs w:val="17"/>
              </w:rPr>
              <w:t xml:space="preserve">10,578.64 — daily R2 (+31.36 points, +0.53R)</w:t>
            </w:r>
          </w:p>
        </w:tc>
      </w:tr>
      <w:tr>
        <w:tc>
          <w:tcPr>
            <w:tcW w:type="dxa" w:w="1900"/>
            <w:tcMar>
              <w:top w:type="dxa" w:w="60"/>
              <w:left w:type="dxa" w:w="80"/>
              <w:bottom w:type="dxa" w:w="60"/>
              <w:right w:type="dxa" w:w="80"/>
            </w:tcMar>
          </w:tcPr>
          <w:p>
            <w:pPr>
              <w:spacing w:after="40"/>
            </w:pPr>
            <w:r>
              <w:rPr>
                <w:sz w:val="17"/>
                <w:szCs w:val="17"/>
              </w:rPr>
              <w:t xml:space="preserve">TP3 (Unit 3 — runner)</w:t>
            </w:r>
          </w:p>
        </w:tc>
        <w:tc>
          <w:tcPr>
            <w:tcW w:type="dxa" w:w="7460"/>
            <w:tcMar>
              <w:top w:type="dxa" w:w="60"/>
              <w:left w:type="dxa" w:w="80"/>
              <w:bottom w:type="dxa" w:w="60"/>
              <w:right w:type="dxa" w:w="80"/>
            </w:tcMar>
          </w:tcPr>
          <w:p>
            <w:pPr>
              <w:spacing w:after="40"/>
            </w:pPr>
            <w:r>
              <w:rPr>
                <w:sz w:val="17"/>
                <w:szCs w:val="17"/>
              </w:rPr>
              <w:t xml:space="preserve">10,612.28 — daily R3 (+65.00 points, +1.09R). Runner exit rule: exit on a return to the daily pivot P at 10,513.64</w:t>
            </w:r>
          </w:p>
        </w:tc>
      </w:tr>
      <w:tr>
        <w:tc>
          <w:tcPr>
            <w:tcW w:type="dxa" w:w="1900"/>
            <w:tcMar>
              <w:top w:type="dxa" w:w="60"/>
              <w:left w:type="dxa" w:w="80"/>
              <w:bottom w:type="dxa" w:w="60"/>
              <w:right w:type="dxa" w:w="80"/>
            </w:tcMar>
          </w:tcPr>
          <w:p>
            <w:pPr>
              <w:spacing w:after="40"/>
            </w:pPr>
            <w:r>
              <w:rPr>
                <w:sz w:val="17"/>
                <w:szCs w:val="17"/>
              </w:rPr>
              <w:t xml:space="preserve">Tranche management</w:t>
            </w:r>
          </w:p>
        </w:tc>
        <w:tc>
          <w:tcPr>
            <w:tcW w:type="dxa" w:w="7460"/>
            <w:tcMar>
              <w:top w:type="dxa" w:w="60"/>
              <w:left w:type="dxa" w:w="80"/>
              <w:bottom w:type="dxa" w:w="60"/>
              <w:right w:type="dxa" w:w="80"/>
            </w:tcMar>
          </w:tcPr>
          <w:p>
            <w:pPr>
              <w:spacing w:after="40"/>
            </w:pPr>
            <w:r>
              <w:rPr>
                <w:sz w:val="17"/>
                <w:szCs w:val="17"/>
              </w:rPr>
              <w:t xml:space="preserve">3 equal units. Unit 1 exits at TP1; Unit 2 exits at TP2; on Unit 2 fill, Unit 3 stop moves to entry + 0.2R (10,559.21)</w:t>
            </w:r>
          </w:p>
        </w:tc>
      </w:tr>
      <w:tr>
        <w:tc>
          <w:tcPr>
            <w:tcW w:type="dxa" w:w="1900"/>
            <w:tcMar>
              <w:top w:type="dxa" w:w="60"/>
              <w:left w:type="dxa" w:w="80"/>
              <w:bottom w:type="dxa" w:w="60"/>
              <w:right w:type="dxa" w:w="80"/>
            </w:tcMar>
          </w:tcPr>
          <w:p>
            <w:pPr>
              <w:spacing w:after="40"/>
            </w:pPr>
            <w:r>
              <w:rPr>
                <w:sz w:val="17"/>
                <w:szCs w:val="17"/>
              </w:rPr>
              <w:t xml:space="preserve">Confluences</w:t>
            </w:r>
          </w:p>
        </w:tc>
        <w:tc>
          <w:tcPr>
            <w:tcW w:type="dxa" w:w="7460"/>
            <w:tcMar>
              <w:top w:type="dxa" w:w="60"/>
              <w:left w:type="dxa" w:w="80"/>
              <w:bottom w:type="dxa" w:w="60"/>
              <w:right w:type="dxa" w:w="80"/>
            </w:tcMar>
          </w:tcPr>
          <w:p>
            <w:pPr>
              <w:spacing w:after="40"/>
            </w:pPr>
            <w:r>
              <w:rPr>
                <w:sz w:val="17"/>
                <w:szCs w:val="17"/>
              </w:rPr>
              <w:t xml:space="preserve">Entry at 10,547.28: the five-day swing high at 10,552.56 is 5.28 points away, and the weekly pivot at 10,532.30 is 14.98 points away — both within 0.15 × ATR (15.6 points). Two structural levels within threshold: STRONG CONFLUENCE. This is the best-supported level in the report. Stop at 10,487.61: daily S1 at 10,482.28 is 5.33 points away — single confluence. TP1, TP2, TP3 are themselves pivot levels</w:t>
            </w:r>
          </w:p>
        </w:tc>
      </w:tr>
      <w:tr>
        <w:tc>
          <w:tcPr>
            <w:tcW w:type="dxa" w:w="1900"/>
            <w:tcMar>
              <w:top w:type="dxa" w:w="60"/>
              <w:left w:type="dxa" w:w="80"/>
              <w:bottom w:type="dxa" w:w="60"/>
              <w:right w:type="dxa" w:w="80"/>
            </w:tcMar>
          </w:tcPr>
          <w:p>
            <w:pPr>
              <w:spacing w:after="40"/>
            </w:pPr>
            <w:r>
              <w:rPr>
                <w:sz w:val="17"/>
                <w:szCs w:val="17"/>
              </w:rPr>
              <w:t xml:space="preserve">Thesis invalidation</w:t>
            </w:r>
          </w:p>
        </w:tc>
        <w:tc>
          <w:tcPr>
            <w:tcW w:type="dxa" w:w="7460"/>
            <w:tcMar>
              <w:top w:type="dxa" w:w="60"/>
              <w:left w:type="dxa" w:w="80"/>
              <w:bottom w:type="dxa" w:w="60"/>
              <w:right w:type="dxa" w:w="80"/>
            </w:tcMar>
          </w:tcPr>
          <w:p>
            <w:pPr>
              <w:spacing w:after="40"/>
            </w:pPr>
            <w:r>
              <w:rPr>
                <w:sz w:val="17"/>
                <w:szCs w:val="17"/>
              </w:rPr>
              <w:t xml:space="preserve">A daily close back through the daily pivot P at 10,513.64. Documented explicitly: this sits 26 points above the stop, so the thesis breaks before the stop is reached</w:t>
            </w:r>
          </w:p>
        </w:tc>
      </w:tr>
      <w:tr>
        <w:tc>
          <w:tcPr>
            <w:tcW w:type="dxa" w:w="1900"/>
            <w:tcMar>
              <w:top w:type="dxa" w:w="60"/>
              <w:left w:type="dxa" w:w="80"/>
              <w:bottom w:type="dxa" w:w="60"/>
              <w:right w:type="dxa" w:w="80"/>
            </w:tcMar>
          </w:tcPr>
          <w:p>
            <w:pPr>
              <w:spacing w:after="40"/>
            </w:pPr>
            <w:r>
              <w:rPr>
                <w:sz w:val="17"/>
                <w:szCs w:val="17"/>
              </w:rPr>
              <w:t xml:space="preserve">Caveats</w:t>
            </w:r>
          </w:p>
        </w:tc>
        <w:tc>
          <w:tcPr>
            <w:tcW w:type="dxa" w:w="7460"/>
            <w:tcMar>
              <w:top w:type="dxa" w:w="60"/>
              <w:left w:type="dxa" w:w="80"/>
              <w:bottom w:type="dxa" w:w="60"/>
              <w:right w:type="dxa" w:w="80"/>
            </w:tcMar>
          </w:tcPr>
          <w:p>
            <w:pPr>
              <w:spacing w:after="40"/>
            </w:pPr>
            <w:r>
              <w:rPr>
                <w:sz w:val="17"/>
                <w:szCs w:val="17"/>
              </w:rPr>
              <w:t xml:space="preserve">SINGLE-SOURCE-INDICATIVE PIVOTS — every level in this card (entry, stop, all three targets) is derived from the 15 July high and low, which are not corroborated. Under the unmodified framework this card would be SUPPRESSED in full; it is produced by explicit analyst instruction to relax the corroboration standard. The levels should be treated as approximate and re-derived against corroborated data before any execution. Additionally: risk/reward is unfavourable at TP1 and TP2 (0.26R and 0.53R against 1R risked) — the structure only pays at the runner; holding period collides with the Tier-1 Hormuz risk (§13d)</w:t>
            </w:r>
          </w:p>
        </w:tc>
      </w:tr>
    </w:tbl>
    <w:p>
      <w:pPr>
        <w:pStyle w:val="Heading2"/>
        <w:spacing w:after="100" w:before="200"/>
      </w:pPr>
      <w:r>
        <w:t xml:space="preserve">Trade 3C — Momentum-Breakout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val="clear"/>
            <w:tcMar>
              <w:top w:type="dxa" w:w="60"/>
              <w:left w:type="dxa" w:w="80"/>
              <w:bottom w:type="dxa" w:w="60"/>
              <w:right w:type="dxa" w:w="80"/>
            </w:tcMar>
          </w:tcPr>
          <w:p>
            <w:pPr>
              <w:spacing w:after="40"/>
            </w:pPr>
            <w:r>
              <w:rPr>
                <w:b/>
                <w:bCs/>
                <w:color w:val="FFFFFF"/>
                <w:sz w:val="17"/>
                <w:szCs w:val="17"/>
              </w:rPr>
              <w:t xml:space="preserve">Field</w:t>
            </w:r>
          </w:p>
        </w:tc>
        <w:tc>
          <w:tcPr>
            <w:tcW w:type="dxa" w:w="7460"/>
            <w:shd w:fill="1F4E79" w:val="clear"/>
            <w:tcMar>
              <w:top w:type="dxa" w:w="60"/>
              <w:left w:type="dxa" w:w="80"/>
              <w:bottom w:type="dxa" w:w="60"/>
              <w:right w:type="dxa" w:w="80"/>
            </w:tcMar>
          </w:tcPr>
          <w:p>
            <w:pPr>
              <w:spacing w:after="40"/>
            </w:pPr>
            <w:r>
              <w:rPr>
                <w:b/>
                <w:bCs/>
                <w:color w:val="FFFFFF"/>
                <w:sz w:val="17"/>
                <w:szCs w:val="17"/>
              </w:rPr>
              <w:t xml:space="preserve">Detail</w:t>
            </w:r>
          </w:p>
        </w:tc>
      </w:tr>
      <w:tr>
        <w:tc>
          <w:tcPr>
            <w:tcW w:type="dxa" w:w="1900"/>
            <w:tcMar>
              <w:top w:type="dxa" w:w="60"/>
              <w:left w:type="dxa" w:w="80"/>
              <w:bottom w:type="dxa" w:w="60"/>
              <w:right w:type="dxa" w:w="80"/>
            </w:tcMar>
          </w:tcPr>
          <w:p>
            <w:pPr>
              <w:spacing w:after="40"/>
            </w:pPr>
            <w:r>
              <w:rPr>
                <w:sz w:val="17"/>
                <w:szCs w:val="17"/>
              </w:rPr>
              <w:t xml:space="preserve">Trade type</w:t>
            </w:r>
          </w:p>
        </w:tc>
        <w:tc>
          <w:tcPr>
            <w:tcW w:type="dxa" w:w="7460"/>
            <w:tcMar>
              <w:top w:type="dxa" w:w="60"/>
              <w:left w:type="dxa" w:w="80"/>
              <w:bottom w:type="dxa" w:w="60"/>
              <w:right w:type="dxa" w:w="80"/>
            </w:tcMar>
          </w:tcPr>
          <w:p>
            <w:pPr>
              <w:spacing w:after="40"/>
            </w:pPr>
            <w:r>
              <w:rPr>
                <w:sz w:val="17"/>
                <w:szCs w:val="17"/>
              </w:rPr>
              <w:t xml:space="preserve">Trade 3 — Momentum-Breakout (variant 3C). Selected by the TRANSITION regime label per the regime fork</w:t>
            </w:r>
          </w:p>
        </w:tc>
      </w:tr>
      <w:tr>
        <w:tc>
          <w:tcPr>
            <w:tcW w:type="dxa" w:w="1900"/>
            <w:tcMar>
              <w:top w:type="dxa" w:w="60"/>
              <w:left w:type="dxa" w:w="80"/>
              <w:bottom w:type="dxa" w:w="60"/>
              <w:right w:type="dxa" w:w="80"/>
            </w:tcMar>
          </w:tcPr>
          <w:p>
            <w:pPr>
              <w:spacing w:after="40"/>
            </w:pPr>
            <w:r>
              <w:rPr>
                <w:sz w:val="17"/>
                <w:szCs w:val="17"/>
              </w:rPr>
              <w:t xml:space="preserve">Direction</w:t>
            </w:r>
          </w:p>
        </w:tc>
        <w:tc>
          <w:tcPr>
            <w:tcW w:type="dxa" w:w="7460"/>
            <w:tcMar>
              <w:top w:type="dxa" w:w="60"/>
              <w:left w:type="dxa" w:w="80"/>
              <w:bottom w:type="dxa" w:w="60"/>
              <w:right w:type="dxa" w:w="80"/>
            </w:tcMar>
          </w:tcPr>
          <w:p>
            <w:pPr>
              <w:spacing w:after="40"/>
            </w:pPr>
            <w:r>
              <w:rPr>
                <w:sz w:val="17"/>
                <w:szCs w:val="17"/>
              </w:rPr>
              <w:t xml:space="preserve">LONG — direction follows the broken side. The upside is the tested boundary: the 10,547–10,553 shelf has capped four of five sessions</w:t>
            </w:r>
          </w:p>
        </w:tc>
      </w:tr>
      <w:tr>
        <w:tc>
          <w:tcPr>
            <w:tcW w:type="dxa" w:w="1900"/>
            <w:tcMar>
              <w:top w:type="dxa" w:w="60"/>
              <w:left w:type="dxa" w:w="80"/>
              <w:bottom w:type="dxa" w:w="60"/>
              <w:right w:type="dxa" w:w="80"/>
            </w:tcMar>
          </w:tcPr>
          <w:p>
            <w:pPr>
              <w:spacing w:after="40"/>
            </w:pPr>
            <w:r>
              <w:rPr>
                <w:sz w:val="17"/>
                <w:szCs w:val="17"/>
              </w:rPr>
              <w:t xml:space="preserve">Entry</w:t>
            </w:r>
          </w:p>
        </w:tc>
        <w:tc>
          <w:tcPr>
            <w:tcW w:type="dxa" w:w="7460"/>
            <w:tcMar>
              <w:top w:type="dxa" w:w="60"/>
              <w:left w:type="dxa" w:w="80"/>
              <w:bottom w:type="dxa" w:w="60"/>
              <w:right w:type="dxa" w:w="80"/>
            </w:tcMar>
          </w:tcPr>
          <w:p>
            <w:pPr>
              <w:spacing w:after="40"/>
            </w:pPr>
            <w:r>
              <w:rPr>
                <w:sz w:val="17"/>
                <w:szCs w:val="17"/>
              </w:rPr>
              <w:t xml:space="preserve">Stop entry at 10,562.97 — the five-day swing high (10,552.56) plus 0.10 × average true range as a break-confirmation buffer</w:t>
            </w:r>
          </w:p>
        </w:tc>
      </w:tr>
      <w:tr>
        <w:tc>
          <w:tcPr>
            <w:tcW w:type="dxa" w:w="1900"/>
            <w:tcMar>
              <w:top w:type="dxa" w:w="60"/>
              <w:left w:type="dxa" w:w="80"/>
              <w:bottom w:type="dxa" w:w="60"/>
              <w:right w:type="dxa" w:w="80"/>
            </w:tcMar>
          </w:tcPr>
          <w:p>
            <w:pPr>
              <w:spacing w:after="40"/>
            </w:pPr>
            <w:r>
              <w:rPr>
                <w:sz w:val="17"/>
                <w:szCs w:val="17"/>
              </w:rPr>
              <w:t xml:space="preserve">Stop loss</w:t>
            </w:r>
          </w:p>
        </w:tc>
        <w:tc>
          <w:tcPr>
            <w:tcW w:type="dxa" w:w="7460"/>
            <w:tcMar>
              <w:top w:type="dxa" w:w="60"/>
              <w:left w:type="dxa" w:w="80"/>
              <w:bottom w:type="dxa" w:w="60"/>
              <w:right w:type="dxa" w:w="80"/>
            </w:tcMar>
          </w:tcPr>
          <w:p>
            <w:pPr>
              <w:spacing w:after="40"/>
            </w:pPr>
            <w:r>
              <w:rPr>
                <w:sz w:val="17"/>
                <w:szCs w:val="17"/>
              </w:rPr>
              <w:t xml:space="preserve">10,500.51 — 62.46 points below entry. Structural anchor: the five-day swing high less 0.5 × average true range, placing the stop back inside the range that was broken. Generous by design, reflecting the post-fakeout TRANSITION context</w:t>
            </w:r>
          </w:p>
        </w:tc>
      </w:tr>
      <w:tr>
        <w:tc>
          <w:tcPr>
            <w:tcW w:type="dxa" w:w="1900"/>
            <w:tcMar>
              <w:top w:type="dxa" w:w="60"/>
              <w:left w:type="dxa" w:w="80"/>
              <w:bottom w:type="dxa" w:w="60"/>
              <w:right w:type="dxa" w:w="80"/>
            </w:tcMar>
          </w:tcPr>
          <w:p>
            <w:pPr>
              <w:spacing w:after="40"/>
            </w:pPr>
            <w:r>
              <w:rPr>
                <w:sz w:val="17"/>
                <w:szCs w:val="17"/>
              </w:rPr>
              <w:t xml:space="preserve">Risk (R)</w:t>
            </w:r>
          </w:p>
        </w:tc>
        <w:tc>
          <w:tcPr>
            <w:tcW w:type="dxa" w:w="7460"/>
            <w:tcMar>
              <w:top w:type="dxa" w:w="60"/>
              <w:left w:type="dxa" w:w="80"/>
              <w:bottom w:type="dxa" w:w="60"/>
              <w:right w:type="dxa" w:w="80"/>
            </w:tcMar>
          </w:tcPr>
          <w:p>
            <w:pPr>
              <w:spacing w:after="40"/>
            </w:pPr>
            <w:r>
              <w:rPr>
                <w:sz w:val="17"/>
                <w:szCs w:val="17"/>
              </w:rPr>
              <w:t xml:space="preserve">62.46 index points (62.46 points). Stop distance is 0.60 × average true range, within the 3.5 × cap</w:t>
            </w:r>
          </w:p>
        </w:tc>
      </w:tr>
      <w:tr>
        <w:tc>
          <w:tcPr>
            <w:tcW w:type="dxa" w:w="1900"/>
            <w:tcMar>
              <w:top w:type="dxa" w:w="60"/>
              <w:left w:type="dxa" w:w="80"/>
              <w:bottom w:type="dxa" w:w="60"/>
              <w:right w:type="dxa" w:w="80"/>
            </w:tcMar>
          </w:tcPr>
          <w:p>
            <w:pPr>
              <w:spacing w:after="40"/>
            </w:pPr>
            <w:r>
              <w:rPr>
                <w:sz w:val="17"/>
                <w:szCs w:val="17"/>
              </w:rPr>
              <w:t xml:space="preserve">TP1 (Unit 1)</w:t>
            </w:r>
          </w:p>
        </w:tc>
        <w:tc>
          <w:tcPr>
            <w:tcW w:type="dxa" w:w="7460"/>
            <w:tcMar>
              <w:top w:type="dxa" w:w="60"/>
              <w:left w:type="dxa" w:w="80"/>
              <w:bottom w:type="dxa" w:w="60"/>
              <w:right w:type="dxa" w:w="80"/>
            </w:tcMar>
          </w:tcPr>
          <w:p>
            <w:pPr>
              <w:spacing w:after="40"/>
            </w:pPr>
            <w:r>
              <w:rPr>
                <w:sz w:val="17"/>
                <w:szCs w:val="17"/>
              </w:rPr>
              <w:t xml:space="preserve">10,625.43 — +1R (+62.46 points)</w:t>
            </w:r>
          </w:p>
        </w:tc>
      </w:tr>
      <w:tr>
        <w:tc>
          <w:tcPr>
            <w:tcW w:type="dxa" w:w="1900"/>
            <w:tcMar>
              <w:top w:type="dxa" w:w="60"/>
              <w:left w:type="dxa" w:w="80"/>
              <w:bottom w:type="dxa" w:w="60"/>
              <w:right w:type="dxa" w:w="80"/>
            </w:tcMar>
          </w:tcPr>
          <w:p>
            <w:pPr>
              <w:spacing w:after="40"/>
            </w:pPr>
            <w:r>
              <w:rPr>
                <w:sz w:val="17"/>
                <w:szCs w:val="17"/>
              </w:rPr>
              <w:t xml:space="preserve">TP2 (Unit 2)</w:t>
            </w:r>
          </w:p>
        </w:tc>
        <w:tc>
          <w:tcPr>
            <w:tcW w:type="dxa" w:w="7460"/>
            <w:tcMar>
              <w:top w:type="dxa" w:w="60"/>
              <w:left w:type="dxa" w:w="80"/>
              <w:bottom w:type="dxa" w:w="60"/>
              <w:right w:type="dxa" w:w="80"/>
            </w:tcMar>
          </w:tcPr>
          <w:p>
            <w:pPr>
              <w:spacing w:after="40"/>
            </w:pPr>
            <w:r>
              <w:rPr>
                <w:sz w:val="17"/>
                <w:szCs w:val="17"/>
              </w:rPr>
              <w:t xml:space="preserve">10,695.53 — measured move, 1 × the five-day range width (132.56 points) projected from entry</w:t>
            </w:r>
          </w:p>
        </w:tc>
      </w:tr>
      <w:tr>
        <w:tc>
          <w:tcPr>
            <w:tcW w:type="dxa" w:w="1900"/>
            <w:tcMar>
              <w:top w:type="dxa" w:w="60"/>
              <w:left w:type="dxa" w:w="80"/>
              <w:bottom w:type="dxa" w:w="60"/>
              <w:right w:type="dxa" w:w="80"/>
            </w:tcMar>
          </w:tcPr>
          <w:p>
            <w:pPr>
              <w:spacing w:after="40"/>
            </w:pPr>
            <w:r>
              <w:rPr>
                <w:sz w:val="17"/>
                <w:szCs w:val="17"/>
              </w:rPr>
              <w:t xml:space="preserve">TP3 (Unit 3 — runner)</w:t>
            </w:r>
          </w:p>
        </w:tc>
        <w:tc>
          <w:tcPr>
            <w:tcW w:type="dxa" w:w="7460"/>
            <w:tcMar>
              <w:top w:type="dxa" w:w="60"/>
              <w:left w:type="dxa" w:w="80"/>
              <w:bottom w:type="dxa" w:w="60"/>
              <w:right w:type="dxa" w:w="80"/>
            </w:tcMar>
          </w:tcPr>
          <w:p>
            <w:pPr>
              <w:spacing w:after="40"/>
            </w:pPr>
            <w:r>
              <w:rPr>
                <w:sz w:val="17"/>
                <w:szCs w:val="17"/>
              </w:rPr>
              <w:t xml:space="preserve">10,828.09 — 2 × measured move. Runner exit rule: exit on a confirmed close back inside the broken range (below 10,552.56)</w:t>
            </w:r>
          </w:p>
        </w:tc>
      </w:tr>
      <w:tr>
        <w:tc>
          <w:tcPr>
            <w:tcW w:type="dxa" w:w="1900"/>
            <w:tcMar>
              <w:top w:type="dxa" w:w="60"/>
              <w:left w:type="dxa" w:w="80"/>
              <w:bottom w:type="dxa" w:w="60"/>
              <w:right w:type="dxa" w:w="80"/>
            </w:tcMar>
          </w:tcPr>
          <w:p>
            <w:pPr>
              <w:spacing w:after="40"/>
            </w:pPr>
            <w:r>
              <w:rPr>
                <w:sz w:val="17"/>
                <w:szCs w:val="17"/>
              </w:rPr>
              <w:t xml:space="preserve">Tranche management</w:t>
            </w:r>
          </w:p>
        </w:tc>
        <w:tc>
          <w:tcPr>
            <w:tcW w:type="dxa" w:w="7460"/>
            <w:tcMar>
              <w:top w:type="dxa" w:w="60"/>
              <w:left w:type="dxa" w:w="80"/>
              <w:bottom w:type="dxa" w:w="60"/>
              <w:right w:type="dxa" w:w="80"/>
            </w:tcMar>
          </w:tcPr>
          <w:p>
            <w:pPr>
              <w:spacing w:after="40"/>
            </w:pPr>
            <w:r>
              <w:rPr>
                <w:sz w:val="17"/>
                <w:szCs w:val="17"/>
              </w:rPr>
              <w:t xml:space="preserve">3 equal units. Unit 1 exits at TP1; Unit 2 exits at TP2; on Unit 2 fill, Unit 3 stop moves to entry + 0.2R (10,575.46)</w:t>
            </w:r>
          </w:p>
        </w:tc>
      </w:tr>
      <w:tr>
        <w:tc>
          <w:tcPr>
            <w:tcW w:type="dxa" w:w="1900"/>
            <w:tcMar>
              <w:top w:type="dxa" w:w="60"/>
              <w:left w:type="dxa" w:w="80"/>
              <w:bottom w:type="dxa" w:w="60"/>
              <w:right w:type="dxa" w:w="80"/>
            </w:tcMar>
          </w:tcPr>
          <w:p>
            <w:pPr>
              <w:spacing w:after="40"/>
            </w:pPr>
            <w:r>
              <w:rPr>
                <w:sz w:val="17"/>
                <w:szCs w:val="17"/>
              </w:rPr>
              <w:t xml:space="preserve">Confluences</w:t>
            </w:r>
          </w:p>
        </w:tc>
        <w:tc>
          <w:tcPr>
            <w:tcW w:type="dxa" w:w="7460"/>
            <w:tcMar>
              <w:top w:type="dxa" w:w="60"/>
              <w:left w:type="dxa" w:w="80"/>
              <w:bottom w:type="dxa" w:w="60"/>
              <w:right w:type="dxa" w:w="80"/>
            </w:tcMar>
          </w:tcPr>
          <w:p>
            <w:pPr>
              <w:spacing w:after="40"/>
            </w:pPr>
            <w:r>
              <w:rPr>
                <w:sz w:val="17"/>
                <w:szCs w:val="17"/>
              </w:rPr>
              <w:t xml:space="preserve">Entry at 10,562.97: daily R1.5 at 10,562.96 is 0.01 points away — effectively identical — and the five-day swing high at 10,552.56 is 10.41 points away. Two levels within 0.15 × ATR: STRONG CONFLUENCE. Stop at 10,500.51: the daily pivot at 10,513.64 is 13.13 points away — single confluence, and a meaningful one, since the stop sits just below pivot support. TP1 at 10,625.43: no level within threshold. TP2 and TP3: no confluences — both are projections, not observed structure</w:t>
            </w:r>
          </w:p>
        </w:tc>
      </w:tr>
      <w:tr>
        <w:tc>
          <w:tcPr>
            <w:tcW w:type="dxa" w:w="1900"/>
            <w:tcMar>
              <w:top w:type="dxa" w:w="60"/>
              <w:left w:type="dxa" w:w="80"/>
              <w:bottom w:type="dxa" w:w="60"/>
              <w:right w:type="dxa" w:w="80"/>
            </w:tcMar>
          </w:tcPr>
          <w:p>
            <w:pPr>
              <w:spacing w:after="40"/>
            </w:pPr>
            <w:r>
              <w:rPr>
                <w:sz w:val="17"/>
                <w:szCs w:val="17"/>
              </w:rPr>
              <w:t xml:space="preserve">Thesis invalidation</w:t>
            </w:r>
          </w:p>
        </w:tc>
        <w:tc>
          <w:tcPr>
            <w:tcW w:type="dxa" w:w="7460"/>
            <w:tcMar>
              <w:top w:type="dxa" w:w="60"/>
              <w:left w:type="dxa" w:w="80"/>
              <w:bottom w:type="dxa" w:w="60"/>
              <w:right w:type="dxa" w:w="80"/>
            </w:tcMar>
          </w:tcPr>
          <w:p>
            <w:pPr>
              <w:spacing w:after="40"/>
            </w:pPr>
            <w:r>
              <w:rPr>
                <w:sz w:val="17"/>
                <w:szCs w:val="17"/>
              </w:rPr>
              <w:t xml:space="preserve">A daily close back below the five-day swing high at 10,552.56 after the break. This is the definition of a failed breakout and sits 52 points above the stop — the thesis fails substantially before the stop</w:t>
            </w:r>
          </w:p>
        </w:tc>
      </w:tr>
      <w:tr>
        <w:tc>
          <w:tcPr>
            <w:tcW w:type="dxa" w:w="1900"/>
            <w:tcMar>
              <w:top w:type="dxa" w:w="60"/>
              <w:left w:type="dxa" w:w="80"/>
              <w:bottom w:type="dxa" w:w="60"/>
              <w:right w:type="dxa" w:w="80"/>
            </w:tcMar>
          </w:tcPr>
          <w:p>
            <w:pPr>
              <w:spacing w:after="40"/>
            </w:pPr>
            <w:r>
              <w:rPr>
                <w:sz w:val="17"/>
                <w:szCs w:val="17"/>
              </w:rPr>
              <w:t xml:space="preserve">Caveats</w:t>
            </w:r>
          </w:p>
        </w:tc>
        <w:tc>
          <w:tcPr>
            <w:tcW w:type="dxa" w:w="7460"/>
            <w:tcMar>
              <w:top w:type="dxa" w:w="60"/>
              <w:left w:type="dxa" w:w="80"/>
              <w:bottom w:type="dxa" w:w="60"/>
              <w:right w:type="dxa" w:w="80"/>
            </w:tcMar>
          </w:tcPr>
          <w:p>
            <w:pPr>
              <w:spacing w:after="40"/>
            </w:pPr>
            <w:r>
              <w:rPr>
                <w:sz w:val="17"/>
                <w:szCs w:val="17"/>
              </w:rPr>
              <w:t xml:space="preserve">Single-source-indicative levels — the five-day swing high anchoring this entire card is drawn from the 14 July session, which is the one fully corroborated session in the window, but the range width and average true range that set TP2 and TP3 incorporate indicative highs and lows; the measured-move targets are correspondingly approximate. Trade 3C requires a confirmed break per the framework's break definition — if no break occurs on 16 July, this card does not trigger and should be re-derived, not carried forward. Holding period collides with the Tier-1 Hormuz risk and Tier-1 earnings flow (§13d). Note the overlap with Trade 2: both are long breakout expressions of the same thesis at levels 15.69 points apart. Simultaneous long/short is permitted for this instance, but these two cards are not diversifying — running both doubles the same bet</w:t>
            </w:r>
          </w:p>
        </w:tc>
      </w:tr>
    </w:tbl>
    <w:p>
      <w:pPr>
        <w:pStyle w:val="Heading2"/>
        <w:spacing w:after="100" w:before="200"/>
      </w:pPr>
      <w:r>
        <w:t xml:space="preserve">§21c  Five-Session No-Leakage Backtest</w:t>
      </w:r>
    </w:p>
    <w:p>
      <w:pPr>
        <w:spacing w:after="120" w:before="0"/>
      </w:pPr>
      <w:r>
        <w:rPr>
          <w:i/>
          <w:iCs/>
          <w:sz w:val="17"/>
          <w:szCs w:val="17"/>
        </w:rPr>
        <w:t xml:space="preserve">Prior five sessions reconstructed under identical trade-card logic, using only data available at each t−1 close. Sentiment, regime, average true range, swings and pivots are recomputed at each reconstruction point with no forward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900"/>
        <w:gridCol w:w="1000"/>
        <w:gridCol w:w="880"/>
        <w:gridCol w:w="1060"/>
        <w:gridCol w:w="1060"/>
        <w:gridCol w:w="2320"/>
        <w:gridCol w:w="900"/>
      </w:tblGrid>
      <w:tr>
        <w:trPr>
          <w:tblHeader/>
        </w:trPr>
        <w:tc>
          <w:tcPr>
            <w:tcW w:type="dxa" w:w="1240"/>
            <w:shd w:fill="1F4E79" w:val="clear"/>
            <w:tcMar>
              <w:top w:type="dxa" w:w="60"/>
              <w:left w:type="dxa" w:w="80"/>
              <w:bottom w:type="dxa" w:w="60"/>
              <w:right w:type="dxa" w:w="80"/>
            </w:tcMar>
          </w:tcPr>
          <w:p>
            <w:pPr>
              <w:spacing w:after="40"/>
            </w:pPr>
            <w:r>
              <w:rPr>
                <w:b/>
                <w:bCs/>
                <w:color w:val="FFFFFF"/>
                <w:sz w:val="17"/>
                <w:szCs w:val="17"/>
              </w:rPr>
              <w:t xml:space="preserve">Date (t−N)</w:t>
            </w:r>
          </w:p>
        </w:tc>
        <w:tc>
          <w:tcPr>
            <w:tcW w:type="dxa" w:w="900"/>
            <w:shd w:fill="1F4E79" w:val="clear"/>
            <w:tcMar>
              <w:top w:type="dxa" w:w="60"/>
              <w:left w:type="dxa" w:w="80"/>
              <w:bottom w:type="dxa" w:w="60"/>
              <w:right w:type="dxa" w:w="80"/>
            </w:tcMar>
          </w:tcPr>
          <w:p>
            <w:pPr>
              <w:spacing w:after="40"/>
            </w:pPr>
            <w:r>
              <w:rPr>
                <w:b/>
                <w:bCs/>
                <w:color w:val="FFFFFF"/>
                <w:sz w:val="17"/>
                <w:szCs w:val="17"/>
              </w:rPr>
              <w:t xml:space="preserve">Strategy</w:t>
            </w:r>
          </w:p>
        </w:tc>
        <w:tc>
          <w:tcPr>
            <w:tcW w:type="dxa" w:w="1000"/>
            <w:shd w:fill="1F4E79" w:val="clear"/>
            <w:tcMar>
              <w:top w:type="dxa" w:w="60"/>
              <w:left w:type="dxa" w:w="80"/>
              <w:bottom w:type="dxa" w:w="60"/>
              <w:right w:type="dxa" w:w="80"/>
            </w:tcMar>
          </w:tcPr>
          <w:p>
            <w:pPr>
              <w:spacing w:after="40"/>
            </w:pPr>
            <w:r>
              <w:rPr>
                <w:b/>
                <w:bCs/>
                <w:color w:val="FFFFFF"/>
                <w:sz w:val="17"/>
                <w:szCs w:val="17"/>
              </w:rPr>
              <w:t xml:space="preserve">Direction</w:t>
            </w:r>
          </w:p>
        </w:tc>
        <w:tc>
          <w:tcPr>
            <w:tcW w:type="dxa" w:w="880"/>
            <w:shd w:fill="1F4E79" w:val="clear"/>
            <w:tcMar>
              <w:top w:type="dxa" w:w="60"/>
              <w:left w:type="dxa" w:w="80"/>
              <w:bottom w:type="dxa" w:w="60"/>
              <w:right w:type="dxa" w:w="80"/>
            </w:tcMar>
          </w:tcPr>
          <w:p>
            <w:pPr>
              <w:spacing w:after="40"/>
            </w:pPr>
            <w:r>
              <w:rPr>
                <w:b/>
                <w:bCs/>
                <w:color w:val="FFFFFF"/>
                <w:sz w:val="17"/>
                <w:szCs w:val="17"/>
              </w:rPr>
              <w:t xml:space="preserve">Triggered</w:t>
            </w:r>
          </w:p>
        </w:tc>
        <w:tc>
          <w:tcPr>
            <w:tcW w:type="dxa" w:w="1060"/>
            <w:shd w:fill="1F4E79" w:val="clear"/>
            <w:tcMar>
              <w:top w:type="dxa" w:w="60"/>
              <w:left w:type="dxa" w:w="80"/>
              <w:bottom w:type="dxa" w:w="60"/>
              <w:right w:type="dxa" w:w="80"/>
            </w:tcMar>
          </w:tcPr>
          <w:p>
            <w:pPr>
              <w:spacing w:after="40"/>
            </w:pPr>
            <w:r>
              <w:rPr>
                <w:b/>
                <w:bCs/>
                <w:color w:val="FFFFFF"/>
                <w:sz w:val="17"/>
                <w:szCs w:val="17"/>
              </w:rPr>
              <w:t xml:space="preserve">Entry</w:t>
            </w:r>
          </w:p>
        </w:tc>
        <w:tc>
          <w:tcPr>
            <w:tcW w:type="dxa" w:w="1060"/>
            <w:shd w:fill="1F4E79" w:val="clear"/>
            <w:tcMar>
              <w:top w:type="dxa" w:w="60"/>
              <w:left w:type="dxa" w:w="80"/>
              <w:bottom w:type="dxa" w:w="60"/>
              <w:right w:type="dxa" w:w="80"/>
            </w:tcMar>
          </w:tcPr>
          <w:p>
            <w:pPr>
              <w:spacing w:after="40"/>
            </w:pPr>
            <w:r>
              <w:rPr>
                <w:b/>
                <w:bCs/>
                <w:color w:val="FFFFFF"/>
                <w:sz w:val="17"/>
                <w:szCs w:val="17"/>
              </w:rPr>
              <w:t xml:space="preserve">Exit</w:t>
            </w:r>
          </w:p>
        </w:tc>
        <w:tc>
          <w:tcPr>
            <w:tcW w:type="dxa" w:w="2320"/>
            <w:shd w:fill="1F4E79" w:val="clear"/>
            <w:tcMar>
              <w:top w:type="dxa" w:w="60"/>
              <w:left w:type="dxa" w:w="80"/>
              <w:bottom w:type="dxa" w:w="60"/>
              <w:right w:type="dxa" w:w="80"/>
            </w:tcMar>
          </w:tcPr>
          <w:p>
            <w:pPr>
              <w:spacing w:after="40"/>
            </w:pPr>
            <w:r>
              <w:rPr>
                <w:b/>
                <w:bCs/>
                <w:color w:val="FFFFFF"/>
                <w:sz w:val="17"/>
                <w:szCs w:val="17"/>
              </w:rPr>
              <w:t xml:space="preserve">Outcome (R)</w:t>
            </w:r>
          </w:p>
        </w:tc>
        <w:tc>
          <w:tcPr>
            <w:tcW w:type="dxa" w:w="900"/>
            <w:shd w:fill="1F4E79" w:val="clear"/>
            <w:tcMar>
              <w:top w:type="dxa" w:w="60"/>
              <w:left w:type="dxa" w:w="80"/>
              <w:bottom w:type="dxa" w:w="60"/>
              <w:right w:type="dxa" w:w="80"/>
            </w:tcMar>
          </w:tcPr>
          <w:p>
            <w:pPr>
              <w:spacing w:after="40"/>
            </w:pPr>
            <w:r>
              <w:rPr>
                <w:b/>
                <w:bCs/>
                <w:color w:val="FFFFFF"/>
                <w:sz w:val="17"/>
                <w:szCs w:val="17"/>
              </w:rPr>
              <w:t xml:space="preserve">Days</w:t>
            </w:r>
          </w:p>
        </w:tc>
      </w:tr>
      <w:tr>
        <w:tc>
          <w:tcPr>
            <w:tcW w:type="dxa" w:w="1240"/>
            <w:tcMar>
              <w:top w:type="dxa" w:w="60"/>
              <w:left w:type="dxa" w:w="80"/>
              <w:bottom w:type="dxa" w:w="60"/>
              <w:right w:type="dxa" w:w="80"/>
            </w:tcMar>
          </w:tcPr>
          <w:p>
            <w:pPr>
              <w:spacing w:after="40"/>
            </w:pPr>
            <w:r>
              <w:rPr>
                <w:sz w:val="17"/>
                <w:szCs w:val="17"/>
              </w:rPr>
              <w:t xml:space="preserve">Thu 9 Jul (t−5)</w:t>
            </w:r>
          </w:p>
        </w:tc>
        <w:tc>
          <w:tcPr>
            <w:tcW w:type="dxa" w:w="900"/>
            <w:tcMar>
              <w:top w:type="dxa" w:w="60"/>
              <w:left w:type="dxa" w:w="80"/>
              <w:bottom w:type="dxa" w:w="60"/>
              <w:right w:type="dxa" w:w="80"/>
            </w:tcMar>
          </w:tcPr>
          <w:p>
            <w:pPr>
              <w:spacing w:after="40"/>
            </w:pPr>
            <w:r>
              <w:rPr>
                <w:sz w:val="17"/>
                <w:szCs w:val="17"/>
              </w:rPr>
              <w:t xml:space="preserve">Trade 1</w:t>
            </w:r>
          </w:p>
        </w:tc>
        <w:tc>
          <w:tcPr>
            <w:tcW w:type="dxa" w:w="1000"/>
            <w:tcMar>
              <w:top w:type="dxa" w:w="60"/>
              <w:left w:type="dxa" w:w="80"/>
              <w:bottom w:type="dxa" w:w="60"/>
              <w:right w:type="dxa" w:w="80"/>
            </w:tcMar>
          </w:tcPr>
          <w:p>
            <w:pPr>
              <w:spacing w:after="40"/>
            </w:pPr>
            <w:r>
              <w:rPr>
                <w:sz w:val="17"/>
                <w:szCs w:val="17"/>
              </w:rPr>
              <w:t xml:space="preserve">SUPPRESSED</w:t>
            </w:r>
          </w:p>
        </w:tc>
        <w:tc>
          <w:tcPr>
            <w:tcW w:type="dxa" w:w="880"/>
            <w:tcMar>
              <w:top w:type="dxa" w:w="60"/>
              <w:left w:type="dxa" w:w="80"/>
              <w:bottom w:type="dxa" w:w="60"/>
              <w:right w:type="dxa" w:w="80"/>
            </w:tcMar>
          </w:tcPr>
          <w:p>
            <w:pPr>
              <w:spacing w:after="40"/>
            </w:pPr>
            <w:r>
              <w:rPr>
                <w:sz w:val="17"/>
                <w:szCs w:val="17"/>
              </w:rPr>
              <w:t xml:space="preserve">N/A</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SUPPRESSED — score below threshold post-selloff</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Thu 9 Jul (t−5)</w:t>
            </w:r>
          </w:p>
        </w:tc>
        <w:tc>
          <w:tcPr>
            <w:tcW w:type="dxa" w:w="900"/>
            <w:tcMar>
              <w:top w:type="dxa" w:w="60"/>
              <w:left w:type="dxa" w:w="80"/>
              <w:bottom w:type="dxa" w:w="60"/>
              <w:right w:type="dxa" w:w="80"/>
            </w:tcMar>
          </w:tcPr>
          <w:p>
            <w:pPr>
              <w:spacing w:after="40"/>
            </w:pPr>
            <w:r>
              <w:rPr>
                <w:sz w:val="17"/>
                <w:szCs w:val="17"/>
              </w:rPr>
              <w:t xml:space="preserve">Trade 2</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R1 not reached</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Thu 9 Jul (t−5)</w:t>
            </w:r>
          </w:p>
        </w:tc>
        <w:tc>
          <w:tcPr>
            <w:tcW w:type="dxa" w:w="900"/>
            <w:tcMar>
              <w:top w:type="dxa" w:w="60"/>
              <w:left w:type="dxa" w:w="80"/>
              <w:bottom w:type="dxa" w:w="60"/>
              <w:right w:type="dxa" w:w="80"/>
            </w:tcMar>
          </w:tcPr>
          <w:p>
            <w:pPr>
              <w:spacing w:after="40"/>
            </w:pPr>
            <w:r>
              <w:rPr>
                <w:sz w:val="17"/>
                <w:szCs w:val="17"/>
              </w:rPr>
              <w:t xml:space="preserve">Trade 3C</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no confirmed break</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Fri 10 Jul (t−4)</w:t>
            </w:r>
          </w:p>
        </w:tc>
        <w:tc>
          <w:tcPr>
            <w:tcW w:type="dxa" w:w="900"/>
            <w:tcMar>
              <w:top w:type="dxa" w:w="60"/>
              <w:left w:type="dxa" w:w="80"/>
              <w:bottom w:type="dxa" w:w="60"/>
              <w:right w:type="dxa" w:w="80"/>
            </w:tcMar>
          </w:tcPr>
          <w:p>
            <w:pPr>
              <w:spacing w:after="40"/>
            </w:pPr>
            <w:r>
              <w:rPr>
                <w:sz w:val="17"/>
                <w:szCs w:val="17"/>
              </w:rPr>
              <w:t xml:space="preserve">Trade 1</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YES</w:t>
            </w:r>
          </w:p>
        </w:tc>
        <w:tc>
          <w:tcPr>
            <w:tcW w:type="dxa" w:w="1060"/>
            <w:tcMar>
              <w:top w:type="dxa" w:w="60"/>
              <w:left w:type="dxa" w:w="80"/>
              <w:bottom w:type="dxa" w:w="60"/>
              <w:right w:type="dxa" w:w="80"/>
            </w:tcMar>
          </w:tcPr>
          <w:p>
            <w:pPr>
              <w:spacing w:after="40"/>
            </w:pPr>
            <w:r>
              <w:rPr>
                <w:sz w:val="17"/>
                <w:szCs w:val="17"/>
              </w:rPr>
              <w:t xml:space="preserve">10,465.00</w:t>
            </w:r>
          </w:p>
        </w:tc>
        <w:tc>
          <w:tcPr>
            <w:tcW w:type="dxa" w:w="1060"/>
            <w:tcMar>
              <w:top w:type="dxa" w:w="60"/>
              <w:left w:type="dxa" w:w="80"/>
              <w:bottom w:type="dxa" w:w="60"/>
              <w:right w:type="dxa" w:w="80"/>
            </w:tcMar>
          </w:tcPr>
          <w:p>
            <w:pPr>
              <w:spacing w:after="40"/>
            </w:pPr>
            <w:r>
              <w:rPr>
                <w:sz w:val="17"/>
                <w:szCs w:val="17"/>
              </w:rPr>
              <w:t xml:space="preserve">10,496.90</w:t>
            </w:r>
          </w:p>
        </w:tc>
        <w:tc>
          <w:tcPr>
            <w:tcW w:type="dxa" w:w="2320"/>
            <w:tcMar>
              <w:top w:type="dxa" w:w="60"/>
              <w:left w:type="dxa" w:w="80"/>
              <w:bottom w:type="dxa" w:w="60"/>
              <w:right w:type="dxa" w:w="80"/>
            </w:tcMar>
          </w:tcPr>
          <w:p>
            <w:pPr>
              <w:spacing w:after="40"/>
            </w:pPr>
            <w:r>
              <w:rPr>
                <w:sz w:val="17"/>
                <w:szCs w:val="17"/>
              </w:rPr>
              <w:t xml:space="preserve">+0.28R (open at session close)</w:t>
            </w:r>
          </w:p>
        </w:tc>
        <w:tc>
          <w:tcPr>
            <w:tcW w:type="dxa" w:w="900"/>
            <w:tcMar>
              <w:top w:type="dxa" w:w="60"/>
              <w:left w:type="dxa" w:w="80"/>
              <w:bottom w:type="dxa" w:w="60"/>
              <w:right w:type="dxa" w:w="80"/>
            </w:tcMar>
          </w:tcPr>
          <w:p>
            <w:pPr>
              <w:spacing w:after="40"/>
            </w:pPr>
            <w:r>
              <w:rPr>
                <w:sz w:val="17"/>
                <w:szCs w:val="17"/>
              </w:rPr>
              <w:t xml:space="preserve">1</w:t>
            </w:r>
          </w:p>
        </w:tc>
      </w:tr>
      <w:tr>
        <w:tc>
          <w:tcPr>
            <w:tcW w:type="dxa" w:w="1240"/>
            <w:tcMar>
              <w:top w:type="dxa" w:w="60"/>
              <w:left w:type="dxa" w:w="80"/>
              <w:bottom w:type="dxa" w:w="60"/>
              <w:right w:type="dxa" w:w="80"/>
            </w:tcMar>
          </w:tcPr>
          <w:p>
            <w:pPr>
              <w:spacing w:after="40"/>
            </w:pPr>
            <w:r>
              <w:rPr>
                <w:sz w:val="17"/>
                <w:szCs w:val="17"/>
              </w:rPr>
              <w:t xml:space="preserve">Fri 10 Jul (t−4)</w:t>
            </w:r>
          </w:p>
        </w:tc>
        <w:tc>
          <w:tcPr>
            <w:tcW w:type="dxa" w:w="900"/>
            <w:tcMar>
              <w:top w:type="dxa" w:w="60"/>
              <w:left w:type="dxa" w:w="80"/>
              <w:bottom w:type="dxa" w:w="60"/>
              <w:right w:type="dxa" w:w="80"/>
            </w:tcMar>
          </w:tcPr>
          <w:p>
            <w:pPr>
              <w:spacing w:after="40"/>
            </w:pPr>
            <w:r>
              <w:rPr>
                <w:sz w:val="17"/>
                <w:szCs w:val="17"/>
              </w:rPr>
              <w:t xml:space="preserve">Trade 2</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range held below R1</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Fri 10 Jul (t−4)</w:t>
            </w:r>
          </w:p>
        </w:tc>
        <w:tc>
          <w:tcPr>
            <w:tcW w:type="dxa" w:w="900"/>
            <w:tcMar>
              <w:top w:type="dxa" w:w="60"/>
              <w:left w:type="dxa" w:w="80"/>
              <w:bottom w:type="dxa" w:w="60"/>
              <w:right w:type="dxa" w:w="80"/>
            </w:tcMar>
          </w:tcPr>
          <w:p>
            <w:pPr>
              <w:spacing w:after="40"/>
            </w:pPr>
            <w:r>
              <w:rPr>
                <w:sz w:val="17"/>
                <w:szCs w:val="17"/>
              </w:rPr>
              <w:t xml:space="preserve">Trade 3C</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no confirmed break</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Mon 13 Jul (t−3)</w:t>
            </w:r>
          </w:p>
        </w:tc>
        <w:tc>
          <w:tcPr>
            <w:tcW w:type="dxa" w:w="900"/>
            <w:tcMar>
              <w:top w:type="dxa" w:w="60"/>
              <w:left w:type="dxa" w:w="80"/>
              <w:bottom w:type="dxa" w:w="60"/>
              <w:right w:type="dxa" w:w="80"/>
            </w:tcMar>
          </w:tcPr>
          <w:p>
            <w:pPr>
              <w:spacing w:after="40"/>
            </w:pPr>
            <w:r>
              <w:rPr>
                <w:sz w:val="17"/>
                <w:szCs w:val="17"/>
              </w:rPr>
              <w:t xml:space="preserve">Trade 1</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YES</w:t>
            </w:r>
          </w:p>
        </w:tc>
        <w:tc>
          <w:tcPr>
            <w:tcW w:type="dxa" w:w="1060"/>
            <w:tcMar>
              <w:top w:type="dxa" w:w="60"/>
              <w:left w:type="dxa" w:w="80"/>
              <w:bottom w:type="dxa" w:w="60"/>
              <w:right w:type="dxa" w:w="80"/>
            </w:tcMar>
          </w:tcPr>
          <w:p>
            <w:pPr>
              <w:spacing w:after="40"/>
            </w:pPr>
            <w:r>
              <w:rPr>
                <w:sz w:val="17"/>
                <w:szCs w:val="17"/>
              </w:rPr>
              <w:t xml:space="preserve">10,496.90</w:t>
            </w:r>
          </w:p>
        </w:tc>
        <w:tc>
          <w:tcPr>
            <w:tcW w:type="dxa" w:w="1060"/>
            <w:tcMar>
              <w:top w:type="dxa" w:w="60"/>
              <w:left w:type="dxa" w:w="80"/>
              <w:bottom w:type="dxa" w:w="60"/>
              <w:right w:type="dxa" w:w="80"/>
            </w:tcMar>
          </w:tcPr>
          <w:p>
            <w:pPr>
              <w:spacing w:after="40"/>
            </w:pPr>
            <w:r>
              <w:rPr>
                <w:sz w:val="17"/>
                <w:szCs w:val="17"/>
              </w:rPr>
              <w:t xml:space="preserve">10,496.00</w:t>
            </w:r>
          </w:p>
        </w:tc>
        <w:tc>
          <w:tcPr>
            <w:tcW w:type="dxa" w:w="2320"/>
            <w:tcMar>
              <w:top w:type="dxa" w:w="60"/>
              <w:left w:type="dxa" w:w="80"/>
              <w:bottom w:type="dxa" w:w="60"/>
              <w:right w:type="dxa" w:w="80"/>
            </w:tcMar>
          </w:tcPr>
          <w:p>
            <w:pPr>
              <w:spacing w:after="40"/>
            </w:pPr>
            <w:r>
              <w:rPr>
                <w:sz w:val="17"/>
                <w:szCs w:val="17"/>
              </w:rPr>
              <w:t xml:space="preserve">−0.01R (flat, indicative)</w:t>
            </w:r>
          </w:p>
        </w:tc>
        <w:tc>
          <w:tcPr>
            <w:tcW w:type="dxa" w:w="900"/>
            <w:tcMar>
              <w:top w:type="dxa" w:w="60"/>
              <w:left w:type="dxa" w:w="80"/>
              <w:bottom w:type="dxa" w:w="60"/>
              <w:right w:type="dxa" w:w="80"/>
            </w:tcMar>
          </w:tcPr>
          <w:p>
            <w:pPr>
              <w:spacing w:after="40"/>
            </w:pPr>
            <w:r>
              <w:rPr>
                <w:sz w:val="17"/>
                <w:szCs w:val="17"/>
              </w:rPr>
              <w:t xml:space="preserve">1</w:t>
            </w:r>
          </w:p>
        </w:tc>
      </w:tr>
      <w:tr>
        <w:tc>
          <w:tcPr>
            <w:tcW w:type="dxa" w:w="1240"/>
            <w:tcMar>
              <w:top w:type="dxa" w:w="60"/>
              <w:left w:type="dxa" w:w="80"/>
              <w:bottom w:type="dxa" w:w="60"/>
              <w:right w:type="dxa" w:w="80"/>
            </w:tcMar>
          </w:tcPr>
          <w:p>
            <w:pPr>
              <w:spacing w:after="40"/>
            </w:pPr>
            <w:r>
              <w:rPr>
                <w:sz w:val="17"/>
                <w:szCs w:val="17"/>
              </w:rPr>
              <w:t xml:space="preserve">Mon 13 Jul (t−3)</w:t>
            </w:r>
          </w:p>
        </w:tc>
        <w:tc>
          <w:tcPr>
            <w:tcW w:type="dxa" w:w="900"/>
            <w:tcMar>
              <w:top w:type="dxa" w:w="60"/>
              <w:left w:type="dxa" w:w="80"/>
              <w:bottom w:type="dxa" w:w="60"/>
              <w:right w:type="dxa" w:w="80"/>
            </w:tcMar>
          </w:tcPr>
          <w:p>
            <w:pPr>
              <w:spacing w:after="40"/>
            </w:pPr>
            <w:r>
              <w:rPr>
                <w:sz w:val="17"/>
                <w:szCs w:val="17"/>
              </w:rPr>
              <w:t xml:space="preserve">Trade 2</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50-point inside day</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Mon 13 Jul (t−3)</w:t>
            </w:r>
          </w:p>
        </w:tc>
        <w:tc>
          <w:tcPr>
            <w:tcW w:type="dxa" w:w="900"/>
            <w:tcMar>
              <w:top w:type="dxa" w:w="60"/>
              <w:left w:type="dxa" w:w="80"/>
              <w:bottom w:type="dxa" w:w="60"/>
              <w:right w:type="dxa" w:w="80"/>
            </w:tcMar>
          </w:tcPr>
          <w:p>
            <w:pPr>
              <w:spacing w:after="40"/>
            </w:pPr>
            <w:r>
              <w:rPr>
                <w:sz w:val="17"/>
                <w:szCs w:val="17"/>
              </w:rPr>
              <w:t xml:space="preserve">Trade 3C</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compression, no break</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Tue 14 Jul (t−2)</w:t>
            </w:r>
          </w:p>
        </w:tc>
        <w:tc>
          <w:tcPr>
            <w:tcW w:type="dxa" w:w="900"/>
            <w:tcMar>
              <w:top w:type="dxa" w:w="60"/>
              <w:left w:type="dxa" w:w="80"/>
              <w:bottom w:type="dxa" w:w="60"/>
              <w:right w:type="dxa" w:w="80"/>
            </w:tcMar>
          </w:tcPr>
          <w:p>
            <w:pPr>
              <w:spacing w:after="40"/>
            </w:pPr>
            <w:r>
              <w:rPr>
                <w:sz w:val="17"/>
                <w:szCs w:val="17"/>
              </w:rPr>
              <w:t xml:space="preserve">Trade 1</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YES</w:t>
            </w:r>
          </w:p>
        </w:tc>
        <w:tc>
          <w:tcPr>
            <w:tcW w:type="dxa" w:w="1060"/>
            <w:tcMar>
              <w:top w:type="dxa" w:w="60"/>
              <w:left w:type="dxa" w:w="80"/>
              <w:bottom w:type="dxa" w:w="60"/>
              <w:right w:type="dxa" w:w="80"/>
            </w:tcMar>
          </w:tcPr>
          <w:p>
            <w:pPr>
              <w:spacing w:after="40"/>
            </w:pPr>
            <w:r>
              <w:rPr>
                <w:sz w:val="17"/>
                <w:szCs w:val="17"/>
              </w:rPr>
              <w:t xml:space="preserve">10,496.00</w:t>
            </w:r>
          </w:p>
        </w:tc>
        <w:tc>
          <w:tcPr>
            <w:tcW w:type="dxa" w:w="1060"/>
            <w:tcMar>
              <w:top w:type="dxa" w:w="60"/>
              <w:left w:type="dxa" w:w="80"/>
              <w:bottom w:type="dxa" w:w="60"/>
              <w:right w:type="dxa" w:w="80"/>
            </w:tcMar>
          </w:tcPr>
          <w:p>
            <w:pPr>
              <w:spacing w:after="40"/>
            </w:pPr>
            <w:r>
              <w:rPr>
                <w:sz w:val="17"/>
                <w:szCs w:val="17"/>
              </w:rPr>
              <w:t xml:space="preserve">10,529.39</w:t>
            </w:r>
          </w:p>
        </w:tc>
        <w:tc>
          <w:tcPr>
            <w:tcW w:type="dxa" w:w="2320"/>
            <w:tcMar>
              <w:top w:type="dxa" w:w="60"/>
              <w:left w:type="dxa" w:w="80"/>
              <w:bottom w:type="dxa" w:w="60"/>
              <w:right w:type="dxa" w:w="80"/>
            </w:tcMar>
          </w:tcPr>
          <w:p>
            <w:pPr>
              <w:spacing w:after="40"/>
            </w:pPr>
            <w:r>
              <w:rPr>
                <w:sz w:val="17"/>
                <w:szCs w:val="17"/>
              </w:rPr>
              <w:t xml:space="preserve">+0.31R (open at session close)</w:t>
            </w:r>
          </w:p>
        </w:tc>
        <w:tc>
          <w:tcPr>
            <w:tcW w:type="dxa" w:w="900"/>
            <w:tcMar>
              <w:top w:type="dxa" w:w="60"/>
              <w:left w:type="dxa" w:w="80"/>
              <w:bottom w:type="dxa" w:w="60"/>
              <w:right w:type="dxa" w:w="80"/>
            </w:tcMar>
          </w:tcPr>
          <w:p>
            <w:pPr>
              <w:spacing w:after="40"/>
            </w:pPr>
            <w:r>
              <w:rPr>
                <w:sz w:val="17"/>
                <w:szCs w:val="17"/>
              </w:rPr>
              <w:t xml:space="preserve">1</w:t>
            </w:r>
          </w:p>
        </w:tc>
      </w:tr>
      <w:tr>
        <w:tc>
          <w:tcPr>
            <w:tcW w:type="dxa" w:w="1240"/>
            <w:tcMar>
              <w:top w:type="dxa" w:w="60"/>
              <w:left w:type="dxa" w:w="80"/>
              <w:bottom w:type="dxa" w:w="60"/>
              <w:right w:type="dxa" w:w="80"/>
            </w:tcMar>
          </w:tcPr>
          <w:p>
            <w:pPr>
              <w:spacing w:after="40"/>
            </w:pPr>
            <w:r>
              <w:rPr>
                <w:sz w:val="17"/>
                <w:szCs w:val="17"/>
              </w:rPr>
              <w:t xml:space="preserve">Tue 14 Jul (t−2)</w:t>
            </w:r>
          </w:p>
        </w:tc>
        <w:tc>
          <w:tcPr>
            <w:tcW w:type="dxa" w:w="900"/>
            <w:tcMar>
              <w:top w:type="dxa" w:w="60"/>
              <w:left w:type="dxa" w:w="80"/>
              <w:bottom w:type="dxa" w:w="60"/>
              <w:right w:type="dxa" w:w="80"/>
            </w:tcMar>
          </w:tcPr>
          <w:p>
            <w:pPr>
              <w:spacing w:after="40"/>
            </w:pPr>
            <w:r>
              <w:rPr>
                <w:sz w:val="17"/>
                <w:szCs w:val="17"/>
              </w:rPr>
              <w:t xml:space="preserve">Trade 2</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YES</w:t>
            </w:r>
          </w:p>
        </w:tc>
        <w:tc>
          <w:tcPr>
            <w:tcW w:type="dxa" w:w="1060"/>
            <w:tcMar>
              <w:top w:type="dxa" w:w="60"/>
              <w:left w:type="dxa" w:w="80"/>
              <w:bottom w:type="dxa" w:w="60"/>
              <w:right w:type="dxa" w:w="80"/>
            </w:tcMar>
          </w:tcPr>
          <w:p>
            <w:pPr>
              <w:spacing w:after="40"/>
            </w:pPr>
            <w:r>
              <w:rPr>
                <w:sz w:val="17"/>
                <w:szCs w:val="17"/>
              </w:rPr>
              <w:t xml:space="preserve">≈10,520.00</w:t>
            </w:r>
          </w:p>
        </w:tc>
        <w:tc>
          <w:tcPr>
            <w:tcW w:type="dxa" w:w="1060"/>
            <w:tcMar>
              <w:top w:type="dxa" w:w="60"/>
              <w:left w:type="dxa" w:w="80"/>
              <w:bottom w:type="dxa" w:w="60"/>
              <w:right w:type="dxa" w:w="80"/>
            </w:tcMar>
          </w:tcPr>
          <w:p>
            <w:pPr>
              <w:spacing w:after="40"/>
            </w:pPr>
            <w:r>
              <w:rPr>
                <w:sz w:val="17"/>
                <w:szCs w:val="17"/>
              </w:rPr>
              <w:t xml:space="preserve">10,529.39</w:t>
            </w:r>
          </w:p>
        </w:tc>
        <w:tc>
          <w:tcPr>
            <w:tcW w:type="dxa" w:w="2320"/>
            <w:tcMar>
              <w:top w:type="dxa" w:w="60"/>
              <w:left w:type="dxa" w:w="80"/>
              <w:bottom w:type="dxa" w:w="60"/>
              <w:right w:type="dxa" w:w="80"/>
            </w:tcMar>
          </w:tcPr>
          <w:p>
            <w:pPr>
              <w:spacing w:after="40"/>
            </w:pPr>
            <w:r>
              <w:rPr>
                <w:sz w:val="17"/>
                <w:szCs w:val="17"/>
              </w:rPr>
              <w:t xml:space="preserve">+0.16R (open) — INDICATIVE FILL</w:t>
            </w:r>
          </w:p>
        </w:tc>
        <w:tc>
          <w:tcPr>
            <w:tcW w:type="dxa" w:w="900"/>
            <w:tcMar>
              <w:top w:type="dxa" w:w="60"/>
              <w:left w:type="dxa" w:w="80"/>
              <w:bottom w:type="dxa" w:w="60"/>
              <w:right w:type="dxa" w:w="80"/>
            </w:tcMar>
          </w:tcPr>
          <w:p>
            <w:pPr>
              <w:spacing w:after="40"/>
            </w:pPr>
            <w:r>
              <w:rPr>
                <w:sz w:val="17"/>
                <w:szCs w:val="17"/>
              </w:rPr>
              <w:t xml:space="preserve">1</w:t>
            </w:r>
          </w:p>
        </w:tc>
      </w:tr>
      <w:tr>
        <w:tc>
          <w:tcPr>
            <w:tcW w:type="dxa" w:w="1240"/>
            <w:tcMar>
              <w:top w:type="dxa" w:w="60"/>
              <w:left w:type="dxa" w:w="80"/>
              <w:bottom w:type="dxa" w:w="60"/>
              <w:right w:type="dxa" w:w="80"/>
            </w:tcMar>
          </w:tcPr>
          <w:p>
            <w:pPr>
              <w:spacing w:after="40"/>
            </w:pPr>
            <w:r>
              <w:rPr>
                <w:sz w:val="17"/>
                <w:szCs w:val="17"/>
              </w:rPr>
              <w:t xml:space="preserve">Tue 14 Jul (t−2)</w:t>
            </w:r>
          </w:p>
        </w:tc>
        <w:tc>
          <w:tcPr>
            <w:tcW w:type="dxa" w:w="900"/>
            <w:tcMar>
              <w:top w:type="dxa" w:w="60"/>
              <w:left w:type="dxa" w:w="80"/>
              <w:bottom w:type="dxa" w:w="60"/>
              <w:right w:type="dxa" w:w="80"/>
            </w:tcMar>
          </w:tcPr>
          <w:p>
            <w:pPr>
              <w:spacing w:after="40"/>
            </w:pPr>
            <w:r>
              <w:rPr>
                <w:sz w:val="17"/>
                <w:szCs w:val="17"/>
              </w:rPr>
              <w:t xml:space="preserve">Trade 3C</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high 10,552.56 did not clear the break buffer</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Wed 15 Jul (t−1)</w:t>
            </w:r>
          </w:p>
        </w:tc>
        <w:tc>
          <w:tcPr>
            <w:tcW w:type="dxa" w:w="900"/>
            <w:tcMar>
              <w:top w:type="dxa" w:w="60"/>
              <w:left w:type="dxa" w:w="80"/>
              <w:bottom w:type="dxa" w:w="60"/>
              <w:right w:type="dxa" w:w="80"/>
            </w:tcMar>
          </w:tcPr>
          <w:p>
            <w:pPr>
              <w:spacing w:after="40"/>
            </w:pPr>
            <w:r>
              <w:rPr>
                <w:sz w:val="17"/>
                <w:szCs w:val="17"/>
              </w:rPr>
              <w:t xml:space="preserve">Trade 1</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YES</w:t>
            </w:r>
          </w:p>
        </w:tc>
        <w:tc>
          <w:tcPr>
            <w:tcW w:type="dxa" w:w="1060"/>
            <w:tcMar>
              <w:top w:type="dxa" w:w="60"/>
              <w:left w:type="dxa" w:w="80"/>
              <w:bottom w:type="dxa" w:w="60"/>
              <w:right w:type="dxa" w:w="80"/>
            </w:tcMar>
          </w:tcPr>
          <w:p>
            <w:pPr>
              <w:spacing w:after="40"/>
            </w:pPr>
            <w:r>
              <w:rPr>
                <w:sz w:val="17"/>
                <w:szCs w:val="17"/>
              </w:rPr>
              <w:t xml:space="preserve">10,529.39</w:t>
            </w:r>
          </w:p>
        </w:tc>
        <w:tc>
          <w:tcPr>
            <w:tcW w:type="dxa" w:w="1060"/>
            <w:tcMar>
              <w:top w:type="dxa" w:w="60"/>
              <w:left w:type="dxa" w:w="80"/>
              <w:bottom w:type="dxa" w:w="60"/>
              <w:right w:type="dxa" w:w="80"/>
            </w:tcMar>
          </w:tcPr>
          <w:p>
            <w:pPr>
              <w:spacing w:after="40"/>
            </w:pPr>
            <w:r>
              <w:rPr>
                <w:sz w:val="17"/>
                <w:szCs w:val="17"/>
              </w:rPr>
              <w:t xml:space="preserve">10,515.92</w:t>
            </w:r>
          </w:p>
        </w:tc>
        <w:tc>
          <w:tcPr>
            <w:tcW w:type="dxa" w:w="2320"/>
            <w:tcMar>
              <w:top w:type="dxa" w:w="60"/>
              <w:left w:type="dxa" w:w="80"/>
              <w:bottom w:type="dxa" w:w="60"/>
              <w:right w:type="dxa" w:w="80"/>
            </w:tcMar>
          </w:tcPr>
          <w:p>
            <w:pPr>
              <w:spacing w:after="40"/>
            </w:pPr>
            <w:r>
              <w:rPr>
                <w:sz w:val="17"/>
                <w:szCs w:val="17"/>
              </w:rPr>
              <w:t xml:space="preserve">−0.11R (open at session close)</w:t>
            </w:r>
          </w:p>
        </w:tc>
        <w:tc>
          <w:tcPr>
            <w:tcW w:type="dxa" w:w="900"/>
            <w:tcMar>
              <w:top w:type="dxa" w:w="60"/>
              <w:left w:type="dxa" w:w="80"/>
              <w:bottom w:type="dxa" w:w="60"/>
              <w:right w:type="dxa" w:w="80"/>
            </w:tcMar>
          </w:tcPr>
          <w:p>
            <w:pPr>
              <w:spacing w:after="40"/>
            </w:pPr>
            <w:r>
              <w:rPr>
                <w:sz w:val="17"/>
                <w:szCs w:val="17"/>
              </w:rPr>
              <w:t xml:space="preserve">1</w:t>
            </w:r>
          </w:p>
        </w:tc>
      </w:tr>
      <w:tr>
        <w:tc>
          <w:tcPr>
            <w:tcW w:type="dxa" w:w="1240"/>
            <w:tcMar>
              <w:top w:type="dxa" w:w="60"/>
              <w:left w:type="dxa" w:w="80"/>
              <w:bottom w:type="dxa" w:w="60"/>
              <w:right w:type="dxa" w:w="80"/>
            </w:tcMar>
          </w:tcPr>
          <w:p>
            <w:pPr>
              <w:spacing w:after="40"/>
            </w:pPr>
            <w:r>
              <w:rPr>
                <w:sz w:val="17"/>
                <w:szCs w:val="17"/>
              </w:rPr>
              <w:t xml:space="preserve">Wed 15 Jul (t−1)</w:t>
            </w:r>
          </w:p>
        </w:tc>
        <w:tc>
          <w:tcPr>
            <w:tcW w:type="dxa" w:w="900"/>
            <w:tcMar>
              <w:top w:type="dxa" w:w="60"/>
              <w:left w:type="dxa" w:w="80"/>
              <w:bottom w:type="dxa" w:w="60"/>
              <w:right w:type="dxa" w:w="80"/>
            </w:tcMar>
          </w:tcPr>
          <w:p>
            <w:pPr>
              <w:spacing w:after="40"/>
            </w:pPr>
            <w:r>
              <w:rPr>
                <w:sz w:val="17"/>
                <w:szCs w:val="17"/>
              </w:rPr>
              <w:t xml:space="preserve">Trade 2</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high 10,545.00 fell short of R1 — INDICATIVE</w:t>
            </w:r>
          </w:p>
        </w:tc>
        <w:tc>
          <w:tcPr>
            <w:tcW w:type="dxa" w:w="900"/>
            <w:tcMar>
              <w:top w:type="dxa" w:w="60"/>
              <w:left w:type="dxa" w:w="80"/>
              <w:bottom w:type="dxa" w:w="60"/>
              <w:right w:type="dxa" w:w="80"/>
            </w:tcMar>
          </w:tcPr>
          <w:p>
            <w:pPr>
              <w:spacing w:after="40"/>
            </w:pPr>
            <w:r>
              <w:rPr>
                <w:sz w:val="17"/>
                <w:szCs w:val="17"/>
              </w:rPr>
              <w:t xml:space="preserve">—</w:t>
            </w:r>
          </w:p>
        </w:tc>
      </w:tr>
      <w:tr>
        <w:tc>
          <w:tcPr>
            <w:tcW w:type="dxa" w:w="1240"/>
            <w:tcMar>
              <w:top w:type="dxa" w:w="60"/>
              <w:left w:type="dxa" w:w="80"/>
              <w:bottom w:type="dxa" w:w="60"/>
              <w:right w:type="dxa" w:w="80"/>
            </w:tcMar>
          </w:tcPr>
          <w:p>
            <w:pPr>
              <w:spacing w:after="40"/>
            </w:pPr>
            <w:r>
              <w:rPr>
                <w:sz w:val="17"/>
                <w:szCs w:val="17"/>
              </w:rPr>
              <w:t xml:space="preserve">Wed 15 Jul (t−1)</w:t>
            </w:r>
          </w:p>
        </w:tc>
        <w:tc>
          <w:tcPr>
            <w:tcW w:type="dxa" w:w="900"/>
            <w:tcMar>
              <w:top w:type="dxa" w:w="60"/>
              <w:left w:type="dxa" w:w="80"/>
              <w:bottom w:type="dxa" w:w="60"/>
              <w:right w:type="dxa" w:w="80"/>
            </w:tcMar>
          </w:tcPr>
          <w:p>
            <w:pPr>
              <w:spacing w:after="40"/>
            </w:pPr>
            <w:r>
              <w:rPr>
                <w:sz w:val="17"/>
                <w:szCs w:val="17"/>
              </w:rPr>
              <w:t xml:space="preserve">Trade 3C</w:t>
            </w:r>
          </w:p>
        </w:tc>
        <w:tc>
          <w:tcPr>
            <w:tcW w:type="dxa" w:w="1000"/>
            <w:tcMar>
              <w:top w:type="dxa" w:w="60"/>
              <w:left w:type="dxa" w:w="80"/>
              <w:bottom w:type="dxa" w:w="60"/>
              <w:right w:type="dxa" w:w="80"/>
            </w:tcMar>
          </w:tcPr>
          <w:p>
            <w:pPr>
              <w:spacing w:after="40"/>
            </w:pPr>
            <w:r>
              <w:rPr>
                <w:sz w:val="17"/>
                <w:szCs w:val="17"/>
              </w:rPr>
              <w:t xml:space="preserve">LONG</w:t>
            </w:r>
          </w:p>
        </w:tc>
        <w:tc>
          <w:tcPr>
            <w:tcW w:type="dxa" w:w="880"/>
            <w:tcMar>
              <w:top w:type="dxa" w:w="60"/>
              <w:left w:type="dxa" w:w="80"/>
              <w:bottom w:type="dxa" w:w="60"/>
              <w:right w:type="dxa" w:w="80"/>
            </w:tcMar>
          </w:tcPr>
          <w:p>
            <w:pPr>
              <w:spacing w:after="40"/>
            </w:pPr>
            <w:r>
              <w:rPr>
                <w:sz w:val="17"/>
                <w:szCs w:val="17"/>
              </w:rPr>
              <w:t xml:space="preserve">NO</w:t>
            </w:r>
          </w:p>
        </w:tc>
        <w:tc>
          <w:tcPr>
            <w:tcW w:type="dxa" w:w="1060"/>
            <w:tcMar>
              <w:top w:type="dxa" w:w="60"/>
              <w:left w:type="dxa" w:w="80"/>
              <w:bottom w:type="dxa" w:w="60"/>
              <w:right w:type="dxa" w:w="80"/>
            </w:tcMar>
          </w:tcPr>
          <w:p>
            <w:pPr>
              <w:spacing w:after="40"/>
            </w:pPr>
            <w:r>
              <w:rPr>
                <w:sz w:val="17"/>
                <w:szCs w:val="17"/>
              </w:rPr>
              <w:t xml:space="preserve">—</w:t>
            </w:r>
          </w:p>
        </w:tc>
        <w:tc>
          <w:tcPr>
            <w:tcW w:type="dxa" w:w="1060"/>
            <w:tcMar>
              <w:top w:type="dxa" w:w="60"/>
              <w:left w:type="dxa" w:w="80"/>
              <w:bottom w:type="dxa" w:w="60"/>
              <w:right w:type="dxa" w:w="80"/>
            </w:tcMar>
          </w:tcPr>
          <w:p>
            <w:pPr>
              <w:spacing w:after="40"/>
            </w:pPr>
            <w:r>
              <w:rPr>
                <w:sz w:val="17"/>
                <w:szCs w:val="17"/>
              </w:rPr>
              <w:t xml:space="preserve">—</w:t>
            </w:r>
          </w:p>
        </w:tc>
        <w:tc>
          <w:tcPr>
            <w:tcW w:type="dxa" w:w="2320"/>
            <w:tcMar>
              <w:top w:type="dxa" w:w="60"/>
              <w:left w:type="dxa" w:w="80"/>
              <w:bottom w:type="dxa" w:w="60"/>
              <w:right w:type="dxa" w:w="80"/>
            </w:tcMar>
          </w:tcPr>
          <w:p>
            <w:pPr>
              <w:spacing w:after="40"/>
            </w:pPr>
            <w:r>
              <w:rPr>
                <w:sz w:val="17"/>
                <w:szCs w:val="17"/>
              </w:rPr>
              <w:t xml:space="preserve">Not triggered — no break of 10,552.56</w:t>
            </w:r>
          </w:p>
        </w:tc>
        <w:tc>
          <w:tcPr>
            <w:tcW w:type="dxa" w:w="900"/>
            <w:tcMar>
              <w:top w:type="dxa" w:w="60"/>
              <w:left w:type="dxa" w:w="80"/>
              <w:bottom w:type="dxa" w:w="60"/>
              <w:right w:type="dxa" w:w="80"/>
            </w:tcMar>
          </w:tcPr>
          <w:p>
            <w:pPr>
              <w:spacing w:after="40"/>
            </w:pPr>
            <w:r>
              <w:rPr>
                <w:sz w:val="17"/>
                <w:szCs w:val="17"/>
              </w:rPr>
              <w:t xml:space="preserve">—</w:t>
            </w:r>
          </w:p>
        </w:tc>
      </w:tr>
    </w:tbl>
    <w:p>
      <w:pPr>
        <w:spacing w:after="120" w:before="0"/>
      </w:pPr>
      <w:r>
        <w:rPr>
          <w:b/>
          <w:bCs/>
          <w:sz w:val="17"/>
          <w:szCs w:val="17"/>
        </w:rPr>
        <w:t xml:space="preserve">Reconstruction quality warning. Three of the five replayed sessions (9, 10, 13 July) and the 15 July intraday range rest on indicative highs and lows. Where a trigger level sits inside an indicative range, the triggered/not-triggered determination is genuinely uncertain rather than merely approximate — the 14 July Trade 2 fill and the 15 July Trade 2 non-fill are both marked accordingly. These rows should not be read as reliable evidence.</w:t>
      </w:r>
    </w:p>
    <w:p>
      <w:pPr>
        <w:pStyle w:val="Heading2"/>
        <w:spacing w:after="100" w:before="200"/>
      </w:pPr>
      <w:r>
        <w:t xml:space="preserve">§21d  What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4E79" w:val="clear"/>
            <w:tcMar>
              <w:top w:type="dxa" w:w="60"/>
              <w:left w:type="dxa" w:w="80"/>
              <w:bottom w:type="dxa" w:w="60"/>
              <w:right w:type="dxa" w:w="80"/>
            </w:tcMar>
          </w:tcPr>
          <w:p>
            <w:pPr>
              <w:spacing w:after="40"/>
            </w:pPr>
            <w:r>
              <w:rPr>
                <w:b/>
                <w:bCs/>
                <w:color w:val="FFFFFF"/>
                <w:sz w:val="17"/>
                <w:szCs w:val="17"/>
              </w:rPr>
              <w:t xml:space="preserve">Metric</w:t>
            </w:r>
          </w:p>
        </w:tc>
        <w:tc>
          <w:tcPr>
            <w:tcW w:type="dxa" w:w="7260"/>
            <w:shd w:fill="1F4E79" w:val="clear"/>
            <w:tcMar>
              <w:top w:type="dxa" w:w="60"/>
              <w:left w:type="dxa" w:w="80"/>
              <w:bottom w:type="dxa" w:w="60"/>
              <w:right w:type="dxa" w:w="80"/>
            </w:tcMar>
          </w:tcPr>
          <w:p>
            <w:pPr>
              <w:spacing w:after="40"/>
            </w:pPr>
            <w:r>
              <w:rPr>
                <w:b/>
                <w:bCs/>
                <w:color w:val="FFFFFF"/>
                <w:sz w:val="17"/>
                <w:szCs w:val="17"/>
              </w:rPr>
              <w:t xml:space="preserve">Value</w:t>
            </w:r>
          </w:p>
        </w:tc>
      </w:tr>
      <w:tr>
        <w:tc>
          <w:tcPr>
            <w:tcW w:type="dxa" w:w="2100"/>
            <w:tcMar>
              <w:top w:type="dxa" w:w="60"/>
              <w:left w:type="dxa" w:w="80"/>
              <w:bottom w:type="dxa" w:w="60"/>
              <w:right w:type="dxa" w:w="80"/>
            </w:tcMar>
          </w:tcPr>
          <w:p>
            <w:pPr>
              <w:spacing w:after="40"/>
            </w:pPr>
            <w:r>
              <w:rPr>
                <w:sz w:val="17"/>
                <w:szCs w:val="17"/>
              </w:rPr>
              <w:t xml:space="preserve">Trades triggered</w:t>
            </w:r>
          </w:p>
        </w:tc>
        <w:tc>
          <w:tcPr>
            <w:tcW w:type="dxa" w:w="7260"/>
            <w:tcMar>
              <w:top w:type="dxa" w:w="60"/>
              <w:left w:type="dxa" w:w="80"/>
              <w:bottom w:type="dxa" w:w="60"/>
              <w:right w:type="dxa" w:w="80"/>
            </w:tcMar>
          </w:tcPr>
          <w:p>
            <w:pPr>
              <w:spacing w:after="40"/>
            </w:pPr>
            <w:r>
              <w:rPr>
                <w:sz w:val="17"/>
                <w:szCs w:val="17"/>
              </w:rPr>
              <w:t xml:space="preserve">5 of 15 possible (4 × Trade 1, 1 × Trade 2, 0 × Trade 3C)</w:t>
            </w:r>
          </w:p>
        </w:tc>
      </w:tr>
      <w:tr>
        <w:tc>
          <w:tcPr>
            <w:tcW w:type="dxa" w:w="2100"/>
            <w:tcMar>
              <w:top w:type="dxa" w:w="60"/>
              <w:left w:type="dxa" w:w="80"/>
              <w:bottom w:type="dxa" w:w="60"/>
              <w:right w:type="dxa" w:w="80"/>
            </w:tcMar>
          </w:tcPr>
          <w:p>
            <w:pPr>
              <w:spacing w:after="40"/>
            </w:pPr>
            <w:r>
              <w:rPr>
                <w:sz w:val="17"/>
                <w:szCs w:val="17"/>
              </w:rPr>
              <w:t xml:space="preserve">Trigger rate by strategy</w:t>
            </w:r>
          </w:p>
        </w:tc>
        <w:tc>
          <w:tcPr>
            <w:tcW w:type="dxa" w:w="7260"/>
            <w:tcMar>
              <w:top w:type="dxa" w:w="60"/>
              <w:left w:type="dxa" w:w="80"/>
              <w:bottom w:type="dxa" w:w="60"/>
              <w:right w:type="dxa" w:w="80"/>
            </w:tcMar>
          </w:tcPr>
          <w:p>
            <w:pPr>
              <w:spacing w:after="40"/>
            </w:pPr>
            <w:r>
              <w:rPr>
                <w:sz w:val="17"/>
                <w:szCs w:val="17"/>
              </w:rPr>
              <w:t xml:space="preserve">Trade 1: 4 of 5 sessions (80%). Trade 2: 1 of 5 (20%). Trade 3C: 0 of 5 (0%)</w:t>
            </w:r>
          </w:p>
        </w:tc>
      </w:tr>
      <w:tr>
        <w:tc>
          <w:tcPr>
            <w:tcW w:type="dxa" w:w="2100"/>
            <w:tcMar>
              <w:top w:type="dxa" w:w="60"/>
              <w:left w:type="dxa" w:w="80"/>
              <w:bottom w:type="dxa" w:w="60"/>
              <w:right w:type="dxa" w:w="80"/>
            </w:tcMar>
          </w:tcPr>
          <w:p>
            <w:pPr>
              <w:spacing w:after="40"/>
            </w:pPr>
            <w:r>
              <w:rPr>
                <w:sz w:val="17"/>
                <w:szCs w:val="17"/>
              </w:rPr>
              <w:t xml:space="preserve">Mean R outcome (closed positions)</w:t>
            </w:r>
          </w:p>
        </w:tc>
        <w:tc>
          <w:tcPr>
            <w:tcW w:type="dxa" w:w="7260"/>
            <w:tcMar>
              <w:top w:type="dxa" w:w="60"/>
              <w:left w:type="dxa" w:w="80"/>
              <w:bottom w:type="dxa" w:w="60"/>
              <w:right w:type="dxa" w:w="80"/>
            </w:tcMar>
          </w:tcPr>
          <w:p>
            <w:pPr>
              <w:spacing w:after="40"/>
            </w:pPr>
            <w:r>
              <w:rPr>
                <w:sz w:val="17"/>
                <w:szCs w:val="17"/>
              </w:rPr>
              <w:t xml:space="preserve">No positions closed at a target or stop within the window. All triggered trades remained open at session close and were marked to the close. Mean marked outcome across the five triggered trades: +0.13R</w:t>
            </w:r>
          </w:p>
        </w:tc>
      </w:tr>
      <w:tr>
        <w:tc>
          <w:tcPr>
            <w:tcW w:type="dxa" w:w="2100"/>
            <w:tcMar>
              <w:top w:type="dxa" w:w="60"/>
              <w:left w:type="dxa" w:w="80"/>
              <w:bottom w:type="dxa" w:w="60"/>
              <w:right w:type="dxa" w:w="80"/>
            </w:tcMar>
          </w:tcPr>
          <w:p>
            <w:pPr>
              <w:spacing w:after="40"/>
            </w:pPr>
            <w:r>
              <w:rPr>
                <w:sz w:val="17"/>
                <w:szCs w:val="17"/>
              </w:rPr>
              <w:t xml:space="preserve">TP1 hit rate</w:t>
            </w:r>
          </w:p>
        </w:tc>
        <w:tc>
          <w:tcPr>
            <w:tcW w:type="dxa" w:w="7260"/>
            <w:tcMar>
              <w:top w:type="dxa" w:w="60"/>
              <w:left w:type="dxa" w:w="80"/>
              <w:bottom w:type="dxa" w:w="60"/>
              <w:right w:type="dxa" w:w="80"/>
            </w:tcMar>
          </w:tcPr>
          <w:p>
            <w:pPr>
              <w:spacing w:after="40"/>
            </w:pPr>
            <w:r>
              <w:rPr>
                <w:sz w:val="17"/>
                <w:szCs w:val="17"/>
              </w:rPr>
              <w:t xml:space="preserve">0 of 5 triggered trades reached TP1</w:t>
            </w:r>
          </w:p>
        </w:tc>
      </w:tr>
      <w:tr>
        <w:tc>
          <w:tcPr>
            <w:tcW w:type="dxa" w:w="2100"/>
            <w:tcMar>
              <w:top w:type="dxa" w:w="60"/>
              <w:left w:type="dxa" w:w="80"/>
              <w:bottom w:type="dxa" w:w="60"/>
              <w:right w:type="dxa" w:w="80"/>
            </w:tcMar>
          </w:tcPr>
          <w:p>
            <w:pPr>
              <w:spacing w:after="40"/>
            </w:pPr>
            <w:r>
              <w:rPr>
                <w:sz w:val="17"/>
                <w:szCs w:val="17"/>
              </w:rPr>
              <w:t xml:space="preserve">TP2 hit rate</w:t>
            </w:r>
          </w:p>
        </w:tc>
        <w:tc>
          <w:tcPr>
            <w:tcW w:type="dxa" w:w="7260"/>
            <w:tcMar>
              <w:top w:type="dxa" w:w="60"/>
              <w:left w:type="dxa" w:w="80"/>
              <w:bottom w:type="dxa" w:w="60"/>
              <w:right w:type="dxa" w:w="80"/>
            </w:tcMar>
          </w:tcPr>
          <w:p>
            <w:pPr>
              <w:spacing w:after="40"/>
            </w:pPr>
            <w:r>
              <w:rPr>
                <w:sz w:val="17"/>
                <w:szCs w:val="17"/>
              </w:rPr>
              <w:t xml:space="preserve">0 of 5</w:t>
            </w:r>
          </w:p>
        </w:tc>
      </w:tr>
      <w:tr>
        <w:tc>
          <w:tcPr>
            <w:tcW w:type="dxa" w:w="2100"/>
            <w:tcMar>
              <w:top w:type="dxa" w:w="60"/>
              <w:left w:type="dxa" w:w="80"/>
              <w:bottom w:type="dxa" w:w="60"/>
              <w:right w:type="dxa" w:w="80"/>
            </w:tcMar>
          </w:tcPr>
          <w:p>
            <w:pPr>
              <w:spacing w:after="40"/>
            </w:pPr>
            <w:r>
              <w:rPr>
                <w:sz w:val="17"/>
                <w:szCs w:val="17"/>
              </w:rPr>
              <w:t xml:space="preserve">TP3 hit rate</w:t>
            </w:r>
          </w:p>
        </w:tc>
        <w:tc>
          <w:tcPr>
            <w:tcW w:type="dxa" w:w="7260"/>
            <w:tcMar>
              <w:top w:type="dxa" w:w="60"/>
              <w:left w:type="dxa" w:w="80"/>
              <w:bottom w:type="dxa" w:w="60"/>
              <w:right w:type="dxa" w:w="80"/>
            </w:tcMar>
          </w:tcPr>
          <w:p>
            <w:pPr>
              <w:spacing w:after="40"/>
            </w:pPr>
            <w:r>
              <w:rPr>
                <w:sz w:val="17"/>
                <w:szCs w:val="17"/>
              </w:rPr>
              <w:t xml:space="preserve">0 of 5</w:t>
            </w:r>
          </w:p>
        </w:tc>
      </w:tr>
      <w:tr>
        <w:tc>
          <w:tcPr>
            <w:tcW w:type="dxa" w:w="2100"/>
            <w:tcMar>
              <w:top w:type="dxa" w:w="60"/>
              <w:left w:type="dxa" w:w="80"/>
              <w:bottom w:type="dxa" w:w="60"/>
              <w:right w:type="dxa" w:w="80"/>
            </w:tcMar>
          </w:tcPr>
          <w:p>
            <w:pPr>
              <w:spacing w:after="40"/>
            </w:pPr>
            <w:r>
              <w:rPr>
                <w:sz w:val="17"/>
                <w:szCs w:val="17"/>
              </w:rPr>
              <w:t xml:space="preserve">Stop hit rate</w:t>
            </w:r>
          </w:p>
        </w:tc>
        <w:tc>
          <w:tcPr>
            <w:tcW w:type="dxa" w:w="7260"/>
            <w:tcMar>
              <w:top w:type="dxa" w:w="60"/>
              <w:left w:type="dxa" w:w="80"/>
              <w:bottom w:type="dxa" w:w="60"/>
              <w:right w:type="dxa" w:w="80"/>
            </w:tcMar>
          </w:tcPr>
          <w:p>
            <w:pPr>
              <w:spacing w:after="40"/>
            </w:pPr>
            <w:r>
              <w:rPr>
                <w:sz w:val="17"/>
                <w:szCs w:val="17"/>
              </w:rPr>
              <w:t xml:space="preserve">0 of 5</w:t>
            </w:r>
          </w:p>
        </w:tc>
      </w:tr>
      <w:tr>
        <w:tc>
          <w:tcPr>
            <w:tcW w:type="dxa" w:w="2100"/>
            <w:tcMar>
              <w:top w:type="dxa" w:w="60"/>
              <w:left w:type="dxa" w:w="80"/>
              <w:bottom w:type="dxa" w:w="60"/>
              <w:right w:type="dxa" w:w="80"/>
            </w:tcMar>
          </w:tcPr>
          <w:p>
            <w:pPr>
              <w:spacing w:after="40"/>
            </w:pPr>
            <w:r>
              <w:rPr>
                <w:sz w:val="17"/>
                <w:szCs w:val="17"/>
              </w:rPr>
              <w:t xml:space="preserve">Observation</w:t>
            </w:r>
          </w:p>
        </w:tc>
        <w:tc>
          <w:tcPr>
            <w:tcW w:type="dxa" w:w="7260"/>
            <w:tcMar>
              <w:top w:type="dxa" w:w="60"/>
              <w:left w:type="dxa" w:w="80"/>
              <w:bottom w:type="dxa" w:w="60"/>
              <w:right w:type="dxa" w:w="80"/>
            </w:tcMar>
          </w:tcPr>
          <w:p>
            <w:pPr>
              <w:spacing w:after="40"/>
            </w:pPr>
            <w:r>
              <w:rPr>
                <w:sz w:val="17"/>
                <w:szCs w:val="17"/>
              </w:rPr>
              <w:t xml:space="preserve">The pattern is unambiguous and it is not favourable. Trade 1 triggers reliably (it is a market order — it triggers by construction) but the market has not travelled far enough in either direction to resolve a single position at a target or a stop. Trade 3C never triggered across five sessions because the 10,552.56 shelf was never broken. Trade 2 triggered once, on an indicative fill. This is precisely what a compressed, transitional tape produces: entries fill, nothing resolves. The strategies are not being tested by this market — they are being becalmed by it. The absence of a single resolved position over five sessions is itself the most informative output of this backtest</w:t>
            </w:r>
          </w:p>
        </w:tc>
      </w:tr>
      <w:tr>
        <w:tc>
          <w:tcPr>
            <w:tcW w:type="dxa" w:w="2100"/>
            <w:tcMar>
              <w:top w:type="dxa" w:w="60"/>
              <w:left w:type="dxa" w:w="80"/>
              <w:bottom w:type="dxa" w:w="60"/>
              <w:right w:type="dxa" w:w="80"/>
            </w:tcMar>
          </w:tcPr>
          <w:p>
            <w:pPr>
              <w:spacing w:after="40"/>
            </w:pPr>
            <w:r>
              <w:rPr>
                <w:sz w:val="17"/>
                <w:szCs w:val="17"/>
              </w:rPr>
              <w:t xml:space="preserve">Limitations</w:t>
            </w:r>
          </w:p>
        </w:tc>
        <w:tc>
          <w:tcPr>
            <w:tcW w:type="dxa" w:w="7260"/>
            <w:tcMar>
              <w:top w:type="dxa" w:w="60"/>
              <w:left w:type="dxa" w:w="80"/>
              <w:bottom w:type="dxa" w:w="60"/>
              <w:right w:type="dxa" w:w="80"/>
            </w:tcMar>
          </w:tcPr>
          <w:p>
            <w:pPr>
              <w:spacing w:after="40"/>
            </w:pPr>
            <w:r>
              <w:rPr>
                <w:sz w:val="17"/>
                <w:szCs w:val="17"/>
              </w:rPr>
              <w:t xml:space="preserve">Five-session windows are too small for statistical claims. The framework cannot model intraday tick-level fills, slippage, or commission</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FTSE 100 Daily Report │ 16 July 2026 │ Senior European Equity Strategist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1F4E79"/>
      <w:sz w:val="28"/>
      <w:szCs w:val="28"/>
    </w:rPr>
  </w:style>
  <w:style w:type="paragraph" w:styleId="Heading2">
    <w:name w:val="Heading 2"/>
    <w:basedOn w:val="Normal"/>
    <w:next w:val="Normal"/>
    <w:qFormat/>
    <w:pPr>
      <w:spacing w:after="100" w:before="200"/>
    </w:pPr>
    <w:rPr>
      <w:rFonts w:ascii="Calibri" w:cs="Calibri" w:eastAsia="Calibri" w:hAnsi="Calibri"/>
      <w:b/>
      <w:bCs/>
      <w:color w:val="2E74B5"/>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21fad5edd479972edbf2d12ae5e5647e4ee5a1.png"/><Relationship Id="rId9" Type="http://schemas.openxmlformats.org/officeDocument/2006/relationships/image" Target="media/40a649cd4367e0026e3f6f6a0aac5a804609f644.png"/><Relationship Id="rId10" Type="http://schemas.openxmlformats.org/officeDocument/2006/relationships/image" Target="media/fae9bb6901b1b0b0aa95c19ec0e26980237ca89b.png"/><Relationship Id="rId11" Type="http://schemas.openxmlformats.org/officeDocument/2006/relationships/image" Target="media/72976afb212300bc397cb36a4fd5ef83504643d4.png"/><Relationship Id="rId12" Type="http://schemas.openxmlformats.org/officeDocument/2006/relationships/image" Target="media/00cd26e17f3dfc92734a8f6dfbe5aebb5ce43c2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16 July 2026</dc:title>
  <dc:creator>Senior European Equity Strategist</dc:creator>
  <cp:lastModifiedBy>Un-named</cp:lastModifiedBy>
  <cp:revision>1</cp:revision>
  <dcterms:created xsi:type="dcterms:W3CDTF">2026-07-15T21:44:41.176Z</dcterms:created>
  <dcterms:modified xsi:type="dcterms:W3CDTF">2026-07-15T21:44:41.193Z</dcterms:modified>
</cp:coreProperties>
</file>

<file path=docProps/custom.xml><?xml version="1.0" encoding="utf-8"?>
<Properties xmlns="http://schemas.openxmlformats.org/officeDocument/2006/custom-properties" xmlns:vt="http://schemas.openxmlformats.org/officeDocument/2006/docPropsVTypes"/>
</file>