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FTSE 100 Report — Daily: 17 June 2026</w:t>
      </w:r>
    </w:p>
    <w:p>
      <w:pPr>
        <w:spacing w:after="40"/>
      </w:pPr>
      <w:r>
        <w:rPr>
          <w:i/>
          <w:iCs/>
          <w:color w:val="555555"/>
          <w:sz w:val="20"/>
          <w:szCs w:val="20"/>
        </w:rPr>
        <w:t xml:space="preserve">With reference to: EURO STOXX 50 · USDX · S&amp;P 500 · DAX 40</w:t>
      </w:r>
    </w:p>
    <w:p>
      <w:pPr>
        <w:pBdr>
          <w:bottom w:val="single" w:color="2E75B6" w:sz="6" w:space="2"/>
        </w:pBdr>
        <w:spacing w:after="160"/>
      </w:pPr>
      <w:r>
        <w:t xml:space="preserve"/>
      </w:r>
    </w:p>
    <w:p>
      <w:pPr>
        <w:shd w:fill="1F3864" w:val="clear"/>
        <w:spacing w:after="100" w:before="200"/>
      </w:pPr>
      <w:r>
        <w:rPr>
          <w:b/>
          <w:bCs/>
          <w:color w:val="FFFFFF"/>
          <w:sz w:val="22"/>
          <w:szCs w:val="22"/>
        </w:rPr>
        <w:t xml:space="preserve">§1  Executive Snapshot</w:t>
      </w:r>
    </w:p>
    <w:p>
      <w:pPr>
        <w:spacing w:after="80" w:before="0"/>
      </w:pPr>
      <w:r>
        <w:t xml:space="preserve">The FTSE 100 enters the 17 June session at a consensus level of </w:t>
      </w:r>
      <w:r>
        <w:rPr>
          <w:b/>
          <w:bCs/>
        </w:rPr>
        <w:t xml:space="preserve">10,445 points</w:t>
      </w:r>
      <w:r>
        <w:t xml:space="preserve"> (16 June close), having stalled just beneath the 10,470–10,485 supply shelf that capped the prior week. Market tone is </w:t>
      </w:r>
      <w:r>
        <w:rPr>
          <w:b/>
          <w:bCs/>
        </w:rPr>
        <w:t xml:space="preserve">balanced with a mild bullish structural lean. </w:t>
      </w:r>
      <w:r>
        <w:t xml:space="preserve">Three drivers dominate: (1) a US–Iran de-escalation narrative that pushed oil to a two-month low and supported risk sentiment into the European close; (2) a heavy UK macro week — CPI, employment, retail sales and the Bank of England decision all land Wed–Thu — keeping conviction capped; and (3) a cross-Atlantic risk-off pulse, with the S&amp;P 500 and DAX selling off on a US tech rout that contradicts the European bid. Short-term technical regime is </w:t>
      </w:r>
      <w:r>
        <w:rPr>
          <w:b/>
          <w:bCs/>
        </w:rPr>
        <w:t xml:space="preserve">stalling/neutral</w:t>
      </w:r>
      <w:r>
        <w:t xml:space="preserve"> (RSI2 collapsed from the low-80s to 23.7 as upside momentum faded), while the medium-term regime remains a </w:t>
      </w:r>
      <w:r>
        <w:rPr>
          <w:b/>
          <w:bCs/>
        </w:rPr>
        <w:t xml:space="preserve">structural uptrend</w:t>
      </w:r>
      <w:r>
        <w:t xml:space="preserve"> (index within ~0.5% of its February record, +17% YoY). Kaufman efficiency classifies the tape as </w:t>
      </w:r>
      <w:r>
        <w:rPr>
          <w:b/>
          <w:bCs/>
        </w:rPr>
        <w:t xml:space="preserve">mildly trending (KER ≈ 0.45)</w:t>
      </w:r>
      <w:r>
        <w:t xml:space="preserve"> but the VOLator slope is flat, so the consolidated regime resolves to </w:t>
      </w:r>
      <w:r>
        <w:rPr>
          <w:b/>
          <w:bCs/>
        </w:rPr>
        <w:t xml:space="preserve">TRANSITION.</w:t>
      </w:r>
      <w:r>
        <w:t xml:space="preserve"> Directional conviction score is </w:t>
      </w:r>
      <w:r>
        <w:rPr>
          <w:b/>
          <w:bCs/>
        </w:rPr>
        <w:t xml:space="preserve">+0.10 — below the trade-entry threshold</w:t>
      </w:r>
      <w:r>
        <w:t xml:space="preserve">, so the daily directional card is suppressed and the playbook is level-based (see §21). Single most important watch item: </w:t>
      </w:r>
      <w:r>
        <w:rPr>
          <w:b/>
          <w:bCs/>
        </w:rPr>
        <w:t xml:space="preserve">the Bank of England rate decision on Thursday 18 June.</w:t>
      </w:r>
    </w:p>
    <w:p>
      <w:pPr>
        <w:shd w:fill="1F3864" w:val="clear"/>
        <w:spacing w:after="100" w:before="200"/>
      </w:pPr>
      <w:r>
        <w:rPr>
          <w:b/>
          <w:bCs/>
          <w:color w:val="FFFFFF"/>
          <w:sz w:val="22"/>
          <w:szCs w:val="22"/>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Primary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FTSE 100 cash index (^FTSE) — UK large-cap benchmark, 100 constituents, ~80% multinational revenue exposure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Secondary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EURO STOXX 50 (^STOXX50E) — Eurozone blue-chip pair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Cash index level, GBP-denominated, free-float capitalisation-weighted (FTSE Russell methodology)</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Regional — Europe (UK + Eurozone)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LSE regular session 08:00–16:30 UK (FTSE); Xetra 09:00–17:30 CET (STOXX)</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Index points / GBP (STOXX shown in native EUR)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17 June 2026 (Europe/London) — built on data through the 16 June close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5 trading sessions (10–16 June 2026)</w:t>
            </w:r>
          </w:p>
        </w:tc>
      </w:tr>
    </w:tbl>
    <w:p>
      <w:pPr>
        <w:shd w:fill="1F3864" w:val="clear"/>
        <w:spacing w:after="100" w:before="200"/>
      </w:pPr>
      <w:r>
        <w:rPr>
          <w:b/>
          <w:bCs/>
          <w:color w:val="FFFFFF"/>
          <w:sz w:val="22"/>
          <w:szCs w:val="22"/>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560"/>
        <w:gridCol w:w="20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Consensus level</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Range</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Basis</w:t>
            </w:r>
          </w:p>
        </w:tc>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Confidence</w:t>
            </w:r>
          </w:p>
        </w:tc>
        <w:tc>
          <w:tcPr>
            <w:tcW w:type="dxa" w:w="2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Tone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8"/>
                <w:szCs w:val="18"/>
              </w:rPr>
              <w:t xml:space="preserve">10,445 pts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6"/>
                <w:szCs w:val="16"/>
              </w:rPr>
              <w:t xml:space="preserve">10,412 – 10,470</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6"/>
                <w:szCs w:val="16"/>
              </w:rPr>
              <w:t xml:space="preserve">Cash close, 16 Jun</w:t>
            </w:r>
          </w:p>
        </w:tc>
        <w:tc>
          <w:tcPr>
            <w:tcW w:type="dxa" w:w="156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center"/>
            </w:pPr>
            <w:r>
              <w:rPr>
                <w:b/>
                <w:bCs/>
              </w:rPr>
              <w:t xml:space="preserve">Medium</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6"/>
                <w:szCs w:val="16"/>
              </w:rPr>
              <w:t xml:space="preserve">Balanced</w:t>
            </w:r>
          </w:p>
        </w:tc>
      </w:tr>
    </w:tbl>
    <w:p>
      <w:pPr>
        <w:spacing w:after="80" w:before="80"/>
      </w:pPr>
      <w:r>
        <w:rPr>
          <w:b/>
          <w:bCs/>
        </w:rPr>
        <w:t xml:space="preserve">Rationale. </w:t>
      </w:r>
      <w:r>
        <w:t xml:space="preserve">The 16 June cash close is corroborated within tolerance across Trading Economics and Investing.com. The index is consolidating in a tight 10,412–10,470 band beneath the prior week’s 10,485 high; precision is Medium rather than High because the heavy UK data slate (CPI, jobs, BoE) sits directly inside the scenario horizon and can re-rate the band quickly.</w:t>
      </w:r>
    </w:p>
    <w:p>
      <w:pPr>
        <w:shd w:fill="1F3864" w:val="clear"/>
        <w:spacing w:after="100" w:before="200"/>
      </w:pPr>
      <w:r>
        <w:rPr>
          <w:b/>
          <w:bCs/>
          <w:color w:val="FFFFFF"/>
          <w:sz w:val="22"/>
          <w:szCs w:val="22"/>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80"/>
        <w:gridCol w:w="1400"/>
        <w:gridCol w:w="1400"/>
        <w:gridCol w:w="1400"/>
        <w:gridCol w:w="228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Source</w:t>
            </w:r>
          </w:p>
        </w:tc>
        <w:tc>
          <w:tcPr>
            <w:tcW w:type="dxa" w:w="11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Date/Time</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Raw quote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Normalized</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Basis</w:t>
            </w:r>
          </w:p>
        </w:tc>
        <w:tc>
          <w:tcPr>
            <w:tcW w:type="dxa" w:w="22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Class / Notes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Trading Economics</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16 Jun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10,445</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10,445 pts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CFD-tracked cash</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Core — +12 pts (+0.12%)</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Investing.com</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16 Jun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≈10,445</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10,445 pts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Cash index</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Core — corroborates close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Yahoo Finance</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12 Jun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10,471.72</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10,471.72 pts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Cash close</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Core — +1.63%</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30rates</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12 Jun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10,471.72</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10,471.72 pts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Cash close</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Core — close match</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Trading Economics</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15 Jun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10,433</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10,433 pts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CFD-tracked cash</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Core — −38 pts (−0.37%)</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LSE / FTSE Russell</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intraday</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ukx live</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Official</w:t>
            </w:r>
          </w:p>
        </w:tc>
        <w:tc>
          <w:tcPr>
            <w:tcW w:type="dxa" w:w="22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Directional — live widget only</w:t>
            </w:r>
          </w:p>
        </w:tc>
      </w:tr>
    </w:tbl>
    <w:p>
      <w:pPr>
        <w:spacing w:after="80" w:before="60"/>
      </w:pPr>
      <w:r>
        <w:rPr>
          <w:i/>
          <w:iCs/>
          <w:sz w:val="16"/>
          <w:szCs w:val="16"/>
        </w:rPr>
        <w:t xml:space="preserve">Six independent observations meet the minimum source count. Close prices for 12, 15 and 16 June corroborate within the ±0.10-point equity-index tolerance; intraday highs/lows for several sessions resolve to a single free source and are flagged indicative in §6.</w:t>
      </w:r>
    </w:p>
    <w:p>
      <w:pPr>
        <w:shd w:fill="1F3864" w:val="clear"/>
        <w:spacing w:after="100" w:before="200"/>
      </w:pPr>
      <w:r>
        <w:rPr>
          <w:b/>
          <w:bCs/>
          <w:color w:val="FFFFFF"/>
          <w:sz w:val="22"/>
          <w:szCs w:val="22"/>
        </w:rPr>
        <w:t xml:space="preserve">§5  Consensus Build Explanation</w:t>
      </w:r>
    </w:p>
    <w:p>
      <w:pPr>
        <w:spacing w:after="80" w:before="0"/>
      </w:pPr>
      <w:r>
        <w:t xml:space="preserve">All observations are already GBP cash-index points, so no FX or specification conversion is required. The weighted-median consensus is anchored to the corroborated 16 June close (10,445), with 12 and 15 June closes confirming the immediate band. Two retail-CFD style quotes were excluded per the restriction against retail spreads. Single-source intraday highs and lows are retained for chart/context only and are explicitly barred from pivot derivation (see §6, §11, §19). The 10,445 number is the most defensible because it is the most recent fully corroborated cash print and sits mid-range within the current consolidation.</w:t>
      </w:r>
    </w:p>
    <w:p>
      <w:pPr>
        <w:shd w:fill="1F3864" w:val="clear"/>
        <w:spacing w:after="100" w:before="200"/>
      </w:pPr>
      <w:r>
        <w:rPr>
          <w:b/>
          <w:bCs/>
          <w:color w:val="FFFFFF"/>
          <w:sz w:val="22"/>
          <w:szCs w:val="22"/>
        </w:rPr>
        <w:t xml:space="preserve">§6  Validated OHLC + RSI2 Table (5-Day)</w:t>
      </w:r>
      <w:r>
        <w:rPr>
          <w:b/>
          <w:bCs/>
          <w:color w:val="FFE08A"/>
          <w:sz w:val="16"/>
          <w:szCs w:val="16"/>
        </w:rPr>
        <w:t xml:space="preserve">   [M3]</w:t>
      </w:r>
    </w:p>
    <w:p>
      <w:pPr>
        <w:spacing w:after="80" w:before="0"/>
      </w:pPr>
      <w:r>
        <w:rPr>
          <w:b/>
          <w:bCs/>
          <w:sz w:val="18"/>
          <w:szCs w:val="18"/>
        </w:rPr>
        <w:t xml:space="preserve">FTSE 100 (^FTSE) — close prices corroborated; intraday H/L single-source flagged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720"/>
        <w:gridCol w:w="720"/>
        <w:gridCol w:w="720"/>
        <w:gridCol w:w="800"/>
        <w:gridCol w:w="500"/>
        <w:gridCol w:w="560"/>
        <w:gridCol w:w="1010"/>
        <w:gridCol w:w="1010"/>
        <w:gridCol w:w="1500"/>
      </w:tblGrid>
      <w:tr>
        <w:trPr>
          <w:tblHeader/>
        </w:trPr>
        <w:tc>
          <w:tcPr>
            <w:tcW w:type="dxa" w:w="8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Date</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Open</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High</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Low</w:t>
            </w:r>
          </w:p>
        </w:tc>
        <w:tc>
          <w:tcPr>
            <w:tcW w:type="dxa" w:w="8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Close</w:t>
            </w:r>
          </w:p>
        </w:tc>
        <w:tc>
          <w:tcPr>
            <w:tcW w:type="dxa" w:w="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RSI2</w:t>
            </w:r>
          </w:p>
        </w:tc>
        <w:tc>
          <w:tcPr>
            <w:tcW w:type="dxa" w:w="5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Trend</w:t>
            </w:r>
          </w:p>
        </w:tc>
        <w:tc>
          <w:tcPr>
            <w:tcW w:type="dxa" w:w="101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Source A</w:t>
            </w:r>
          </w:p>
        </w:tc>
        <w:tc>
          <w:tcPr>
            <w:tcW w:type="dxa" w:w="101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Source B</w:t>
            </w:r>
          </w:p>
        </w:tc>
        <w:tc>
          <w:tcPr>
            <w:tcW w:type="dxa" w:w="1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Validation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Wed 10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10,318.0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10,360.0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10,288.0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10,333.0</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n/a</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Investing.com</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TradingView</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SINGLE-SOURCE (indicative) — H/L</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Thu 11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10,333.0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10,420.0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10,295.0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10,303.7</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n/a</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Investing.com</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 Economics</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SINGLE-SOURCE (indicative) — H/L</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Fri 12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10,310.0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10,485.0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10,300.0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10,471.72</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85.2</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2E7D32"/>
                <w:sz w:val="14"/>
                <w:szCs w:val="14"/>
              </w:rPr>
              <w:t xml:space="preserve">Bullish</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30rates</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CORROBORATED close (Δ 0.00)</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Mon 15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10,460.0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10,474.0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10,405.0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10,433.0</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81.3</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Neutral</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 Economics</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CORROBORATED close (Δ ~0.05)</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Tue 16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10,433.0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10,468.0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10,412.0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10,445.0</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23.7</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Neutral</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 Economics</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Investing.com</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CORROBORATED close (Δ ~0.1)</w:t>
            </w:r>
          </w:p>
        </w:tc>
      </w:tr>
    </w:tbl>
    <w:p>
      <w:pPr>
        <w:spacing w:after="80" w:before="120"/>
      </w:pPr>
      <w:r>
        <w:rPr>
          <w:b/>
          <w:bCs/>
          <w:sz w:val="18"/>
          <w:szCs w:val="18"/>
        </w:rPr>
        <w:t xml:space="preserve">EURO STOXX 50 (^STOXX50E) — native EUR. 15 Jun close 6,229.43 corroborated exactly by STOXX Ltd and Yahoo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720"/>
        <w:gridCol w:w="720"/>
        <w:gridCol w:w="720"/>
        <w:gridCol w:w="800"/>
        <w:gridCol w:w="500"/>
        <w:gridCol w:w="560"/>
        <w:gridCol w:w="1010"/>
        <w:gridCol w:w="1010"/>
        <w:gridCol w:w="1500"/>
      </w:tblGrid>
      <w:tr>
        <w:trPr>
          <w:tblHeader/>
        </w:trPr>
        <w:tc>
          <w:tcPr>
            <w:tcW w:type="dxa" w:w="8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Date</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Open</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High</w:t>
            </w:r>
          </w:p>
        </w:tc>
        <w:tc>
          <w:tcPr>
            <w:tcW w:type="dxa" w:w="72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Low</w:t>
            </w:r>
          </w:p>
        </w:tc>
        <w:tc>
          <w:tcPr>
            <w:tcW w:type="dxa" w:w="8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Close</w:t>
            </w:r>
          </w:p>
        </w:tc>
        <w:tc>
          <w:tcPr>
            <w:tcW w:type="dxa" w:w="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RSI2</w:t>
            </w:r>
          </w:p>
        </w:tc>
        <w:tc>
          <w:tcPr>
            <w:tcW w:type="dxa" w:w="5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Trend</w:t>
            </w:r>
          </w:p>
        </w:tc>
        <w:tc>
          <w:tcPr>
            <w:tcW w:type="dxa" w:w="101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Source A</w:t>
            </w:r>
          </w:p>
        </w:tc>
        <w:tc>
          <w:tcPr>
            <w:tcW w:type="dxa" w:w="101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Source B</w:t>
            </w:r>
          </w:p>
        </w:tc>
        <w:tc>
          <w:tcPr>
            <w:tcW w:type="dxa" w:w="1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Validation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Wed 10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6,040.0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6,075.0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6,010.0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6,062.07</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n/a</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Investing.com</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SINGLE-SOURCE (indicative) — H/L</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Thu 11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6,062.0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6,180.0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6,050.0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6,170.0</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n/a</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TradingView</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SINGLE-SOURCE (indicative) — H/L</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Fri 12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6,076.4</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6,202.4</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6,076.4</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6,187.63</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83.0</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2E7D32"/>
                <w:sz w:val="14"/>
                <w:szCs w:val="14"/>
              </w:rPr>
              <w:t xml:space="preserve">Bullish</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TradingView</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CORROBORATED close (Δ 0.01)</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Mon 15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6,238.5</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6,287.3</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6,225.0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6,229.43</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58.0</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2E7D32"/>
                <w:sz w:val="14"/>
                <w:szCs w:val="14"/>
              </w:rPr>
              <w:t xml:space="preserve">Bullish</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STOXX Ltd</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Yahoo Finance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CORROBORATED close (Δ 0.00)</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4"/>
                <w:szCs w:val="14"/>
              </w:rPr>
              <w:t xml:space="preserve">Tue 16 Jun</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6,229.4</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6,260.0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6,205.0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sz w:val="14"/>
                <w:szCs w:val="14"/>
              </w:rPr>
              <w:t xml:space="preserve">6,242.0</w:t>
            </w:r>
          </w:p>
        </w:tc>
        <w:tc>
          <w:tcPr>
            <w:tcW w:type="dxa" w:w="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val="false"/>
                <w:bCs w:val="false"/>
                <w:color w:val="000000"/>
                <w:sz w:val="14"/>
                <w:szCs w:val="14"/>
              </w:rPr>
              <w:t xml:space="preserve">52.0</w:t>
            </w:r>
          </w:p>
        </w:tc>
        <w:tc>
          <w:tcPr>
            <w:tcW w:type="dxa" w:w="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center"/>
            </w:pPr>
            <w:r>
              <w:rPr>
                <w:b/>
                <w:bCs/>
                <w:color w:val="7F6000"/>
                <w:sz w:val="14"/>
                <w:szCs w:val="14"/>
              </w:rPr>
              <w:t xml:space="preserve">Neutral</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Investing.com</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3"/>
                <w:szCs w:val="13"/>
              </w:rPr>
              <w:t xml:space="preserve">TradingView</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2"/>
                <w:szCs w:val="12"/>
              </w:rPr>
              <w:t xml:space="preserve">SINGLE-SOURCE (indicative) — H/L</w:t>
            </w:r>
          </w:p>
        </w:tc>
      </w:tr>
    </w:tbl>
    <w:p>
      <w:pPr>
        <w:spacing w:after="80" w:before="60"/>
      </w:pPr>
      <w:r>
        <w:rPr>
          <w:i/>
          <w:iCs/>
          <w:sz w:val="15"/>
          <w:szCs w:val="15"/>
        </w:rPr>
        <w:t xml:space="preserve">RSI2 fixed at period 2, computed from the validated close column only. Rows where the open/high/low is single-source are usable for directional context but are excluded from pivot prior-period inputs.</w:t>
      </w:r>
    </w:p>
    <w:p>
      <w:pPr>
        <w:shd w:fill="1F3864" w:val="clear"/>
        <w:spacing w:after="100" w:before="200"/>
      </w:pPr>
      <w:r>
        <w:rPr>
          <w:b/>
          <w:bCs/>
          <w:color w:val="FFFFFF"/>
          <w:sz w:val="22"/>
          <w:szCs w:val="22"/>
        </w:rPr>
        <w:t xml:space="preserve">§7  Charts</w:t>
      </w:r>
      <w:r>
        <w:rPr>
          <w:b/>
          <w:bCs/>
          <w:color w:val="FFE08A"/>
          <w:sz w:val="16"/>
          <w:szCs w:val="16"/>
        </w:rPr>
        <w:t xml:space="preserve">   [M3]</w:t>
      </w:r>
    </w:p>
    <w:p>
      <w:pPr>
        <w:spacing w:after="80" w:before="0"/>
      </w:pPr>
      <w:r>
        <w:t xml:space="preserve">Five chart surfaces are enabled for this instance: 5-day candlestick, distance-from-open, 25-session structure, comparative VOLator, and the smart-scale floor-pivot chart. In this text deliverable the chart content is described analytically and the underlying series are exported to the companion CSV; the embedded PNG renders are produced alongside the analyst spreadsheet.</w:t>
      </w:r>
    </w:p>
    <w:p>
      <w:pPr>
        <w:pStyle w:val="ListParagraph"/>
        <w:numPr>
          <w:ilvl w:val="0"/>
          <w:numId w:val="2"/>
        </w:numPr>
        <w:spacing w:after="60"/>
      </w:pPr>
      <w:r>
        <w:rPr>
          <w:b/>
          <w:bCs/>
        </w:rPr>
        <w:t xml:space="preserve">5-day candlestick: </w:t>
      </w:r>
      <w:r>
        <w:t xml:space="preserve">three small-bodied candles (12→16 Jun) clustered in a 60-point band; 12 Jun is the lone wide-range bullish bar, 15–16 Jun are inside-range with upper wicks into 10,470 — supply rejection.</w:t>
      </w:r>
    </w:p>
    <w:p>
      <w:pPr>
        <w:pStyle w:val="ListParagraph"/>
        <w:numPr>
          <w:ilvl w:val="0"/>
          <w:numId w:val="2"/>
        </w:numPr>
        <w:spacing w:after="60"/>
      </w:pPr>
      <w:r>
        <w:rPr>
          <w:b/>
          <w:bCs/>
        </w:rPr>
        <w:t xml:space="preserve">Distance-from-open: </w:t>
      </w:r>
      <w:r>
        <w:t xml:space="preserve">16 Jun finished +12 from open after fading an early push to 10,468 — a stall signature, not a breakout.</w:t>
      </w:r>
    </w:p>
    <w:p>
      <w:pPr>
        <w:pStyle w:val="ListParagraph"/>
        <w:numPr>
          <w:ilvl w:val="0"/>
          <w:numId w:val="2"/>
        </w:numPr>
        <w:spacing w:after="60"/>
      </w:pPr>
      <w:r>
        <w:rPr>
          <w:b/>
          <w:bCs/>
        </w:rPr>
        <w:t xml:space="preserve">25-session structure: </w:t>
      </w:r>
      <w:r>
        <w:t xml:space="preserve">higher-low sequence intact off the early-June base; price riding the upper third of the 10,300–10,485 range.</w:t>
      </w:r>
    </w:p>
    <w:p>
      <w:pPr>
        <w:pStyle w:val="ListParagraph"/>
        <w:numPr>
          <w:ilvl w:val="0"/>
          <w:numId w:val="2"/>
        </w:numPr>
        <w:spacing w:after="60"/>
      </w:pPr>
      <w:r>
        <w:rPr>
          <w:b/>
          <w:bCs/>
        </w:rPr>
        <w:t xml:space="preserve">VOLator: </w:t>
      </w:r>
      <w:r>
        <w:t xml:space="preserve">realised range expanded on 11–12 Jun (ECB + Iran headlines) then compressed; slope flat — neither expansion nor contraction dominates.</w:t>
      </w:r>
    </w:p>
    <w:p>
      <w:pPr>
        <w:pStyle w:val="ListParagraph"/>
        <w:numPr>
          <w:ilvl w:val="0"/>
          <w:numId w:val="2"/>
        </w:numPr>
        <w:spacing w:after="60"/>
      </w:pPr>
      <w:r>
        <w:rPr>
          <w:b/>
          <w:bCs/>
        </w:rPr>
        <w:t xml:space="preserve">Floor-pivot chart: </w:t>
      </w:r>
      <w:r>
        <w:t xml:space="preserve">daily P 10,444 sits on the close; weekly P 10,415 below; price pinned at the daily pivot, defining the 10,420 / 10,470 decision rails.</w:t>
      </w:r>
    </w:p>
    <w:p>
      <w:pPr>
        <w:shd w:fill="1F3864" w:val="clear"/>
        <w:spacing w:after="100" w:before="200"/>
      </w:pPr>
      <w:r>
        <w:rPr>
          <w:b/>
          <w:bCs/>
          <w:color w:val="FFFFFF"/>
          <w:sz w:val="22"/>
          <w:szCs w:val="22"/>
        </w:rPr>
        <w:t xml:space="preserve">§8  Short-Term Technical Analysis</w:t>
      </w:r>
      <w:r>
        <w:rPr>
          <w:b/>
          <w:bCs/>
          <w:color w:val="FFE08A"/>
          <w:sz w:val="16"/>
          <w:szCs w:val="16"/>
        </w:rPr>
        <w:t xml:space="preserve">   [M3]</w:t>
      </w:r>
    </w:p>
    <w:p>
      <w:pPr>
        <w:spacing w:after="80" w:before="0"/>
      </w:pPr>
      <w:r>
        <w:rPr>
          <w:b/>
          <w:bCs/>
        </w:rPr>
        <w:t xml:space="preserve">Candle-by-candle (see §6). </w:t>
      </w:r>
      <w:r>
        <w:t xml:space="preserve">12 Jun: wide bullish body, close near high (≈92% of range) — momentum thrust on the Iran-de-escalation relief rally; RSI2 85.2. 15 Jun: small body, close mid-range below open, RSI2 still elevated at 81.3 but price rejected from 10,474 — first distribution candle. 16 Jun: narrow inside bar, upper wick into 10,468, close 10,445; RSI2 cratered to 23.7 as the two-period momentum flipped negative.</w:t>
      </w:r>
    </w:p>
    <w:p>
      <w:pPr>
        <w:spacing w:after="80" w:before="0"/>
      </w:pPr>
      <w:r>
        <w:rPr>
          <w:b/>
          <w:bCs/>
        </w:rPr>
        <w:t xml:space="preserve">Sequence assessment. </w:t>
      </w:r>
      <w:r>
        <w:t xml:space="preserve">The three-bar run reads as thrust → stall → consolidation. Overlap is high across 15–16 Jun, closes are no longer travelling in one direction, and the RSI2 collapse from &gt;80 to &lt;25 without a price breakdown signals momentum exhaustion at resistance rather than a confirmed reversal. Net short-term bias: neutral with a mild downward momentum tilt, consistent with the §9 TRANSITION read.</w:t>
      </w:r>
    </w:p>
    <w:p>
      <w:pPr>
        <w:shd w:fill="1F3864" w:val="clear"/>
        <w:spacing w:after="100" w:before="200"/>
      </w:pPr>
      <w:r>
        <w:rPr>
          <w:b/>
          <w:bCs/>
          <w:color w:val="FFFFFF"/>
          <w:sz w:val="22"/>
          <w:szCs w:val="22"/>
        </w:rPr>
        <w:t xml:space="preserve">§9  Medium-Term Regime &amp; VOLator</w:t>
      </w:r>
      <w:r>
        <w:rPr>
          <w:b/>
          <w:bCs/>
          <w:color w:val="FFE08A"/>
          <w:sz w:val="16"/>
          <w:szCs w:val="16"/>
        </w:rPr>
        <w:t xml:space="preserve">   [M3]</w:t>
      </w:r>
    </w:p>
    <w:p>
      <w:pPr>
        <w:spacing w:after="80" w:before="0"/>
      </w:pPr>
      <w:r>
        <w:rPr>
          <w:b/>
          <w:bCs/>
        </w:rPr>
        <w:t xml:space="preserve">Regime classification. </w:t>
      </w:r>
      <w:r>
        <w:t xml:space="preserve">The 25-session block holds a higher-high / higher-low structure with the index ~0.5% from its all-time record — a structural uptrend. However, the most recent week is corrective-overlapping, so the Step-4 synthesis returns Trending-Bullish / Transitional rather than clean Trending-Bullish.</w:t>
      </w:r>
    </w:p>
    <w:p>
      <w:pPr>
        <w:spacing w:after="80" w:before="0"/>
      </w:pPr>
      <w:r>
        <w:rPr>
          <w:b/>
          <w:bCs/>
        </w:rPr>
        <w:t xml:space="preserve">Kaufman efficiency. </w:t>
      </w:r>
      <w:r>
        <w:t xml:space="preserve">KER ≈ 0.45 (above the 0.13 trend threshold) with a positive medium-term sign — the path has been efficient on the way up. </w:t>
      </w:r>
    </w:p>
    <w:p>
      <w:pPr>
        <w:spacing w:after="80" w:before="0"/>
      </w:pPr>
      <w:r>
        <w:rPr>
          <w:b/>
          <w:bCs/>
        </w:rPr>
        <w:t xml:space="preserve">VOLator. </w:t>
      </w:r>
      <w:r>
        <w:t xml:space="preserve">ATR-based volatility expanded sharply on 11–12 June then compressed; the 10-observation slope is approximately flat (≈ 0). </w:t>
      </w:r>
    </w:p>
    <w:p>
      <w:pPr>
        <w:spacing w:after="80" w:before="0"/>
      </w:pPr>
      <w:r>
        <w:rPr>
          <w:b/>
          <w:bCs/>
        </w:rPr>
        <w:t xml:space="preserve">Consolidated regime → </w:t>
      </w:r>
      <w:r>
        <w:rPr>
          <w:b/>
          <w:bCs/>
          <w:color w:val="B06A00"/>
        </w:rPr>
        <w:t xml:space="preserve">TRANSITION.</w:t>
      </w:r>
      <w:r>
        <w:t xml:space="preserve"> The dual-gate RANGE rule fails (KER is trending, not ranging) and the clean-TREND_UP gate fails (VOLator slope not ≥ 0 with momentum confirmation). Per the mapping, disagreement across the three signals resolves to TRANSITION.</w:t>
      </w:r>
    </w:p>
    <w:p>
      <w:pPr>
        <w:shd w:fill="1F3864" w:val="clear"/>
        <w:spacing w:after="100" w:before="200"/>
      </w:pPr>
      <w:r>
        <w:rPr>
          <w:b/>
          <w:bCs/>
          <w:color w:val="FFFFFF"/>
          <w:sz w:val="22"/>
          <w:szCs w:val="22"/>
        </w:rPr>
        <w:t xml:space="preserve">§10  Cross-Asset Analysis</w:t>
      </w:r>
      <w:r>
        <w:rPr>
          <w:b/>
          <w:bCs/>
          <w:color w:val="FFE08A"/>
          <w:sz w:val="16"/>
          <w:szCs w:val="16"/>
        </w:rPr>
        <w:t xml:space="preserve">   [M3]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500"/>
        <w:gridCol w:w="3360"/>
      </w:tblGrid>
      <w:tr>
        <w:trPr>
          <w:tblHeader/>
        </w:trPr>
        <w:tc>
          <w:tcPr>
            <w:tcW w:type="dxa" w:w="17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Counter</w:t>
            </w:r>
          </w:p>
        </w:tc>
        <w:tc>
          <w:tcPr>
            <w:tcW w:type="dxa" w:w="1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Latest</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Move</w:t>
            </w:r>
          </w:p>
        </w:tc>
        <w:tc>
          <w:tcPr>
            <w:tcW w:type="dxa" w:w="1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Read vs FTSE</w:t>
            </w:r>
          </w:p>
        </w:tc>
        <w:tc>
          <w:tcPr>
            <w:tcW w:type="dxa" w:w="33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Mechanism</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USDX (Dollar Index)</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99.57</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 −0.06%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Confirms (mild)</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Softer USD on Iran peace deal; supports global risk and GBP/EUR translation</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S&amp;P 500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≈7,384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 −2.6%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Contradicts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US tech rout (Oracle, Nvidia, Meta) drags global beta; risk-off pulse opposes the European bid</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DAX 40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≈23,950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 −2.1%</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Contradicts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Eurozone industrials sold with US tech; FTSE’s defensive/energy tilt outperforms but Europe broadly heavy</w:t>
            </w:r>
          </w:p>
        </w:tc>
      </w:tr>
    </w:tbl>
    <w:p>
      <w:pPr>
        <w:spacing w:after="80" w:before="60"/>
      </w:pPr>
      <w:r>
        <w:rPr>
          <w:b/>
          <w:bCs/>
        </w:rPr>
        <w:t xml:space="preserve">Aggregate cross-asset signal: </w:t>
      </w:r>
      <w:r>
        <w:rPr>
          <w:b/>
          <w:bCs/>
          <w:color w:val="C00000"/>
        </w:rPr>
        <w:t xml:space="preserve">CONTRADICT.</w:t>
      </w:r>
      <w:r>
        <w:t xml:space="preserve"> Two of three counters (S&amp;P 500, DAX) oppose the FTSE’s structural up-bias while only the dollar mildly confirms. The FTSE is holding up better than peers on its defensive/energy weighting and weaker GBP, but the cross-asset tape is a headwind, not a tailwind — a key reason the §21a conviction score stays sub-threshold.</w:t>
      </w:r>
    </w:p>
    <w:p>
      <w:pPr>
        <w:shd w:fill="1F3864" w:val="clear"/>
        <w:spacing w:after="100" w:before="200"/>
      </w:pPr>
      <w:r>
        <w:rPr>
          <w:b/>
          <w:bCs/>
          <w:color w:val="FFFFFF"/>
          <w:sz w:val="22"/>
          <w:szCs w:val="22"/>
        </w:rPr>
        <w:t xml:space="preserve">§11  Floor Pivot Analysis</w:t>
      </w:r>
      <w:r>
        <w:rPr>
          <w:b/>
          <w:bCs/>
          <w:color w:val="FFE08A"/>
          <w:sz w:val="16"/>
          <w:szCs w:val="16"/>
        </w:rPr>
        <w:t xml:space="preserve">   [M3]</w:t>
      </w:r>
    </w:p>
    <w:p>
      <w:pPr>
        <w:spacing w:after="80" w:before="0"/>
      </w:pPr>
      <w:r>
        <w:rPr>
          <w:sz w:val="17"/>
          <w:szCs w:val="17"/>
        </w:rPr>
        <w:t xml:space="preserve">Daily pivots derived from the 16 June session H/L/C (10,468 / 10,412 / 10,445); weekly from the prior week’s range. Pivot inputs that depend on single-source intraday highs/lows carry the indicative flag and are barred from level-based limit entries (see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Timeframe</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S2</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S1</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P</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R1</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R2</w:t>
            </w:r>
          </w:p>
        </w:tc>
        <w:tc>
          <w:tcPr>
            <w:tcW w:type="dxa" w:w="13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vAlign w:val="center"/>
          </w:tcPr>
          <w:p>
            <w:pPr>
              <w:jc w:val="center"/>
            </w:pPr>
            <w:r>
              <w:rPr>
                <w:b/>
                <w:bCs/>
                <w:color w:val="FFFFFF"/>
                <w:sz w:val="15"/>
                <w:szCs w:val="15"/>
              </w:rPr>
              <w:t xml:space="preserve">Flag</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Daily (17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10,396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10,421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10,444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10,469</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10,492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Indicative*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Weekly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10,218</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10,345</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10,415</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10,542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10,612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Indicative*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Monthly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10,180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10,360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10,720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Indicative*</w:t>
            </w:r>
          </w:p>
        </w:tc>
      </w:tr>
    </w:tbl>
    <w:p>
      <w:pPr>
        <w:spacing w:after="80" w:before="60"/>
      </w:pPr>
      <w:r>
        <w:rPr>
          <w:b/>
          <w:bCs/>
        </w:rPr>
        <w:t xml:space="preserve">Position narrative. </w:t>
      </w:r>
      <w:r>
        <w:t xml:space="preserve">Price closed essentially on the daily pivot (10,444) and above the weekly pivot (10,415) — a balanced, slightly constructive posture. The decision rails are daily R1 ≈ 10,469 (coincident with the prior-week supply shelf) and daily S1 ≈ 10,421. *All pivot tiers are flagged single-source-indicative because intraday H/L corroboration could not be achieved to ±0.10 pts across two free sources; this propagates to the §21 trade cards and suppresses level-based limit entries on Trade 2.</w:t>
      </w:r>
    </w:p>
    <w:p>
      <w:pPr>
        <w:shd w:fill="1F3864" w:val="clear"/>
        <w:spacing w:after="100" w:before="200"/>
      </w:pPr>
      <w:r>
        <w:rPr>
          <w:b/>
          <w:bCs/>
          <w:color w:val="FFFFFF"/>
          <w:sz w:val="22"/>
          <w:szCs w:val="22"/>
        </w:rPr>
        <w:t xml:space="preserve">§12  Key Market Considerations</w:t>
      </w:r>
      <w:r>
        <w:rPr>
          <w:b/>
          <w:bCs/>
          <w:color w:val="FFE08A"/>
          <w:sz w:val="16"/>
          <w:szCs w:val="16"/>
        </w:rPr>
        <w:t xml:space="preserve">   [UPD]</w:t>
      </w:r>
    </w:p>
    <w:p>
      <w:pPr>
        <w:spacing w:after="80" w:before="0"/>
      </w:pPr>
      <w:r>
        <w:rPr>
          <w:b/>
          <w:bCs/>
        </w:rPr>
        <w:t xml:space="preserve">Energy &amp; geopolitics (supportive→neutral). </w:t>
      </w:r>
      <w:r>
        <w:t xml:space="preserve">A reported US–Iran de-escalation pushed Brent/WTI to two-month lows. Lower oil trims FTSE energy majors (Shell, BP ~ index heavyweights) but eases the inflation/rates path — net neutral for the index, mildly positive for risk appetite.</w:t>
      </w:r>
    </w:p>
    <w:p>
      <w:pPr>
        <w:spacing w:after="80" w:before="0"/>
      </w:pPr>
      <w:r>
        <w:rPr>
          <w:b/>
          <w:bCs/>
        </w:rPr>
        <w:t xml:space="preserve">Monetary policy (pivotal, this week). </w:t>
      </w:r>
      <w:r>
        <w:t xml:space="preserve">The Bank of England decides Thursday 18 June; UK CPI prints midweek. With CPI last at 2.8% and Bank Rate 3.75%, any hawkish surprise lifts GBP and pressures the FTSE’s multinationals via translation — the dominant near-term swing factor (flagged in §13d).</w:t>
      </w:r>
    </w:p>
    <w:p>
      <w:pPr>
        <w:spacing w:after="80" w:before="0"/>
      </w:pPr>
      <w:r>
        <w:rPr>
          <w:b/>
          <w:bCs/>
        </w:rPr>
        <w:t xml:space="preserve">Banks &amp; miners (mixed). </w:t>
      </w:r>
      <w:r>
        <w:t xml:space="preserve">Banks firmed modestly (HSBC, Lloyds, Barclays +0.4–0.6%); miners have been the swing factor, whipsawing 5%+ on metals and China sentiment. Mining weight makes the index sensitive to the cross-asset risk pulse in §10.</w:t>
      </w:r>
    </w:p>
    <w:p>
      <w:pPr>
        <w:spacing w:after="80" w:before="0"/>
      </w:pPr>
      <w:r>
        <w:rPr>
          <w:b/>
          <w:bCs/>
        </w:rPr>
        <w:t xml:space="preserve">FX (supportive). </w:t>
      </w:r>
      <w:r>
        <w:t xml:space="preserve">A softer dollar and steady-to-weaker GBP support the ~80% of FTSE revenue earned overseas — structurally the single biggest tailwind for the index level.</w:t>
      </w:r>
    </w:p>
    <w:p>
      <w:pPr>
        <w:shd w:fill="1F3864" w:val="clear"/>
        <w:spacing w:after="100" w:before="200"/>
      </w:pPr>
      <w:r>
        <w:rPr>
          <w:b/>
          <w:bCs/>
          <w:color w:val="FFFFFF"/>
          <w:sz w:val="22"/>
          <w:szCs w:val="22"/>
        </w:rPr>
        <w:t xml:space="preserve">§13  Sentiment, News &amp; Calendar</w:t>
      </w:r>
      <w:r>
        <w:rPr>
          <w:b/>
          <w:bCs/>
          <w:color w:val="FFE08A"/>
          <w:sz w:val="16"/>
          <w:szCs w:val="16"/>
        </w:rPr>
        <w:t xml:space="preserve">   [UPD]</w:t>
      </w:r>
    </w:p>
    <w:p>
      <w:pPr>
        <w:spacing w:after="80" w:before="0"/>
      </w:pPr>
      <w:r>
        <w:rPr>
          <w:b/>
          <w:bCs/>
          <w:sz w:val="18"/>
          <w:szCs w:val="18"/>
        </w:rPr>
        <w:t xml:space="preserve">13a. Per-article sentiment (FTSE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39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Source (class)</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Date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Label</w:t>
            </w:r>
          </w:p>
        </w:tc>
        <w:tc>
          <w:tcPr>
            <w:tcW w:type="dxa" w:w="39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Derivation quote (≤15 words)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Trading Economics (Media)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16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Bullish</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“awaited details on the US-Iran agreement … reopening of the Strait of Hormuz”</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MarketScreener (Media)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12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Bullish</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“UK shares clock weekly gains as Iran-US peace deal hopes push oil lower”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Trading Economics (Media)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15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Bearish</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“FTSE 100 decreased 38 points … led by Vistry, Frasers, BAE”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Trading Economics (Media)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16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Neutral</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“traded flat to slightly higher … investors awaited more details”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AJ Bell / Alliance (Trade)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ctx</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Bullish</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“valuations remain attractive — FTSE trades at a discount to US and Europe”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BoJ/RBA macro wire (Media)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16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Neutral</w:t>
            </w:r>
          </w:p>
        </w:tc>
        <w:tc>
          <w:tcPr>
            <w:tcW w:type="dxa" w:w="3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“Bank of Japan raised rates as expected … RBA kept policy unchanged”</w:t>
            </w:r>
          </w:p>
        </w:tc>
      </w:tr>
    </w:tbl>
    <w:p>
      <w:pPr>
        <w:spacing w:after="80" w:before="80"/>
      </w:pPr>
      <w:r>
        <w:rPr>
          <w:b/>
          <w:bCs/>
        </w:rPr>
        <w:t xml:space="preserve">13b. Aggregate sentiment: </w:t>
      </w:r>
      <w:r>
        <w:rPr>
          <w:b/>
          <w:bCs/>
        </w:rPr>
        <w:t xml:space="preserve">Predominantly Bullish (tilt = +0.20).</w:t>
      </w:r>
      <w:r>
        <w:t xml:space="preserve"> Counts: 3 Bullish (1 trade-press, 2 media), 2 Neutral, 1 Bearish. The weighted mean leans positive on peace-deal optimism and the valuation-discount argument, but is held down by the 15 June down-session and the busy-data caution. Low-conviction component flagged — sentiment is event-contingent on the BoE outcome.</w:t>
      </w:r>
    </w:p>
    <w:p>
      <w:pPr>
        <w:spacing w:after="80" w:before="0"/>
      </w:pPr>
      <w:r>
        <w:rPr>
          <w:b/>
          <w:bCs/>
        </w:rPr>
        <w:t xml:space="preserve">13c. Divergence flag: </w:t>
      </w:r>
      <w:r>
        <w:t xml:space="preserve">Mild. Sentiment is net bullish while price action stalled and the cross-asset tape (§10) is risk-off. Given the TRANSITION regime, the cross-asset contradiction is treated as the more reliable near-term signal than the headline sentiment tilt.</w:t>
      </w:r>
    </w:p>
    <w:p>
      <w:pPr>
        <w:spacing w:after="80" w:before="80"/>
      </w:pPr>
      <w:r>
        <w:rPr>
          <w:b/>
          <w:bCs/>
          <w:sz w:val="18"/>
          <w:szCs w:val="18"/>
        </w:rPr>
        <w:t xml:space="preserve">13d. News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400"/>
        <w:gridCol w:w="37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Date</w:t>
            </w:r>
          </w:p>
        </w:tc>
        <w:tc>
          <w:tcPr>
            <w:tcW w:type="dxa" w:w="2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Event</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Impact</w:t>
            </w:r>
          </w:p>
        </w:tc>
        <w:tc>
          <w:tcPr>
            <w:tcW w:type="dxa" w:w="3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Implication for FTSE / counters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Thu 11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ECB raised rates 25bp (first hike in ~3 yrs)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High</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Lifted STOXX banks; signalled restrictive stance through 2027</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Fri 12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Iran–US de-escalation; oil to 2-mo low</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High</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FTSE +1.6%; risk-on; energy majors mixed</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Mon 15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UK April GDP −0.1%</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Medium</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FTSE −0.37%; growth wobble caps upside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Tue 16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BoJ hike; RBA hold</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Low</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Global rates backdrop; minor FTSE effect</w:t>
            </w:r>
          </w:p>
        </w:tc>
      </w:tr>
    </w:tbl>
    <w:p>
      <w:pPr>
        <w:spacing w:after="80" w:before="80"/>
      </w:pPr>
      <w:r>
        <w:rPr>
          <w:b/>
          <w:bCs/>
          <w:sz w:val="17"/>
          <w:szCs w:val="17"/>
        </w:rPr>
        <w:t xml:space="preserve">Upcoming (scenario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400"/>
        <w:gridCol w:w="37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vAlign w:val="center"/>
          </w:tcPr>
          <w:p>
            <w:pPr>
              <w:jc w:val="center"/>
            </w:pPr>
            <w:r>
              <w:rPr>
                <w:b/>
                <w:bCs/>
                <w:color w:val="FFFFFF"/>
                <w:sz w:val="15"/>
                <w:szCs w:val="15"/>
              </w:rPr>
              <w:t xml:space="preserve">Date (upcoming)</w:t>
            </w:r>
          </w:p>
        </w:tc>
        <w:tc>
          <w:tcPr>
            <w:tcW w:type="dxa" w:w="27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vAlign w:val="center"/>
          </w:tcPr>
          <w:p>
            <w:pPr>
              <w:jc w:val="center"/>
            </w:pPr>
            <w:r>
              <w:rPr>
                <w:b/>
                <w:bCs/>
                <w:color w:val="FFFFFF"/>
                <w:sz w:val="15"/>
                <w:szCs w:val="15"/>
              </w:rPr>
              <w:t xml:space="preserve">Event</w:t>
            </w:r>
          </w:p>
        </w:tc>
        <w:tc>
          <w:tcPr>
            <w:tcW w:type="dxa" w:w="14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vAlign w:val="center"/>
          </w:tcPr>
          <w:p>
            <w:pPr>
              <w:jc w:val="center"/>
            </w:pPr>
            <w:r>
              <w:rPr>
                <w:b/>
                <w:bCs/>
                <w:color w:val="FFFFFF"/>
                <w:sz w:val="15"/>
                <w:szCs w:val="15"/>
              </w:rPr>
              <w:t xml:space="preserve">Impact</w:t>
            </w:r>
          </w:p>
        </w:tc>
        <w:tc>
          <w:tcPr>
            <w:tcW w:type="dxa" w:w="3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vAlign w:val="center"/>
          </w:tcPr>
          <w:p>
            <w:pPr>
              <w:jc w:val="center"/>
            </w:pPr>
            <w:r>
              <w:rPr>
                <w:b/>
                <w:bCs/>
                <w:color w:val="FFFFFF"/>
                <w:sz w:val="15"/>
                <w:szCs w:val="15"/>
              </w:rPr>
              <w:t xml:space="preserve">Mechanism</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rPr>
              <w:t xml:space="preserve">Wed 17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rPr>
              <w:t xml:space="preserve">UK CPI (May)</w:t>
            </w:r>
          </w:p>
        </w:tc>
        <w:tc>
          <w:tcPr>
            <w:tcW w:type="dxa" w:w="1400"/>
            <w:tcBorders>
              <w:top w:val="single" w:color="BBBBBB" w:sz="1"/>
              <w:left w:val="single" w:color="BBBBBB" w:sz="1"/>
              <w:bottom w:val="single" w:color="BBBBBB" w:sz="1"/>
              <w:right w:val="single" w:color="BBBBBB" w:sz="1"/>
            </w:tcBorders>
            <w:shd w:fill="FFF2CC" w:val="clear"/>
            <w:tcMar>
              <w:top w:type="dxa" w:w="60"/>
              <w:left w:type="dxa" w:w="90"/>
              <w:bottom w:type="dxa" w:w="60"/>
              <w:right w:type="dxa" w:w="90"/>
            </w:tcMar>
            <w:vAlign w:val="center"/>
          </w:tcPr>
          <w:p>
            <w:pPr>
              <w:jc w:val="center"/>
            </w:pPr>
            <w:r>
              <w:rPr>
                <w:b/>
                <w:bCs/>
              </w:rPr>
              <w:t xml:space="preserve">High</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6"/>
                <w:szCs w:val="16"/>
              </w:rPr>
              <w:t xml:space="preserve">Hot print → hawkish BoE odds → stronger GBP → FTSE multinational drag</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rPr>
              <w:t xml:space="preserve">Thu 18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rPr>
              <w:t xml:space="preserve">Bank of England rate decision</w:t>
            </w:r>
          </w:p>
        </w:tc>
        <w:tc>
          <w:tcPr>
            <w:tcW w:type="dxa" w:w="140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center"/>
            </w:pPr>
            <w:r>
              <w:rPr>
                <w:b/>
                <w:bCs/>
                <w:color w:val="C00000"/>
              </w:rPr>
              <w:t xml:space="preserve">HIGHEST</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rPr>
              <w:t xml:space="preserve">Single highest-impact event: a hawkish surprise lifts GBP and pressures FTSE via overseas-earnings translation.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Thu 18 Jun</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UK jobs / retail sales; Makerfield by-election</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Medium</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Labour-market strength reinforces rate-hold-or-hike narrative</w:t>
            </w:r>
          </w:p>
        </w:tc>
      </w:tr>
    </w:tbl>
    <w:p>
      <w:pPr>
        <w:shd w:fill="1F3864" w:val="clear"/>
        <w:spacing w:after="100" w:before="200"/>
      </w:pPr>
      <w:r>
        <w:rPr>
          <w:b/>
          <w:bCs/>
          <w:color w:val="FFFFFF"/>
          <w:sz w:val="22"/>
          <w:szCs w:val="22"/>
        </w:rPr>
        <w:t xml:space="preserve">§14  Macro Context</w:t>
      </w:r>
      <w:r>
        <w:rPr>
          <w:b/>
          <w:bCs/>
          <w:color w:val="FFE08A"/>
          <w:sz w:val="16"/>
          <w:szCs w:val="16"/>
        </w:rPr>
        <w:t xml:space="preserve">   [UPD]</w:t>
      </w:r>
    </w:p>
    <w:p>
      <w:pPr>
        <w:spacing w:after="80" w:before="0"/>
      </w:pPr>
      <w:r>
        <w:rPr>
          <w:b/>
          <w:bCs/>
        </w:rPr>
        <w:t xml:space="preserve">Rates &amp; inflation. </w:t>
      </w:r>
      <w:r>
        <w:t xml:space="preserve">UK Bank Rate 3.75%, CPI 2.8% (Apr). The ECB has just turned restrictive (25bp hike, hawkish guidance to 2027), tightening the European liquidity backdrop. UK 10-yr gilt ~4.88%.</w:t>
      </w:r>
    </w:p>
    <w:p>
      <w:pPr>
        <w:spacing w:after="80" w:before="0"/>
      </w:pPr>
      <w:r>
        <w:rPr>
          <w:b/>
          <w:bCs/>
        </w:rPr>
        <w:t xml:space="preserve">FX &amp; liquidity. </w:t>
      </w:r>
      <w:r>
        <w:t xml:space="preserve">Dollar index 99.57 and soft (§10); GBP/USD ~1.334, EUR/USD ~1.152. A softer dollar is the cleanest macro tailwind for FTSE translation earnings.</w:t>
      </w:r>
    </w:p>
    <w:p>
      <w:pPr>
        <w:spacing w:after="80" w:before="0"/>
      </w:pPr>
      <w:r>
        <w:rPr>
          <w:b/>
          <w:bCs/>
        </w:rPr>
        <w:t xml:space="preserve">Positioning. </w:t>
      </w:r>
      <w:r>
        <w:t xml:space="preserve">The US tech rout (§10) and a −2% DAX session show global risk appetite wobbling; the FTSE’s defensive/energy/value composition is acting as a relative haven, but a sustained Wall Street drawdown would eventually pull it lower. Watch items: CPI (17 Jun) and the BoE (18 Jun), per §13d.</w:t>
      </w:r>
    </w:p>
    <w:p>
      <w:pPr>
        <w:shd w:fill="1F3864" w:val="clear"/>
        <w:spacing w:after="100" w:before="200"/>
      </w:pPr>
      <w:r>
        <w:rPr>
          <w:b/>
          <w:bCs/>
          <w:color w:val="FFFFFF"/>
          <w:sz w:val="22"/>
          <w:szCs w:val="22"/>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Upside risks</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5"/>
                <w:szCs w:val="15"/>
              </w:rPr>
              <w:t xml:space="preserve">Downside risks</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6"/>
                <w:szCs w:val="16"/>
              </w:rPr>
              <w:t xml:space="preserve">• Iran de-escalation extends risk-on; oil stays low, easing inflation</w:t>
            </w:r>
          </w:p>
          <w:p>
            <w:r>
              <w:rPr>
                <w:sz w:val="16"/>
                <w:szCs w:val="16"/>
              </w:rPr>
              <w:t xml:space="preserve">• Soft dollar lifts ~80% overseas FTSE earnings</w:t>
            </w:r>
          </w:p>
          <w:p>
            <w:r>
              <w:rPr>
                <w:sz w:val="16"/>
                <w:szCs w:val="16"/>
              </w:rPr>
              <w:t xml:space="preserve">• Break/close above daily R1 10,469 / weekly 10,485 opens record-high retest</w:t>
            </w:r>
          </w:p>
          <w:p>
            <w:r>
              <w:rPr>
                <w:sz w:val="16"/>
                <w:szCs w:val="16"/>
              </w:rPr>
              <w:t xml:space="preserve">• Dovish/neutral BoE relieves GBP pressure on multinationals</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6"/>
                <w:szCs w:val="16"/>
              </w:rPr>
              <w:t xml:space="preserve">• Hawkish BoE (18 Jun) lifts GBP → multinational translation drag</w:t>
            </w:r>
          </w:p>
          <w:p>
            <w:r>
              <w:rPr>
                <w:sz w:val="16"/>
                <w:szCs w:val="16"/>
              </w:rPr>
              <w:t xml:space="preserve">• Cross-asset risk-off (S&amp;P −2.6%, DAX −2.1%) pulls global beta lower</w:t>
            </w:r>
          </w:p>
          <w:p>
            <w:r>
              <w:rPr>
                <w:sz w:val="16"/>
                <w:szCs w:val="16"/>
              </w:rPr>
              <w:t xml:space="preserve">• Hot UK CPI (17 Jun) re-rates the rate path</w:t>
            </w:r>
          </w:p>
          <w:p>
            <w:r>
              <w:rPr>
                <w:sz w:val="16"/>
                <w:szCs w:val="16"/>
              </w:rPr>
              <w:t xml:space="preserve">• Loss of daily S1 10,421 / weekly P 10,415 exposes 10,345</w:t>
            </w:r>
          </w:p>
        </w:tc>
      </w:tr>
    </w:tbl>
    <w:p>
      <w:pPr>
        <w:spacing w:after="80" w:before="50"/>
      </w:pPr>
      <w:r>
        <w:rPr>
          <w:i/>
          <w:iCs/>
          <w:sz w:val="15"/>
          <w:szCs w:val="15"/>
        </w:rPr>
        <w:t xml:space="preserve">Balance references the §11 pivot position (price on the daily pivot, above weekly P), the §9 TRANSITION regime, and the §13d highest-impact event (BoE).</w:t>
      </w:r>
    </w:p>
    <w:p>
      <w:pPr>
        <w:shd w:fill="1F3864" w:val="clear"/>
        <w:spacing w:after="100" w:before="200"/>
      </w:pPr>
      <w:r>
        <w:rPr>
          <w:b/>
          <w:bCs/>
          <w:color w:val="FFFFFF"/>
          <w:sz w:val="22"/>
          <w:szCs w:val="22"/>
        </w:rPr>
        <w:t xml:space="preserve">§16  Forward View</w:t>
      </w:r>
    </w:p>
    <w:p>
      <w:pPr>
        <w:spacing w:after="80" w:before="0"/>
      </w:pPr>
      <w:r>
        <w:rPr>
          <w:b/>
          <w:bCs/>
        </w:rPr>
        <w:t xml:space="preserve">Expected direction (next 5 sessions): </w:t>
      </w:r>
      <w:r>
        <w:t xml:space="preserve">range-bound with a mild upward structural bias, gated by event risk. Base-case trading range 10,360–10,490. The view respects the §9 TRANSITION regime — it does not assert a trend. A daily close above 10,485 would upgrade the read toward TREND_UP and a record-high retest; a daily close below the weekly pivot 10,415 would invalidate the constructive lean and open 10,345/10,300. The CPI (17 Jun) and BoE (18 Jun) prints are the explicit gating catalysts from §13d.</w:t>
      </w:r>
    </w:p>
    <w:p>
      <w:pPr>
        <w:shd w:fill="1F3864" w:val="clear"/>
        <w:spacing w:after="100" w:before="200"/>
      </w:pPr>
      <w:r>
        <w:rPr>
          <w:b/>
          <w:bCs/>
          <w:color w:val="FFFFFF"/>
          <w:sz w:val="22"/>
          <w:szCs w:val="22"/>
        </w:rPr>
        <w:t xml:space="preserve">§17  Forecast (one sentence)</w:t>
      </w:r>
    </w:p>
    <w:p>
      <w:pPr>
        <w:shd w:fill="F2F2F2" w:val="clear"/>
        <w:spacing w:after="60" w:before="60"/>
      </w:pPr>
      <w:r>
        <w:rPr>
          <w:b/>
          <w:bCs/>
          <w:i/>
          <w:iCs/>
          <w:sz w:val="20"/>
          <w:szCs w:val="20"/>
        </w:rPr>
        <w:t xml:space="preserve">FTSE 100 holds the 10,415–10,490 consolidation into the BoE decision, with a mild upward bias capped by a risk-off cross-asset tape and a sub-threshold conviction score.</w:t>
      </w:r>
    </w:p>
    <w:p>
      <w:pPr>
        <w:shd w:fill="1F3864" w:val="clear"/>
        <w:spacing w:after="100" w:before="200"/>
      </w:pPr>
      <w:r>
        <w:rPr>
          <w:b/>
          <w:bCs/>
          <w:color w:val="FFFFFF"/>
          <w:sz w:val="22"/>
          <w:szCs w:val="22"/>
        </w:rPr>
        <w:t xml:space="preserve">§18  Final Analyst Judgement</w:t>
      </w:r>
    </w:p>
    <w:p>
      <w:pPr>
        <w:spacing w:after="80" w:before="0"/>
      </w:pPr>
      <w:r>
        <w:rPr>
          <w:b/>
          <w:bCs/>
        </w:rPr>
        <w:t xml:space="preserve">Consensus call: </w:t>
      </w:r>
      <w:r>
        <w:t xml:space="preserve">10,445 pts, Medium confidence, balanced tone. </w:t>
      </w:r>
    </w:p>
    <w:p>
      <w:pPr>
        <w:spacing w:after="80" w:before="0"/>
      </w:pPr>
      <w:r>
        <w:rPr>
          <w:b/>
          <w:bCs/>
        </w:rPr>
        <w:t xml:space="preserve">Three most important reasons:</w:t>
      </w:r>
    </w:p>
    <w:p>
      <w:pPr>
        <w:pStyle w:val="ListParagraph"/>
        <w:numPr>
          <w:ilvl w:val="0"/>
          <w:numId w:val="2"/>
        </w:numPr>
        <w:spacing w:after="60"/>
      </w:pPr>
      <w:r>
        <w:t xml:space="preserve">Structural uptrend intact (index ~0.5% off record, +17% YoY) but momentum stalled at 10,470–10,485 supply.</w:t>
      </w:r>
    </w:p>
    <w:p>
      <w:pPr>
        <w:pStyle w:val="ListParagraph"/>
        <w:numPr>
          <w:ilvl w:val="0"/>
          <w:numId w:val="2"/>
        </w:numPr>
        <w:spacing w:after="60"/>
      </w:pPr>
      <w:r>
        <w:t xml:space="preserve">Cross-asset tape contradicts (S&amp;P −2.6%, DAX −2.1%), capping conviction at +0.10 — below trade-entry threshold.</w:t>
      </w:r>
    </w:p>
    <w:p>
      <w:pPr>
        <w:pStyle w:val="ListParagraph"/>
        <w:numPr>
          <w:ilvl w:val="0"/>
          <w:numId w:val="2"/>
        </w:numPr>
        <w:spacing w:after="60"/>
      </w:pPr>
      <w:r>
        <w:t xml:space="preserve">Binary event risk midweek: UK CPI (17 Jun) and the Bank of England decision (18 Jun).</w:t>
      </w:r>
    </w:p>
    <w:p>
      <w:pPr>
        <w:spacing w:after="80" w:before="0"/>
      </w:pPr>
      <w:r>
        <w:rPr>
          <w:b/>
          <w:bCs/>
        </w:rPr>
        <w:t xml:space="preserve">Single watch item: </w:t>
      </w:r>
      <w:r>
        <w:t xml:space="preserve">the Bank of England rate decision, Thursday 18 June.</w:t>
      </w:r>
    </w:p>
    <w:p>
      <w:pPr>
        <w:shd w:fill="1F3864" w:val="clear"/>
        <w:spacing w:after="100" w:before="200"/>
      </w:pPr>
      <w:r>
        <w:rPr>
          <w:b/>
          <w:bCs/>
          <w:color w:val="FFFFFF"/>
          <w:sz w:val="22"/>
          <w:szCs w:val="22"/>
        </w:rPr>
        <w:t xml:space="preserve">§19  Source Discipline Note</w:t>
      </w:r>
    </w:p>
    <w:p>
      <w:pPr>
        <w:spacing w:after="80" w:before="0"/>
      </w:pPr>
      <w:r>
        <w:rPr>
          <w:b/>
          <w:bCs/>
        </w:rPr>
        <w:t xml:space="preserve">Live vs indicative. </w:t>
      </w:r>
      <w:r>
        <w:t xml:space="preserve">Closing prices for 12, 15 and 16 June (FTSE) and 12 and 15 June (STOXX) are CORROBORATED within the ±0.10-point equity-index tolerance across two independent sources. Intraday opens/highs/lows for 10–11 June (FTSE), and 10, 11 and 16 June (STOXX), resolved to a single accessible free source and are flagged SINGLE-SOURCE — INDICATIVE.</w:t>
      </w:r>
    </w:p>
    <w:p>
      <w:pPr>
        <w:spacing w:after="80" w:before="0"/>
      </w:pPr>
      <w:r>
        <w:rPr>
          <w:b/>
          <w:bCs/>
        </w:rPr>
        <w:t xml:space="preserve">Data gaps &amp; corroboration status per instrument. </w:t>
      </w:r>
      <w:r>
        <w:t xml:space="preserve">FTSE close: corroborated. FTSE intraday H/L: partially indicative. STOXX close: corroborated (15 Jun exact match STOXX Ltd × Yahoo). Counters (USDX, S&amp;P 500, DAX): close levels corroborated for directional use only — not used for pivots. </w:t>
      </w:r>
    </w:p>
    <w:p>
      <w:pPr>
        <w:spacing w:after="80" w:before="0"/>
      </w:pPr>
      <w:r>
        <w:rPr>
          <w:b/>
          <w:bCs/>
        </w:rPr>
        <w:t xml:space="preserve">Pivot corroboration (the contract M5 reads). </w:t>
      </w:r>
      <w:r>
        <w:t xml:space="preserve">Because daily/weekly/monthly pivot prior-period H/L/C inputs depend on intraday highs/lows that could not be two-source corroborated to ±0.10 pts via free endpoints, all pivot tiers carry the SINGLE-SOURCE-INDICATIVE flag. This is disclosed transparently and, per the operating instruction for this run, trading strategies are still produced (corroboration leniency applied) — but the indicative flag is propagated into the §21 cards and the Trade 2 suppression rule rather than being hidden.</w:t>
      </w:r>
    </w:p>
    <w:p>
      <w:pPr>
        <w:shd w:fill="1F3864" w:val="clear"/>
        <w:spacing w:after="100" w:before="200"/>
      </w:pPr>
      <w:r>
        <w:rPr>
          <w:b/>
          <w:bCs/>
          <w:color w:val="FFFFFF"/>
          <w:sz w:val="22"/>
          <w:szCs w:val="22"/>
        </w:rPr>
        <w:t xml:space="preserve">§20  Agent Log</w:t>
      </w:r>
      <w:r>
        <w:rPr>
          <w:b/>
          <w:bCs/>
          <w:color w:val="FFE08A"/>
          <w:sz w:val="16"/>
          <w:szCs w:val="16"/>
        </w:rPr>
        <w:t xml:space="preserve">   [UPD]</w:t>
      </w:r>
    </w:p>
    <w:p>
      <w:pPr>
        <w:spacing w:after="80" w:before="0"/>
      </w:pPr>
      <w:r>
        <w:rPr>
          <w:b/>
          <w:bCs/>
        </w:rPr>
        <w:t xml:space="preserve">Override applied. </w:t>
      </w:r>
      <w:r>
        <w:t xml:space="preserve">The daily-open anchor for this run was overridden from the instance default (07:00 UK) at the operator’s instruction; Trade-1 market-entry timing reflects the overridden anchor. Report date set to 17 June 2026.</w:t>
      </w:r>
    </w:p>
    <w:p>
      <w:pPr>
        <w:spacing w:after="80" w:before="0"/>
      </w:pPr>
      <w:r>
        <w:rPr>
          <w:b/>
          <w:bCs/>
        </w:rPr>
        <w:t xml:space="preserve">Sources attempted. </w:t>
      </w:r>
      <w:r>
        <w:t xml:space="preserve">Stooq CSV (network-blocked in sandbox → not attempted live), Investing.com, Trading Economics, Yahoo Finance, TradingView, MarketScreener, STOXX Ltd, 30rates, Barchart. Corroboration achieved on closes via Yahoo×30rates (12 Jun, Δ0.00) and Trading Economics×Investing.com (16 Jun). STOXX 15 Jun corroborated STOXX Ltd×Yahoo (Δ0.00).</w:t>
      </w:r>
    </w:p>
    <w:p>
      <w:pPr>
        <w:spacing w:after="80" w:before="0"/>
      </w:pPr>
      <w:r>
        <w:rPr>
          <w:b/>
          <w:bCs/>
        </w:rPr>
        <w:t xml:space="preserve">Validation method. </w:t>
      </w:r>
      <w:r>
        <w:t xml:space="preserve">Two-source close corroboration within ±0.10 pts (equity-index tolerance); intraday H/L flagged where a second independent source within tolerance was unavailable.</w:t>
      </w:r>
    </w:p>
    <w:p>
      <w:pPr>
        <w:spacing w:after="80" w:before="0"/>
      </w:pPr>
      <w:r>
        <w:rPr>
          <w:b/>
          <w:bCs/>
        </w:rPr>
        <w:t xml:space="preserve">Direction-score weights (default, locked). </w:t>
      </w:r>
      <w:r>
        <w:t xml:space="preserve">short 0.25, medium 0.20, VOLator 0.10, Kaufman 0.15, sentiment 0.15, cross-asset 0.15 (sum 1.00). Contributions: short −0.125, medium +0.200, VOLator 0.000, Kaufman +0.068, sentiment +0.030, cross-asset −0.075 → total +0.10. Weights unchanged from baseline (forward-test session, within the 20-session lock).</w:t>
      </w:r>
    </w:p>
    <w:p>
      <w:pPr>
        <w:spacing w:after="80" w:before="0"/>
      </w:pPr>
      <w:r>
        <w:rPr>
          <w:b/>
          <w:bCs/>
        </w:rPr>
        <w:t xml:space="preserve">Suppression reasons. </w:t>
      </w:r>
      <w:r>
        <w:t xml:space="preserve">Trade 1 suppressed (|score| 0.10 &lt; 0.25 conviction threshold). Trade 2 limit entries suppressed (all pivot tiers single-source-indicative). Trade 3 fork resolves to 3C (TRANSITION breakout-side) since regime ≠ TREND/RANGE.</w:t>
      </w:r>
    </w:p>
    <w:p>
      <w:pPr>
        <w:spacing w:after="80" w:before="0"/>
      </w:pPr>
      <w:r>
        <w:rPr>
          <w:b/>
          <w:bCs/>
        </w:rPr>
        <w:t xml:space="preserve">Backtest notes. </w:t>
      </w:r>
      <w:r>
        <w:t xml:space="preserve">Five prior sessions reconstructed at each t−1 close; sentiment frozen per session; ATR/swings/regime recomputed at t−1. Single-bar resolution with conservative SL-first tick priority; unresolved positions marked OPEN. Timestamp: 17 Jun 2026, 06:30 UK.</w:t>
      </w:r>
    </w:p>
    <w:p>
      <w:pPr>
        <w:shd w:fill="1F3864" w:val="clear"/>
        <w:spacing w:after="100" w:before="200"/>
      </w:pPr>
      <w:r>
        <w:rPr>
          <w:b/>
          <w:bCs/>
          <w:color w:val="FFFFFF"/>
          <w:sz w:val="22"/>
          <w:szCs w:val="22"/>
        </w:rPr>
        <w:t xml:space="preserve">§21  Strategy Recommendations</w:t>
      </w:r>
      <w:r>
        <w:rPr>
          <w:b/>
          <w:bCs/>
          <w:color w:val="FFE08A"/>
          <w:sz w:val="16"/>
          <w:szCs w:val="16"/>
        </w:rPr>
        <w:t xml:space="preserve">   [M5]</w:t>
      </w:r>
    </w:p>
    <w:p>
      <w:pPr>
        <w:spacing w:after="80" w:before="0"/>
      </w:pPr>
      <w:r>
        <w:rPr>
          <w:b/>
          <w:bCs/>
          <w:sz w:val="18"/>
          <w:szCs w:val="18"/>
        </w:rPr>
        <w:t xml:space="preserve">21a. Directional conviction</w:t>
      </w:r>
    </w:p>
    <w:p>
      <w:pPr>
        <w:spacing w:after="80" w:before="0"/>
      </w:pPr>
      <w:r>
        <w:rPr>
          <w:b/>
          <w:bCs/>
        </w:rPr>
        <w:t xml:space="preserve">Direction = NEUTRAL, score +0.10</w:t>
      </w:r>
      <w:r>
        <w:t xml:space="preserve"> (threshold ±0.25). The three highest-weighted contributors are the medium-term structural uptrend (+0.20), the Kaufman trending read (+0.07), and — pulling the other way — the cross-asset contradiction (−0.075) and stalled short-term momentum (−0.125). </w:t>
      </w:r>
      <w:r>
        <w:rPr>
          <w:b/>
          <w:bCs/>
        </w:rPr>
        <w:t xml:space="preserve">Conflict with §17 forecast: none</w:t>
      </w:r>
      <w:r>
        <w:t xml:space="preserve"> — both the forecast and the conviction read describe a capped, range-bound, mildly-constructive tape. Because conviction is sub-threshold, the daily directional card is suppressed and the actionable plan is level-based (Trade 3C breakout) with Trade 2 limited by indicative pivots.</w:t>
      </w:r>
    </w:p>
    <w:p>
      <w:pPr>
        <w:spacing w:after="80" w:before="80"/>
      </w:pPr>
      <w:r>
        <w:rPr>
          <w:b/>
          <w:bCs/>
          <w:sz w:val="18"/>
          <w:szCs w:val="18"/>
        </w:rPr>
        <w:t xml:space="preserve">21b. Trade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Trade 1 — Daily Directional</w:t>
            </w:r>
          </w:p>
        </w:tc>
        <w:tc>
          <w:tcPr>
            <w:tcW w:type="dxa" w:w="656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Status</w:t>
            </w:r>
          </w:p>
        </w:tc>
      </w:tr>
      <w:tr>
        <w:tc>
          <w:tcPr>
            <w:tcW w:type="dxa" w:w="2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sz w:val="16"/>
                <w:szCs w:val="16"/>
              </w:rPr>
              <w:t xml:space="preserve">Market entry at overridden open anchor</w:t>
            </w:r>
          </w:p>
        </w:tc>
        <w:tc>
          <w:tcPr>
            <w:tcW w:type="dxa" w:w="656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b/>
                <w:bCs/>
                <w:color w:val="C00000"/>
                <w:sz w:val="16"/>
                <w:szCs w:val="16"/>
              </w:rPr>
              <w:t xml:space="preserve">SUPPRESSED — direction score |0.10| below the 0.25 conviction threshold. No directional edge to express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Trade 2 — Regime-Aware Pivot (TRANSITION)</w:t>
            </w:r>
          </w:p>
        </w:tc>
        <w:tc>
          <w:tcPr>
            <w:tcW w:type="dxa" w:w="696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Both sides staged — TRANSITION uses pivots as reaction levels, not a directional bias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Long trigger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Reaction long only on a confirmed bullish rejection of daily S1 10,421 (≈ weekly P 10,415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Short trigger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Reaction short only on a confirmed bearish rejection of daily R1 10,469 (≈ prior-week 10,485 supply)</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Stop / Risk</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 30 points beyond the rejected pivot (e.g. long SL 10,391; R ≈ 30 points)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TP1 / TP2 /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TP1 = pivot P 10,444 (+1R); TP2 = opposite tier; runner to weekly level, BE+0.2R on Unit-2 fill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sz w:val="16"/>
                <w:szCs w:val="16"/>
              </w:rPr>
              <w:t xml:space="preserve">STATUS</w:t>
            </w:r>
          </w:p>
        </w:tc>
        <w:tc>
          <w:tcPr>
            <w:tcW w:type="dxa" w:w="6960"/>
            <w:tcBorders>
              <w:top w:val="single" w:color="BBBBBB" w:sz="1"/>
              <w:left w:val="single" w:color="BBBBBB" w:sz="1"/>
              <w:bottom w:val="single" w:color="BBBBBB" w:sz="1"/>
              <w:right w:val="single" w:color="BBBBBB" w:sz="1"/>
            </w:tcBorders>
            <w:shd w:fill="FCE4E4" w:val="clear"/>
            <w:tcMar>
              <w:top w:type="dxa" w:w="60"/>
              <w:left w:type="dxa" w:w="90"/>
              <w:bottom w:type="dxa" w:w="60"/>
              <w:right w:type="dxa" w:w="90"/>
            </w:tcMar>
            <w:vAlign w:val="center"/>
          </w:tcPr>
          <w:p>
            <w:pPr>
              <w:jc w:val="left"/>
            </w:pPr>
            <w:r>
              <w:rPr>
                <w:b/>
                <w:bCs/>
                <w:color w:val="C00000"/>
                <w:sz w:val="15"/>
                <w:szCs w:val="15"/>
              </w:rPr>
              <w:t xml:space="preserve">LIMIT ENTRIES SUPPRESSED — all daily/weekly/monthly pivot tiers are SINGLE-SOURCE-INDICATIVE (§19); level-based limit orders cannot be placed against indicative pivots. Tradeable only as a discretionary reaction with confirmation, not a resting limit.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Trade 3C — TRANSITION Breakout</w:t>
            </w:r>
          </w:p>
        </w:tc>
        <w:tc>
          <w:tcPr>
            <w:tcW w:type="dxa" w:w="696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Detail (price + points)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Follows the broken side — bracket the consolidation, trade the confirmed break</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Entry (upside)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Stop-entry 10,488 on a confirmed close-break above 10,485 supply (prior-week high)</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Entry (downside)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Stop-entry 10,408 on a confirmed close-break below 10,412 (16-Jun low / S1 zone)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Upside: 10,444 (back inside, daily P) — 44 points. Downside: 10,452 — 44 points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 44 points (≈ 44.0 in index points; tick 0.01, native unit ‘point’)</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TP1 / TP2 / TP3</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Upside: TP1 10,532 (+1R), TP2 10,576 (+2R), runner to measured-move = 25-day range width; Downside mirror: 10,364 / 10,320 / range target</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Tranche mgmt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3 equal units; U1 exits TP1, U2 exits TP2, on U2 fill U3 SL → entry ±0.2R; runner on 100%+ extension / opposite range break</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Upside entry near prior-week supply 10,485 + round 10,500; downside near 16-Jun low 10,412 + daily S1 10,421 (strong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Upside: daily close back below 10,444 (daily P). Downside: daily close back above 10,452</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sz w:val="16"/>
                <w:szCs w:val="16"/>
              </w:rPr>
              <w:t xml:space="preserve">Caveats</w:t>
            </w:r>
          </w:p>
        </w:tc>
        <w:tc>
          <w:tcPr>
            <w:tcW w:type="dxa" w:w="6960"/>
            <w:tcBorders>
              <w:top w:val="single" w:color="BBBBBB" w:sz="1"/>
              <w:left w:val="single" w:color="BBBBBB" w:sz="1"/>
              <w:bottom w:val="single" w:color="BBBBBB" w:sz="1"/>
              <w:right w:val="single" w:color="BBBBBB" w:sz="1"/>
            </w:tcBorders>
            <w:shd w:fill="FFF6E0" w:val="clear"/>
            <w:tcMar>
              <w:top w:type="dxa" w:w="60"/>
              <w:left w:type="dxa" w:w="90"/>
              <w:bottom w:type="dxa" w:w="60"/>
              <w:right w:type="dxa" w:w="90"/>
            </w:tcMar>
            <w:vAlign w:val="center"/>
          </w:tcPr>
          <w:p>
            <w:pPr>
              <w:jc w:val="left"/>
            </w:pPr>
            <w:r>
              <w:rPr>
                <w:sz w:val="15"/>
                <w:szCs w:val="15"/>
              </w:rPr>
              <w:t xml:space="preserve">single-source-indicative pivots; holding period collides with §13d Tier-1 events (UK CPI 17 Jun, BoE 18 Jun) — size down into the prints; mild conflict with risk-off cross-asset tape on the upside variant.</w:t>
            </w:r>
          </w:p>
        </w:tc>
      </w:tr>
    </w:tbl>
    <w:p>
      <w:pPr>
        <w:spacing w:after="80" w:before="100"/>
      </w:pPr>
      <w:r>
        <w:rPr>
          <w:b/>
          <w:bCs/>
          <w:sz w:val="18"/>
          <w:szCs w:val="18"/>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80"/>
        <w:gridCol w:w="1300"/>
        <w:gridCol w:w="1100"/>
        <w:gridCol w:w="1900"/>
        <w:gridCol w:w="1080"/>
        <w:gridCol w:w="1100"/>
      </w:tblGrid>
      <w:tr>
        <w:trPr>
          <w:tblHeader/>
        </w:trPr>
        <w:tc>
          <w:tcPr>
            <w:tcW w:type="dxa" w:w="17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Date (t−N)</w:t>
            </w:r>
          </w:p>
        </w:tc>
        <w:tc>
          <w:tcPr>
            <w:tcW w:type="dxa" w:w="118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Strategy</w:t>
            </w:r>
          </w:p>
        </w:tc>
        <w:tc>
          <w:tcPr>
            <w:tcW w:type="dxa" w:w="13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Direction</w:t>
            </w:r>
          </w:p>
        </w:tc>
        <w:tc>
          <w:tcPr>
            <w:tcW w:type="dxa" w:w="11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Triggered</w:t>
            </w:r>
          </w:p>
        </w:tc>
        <w:tc>
          <w:tcPr>
            <w:tcW w:type="dxa" w:w="19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Entry → Exit</w:t>
            </w:r>
          </w:p>
        </w:tc>
        <w:tc>
          <w:tcPr>
            <w:tcW w:type="dxa" w:w="108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R</w:t>
            </w:r>
          </w:p>
        </w:tc>
        <w:tc>
          <w:tcPr>
            <w:tcW w:type="dxa" w:w="1100"/>
            <w:tcBorders>
              <w:top w:val="single" w:color="BBBBBB" w:sz="1"/>
              <w:left w:val="single" w:color="BBBBBB" w:sz="1"/>
              <w:bottom w:val="single" w:color="BBBBBB" w:sz="1"/>
              <w:right w:val="single" w:color="BBBBBB" w:sz="1"/>
            </w:tcBorders>
            <w:shd w:fill="B5179E" w:val="clear"/>
            <w:tcMar>
              <w:top w:type="dxa" w:w="60"/>
              <w:left w:type="dxa" w:w="90"/>
              <w:bottom w:type="dxa" w:w="60"/>
              <w:right w:type="dxa" w:w="90"/>
            </w:tcMar>
            <w:vAlign w:val="center"/>
          </w:tcPr>
          <w:p>
            <w:pPr>
              <w:jc w:val="center"/>
            </w:pPr>
            <w:r>
              <w:rPr>
                <w:b/>
                <w:bCs/>
                <w:color w:val="FFFFFF"/>
                <w:sz w:val="15"/>
                <w:szCs w:val="15"/>
              </w:rPr>
              <w:t xml:space="preserve">Days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Thu 11 Jun (t−5)</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LONG (up-break)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10,340 → 10,471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+1.8R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Thu 11 Jun (t−5)</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SUPPRESSED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Fri 12 Jun (t−4)</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10,471 → 10,474</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+0.1R (then SL)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Fri 12 Jun (t−4)</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10,310 → 10,471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+2.0R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Mon 15 Jun (t−3)</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SHORT (dn-break)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NO</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no confirmed break</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Mon 15 Jun (t−3)</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SUPPRESSED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Tue 16 Jun (t−2)</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NO</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inside range</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Tue 16 Jun (t−2)</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RANGE-react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YES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10,412 → 10,445</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+0.7R</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Wed 17 Jun (t−1)</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Trade 3C</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pending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NO</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awaiting break</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OPEN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000000"/>
                <w:sz w:val="15"/>
                <w:szCs w:val="15"/>
              </w:rPr>
              <w:t xml:space="preserve">5+</w:t>
            </w:r>
          </w:p>
        </w:tc>
      </w:tr>
    </w:tbl>
    <w:p>
      <w:pPr>
        <w:spacing w:after="80" w:before="100"/>
      </w:pPr>
      <w:r>
        <w:rPr>
          <w:b/>
          <w:bCs/>
          <w:sz w:val="18"/>
          <w:szCs w:val="18"/>
        </w:rPr>
        <w:t xml:space="preserve">21d. ‘What is working’ aggregate</w:t>
      </w:r>
    </w:p>
    <w:p>
      <w:pPr>
        <w:spacing w:after="80" w:before="0"/>
      </w:pPr>
      <w:r>
        <w:t xml:space="preserve">Trade 1 over the last 5 sessions: triggered 1/3 times, mean R = +2.00, hit rates TP1/TP2/TP3 = 100%/100%/0%. Trade 2: triggered 1/2, mean R = +0.70, TP1/TP2/TP3 = 100%/0%/0%. Trade 3C: triggered 2/4, mean R = +0.95, TP1/TP2/TP3 = 100%/50%/0%. Strongest performer: Trade 1 (Daily Directional), mean R +2.00 on its single trigger. Weakest: Trade 2, +0.70 (insufficient triggers to rank with confidence). The breakout (3C) and pivot-reaction (2) approaches carried the week while directional conviction was mostly sub-threshold.</w:t>
      </w:r>
    </w:p>
    <w:p>
      <w:pPr>
        <w:spacing w:after="80" w:before="0"/>
      </w:pPr>
      <w:r>
        <w:rPr>
          <w:i/>
          <w:iCs/>
          <w:sz w:val="15"/>
          <w:szCs w:val="15"/>
        </w:rPr>
        <w:t xml:space="preserve">Five-session windows are too small to support statistical claims. The backtest cannot model intraday tick-level fills, slippage, or commission. Treat as a directional sanity-check, not a strategy-validation framework.</w:t>
      </w:r>
    </w:p>
    <w:p>
      <w:pPr>
        <w:pBdr>
          <w:top w:val="single" w:color="BBBBBB" w:sz="4" w:space="4"/>
        </w:pBdr>
        <w:spacing w:before="200"/>
      </w:pPr>
      <w:r>
        <w:rPr>
          <w:i/>
          <w:iCs/>
          <w:color w:val="808080"/>
          <w:sz w:val="14"/>
          <w:szCs w:val="14"/>
        </w:rPr>
        <w:t xml:space="preserve">Indicative analysis for risk-review and forward-test purposes only; not investment advice. Several intraday price inputs are single-source indicative (see §19). Validate against live exchange data before any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FTSE 100 Daily Report  │  17 June 2026  │  Senior European Equity Strategist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08080"/>
        <w:sz w:val="16"/>
        <w:szCs w:val="16"/>
      </w:rPr>
      <w:t xml:space="preserve">FTSE 100 Daily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European Equity Strategist</dc:creator>
  <cp:lastModifiedBy>Un-named</cp:lastModifiedBy>
  <cp:revision>1</cp:revision>
  <dcterms:created xsi:type="dcterms:W3CDTF">2026-06-16T21:36:51.553Z</dcterms:created>
  <dcterms:modified xsi:type="dcterms:W3CDTF">2026-06-16T21:36:51.554Z</dcterms:modified>
</cp:coreProperties>
</file>

<file path=docProps/custom.xml><?xml version="1.0" encoding="utf-8"?>
<Properties xmlns="http://schemas.openxmlformats.org/officeDocument/2006/custom-properties" xmlns:vt="http://schemas.openxmlformats.org/officeDocument/2006/docPropsVTypes"/>
</file>