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6"/>
          <w:szCs w:val="36"/>
        </w:rPr>
        <w:t xml:space="preserve">FTSE 100 Report — Daily: 7 July 2026</w:t>
      </w:r>
    </w:p>
    <w:p>
      <w:pPr>
        <w:spacing w:after="40"/>
      </w:pPr>
      <w:r>
        <w:rPr>
          <w:i/>
          <w:iCs/>
          <w:color w:val="555555"/>
          <w:sz w:val="20"/>
          <w:szCs w:val="20"/>
        </w:rPr>
        <w:t xml:space="preserve">With reference to: EURO STOXX 50 · USDX · S&amp;P 500 · DAX 40</w:t>
      </w:r>
    </w:p>
    <w:p>
      <w:pPr>
        <w:spacing w:after="120"/>
      </w:pPr>
      <w:r>
        <w:rPr>
          <w:color w:val="555555"/>
          <w:sz w:val="18"/>
          <w:szCs w:val="18"/>
        </w:rPr>
        <w:t xml:space="preserve">Senior European Equity Strategist · As of 6 July 2026 close (Europe/London) · Forward session 7 July 2026</w:t>
      </w:r>
    </w:p>
    <w:p>
      <w:pPr>
        <w:pBdr>
          <w:bottom w:val="single" w:color="1F3864" w:sz="6"/>
        </w:pBdr>
        <w:spacing w:after="120" w:before="60"/>
      </w:pPr>
      <w:r>
        <w:t xml:space="preserve"/>
      </w:r>
    </w:p>
    <w:p>
      <w:pPr>
        <w:spacing w:after="120" w:before="240"/>
      </w:pPr>
      <w:r>
        <w:rPr>
          <w:b/>
          <w:bCs/>
          <w:color w:val="1F3864"/>
          <w:sz w:val="26"/>
          <w:szCs w:val="26"/>
        </w:rPr>
        <w:t xml:space="preserve">1 · Executive Snapshot</w:t>
      </w:r>
    </w:p>
    <w:p>
      <w:pPr>
        <w:spacing w:after="100"/>
      </w:pPr>
      <w:r>
        <w:rPr>
          <w:sz w:val="20"/>
          <w:szCs w:val="20"/>
        </w:rPr>
        <w:t xml:space="preserve">The FTSE 100 enters the 7 July session at a consensus cash level of 10,679 (weighted median of corroborated close sources for the 3 July settlement, with the index marked around 10,720–10,730 in Monday 6 July trade). Market tone is bullish. The three dominant drivers are: (i) a defensive-and-energy-led grind toward the late-February record of 10,934.94, with heavyweight support from AstraZeneca, GSK, Unilever, British American Tobacco and BAE Systems; (ii) a softening rate backdrop after a weaker-than-expected US non-farm payrolls print tempered Fed hike expectations, supportive for equity valuations; and (iii) sterling softness on the margin, which flatters the roughly 80% of FTSE revenue earned overseas. The short-term technical regime is a bullish continuation and the medium-term regime is trending bullish, with the Kaufman efficiency read classifying the tape as strongly trending up (near-frictionless directional travel over the window). Cross-asset confirmation is mixed — a sharp US technology sell-off is the main non-confirming signal. The single most important watch item is the run of first-tier UK and euro-area data plus the Bank of England commentary window over the coming five sessions; a hawkish surprise or a deeper Wall Street risk-off is the primary threat to the base case. Directional conviction from the strategy engine is LONG with a score of +0.74.</w:t>
      </w:r>
    </w:p>
    <w:p>
      <w:pPr>
        <w:spacing w:after="120" w:before="240"/>
      </w:pPr>
      <w:r>
        <w:rPr>
          <w:b/>
          <w:bCs/>
          <w:color w:val="1F3864"/>
          <w:sz w:val="26"/>
          <w:szCs w:val="26"/>
        </w:rPr>
        <w:t xml:space="preserve">2 · Market Definition</w:t>
      </w:r>
    </w:p>
    <w:tbl>
      <w:tblPr>
        <w:tblW w:type="dxa" w:w="9360"/>
        <w:tblBorders>
          <w:top w:val="single" w:color="C0C7D0" w:sz="2"/>
          <w:left w:val="single" w:color="C0C7D0" w:sz="2"/>
          <w:bottom w:val="single" w:color="C0C7D0" w:sz="2"/>
          <w:right w:val="single" w:color="C0C7D0" w:sz="2"/>
          <w:insideH w:val="single" w:color="C0C7D0" w:sz="2"/>
          <w:insideV w:val="single" w:color="C0C7D0" w:sz="2"/>
        </w:tblBorders>
      </w:tblPr>
      <w:tblGrid>
        <w:gridCol w:w="2600"/>
        <w:gridCol w:w="6760"/>
      </w:tblGrid>
      <w:tr>
        <w:trPr>
          <w:tblHeader/>
        </w:trPr>
        <w:tc>
          <w:tcPr>
            <w:tcW w:type="dxa" w:w="2600"/>
            <w:shd w:fill="1F3864" w:color="auto" w:val="clear"/>
            <w:tcMar>
              <w:top w:type="dxa" w:w="40"/>
              <w:left w:type="dxa" w:w="70"/>
              <w:bottom w:type="dxa" w:w="40"/>
              <w:right w:type="dxa" w:w="70"/>
            </w:tcMar>
          </w:tcPr>
          <w:p>
            <w:pPr>
              <w:jc w:val="center"/>
            </w:pPr>
            <w:r>
              <w:rPr>
                <w:b/>
                <w:bCs/>
                <w:color w:val="FFFFFF"/>
                <w:sz w:val="17"/>
                <w:szCs w:val="17"/>
              </w:rPr>
              <w:t xml:space="preserve">Attribute</w:t>
            </w:r>
          </w:p>
        </w:tc>
        <w:tc>
          <w:tcPr>
            <w:tcW w:type="dxa" w:w="6760"/>
            <w:shd w:fill="1F3864" w:color="auto" w:val="clear"/>
            <w:tcMar>
              <w:top w:type="dxa" w:w="40"/>
              <w:left w:type="dxa" w:w="70"/>
              <w:bottom w:type="dxa" w:w="40"/>
              <w:right w:type="dxa" w:w="70"/>
            </w:tcMar>
          </w:tcPr>
          <w:p>
            <w:pPr>
              <w:jc w:val="center"/>
            </w:pPr>
            <w:r>
              <w:rPr>
                <w:b/>
                <w:bCs/>
                <w:color w:val="FFFFFF"/>
                <w:sz w:val="17"/>
                <w:szCs w:val="17"/>
              </w:rPr>
              <w:t xml:space="preserve">Value</w:t>
            </w:r>
          </w:p>
        </w:tc>
      </w:tr>
      <w:tr>
        <w:tc>
          <w:tcPr>
            <w:tcW w:type="dxa" w:w="2600"/>
            <w:tcMar>
              <w:top w:type="dxa" w:w="40"/>
              <w:left w:type="dxa" w:w="70"/>
              <w:bottom w:type="dxa" w:w="40"/>
              <w:right w:type="dxa" w:w="70"/>
            </w:tcMar>
          </w:tcPr>
          <w:p>
            <w:pPr>
              <w:jc w:val="left"/>
            </w:pPr>
            <w:r>
              <w:rPr>
                <w:b w:val="false"/>
                <w:bCs w:val="false"/>
                <w:sz w:val="17"/>
                <w:szCs w:val="17"/>
              </w:rPr>
              <w:t xml:space="preserve">Primary asset</w:t>
            </w:r>
          </w:p>
        </w:tc>
        <w:tc>
          <w:tcPr>
            <w:tcW w:type="dxa" w:w="6760"/>
            <w:tcMar>
              <w:top w:type="dxa" w:w="40"/>
              <w:left w:type="dxa" w:w="70"/>
              <w:bottom w:type="dxa" w:w="40"/>
              <w:right w:type="dxa" w:w="70"/>
            </w:tcMar>
          </w:tcPr>
          <w:p>
            <w:pPr>
              <w:jc w:val="center"/>
            </w:pPr>
            <w:r>
              <w:rPr>
                <w:b w:val="false"/>
                <w:bCs w:val="false"/>
                <w:sz w:val="17"/>
                <w:szCs w:val="17"/>
              </w:rPr>
              <w:t xml:space="preserve">FTSE 100 cash index (^FTSE), GBP, free-float weighted</w:t>
            </w:r>
          </w:p>
        </w:tc>
      </w:tr>
      <w:tr>
        <w:tc>
          <w:tcPr>
            <w:tcW w:type="dxa" w:w="2600"/>
            <w:shd w:fill="F2F4F8" w:color="auto" w:val="clear"/>
            <w:tcMar>
              <w:top w:type="dxa" w:w="40"/>
              <w:left w:type="dxa" w:w="70"/>
              <w:bottom w:type="dxa" w:w="40"/>
              <w:right w:type="dxa" w:w="70"/>
            </w:tcMar>
          </w:tcPr>
          <w:p>
            <w:pPr>
              <w:jc w:val="left"/>
            </w:pPr>
            <w:r>
              <w:rPr>
                <w:b w:val="false"/>
                <w:bCs w:val="false"/>
                <w:sz w:val="17"/>
                <w:szCs w:val="17"/>
              </w:rPr>
              <w:t xml:space="preserve">Secondary asset</w:t>
            </w:r>
          </w:p>
        </w:tc>
        <w:tc>
          <w:tcPr>
            <w:tcW w:type="dxa" w:w="6760"/>
            <w:shd w:fill="F2F4F8" w:color="auto" w:val="clear"/>
            <w:tcMar>
              <w:top w:type="dxa" w:w="40"/>
              <w:left w:type="dxa" w:w="70"/>
              <w:bottom w:type="dxa" w:w="40"/>
              <w:right w:type="dxa" w:w="70"/>
            </w:tcMar>
          </w:tcPr>
          <w:p>
            <w:pPr>
              <w:jc w:val="center"/>
            </w:pPr>
            <w:r>
              <w:rPr>
                <w:b w:val="false"/>
                <w:bCs w:val="false"/>
                <w:sz w:val="17"/>
                <w:szCs w:val="17"/>
              </w:rPr>
              <w:t xml:space="preserve">EURO STOXX 50 (^STOXX50E) — eurozone large-cap reference</w:t>
            </w:r>
          </w:p>
        </w:tc>
      </w:tr>
      <w:tr>
        <w:tc>
          <w:tcPr>
            <w:tcW w:type="dxa" w:w="2600"/>
            <w:tcMar>
              <w:top w:type="dxa" w:w="40"/>
              <w:left w:type="dxa" w:w="70"/>
              <w:bottom w:type="dxa" w:w="40"/>
              <w:right w:type="dxa" w:w="70"/>
            </w:tcMar>
          </w:tcPr>
          <w:p>
            <w:pPr>
              <w:jc w:val="left"/>
            </w:pPr>
            <w:r>
              <w:rPr>
                <w:b w:val="false"/>
                <w:bCs w:val="false"/>
                <w:sz w:val="17"/>
                <w:szCs w:val="17"/>
              </w:rPr>
              <w:t xml:space="preserve">Asset class / scope</w:t>
            </w:r>
          </w:p>
        </w:tc>
        <w:tc>
          <w:tcPr>
            <w:tcW w:type="dxa" w:w="6760"/>
            <w:tcMar>
              <w:top w:type="dxa" w:w="40"/>
              <w:left w:type="dxa" w:w="70"/>
              <w:bottom w:type="dxa" w:w="40"/>
              <w:right w:type="dxa" w:w="70"/>
            </w:tcMar>
          </w:tcPr>
          <w:p>
            <w:pPr>
              <w:jc w:val="center"/>
            </w:pPr>
            <w:r>
              <w:rPr>
                <w:b w:val="false"/>
                <w:bCs w:val="false"/>
                <w:sz w:val="17"/>
                <w:szCs w:val="17"/>
              </w:rPr>
              <w:t xml:space="preserve">Equity index, large-cap European · Regional (UK + Eurozone)</w:t>
            </w:r>
          </w:p>
        </w:tc>
      </w:tr>
      <w:tr>
        <w:tc>
          <w:tcPr>
            <w:tcW w:type="dxa" w:w="2600"/>
            <w:shd w:fill="F2F4F8" w:color="auto" w:val="clear"/>
            <w:tcMar>
              <w:top w:type="dxa" w:w="40"/>
              <w:left w:type="dxa" w:w="70"/>
              <w:bottom w:type="dxa" w:w="40"/>
              <w:right w:type="dxa" w:w="70"/>
            </w:tcMar>
          </w:tcPr>
          <w:p>
            <w:pPr>
              <w:jc w:val="left"/>
            </w:pPr>
            <w:r>
              <w:rPr>
                <w:b w:val="false"/>
                <w:bCs w:val="false"/>
                <w:sz w:val="17"/>
                <w:szCs w:val="17"/>
              </w:rPr>
              <w:t xml:space="preserve">Delivery basis</w:t>
            </w:r>
          </w:p>
        </w:tc>
        <w:tc>
          <w:tcPr>
            <w:tcW w:type="dxa" w:w="6760"/>
            <w:shd w:fill="F2F4F8" w:color="auto" w:val="clear"/>
            <w:tcMar>
              <w:top w:type="dxa" w:w="40"/>
              <w:left w:type="dxa" w:w="70"/>
              <w:bottom w:type="dxa" w:w="40"/>
              <w:right w:type="dxa" w:w="70"/>
            </w:tcMar>
          </w:tcPr>
          <w:p>
            <w:pPr>
              <w:jc w:val="center"/>
            </w:pPr>
            <w:r>
              <w:rPr>
                <w:b w:val="false"/>
                <w:bCs w:val="false"/>
                <w:sz w:val="17"/>
                <w:szCs w:val="17"/>
              </w:rPr>
              <w:t xml:space="preserve">LSE regular session 08:00–16:30 UK (FTSE); Xetra 09:00–17:30 CET (STOXX)</w:t>
            </w:r>
          </w:p>
        </w:tc>
      </w:tr>
      <w:tr>
        <w:tc>
          <w:tcPr>
            <w:tcW w:type="dxa" w:w="2600"/>
            <w:tcMar>
              <w:top w:type="dxa" w:w="40"/>
              <w:left w:type="dxa" w:w="70"/>
              <w:bottom w:type="dxa" w:w="40"/>
              <w:right w:type="dxa" w:w="70"/>
            </w:tcMar>
          </w:tcPr>
          <w:p>
            <w:pPr>
              <w:jc w:val="left"/>
            </w:pPr>
            <w:r>
              <w:rPr>
                <w:b w:val="false"/>
                <w:bCs w:val="false"/>
                <w:sz w:val="17"/>
                <w:szCs w:val="17"/>
              </w:rPr>
              <w:t xml:space="preserve">Price basis</w:t>
            </w:r>
          </w:p>
        </w:tc>
        <w:tc>
          <w:tcPr>
            <w:tcW w:type="dxa" w:w="6760"/>
            <w:tcMar>
              <w:top w:type="dxa" w:w="40"/>
              <w:left w:type="dxa" w:w="70"/>
              <w:bottom w:type="dxa" w:w="40"/>
              <w:right w:type="dxa" w:w="70"/>
            </w:tcMar>
          </w:tcPr>
          <w:p>
            <w:pPr>
              <w:jc w:val="center"/>
            </w:pPr>
            <w:r>
              <w:rPr>
                <w:b w:val="false"/>
                <w:bCs w:val="false"/>
                <w:sz w:val="17"/>
                <w:szCs w:val="17"/>
              </w:rPr>
              <w:t xml:space="preserve">Cash index level (continuous)</w:t>
            </w:r>
          </w:p>
        </w:tc>
      </w:tr>
      <w:tr>
        <w:tc>
          <w:tcPr>
            <w:tcW w:type="dxa" w:w="2600"/>
            <w:shd w:fill="F2F4F8" w:color="auto" w:val="clear"/>
            <w:tcMar>
              <w:top w:type="dxa" w:w="40"/>
              <w:left w:type="dxa" w:w="70"/>
              <w:bottom w:type="dxa" w:w="40"/>
              <w:right w:type="dxa" w:w="70"/>
            </w:tcMar>
          </w:tcPr>
          <w:p>
            <w:pPr>
              <w:jc w:val="left"/>
            </w:pPr>
            <w:r>
              <w:rPr>
                <w:b w:val="false"/>
                <w:bCs w:val="false"/>
                <w:sz w:val="17"/>
                <w:szCs w:val="17"/>
              </w:rPr>
              <w:t xml:space="preserve">Unit / currency</w:t>
            </w:r>
          </w:p>
        </w:tc>
        <w:tc>
          <w:tcPr>
            <w:tcW w:type="dxa" w:w="6760"/>
            <w:shd w:fill="F2F4F8" w:color="auto" w:val="clear"/>
            <w:tcMar>
              <w:top w:type="dxa" w:w="40"/>
              <w:left w:type="dxa" w:w="70"/>
              <w:bottom w:type="dxa" w:w="40"/>
              <w:right w:type="dxa" w:w="70"/>
            </w:tcMar>
          </w:tcPr>
          <w:p>
            <w:pPr>
              <w:jc w:val="center"/>
            </w:pPr>
            <w:r>
              <w:rPr>
                <w:b w:val="false"/>
                <w:bCs w:val="false"/>
                <w:sz w:val="17"/>
                <w:szCs w:val="17"/>
              </w:rPr>
              <w:t xml:space="preserve">Index points · GBP (STOXX shown in native EUR)</w:t>
            </w:r>
          </w:p>
        </w:tc>
      </w:tr>
      <w:tr>
        <w:tc>
          <w:tcPr>
            <w:tcW w:type="dxa" w:w="2600"/>
            <w:tcMar>
              <w:top w:type="dxa" w:w="40"/>
              <w:left w:type="dxa" w:w="70"/>
              <w:bottom w:type="dxa" w:w="40"/>
              <w:right w:type="dxa" w:w="70"/>
            </w:tcMar>
          </w:tcPr>
          <w:p>
            <w:pPr>
              <w:jc w:val="left"/>
            </w:pPr>
            <w:r>
              <w:rPr>
                <w:b w:val="false"/>
                <w:bCs w:val="false"/>
                <w:sz w:val="17"/>
                <w:szCs w:val="17"/>
              </w:rPr>
              <w:t xml:space="preserve">Tick</w:t>
            </w:r>
          </w:p>
        </w:tc>
        <w:tc>
          <w:tcPr>
            <w:tcW w:type="dxa" w:w="6760"/>
            <w:tcMar>
              <w:top w:type="dxa" w:w="40"/>
              <w:left w:type="dxa" w:w="70"/>
              <w:bottom w:type="dxa" w:w="40"/>
              <w:right w:type="dxa" w:w="70"/>
            </w:tcMar>
          </w:tcPr>
          <w:p>
            <w:pPr>
              <w:jc w:val="center"/>
            </w:pPr>
            <w:r>
              <w:rPr>
                <w:b w:val="false"/>
                <w:bCs w:val="false"/>
                <w:sz w:val="17"/>
                <w:szCs w:val="17"/>
              </w:rPr>
              <w:t xml:space="preserve">0.01 point</w:t>
            </w:r>
          </w:p>
        </w:tc>
      </w:tr>
      <w:tr>
        <w:tc>
          <w:tcPr>
            <w:tcW w:type="dxa" w:w="2600"/>
            <w:shd w:fill="F2F4F8" w:color="auto" w:val="clear"/>
            <w:tcMar>
              <w:top w:type="dxa" w:w="40"/>
              <w:left w:type="dxa" w:w="70"/>
              <w:bottom w:type="dxa" w:w="40"/>
              <w:right w:type="dxa" w:w="70"/>
            </w:tcMar>
          </w:tcPr>
          <w:p>
            <w:pPr>
              <w:jc w:val="left"/>
            </w:pPr>
            <w:r>
              <w:rPr>
                <w:b w:val="false"/>
                <w:bCs w:val="false"/>
                <w:sz w:val="17"/>
                <w:szCs w:val="17"/>
              </w:rPr>
              <w:t xml:space="preserve">As-of</w:t>
            </w:r>
          </w:p>
        </w:tc>
        <w:tc>
          <w:tcPr>
            <w:tcW w:type="dxa" w:w="6760"/>
            <w:shd w:fill="F2F4F8" w:color="auto" w:val="clear"/>
            <w:tcMar>
              <w:top w:type="dxa" w:w="40"/>
              <w:left w:type="dxa" w:w="70"/>
              <w:bottom w:type="dxa" w:w="40"/>
              <w:right w:type="dxa" w:w="70"/>
            </w:tcMar>
          </w:tcPr>
          <w:p>
            <w:pPr>
              <w:jc w:val="center"/>
            </w:pPr>
            <w:r>
              <w:rPr>
                <w:b w:val="false"/>
                <w:bCs w:val="false"/>
                <w:sz w:val="17"/>
                <w:szCs w:val="17"/>
              </w:rPr>
              <w:t xml:space="preserve">6 July 2026 close, Europe/London — forward session 7 July 2026</w:t>
            </w:r>
          </w:p>
        </w:tc>
      </w:tr>
      <w:tr>
        <w:tc>
          <w:tcPr>
            <w:tcW w:type="dxa" w:w="2600"/>
            <w:tcMar>
              <w:top w:type="dxa" w:w="40"/>
              <w:left w:type="dxa" w:w="70"/>
              <w:bottom w:type="dxa" w:w="40"/>
              <w:right w:type="dxa" w:w="70"/>
            </w:tcMar>
          </w:tcPr>
          <w:p>
            <w:pPr>
              <w:jc w:val="left"/>
            </w:pPr>
            <w:r>
              <w:rPr>
                <w:b w:val="false"/>
                <w:bCs w:val="false"/>
                <w:sz w:val="17"/>
                <w:szCs w:val="17"/>
              </w:rPr>
              <w:t xml:space="preserve">Lookback window</w:t>
            </w:r>
          </w:p>
        </w:tc>
        <w:tc>
          <w:tcPr>
            <w:tcW w:type="dxa" w:w="6760"/>
            <w:tcMar>
              <w:top w:type="dxa" w:w="40"/>
              <w:left w:type="dxa" w:w="70"/>
              <w:bottom w:type="dxa" w:w="40"/>
              <w:right w:type="dxa" w:w="70"/>
            </w:tcMar>
          </w:tcPr>
          <w:p>
            <w:pPr>
              <w:jc w:val="center"/>
            </w:pPr>
            <w:r>
              <w:rPr>
                <w:b w:val="false"/>
                <w:bCs w:val="false"/>
                <w:sz w:val="17"/>
                <w:szCs w:val="17"/>
              </w:rPr>
              <w:t xml:space="preserve">5 sessions (29 Jun – 3 Jul 2026)</w:t>
            </w:r>
          </w:p>
        </w:tc>
      </w:tr>
    </w:tbl>
    <w:p>
      <w:pPr>
        <w:spacing w:after="120" w:before="240"/>
      </w:pPr>
      <w:r>
        <w:rPr>
          <w:b/>
          <w:bCs/>
          <w:color w:val="1F3864"/>
          <w:sz w:val="26"/>
          <w:szCs w:val="26"/>
        </w:rPr>
        <w:t xml:space="preserve">3 · Consensus Price Call</w:t>
      </w:r>
    </w:p>
    <w:tbl>
      <w:tblPr>
        <w:tblW w:type="dxa" w:w="9359"/>
        <w:tblBorders>
          <w:top w:val="single" w:color="C0C7D0" w:sz="2"/>
          <w:left w:val="single" w:color="C0C7D0" w:sz="2"/>
          <w:bottom w:val="single" w:color="C0C7D0" w:sz="2"/>
          <w:right w:val="single" w:color="C0C7D0" w:sz="2"/>
          <w:insideH w:val="single" w:color="C0C7D0" w:sz="2"/>
          <w:insideV w:val="single" w:color="C0C7D0" w:sz="2"/>
        </w:tblBorders>
      </w:tblPr>
      <w:tblGrid>
        <w:gridCol w:w="1500"/>
        <w:gridCol w:w="1700"/>
        <w:gridCol w:w="2100"/>
        <w:gridCol w:w="1100"/>
        <w:gridCol w:w="1100"/>
        <w:gridCol w:w="1859"/>
      </w:tblGrid>
      <w:tr>
        <w:trPr>
          <w:tblHeader/>
        </w:trPr>
        <w:tc>
          <w:tcPr>
            <w:tcW w:type="dxa" w:w="1500"/>
            <w:shd w:fill="1F3864" w:color="auto" w:val="clear"/>
            <w:tcMar>
              <w:top w:type="dxa" w:w="40"/>
              <w:left w:type="dxa" w:w="70"/>
              <w:bottom w:type="dxa" w:w="40"/>
              <w:right w:type="dxa" w:w="70"/>
            </w:tcMar>
          </w:tcPr>
          <w:p>
            <w:pPr>
              <w:jc w:val="center"/>
            </w:pPr>
            <w:r>
              <w:rPr>
                <w:b/>
                <w:bCs/>
                <w:color w:val="FFFFFF"/>
                <w:sz w:val="17"/>
                <w:szCs w:val="17"/>
              </w:rPr>
              <w:t xml:space="preserve">Consensus level</w:t>
            </w:r>
          </w:p>
        </w:tc>
        <w:tc>
          <w:tcPr>
            <w:tcW w:type="dxa" w:w="1700"/>
            <w:shd w:fill="1F3864" w:color="auto" w:val="clear"/>
            <w:tcMar>
              <w:top w:type="dxa" w:w="40"/>
              <w:left w:type="dxa" w:w="70"/>
              <w:bottom w:type="dxa" w:w="40"/>
              <w:right w:type="dxa" w:w="70"/>
            </w:tcMar>
          </w:tcPr>
          <w:p>
            <w:pPr>
              <w:jc w:val="center"/>
            </w:pPr>
            <w:r>
              <w:rPr>
                <w:b/>
                <w:bCs/>
                <w:color w:val="FFFFFF"/>
                <w:sz w:val="17"/>
                <w:szCs w:val="17"/>
              </w:rPr>
              <w:t xml:space="preserve">Range</w:t>
            </w:r>
          </w:p>
        </w:tc>
        <w:tc>
          <w:tcPr>
            <w:tcW w:type="dxa" w:w="2100"/>
            <w:shd w:fill="1F3864" w:color="auto" w:val="clear"/>
            <w:tcMar>
              <w:top w:type="dxa" w:w="40"/>
              <w:left w:type="dxa" w:w="70"/>
              <w:bottom w:type="dxa" w:w="40"/>
              <w:right w:type="dxa" w:w="70"/>
            </w:tcMar>
          </w:tcPr>
          <w:p>
            <w:pPr>
              <w:jc w:val="center"/>
            </w:pPr>
            <w:r>
              <w:rPr>
                <w:b/>
                <w:bCs/>
                <w:color w:val="FFFFFF"/>
                <w:sz w:val="17"/>
                <w:szCs w:val="17"/>
              </w:rPr>
              <w:t xml:space="preserve">Basis</w:t>
            </w:r>
          </w:p>
        </w:tc>
        <w:tc>
          <w:tcPr>
            <w:tcW w:type="dxa" w:w="1100"/>
            <w:shd w:fill="1F3864" w:color="auto" w:val="clear"/>
            <w:tcMar>
              <w:top w:type="dxa" w:w="40"/>
              <w:left w:type="dxa" w:w="70"/>
              <w:bottom w:type="dxa" w:w="40"/>
              <w:right w:type="dxa" w:w="70"/>
            </w:tcMar>
          </w:tcPr>
          <w:p>
            <w:pPr>
              <w:jc w:val="center"/>
            </w:pPr>
            <w:r>
              <w:rPr>
                <w:b/>
                <w:bCs/>
                <w:color w:val="FFFFFF"/>
                <w:sz w:val="17"/>
                <w:szCs w:val="17"/>
              </w:rPr>
              <w:t xml:space="preserve">Confidence</w:t>
            </w:r>
          </w:p>
        </w:tc>
        <w:tc>
          <w:tcPr>
            <w:tcW w:type="dxa" w:w="1100"/>
            <w:shd w:fill="1F3864" w:color="auto" w:val="clear"/>
            <w:tcMar>
              <w:top w:type="dxa" w:w="40"/>
              <w:left w:type="dxa" w:w="70"/>
              <w:bottom w:type="dxa" w:w="40"/>
              <w:right w:type="dxa" w:w="70"/>
            </w:tcMar>
          </w:tcPr>
          <w:p>
            <w:pPr>
              <w:jc w:val="center"/>
            </w:pPr>
            <w:r>
              <w:rPr>
                <w:b/>
                <w:bCs/>
                <w:color w:val="FFFFFF"/>
                <w:sz w:val="17"/>
                <w:szCs w:val="17"/>
              </w:rPr>
              <w:t xml:space="preserve">Tone</w:t>
            </w:r>
          </w:p>
        </w:tc>
        <w:tc>
          <w:tcPr>
            <w:tcW w:type="dxa" w:w="1859"/>
            <w:shd w:fill="1F3864" w:color="auto" w:val="clear"/>
            <w:tcMar>
              <w:top w:type="dxa" w:w="40"/>
              <w:left w:type="dxa" w:w="70"/>
              <w:bottom w:type="dxa" w:w="40"/>
              <w:right w:type="dxa" w:w="70"/>
            </w:tcMar>
          </w:tcPr>
          <w:p>
            <w:pPr>
              <w:jc w:val="center"/>
            </w:pPr>
            <w:r>
              <w:rPr>
                <w:b/>
                <w:bCs/>
                <w:color w:val="FFFFFF"/>
                <w:sz w:val="17"/>
                <w:szCs w:val="17"/>
              </w:rPr>
              <w:t xml:space="preserve">Rationale</w:t>
            </w:r>
          </w:p>
        </w:tc>
      </w:tr>
      <w:tr>
        <w:tc>
          <w:tcPr>
            <w:tcW w:type="dxa" w:w="1500"/>
            <w:tcMar>
              <w:top w:type="dxa" w:w="40"/>
              <w:left w:type="dxa" w:w="70"/>
              <w:bottom w:type="dxa" w:w="40"/>
              <w:right w:type="dxa" w:w="70"/>
            </w:tcMar>
          </w:tcPr>
          <w:p>
            <w:pPr>
              <w:jc w:val="left"/>
            </w:pPr>
            <w:r>
              <w:rPr>
                <w:b/>
                <w:bCs/>
                <w:sz w:val="17"/>
                <w:szCs w:val="17"/>
              </w:rPr>
              <w:t xml:space="preserve">10,679</w:t>
            </w:r>
          </w:p>
        </w:tc>
        <w:tc>
          <w:tcPr>
            <w:tcW w:type="dxa" w:w="1700"/>
            <w:tcMar>
              <w:top w:type="dxa" w:w="40"/>
              <w:left w:type="dxa" w:w="70"/>
              <w:bottom w:type="dxa" w:w="40"/>
              <w:right w:type="dxa" w:w="70"/>
            </w:tcMar>
          </w:tcPr>
          <w:p>
            <w:pPr>
              <w:jc w:val="center"/>
            </w:pPr>
            <w:r>
              <w:rPr>
                <w:b w:val="false"/>
                <w:bCs w:val="false"/>
                <w:sz w:val="17"/>
                <w:szCs w:val="17"/>
              </w:rPr>
              <w:t xml:space="preserve">10,660 – 10,730</w:t>
            </w:r>
          </w:p>
        </w:tc>
        <w:tc>
          <w:tcPr>
            <w:tcW w:type="dxa" w:w="2100"/>
            <w:tcMar>
              <w:top w:type="dxa" w:w="40"/>
              <w:left w:type="dxa" w:w="70"/>
              <w:bottom w:type="dxa" w:w="40"/>
              <w:right w:type="dxa" w:w="70"/>
            </w:tcMar>
          </w:tcPr>
          <w:p>
            <w:pPr>
              <w:jc w:val="center"/>
            </w:pPr>
            <w:r>
              <w:rPr>
                <w:b w:val="false"/>
                <w:bCs w:val="false"/>
                <w:sz w:val="17"/>
                <w:szCs w:val="17"/>
              </w:rPr>
              <w:t xml:space="preserve">Cash close (3 Jul) marked to 6 Jul intraday</w:t>
            </w:r>
          </w:p>
        </w:tc>
        <w:tc>
          <w:tcPr>
            <w:tcW w:type="dxa" w:w="1100"/>
            <w:tcMar>
              <w:top w:type="dxa" w:w="40"/>
              <w:left w:type="dxa" w:w="70"/>
              <w:bottom w:type="dxa" w:w="40"/>
              <w:right w:type="dxa" w:w="70"/>
            </w:tcMar>
          </w:tcPr>
          <w:p>
            <w:pPr>
              <w:jc w:val="center"/>
            </w:pPr>
            <w:r>
              <w:rPr>
                <w:b w:val="false"/>
                <w:bCs w:val="false"/>
                <w:sz w:val="17"/>
                <w:szCs w:val="17"/>
              </w:rPr>
              <w:t xml:space="preserve">Medium</w:t>
            </w:r>
          </w:p>
        </w:tc>
        <w:tc>
          <w:tcPr>
            <w:tcW w:type="dxa" w:w="1100"/>
            <w:tcMar>
              <w:top w:type="dxa" w:w="40"/>
              <w:left w:type="dxa" w:w="70"/>
              <w:bottom w:type="dxa" w:w="40"/>
              <w:right w:type="dxa" w:w="70"/>
            </w:tcMar>
          </w:tcPr>
          <w:p>
            <w:pPr>
              <w:jc w:val="center"/>
            </w:pPr>
            <w:r>
              <w:rPr>
                <w:b w:val="false"/>
                <w:bCs w:val="false"/>
                <w:sz w:val="17"/>
                <w:szCs w:val="17"/>
              </w:rPr>
              <w:t xml:space="preserve">Bullish</w:t>
            </w:r>
          </w:p>
        </w:tc>
        <w:tc>
          <w:tcPr>
            <w:tcW w:type="dxa" w:w="1859"/>
            <w:tcMar>
              <w:top w:type="dxa" w:w="40"/>
              <w:left w:type="dxa" w:w="70"/>
              <w:bottom w:type="dxa" w:w="40"/>
              <w:right w:type="dxa" w:w="70"/>
            </w:tcMar>
          </w:tcPr>
          <w:p>
            <w:pPr>
              <w:jc w:val="center"/>
            </w:pPr>
            <w:r>
              <w:rPr>
                <w:b w:val="false"/>
                <w:bCs w:val="false"/>
                <w:sz w:val="17"/>
                <w:szCs w:val="17"/>
              </w:rPr>
              <w:t xml:space="preserve">Corroborated 3-Jul close; index marked higher into the 7-Jul open on a soft-payrolls, weaker-sterling backdrop.</w:t>
            </w:r>
          </w:p>
        </w:tc>
      </w:tr>
    </w:tbl>
    <w:p>
      <w:pPr>
        <w:spacing w:after="100"/>
      </w:pPr>
      <w:r>
        <w:rPr>
          <w:i/>
          <w:iCs/>
          <w:sz w:val="18"/>
          <w:szCs w:val="18"/>
        </w:rPr>
        <w:t xml:space="preserve">Consensus is a weighted-median of index-provider and exchange-derived close values for the 3 July settlement. The forward reference for 7 July is anchored to the 6 July intraday mark (~10,720–10,730) where two independent live sources agreed within tolerance.</w:t>
      </w:r>
    </w:p>
    <w:p>
      <w:pPr>
        <w:spacing w:after="120" w:before="240"/>
      </w:pPr>
      <w:r>
        <w:rPr>
          <w:b/>
          <w:bCs/>
          <w:color w:val="1F3864"/>
          <w:sz w:val="26"/>
          <w:szCs w:val="26"/>
        </w:rPr>
        <w:t xml:space="preserve">4 · Price Evidence Table</w:t>
      </w:r>
    </w:p>
    <w:tbl>
      <w:tblPr>
        <w:tblW w:type="dxa" w:w="9360"/>
        <w:tblBorders>
          <w:top w:val="single" w:color="C0C7D0" w:sz="2"/>
          <w:left w:val="single" w:color="C0C7D0" w:sz="2"/>
          <w:bottom w:val="single" w:color="C0C7D0" w:sz="2"/>
          <w:right w:val="single" w:color="C0C7D0" w:sz="2"/>
          <w:insideH w:val="single" w:color="C0C7D0" w:sz="2"/>
          <w:insideV w:val="single" w:color="C0C7D0" w:sz="2"/>
        </w:tblBorders>
      </w:tblPr>
      <w:tblGrid>
        <w:gridCol w:w="1450"/>
        <w:gridCol w:w="1250"/>
        <w:gridCol w:w="1200"/>
        <w:gridCol w:w="1500"/>
        <w:gridCol w:w="1250"/>
        <w:gridCol w:w="900"/>
        <w:gridCol w:w="1810"/>
      </w:tblGrid>
      <w:tr>
        <w:trPr>
          <w:tblHeader/>
        </w:trPr>
        <w:tc>
          <w:tcPr>
            <w:tcW w:type="dxa" w:w="1450"/>
            <w:shd w:fill="1F3864" w:color="auto" w:val="clear"/>
            <w:tcMar>
              <w:top w:type="dxa" w:w="40"/>
              <w:left w:type="dxa" w:w="70"/>
              <w:bottom w:type="dxa" w:w="40"/>
              <w:right w:type="dxa" w:w="70"/>
            </w:tcMar>
          </w:tcPr>
          <w:p>
            <w:pPr>
              <w:jc w:val="center"/>
            </w:pPr>
            <w:r>
              <w:rPr>
                <w:b/>
                <w:bCs/>
                <w:color w:val="FFFFFF"/>
                <w:sz w:val="17"/>
                <w:szCs w:val="17"/>
              </w:rPr>
              <w:t xml:space="preserve">Source</w:t>
            </w:r>
          </w:p>
        </w:tc>
        <w:tc>
          <w:tcPr>
            <w:tcW w:type="dxa" w:w="1250"/>
            <w:shd w:fill="1F3864" w:color="auto" w:val="clear"/>
            <w:tcMar>
              <w:top w:type="dxa" w:w="40"/>
              <w:left w:type="dxa" w:w="70"/>
              <w:bottom w:type="dxa" w:w="40"/>
              <w:right w:type="dxa" w:w="70"/>
            </w:tcMar>
          </w:tcPr>
          <w:p>
            <w:pPr>
              <w:jc w:val="center"/>
            </w:pPr>
            <w:r>
              <w:rPr>
                <w:b/>
                <w:bCs/>
                <w:color w:val="FFFFFF"/>
                <w:sz w:val="17"/>
                <w:szCs w:val="17"/>
              </w:rPr>
              <w:t xml:space="preserve">Date/Time</w:t>
            </w:r>
          </w:p>
        </w:tc>
        <w:tc>
          <w:tcPr>
            <w:tcW w:type="dxa" w:w="1200"/>
            <w:shd w:fill="1F3864" w:color="auto" w:val="clear"/>
            <w:tcMar>
              <w:top w:type="dxa" w:w="40"/>
              <w:left w:type="dxa" w:w="70"/>
              <w:bottom w:type="dxa" w:w="40"/>
              <w:right w:type="dxa" w:w="70"/>
            </w:tcMar>
          </w:tcPr>
          <w:p>
            <w:pPr>
              <w:jc w:val="center"/>
            </w:pPr>
            <w:r>
              <w:rPr>
                <w:b/>
                <w:bCs/>
                <w:color w:val="FFFFFF"/>
                <w:sz w:val="17"/>
                <w:szCs w:val="17"/>
              </w:rPr>
              <w:t xml:space="preserve">Raw Quote</w:t>
            </w:r>
          </w:p>
        </w:tc>
        <w:tc>
          <w:tcPr>
            <w:tcW w:type="dxa" w:w="1500"/>
            <w:shd w:fill="1F3864" w:color="auto" w:val="clear"/>
            <w:tcMar>
              <w:top w:type="dxa" w:w="40"/>
              <w:left w:type="dxa" w:w="70"/>
              <w:bottom w:type="dxa" w:w="40"/>
              <w:right w:type="dxa" w:w="70"/>
            </w:tcMar>
          </w:tcPr>
          <w:p>
            <w:pPr>
              <w:jc w:val="center"/>
            </w:pPr>
            <w:r>
              <w:rPr>
                <w:b/>
                <w:bCs/>
                <w:color w:val="FFFFFF"/>
                <w:sz w:val="17"/>
                <w:szCs w:val="17"/>
              </w:rPr>
              <w:t xml:space="preserve">Normalized (GBP pts)</w:t>
            </w:r>
          </w:p>
        </w:tc>
        <w:tc>
          <w:tcPr>
            <w:tcW w:type="dxa" w:w="1250"/>
            <w:shd w:fill="1F3864" w:color="auto" w:val="clear"/>
            <w:tcMar>
              <w:top w:type="dxa" w:w="40"/>
              <w:left w:type="dxa" w:w="70"/>
              <w:bottom w:type="dxa" w:w="40"/>
              <w:right w:type="dxa" w:w="70"/>
            </w:tcMar>
          </w:tcPr>
          <w:p>
            <w:pPr>
              <w:jc w:val="center"/>
            </w:pPr>
            <w:r>
              <w:rPr>
                <w:b/>
                <w:bCs/>
                <w:color w:val="FFFFFF"/>
                <w:sz w:val="17"/>
                <w:szCs w:val="17"/>
              </w:rPr>
              <w:t xml:space="preserve">Basis</w:t>
            </w:r>
          </w:p>
        </w:tc>
        <w:tc>
          <w:tcPr>
            <w:tcW w:type="dxa" w:w="900"/>
            <w:shd w:fill="1F3864" w:color="auto" w:val="clear"/>
            <w:tcMar>
              <w:top w:type="dxa" w:w="40"/>
              <w:left w:type="dxa" w:w="70"/>
              <w:bottom w:type="dxa" w:w="40"/>
              <w:right w:type="dxa" w:w="70"/>
            </w:tcMar>
          </w:tcPr>
          <w:p>
            <w:pPr>
              <w:jc w:val="center"/>
            </w:pPr>
            <w:r>
              <w:rPr>
                <w:b/>
                <w:bCs/>
                <w:color w:val="FFFFFF"/>
                <w:sz w:val="17"/>
                <w:szCs w:val="17"/>
              </w:rPr>
              <w:t xml:space="preserve">Class</w:t>
            </w:r>
          </w:p>
        </w:tc>
        <w:tc>
          <w:tcPr>
            <w:tcW w:type="dxa" w:w="1810"/>
            <w:shd w:fill="1F3864" w:color="auto" w:val="clear"/>
            <w:tcMar>
              <w:top w:type="dxa" w:w="40"/>
              <w:left w:type="dxa" w:w="70"/>
              <w:bottom w:type="dxa" w:w="40"/>
              <w:right w:type="dxa" w:w="70"/>
            </w:tcMar>
          </w:tcPr>
          <w:p>
            <w:pPr>
              <w:jc w:val="center"/>
            </w:pPr>
            <w:r>
              <w:rPr>
                <w:b/>
                <w:bCs/>
                <w:color w:val="FFFFFF"/>
                <w:sz w:val="17"/>
                <w:szCs w:val="17"/>
              </w:rPr>
              <w:t xml:space="preserve">Notes</w:t>
            </w:r>
          </w:p>
        </w:tc>
      </w:tr>
      <w:tr>
        <w:tc>
          <w:tcPr>
            <w:tcW w:type="dxa" w:w="1450"/>
            <w:tcMar>
              <w:top w:type="dxa" w:w="40"/>
              <w:left w:type="dxa" w:w="70"/>
              <w:bottom w:type="dxa" w:w="40"/>
              <w:right w:type="dxa" w:w="70"/>
            </w:tcMar>
          </w:tcPr>
          <w:p>
            <w:pPr>
              <w:jc w:val="left"/>
            </w:pPr>
            <w:r>
              <w:rPr>
                <w:b w:val="false"/>
                <w:bCs w:val="false"/>
                <w:sz w:val="17"/>
                <w:szCs w:val="17"/>
              </w:rPr>
              <w:t xml:space="preserve">Investing.com</w:t>
            </w:r>
          </w:p>
        </w:tc>
        <w:tc>
          <w:tcPr>
            <w:tcW w:type="dxa" w:w="1250"/>
            <w:tcMar>
              <w:top w:type="dxa" w:w="40"/>
              <w:left w:type="dxa" w:w="70"/>
              <w:bottom w:type="dxa" w:w="40"/>
              <w:right w:type="dxa" w:w="70"/>
            </w:tcMar>
          </w:tcPr>
          <w:p>
            <w:pPr>
              <w:jc w:val="center"/>
            </w:pPr>
            <w:r>
              <w:rPr>
                <w:b w:val="false"/>
                <w:bCs w:val="false"/>
                <w:sz w:val="17"/>
                <w:szCs w:val="17"/>
              </w:rPr>
              <w:t xml:space="preserve">3 Jul 16:35 UK</w:t>
            </w:r>
          </w:p>
        </w:tc>
        <w:tc>
          <w:tcPr>
            <w:tcW w:type="dxa" w:w="1200"/>
            <w:tcMar>
              <w:top w:type="dxa" w:w="40"/>
              <w:left w:type="dxa" w:w="70"/>
              <w:bottom w:type="dxa" w:w="40"/>
              <w:right w:type="dxa" w:w="70"/>
            </w:tcMar>
          </w:tcPr>
          <w:p>
            <w:pPr>
              <w:jc w:val="center"/>
            </w:pPr>
            <w:r>
              <w:rPr>
                <w:b w:val="false"/>
                <w:bCs w:val="false"/>
                <w:sz w:val="17"/>
                <w:szCs w:val="17"/>
              </w:rPr>
              <w:t xml:space="preserve">10,679.03</w:t>
            </w:r>
          </w:p>
        </w:tc>
        <w:tc>
          <w:tcPr>
            <w:tcW w:type="dxa" w:w="1500"/>
            <w:tcMar>
              <w:top w:type="dxa" w:w="40"/>
              <w:left w:type="dxa" w:w="70"/>
              <w:bottom w:type="dxa" w:w="40"/>
              <w:right w:type="dxa" w:w="70"/>
            </w:tcMar>
          </w:tcPr>
          <w:p>
            <w:pPr>
              <w:jc w:val="center"/>
            </w:pPr>
            <w:r>
              <w:rPr>
                <w:b w:val="false"/>
                <w:bCs w:val="false"/>
                <w:sz w:val="17"/>
                <w:szCs w:val="17"/>
              </w:rPr>
              <w:t xml:space="preserve">10,679.03</w:t>
            </w:r>
          </w:p>
        </w:tc>
        <w:tc>
          <w:tcPr>
            <w:tcW w:type="dxa" w:w="1250"/>
            <w:tcMar>
              <w:top w:type="dxa" w:w="40"/>
              <w:left w:type="dxa" w:w="70"/>
              <w:bottom w:type="dxa" w:w="40"/>
              <w:right w:type="dxa" w:w="70"/>
            </w:tcMar>
          </w:tcPr>
          <w:p>
            <w:pPr>
              <w:jc w:val="center"/>
            </w:pPr>
            <w:r>
              <w:rPr>
                <w:b w:val="false"/>
                <w:bCs w:val="false"/>
                <w:sz w:val="17"/>
                <w:szCs w:val="17"/>
              </w:rPr>
              <w:t xml:space="preserve">Cash close</w:t>
            </w:r>
          </w:p>
        </w:tc>
        <w:tc>
          <w:tcPr>
            <w:tcW w:type="dxa" w:w="900"/>
            <w:tcMar>
              <w:top w:type="dxa" w:w="40"/>
              <w:left w:type="dxa" w:w="70"/>
              <w:bottom w:type="dxa" w:w="40"/>
              <w:right w:type="dxa" w:w="70"/>
            </w:tcMar>
          </w:tcPr>
          <w:p>
            <w:pPr>
              <w:jc w:val="center"/>
            </w:pPr>
            <w:r>
              <w:rPr>
                <w:b w:val="false"/>
                <w:bCs w:val="false"/>
                <w:sz w:val="17"/>
                <w:szCs w:val="17"/>
              </w:rPr>
              <w:t xml:space="preserve">Core</w:t>
            </w:r>
          </w:p>
        </w:tc>
        <w:tc>
          <w:tcPr>
            <w:tcW w:type="dxa" w:w="1810"/>
            <w:tcMar>
              <w:top w:type="dxa" w:w="40"/>
              <w:left w:type="dxa" w:w="70"/>
              <w:bottom w:type="dxa" w:w="40"/>
              <w:right w:type="dxa" w:w="70"/>
            </w:tcMar>
          </w:tcPr>
          <w:p>
            <w:pPr>
              <w:jc w:val="center"/>
            </w:pPr>
            <w:r>
              <w:rPr>
                <w:b w:val="false"/>
                <w:bCs w:val="false"/>
                <w:sz w:val="17"/>
                <w:szCs w:val="17"/>
              </w:rPr>
              <w:t xml:space="preserve">Day range 10,604.25–10,701.32; open 10,652.81</w:t>
            </w:r>
          </w:p>
        </w:tc>
      </w:tr>
      <w:tr>
        <w:tc>
          <w:tcPr>
            <w:tcW w:type="dxa" w:w="1450"/>
            <w:shd w:fill="F2F4F8" w:color="auto" w:val="clear"/>
            <w:tcMar>
              <w:top w:type="dxa" w:w="40"/>
              <w:left w:type="dxa" w:w="70"/>
              <w:bottom w:type="dxa" w:w="40"/>
              <w:right w:type="dxa" w:w="70"/>
            </w:tcMar>
          </w:tcPr>
          <w:p>
            <w:pPr>
              <w:jc w:val="left"/>
            </w:pPr>
            <w:r>
              <w:rPr>
                <w:b w:val="false"/>
                <w:bCs w:val="false"/>
                <w:sz w:val="17"/>
                <w:szCs w:val="17"/>
              </w:rPr>
              <w:t xml:space="preserve">Yahoo Finance</w:t>
            </w:r>
          </w:p>
        </w:tc>
        <w:tc>
          <w:tcPr>
            <w:tcW w:type="dxa" w:w="1250"/>
            <w:shd w:fill="F2F4F8" w:color="auto" w:val="clear"/>
            <w:tcMar>
              <w:top w:type="dxa" w:w="40"/>
              <w:left w:type="dxa" w:w="70"/>
              <w:bottom w:type="dxa" w:w="40"/>
              <w:right w:type="dxa" w:w="70"/>
            </w:tcMar>
          </w:tcPr>
          <w:p>
            <w:pPr>
              <w:jc w:val="center"/>
            </w:pPr>
            <w:r>
              <w:rPr>
                <w:b w:val="false"/>
                <w:bCs w:val="false"/>
                <w:sz w:val="17"/>
                <w:szCs w:val="17"/>
              </w:rPr>
              <w:t xml:space="preserve">3 Jul close</w:t>
            </w:r>
          </w:p>
        </w:tc>
        <w:tc>
          <w:tcPr>
            <w:tcW w:type="dxa" w:w="1200"/>
            <w:shd w:fill="F2F4F8" w:color="auto" w:val="clear"/>
            <w:tcMar>
              <w:top w:type="dxa" w:w="40"/>
              <w:left w:type="dxa" w:w="70"/>
              <w:bottom w:type="dxa" w:w="40"/>
              <w:right w:type="dxa" w:w="70"/>
            </w:tcMar>
          </w:tcPr>
          <w:p>
            <w:pPr>
              <w:jc w:val="center"/>
            </w:pPr>
            <w:r>
              <w:rPr>
                <w:b w:val="false"/>
                <w:bCs w:val="false"/>
                <w:sz w:val="17"/>
                <w:szCs w:val="17"/>
              </w:rPr>
              <w:t xml:space="preserve">10,679.03</w:t>
            </w:r>
          </w:p>
        </w:tc>
        <w:tc>
          <w:tcPr>
            <w:tcW w:type="dxa" w:w="1500"/>
            <w:shd w:fill="F2F4F8" w:color="auto" w:val="clear"/>
            <w:tcMar>
              <w:top w:type="dxa" w:w="40"/>
              <w:left w:type="dxa" w:w="70"/>
              <w:bottom w:type="dxa" w:w="40"/>
              <w:right w:type="dxa" w:w="70"/>
            </w:tcMar>
          </w:tcPr>
          <w:p>
            <w:pPr>
              <w:jc w:val="center"/>
            </w:pPr>
            <w:r>
              <w:rPr>
                <w:b w:val="false"/>
                <w:bCs w:val="false"/>
                <w:sz w:val="17"/>
                <w:szCs w:val="17"/>
              </w:rPr>
              <w:t xml:space="preserve">10,679.03</w:t>
            </w:r>
          </w:p>
        </w:tc>
        <w:tc>
          <w:tcPr>
            <w:tcW w:type="dxa" w:w="1250"/>
            <w:shd w:fill="F2F4F8" w:color="auto" w:val="clear"/>
            <w:tcMar>
              <w:top w:type="dxa" w:w="40"/>
              <w:left w:type="dxa" w:w="70"/>
              <w:bottom w:type="dxa" w:w="40"/>
              <w:right w:type="dxa" w:w="70"/>
            </w:tcMar>
          </w:tcPr>
          <w:p>
            <w:pPr>
              <w:jc w:val="center"/>
            </w:pPr>
            <w:r>
              <w:rPr>
                <w:b w:val="false"/>
                <w:bCs w:val="false"/>
                <w:sz w:val="17"/>
                <w:szCs w:val="17"/>
              </w:rPr>
              <w:t xml:space="preserve">Cash close</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Core</w:t>
            </w:r>
          </w:p>
        </w:tc>
        <w:tc>
          <w:tcPr>
            <w:tcW w:type="dxa" w:w="1810"/>
            <w:shd w:fill="F2F4F8" w:color="auto" w:val="clear"/>
            <w:tcMar>
              <w:top w:type="dxa" w:w="40"/>
              <w:left w:type="dxa" w:w="70"/>
              <w:bottom w:type="dxa" w:w="40"/>
              <w:right w:type="dxa" w:w="70"/>
            </w:tcMar>
          </w:tcPr>
          <w:p>
            <w:pPr>
              <w:jc w:val="center"/>
            </w:pPr>
            <w:r>
              <w:rPr>
                <w:b w:val="false"/>
                <w:bCs w:val="false"/>
                <w:sz w:val="17"/>
                <w:szCs w:val="17"/>
              </w:rPr>
              <w:t xml:space="preserve">Agrees to 0.00 with Investing.com</w:t>
            </w:r>
          </w:p>
        </w:tc>
      </w:tr>
      <w:tr>
        <w:tc>
          <w:tcPr>
            <w:tcW w:type="dxa" w:w="1450"/>
            <w:tcMar>
              <w:top w:type="dxa" w:w="40"/>
              <w:left w:type="dxa" w:w="70"/>
              <w:bottom w:type="dxa" w:w="40"/>
              <w:right w:type="dxa" w:w="70"/>
            </w:tcMar>
          </w:tcPr>
          <w:p>
            <w:pPr>
              <w:jc w:val="left"/>
            </w:pPr>
            <w:r>
              <w:rPr>
                <w:b w:val="false"/>
                <w:bCs w:val="false"/>
                <w:sz w:val="17"/>
                <w:szCs w:val="17"/>
              </w:rPr>
              <w:t xml:space="preserve">Trading Economics</w:t>
            </w:r>
          </w:p>
        </w:tc>
        <w:tc>
          <w:tcPr>
            <w:tcW w:type="dxa" w:w="1250"/>
            <w:tcMar>
              <w:top w:type="dxa" w:w="40"/>
              <w:left w:type="dxa" w:w="70"/>
              <w:bottom w:type="dxa" w:w="40"/>
              <w:right w:type="dxa" w:w="70"/>
            </w:tcMar>
          </w:tcPr>
          <w:p>
            <w:pPr>
              <w:jc w:val="center"/>
            </w:pPr>
            <w:r>
              <w:rPr>
                <w:b w:val="false"/>
                <w:bCs w:val="false"/>
                <w:sz w:val="17"/>
                <w:szCs w:val="17"/>
              </w:rPr>
              <w:t xml:space="preserve">3 Jul close</w:t>
            </w:r>
          </w:p>
        </w:tc>
        <w:tc>
          <w:tcPr>
            <w:tcW w:type="dxa" w:w="1200"/>
            <w:tcMar>
              <w:top w:type="dxa" w:w="40"/>
              <w:left w:type="dxa" w:w="70"/>
              <w:bottom w:type="dxa" w:w="40"/>
              <w:right w:type="dxa" w:w="70"/>
            </w:tcMar>
          </w:tcPr>
          <w:p>
            <w:pPr>
              <w:jc w:val="center"/>
            </w:pPr>
            <w:r>
              <w:rPr>
                <w:b w:val="false"/>
                <w:bCs w:val="false"/>
                <w:sz w:val="17"/>
                <w:szCs w:val="17"/>
              </w:rPr>
              <w:t xml:space="preserve">10,673</w:t>
            </w:r>
          </w:p>
        </w:tc>
        <w:tc>
          <w:tcPr>
            <w:tcW w:type="dxa" w:w="1500"/>
            <w:tcMar>
              <w:top w:type="dxa" w:w="40"/>
              <w:left w:type="dxa" w:w="70"/>
              <w:bottom w:type="dxa" w:w="40"/>
              <w:right w:type="dxa" w:w="70"/>
            </w:tcMar>
          </w:tcPr>
          <w:p>
            <w:pPr>
              <w:jc w:val="center"/>
            </w:pPr>
            <w:r>
              <w:rPr>
                <w:b w:val="false"/>
                <w:bCs w:val="false"/>
                <w:sz w:val="17"/>
                <w:szCs w:val="17"/>
              </w:rPr>
              <w:t xml:space="preserve">10,673</w:t>
            </w:r>
          </w:p>
        </w:tc>
        <w:tc>
          <w:tcPr>
            <w:tcW w:type="dxa" w:w="1250"/>
            <w:tcMar>
              <w:top w:type="dxa" w:w="40"/>
              <w:left w:type="dxa" w:w="70"/>
              <w:bottom w:type="dxa" w:w="40"/>
              <w:right w:type="dxa" w:w="70"/>
            </w:tcMar>
          </w:tcPr>
          <w:p>
            <w:pPr>
              <w:jc w:val="center"/>
            </w:pPr>
            <w:r>
              <w:rPr>
                <w:b w:val="false"/>
                <w:bCs w:val="false"/>
                <w:sz w:val="17"/>
                <w:szCs w:val="17"/>
              </w:rPr>
              <w:t xml:space="preserve">Cash (CFD-derived)</w:t>
            </w:r>
          </w:p>
        </w:tc>
        <w:tc>
          <w:tcPr>
            <w:tcW w:type="dxa" w:w="900"/>
            <w:tcMar>
              <w:top w:type="dxa" w:w="40"/>
              <w:left w:type="dxa" w:w="70"/>
              <w:bottom w:type="dxa" w:w="40"/>
              <w:right w:type="dxa" w:w="70"/>
            </w:tcMar>
          </w:tcPr>
          <w:p>
            <w:pPr>
              <w:jc w:val="center"/>
            </w:pPr>
            <w:r>
              <w:rPr>
                <w:b w:val="false"/>
                <w:bCs w:val="false"/>
                <w:sz w:val="17"/>
                <w:szCs w:val="17"/>
              </w:rPr>
              <w:t xml:space="preserve">Directional</w:t>
            </w:r>
          </w:p>
        </w:tc>
        <w:tc>
          <w:tcPr>
            <w:tcW w:type="dxa" w:w="1810"/>
            <w:tcMar>
              <w:top w:type="dxa" w:w="40"/>
              <w:left w:type="dxa" w:w="70"/>
              <w:bottom w:type="dxa" w:w="40"/>
              <w:right w:type="dxa" w:w="70"/>
            </w:tcMar>
          </w:tcPr>
          <w:p>
            <w:pPr>
              <w:jc w:val="center"/>
            </w:pPr>
            <w:r>
              <w:rPr>
                <w:b w:val="false"/>
                <w:bCs w:val="false"/>
                <w:sz w:val="17"/>
                <w:szCs w:val="17"/>
              </w:rPr>
              <w:t xml:space="preserve">+0.19%; within tolerance band on close</w:t>
            </w:r>
          </w:p>
        </w:tc>
      </w:tr>
      <w:tr>
        <w:tc>
          <w:tcPr>
            <w:tcW w:type="dxa" w:w="1450"/>
            <w:shd w:fill="F2F4F8" w:color="auto" w:val="clear"/>
            <w:tcMar>
              <w:top w:type="dxa" w:w="40"/>
              <w:left w:type="dxa" w:w="70"/>
              <w:bottom w:type="dxa" w:w="40"/>
              <w:right w:type="dxa" w:w="70"/>
            </w:tcMar>
          </w:tcPr>
          <w:p>
            <w:pPr>
              <w:jc w:val="left"/>
            </w:pPr>
            <w:r>
              <w:rPr>
                <w:b w:val="false"/>
                <w:bCs w:val="false"/>
                <w:sz w:val="17"/>
                <w:szCs w:val="17"/>
              </w:rPr>
              <w:t xml:space="preserve">Sharecast / Fidelity</w:t>
            </w:r>
          </w:p>
        </w:tc>
        <w:tc>
          <w:tcPr>
            <w:tcW w:type="dxa" w:w="1250"/>
            <w:shd w:fill="F2F4F8" w:color="auto" w:val="clear"/>
            <w:tcMar>
              <w:top w:type="dxa" w:w="40"/>
              <w:left w:type="dxa" w:w="70"/>
              <w:bottom w:type="dxa" w:w="40"/>
              <w:right w:type="dxa" w:w="70"/>
            </w:tcMar>
          </w:tcPr>
          <w:p>
            <w:pPr>
              <w:jc w:val="center"/>
            </w:pPr>
            <w:r>
              <w:rPr>
                <w:b w:val="false"/>
                <w:bCs w:val="false"/>
                <w:sz w:val="17"/>
                <w:szCs w:val="17"/>
              </w:rPr>
              <w:t xml:space="preserve">3 Jul 14:08 UK</w:t>
            </w:r>
          </w:p>
        </w:tc>
        <w:tc>
          <w:tcPr>
            <w:tcW w:type="dxa" w:w="1200"/>
            <w:shd w:fill="F2F4F8" w:color="auto" w:val="clear"/>
            <w:tcMar>
              <w:top w:type="dxa" w:w="40"/>
              <w:left w:type="dxa" w:w="70"/>
              <w:bottom w:type="dxa" w:w="40"/>
              <w:right w:type="dxa" w:w="70"/>
            </w:tcMar>
          </w:tcPr>
          <w:p>
            <w:pPr>
              <w:jc w:val="center"/>
            </w:pPr>
            <w:r>
              <w:rPr>
                <w:b w:val="false"/>
                <w:bCs w:val="false"/>
                <w:sz w:val="17"/>
                <w:szCs w:val="17"/>
              </w:rPr>
              <w:t xml:space="preserve">10,658.16</w:t>
            </w:r>
          </w:p>
        </w:tc>
        <w:tc>
          <w:tcPr>
            <w:tcW w:type="dxa" w:w="1500"/>
            <w:shd w:fill="F2F4F8" w:color="auto" w:val="clear"/>
            <w:tcMar>
              <w:top w:type="dxa" w:w="40"/>
              <w:left w:type="dxa" w:w="70"/>
              <w:bottom w:type="dxa" w:w="40"/>
              <w:right w:type="dxa" w:w="70"/>
            </w:tcMar>
          </w:tcPr>
          <w:p>
            <w:pPr>
              <w:jc w:val="center"/>
            </w:pPr>
            <w:r>
              <w:rPr>
                <w:b w:val="false"/>
                <w:bCs w:val="false"/>
                <w:sz w:val="17"/>
                <w:szCs w:val="17"/>
              </w:rPr>
              <w:t xml:space="preserve">10,658.16</w:t>
            </w:r>
          </w:p>
        </w:tc>
        <w:tc>
          <w:tcPr>
            <w:tcW w:type="dxa" w:w="1250"/>
            <w:shd w:fill="F2F4F8" w:color="auto" w:val="clear"/>
            <w:tcMar>
              <w:top w:type="dxa" w:w="40"/>
              <w:left w:type="dxa" w:w="70"/>
              <w:bottom w:type="dxa" w:w="40"/>
              <w:right w:type="dxa" w:w="70"/>
            </w:tcMar>
          </w:tcPr>
          <w:p>
            <w:pPr>
              <w:jc w:val="center"/>
            </w:pPr>
            <w:r>
              <w:rPr>
                <w:b w:val="false"/>
                <w:bCs w:val="false"/>
                <w:sz w:val="17"/>
                <w:szCs w:val="17"/>
              </w:rPr>
              <w:t xml:space="preserve">Intraday</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Directional</w:t>
            </w:r>
          </w:p>
        </w:tc>
        <w:tc>
          <w:tcPr>
            <w:tcW w:type="dxa" w:w="1810"/>
            <w:shd w:fill="F2F4F8" w:color="auto" w:val="clear"/>
            <w:tcMar>
              <w:top w:type="dxa" w:w="40"/>
              <w:left w:type="dxa" w:w="70"/>
              <w:bottom w:type="dxa" w:w="40"/>
              <w:right w:type="dxa" w:w="70"/>
            </w:tcMar>
          </w:tcPr>
          <w:p>
            <w:pPr>
              <w:jc w:val="center"/>
            </w:pPr>
            <w:r>
              <w:rPr>
                <w:b w:val="false"/>
                <w:bCs w:val="false"/>
                <w:sz w:val="17"/>
                <w:szCs w:val="17"/>
              </w:rPr>
              <w:t xml:space="preserve">Afternoon mark; pre-close</w:t>
            </w:r>
          </w:p>
        </w:tc>
      </w:tr>
      <w:tr>
        <w:tc>
          <w:tcPr>
            <w:tcW w:type="dxa" w:w="1450"/>
            <w:tcMar>
              <w:top w:type="dxa" w:w="40"/>
              <w:left w:type="dxa" w:w="70"/>
              <w:bottom w:type="dxa" w:w="40"/>
              <w:right w:type="dxa" w:w="70"/>
            </w:tcMar>
          </w:tcPr>
          <w:p>
            <w:pPr>
              <w:jc w:val="left"/>
            </w:pPr>
            <w:r>
              <w:rPr>
                <w:b w:val="false"/>
                <w:bCs w:val="false"/>
                <w:sz w:val="17"/>
                <w:szCs w:val="17"/>
              </w:rPr>
              <w:t xml:space="preserve">Trading Economics</w:t>
            </w:r>
          </w:p>
        </w:tc>
        <w:tc>
          <w:tcPr>
            <w:tcW w:type="dxa" w:w="1250"/>
            <w:tcMar>
              <w:top w:type="dxa" w:w="40"/>
              <w:left w:type="dxa" w:w="70"/>
              <w:bottom w:type="dxa" w:w="40"/>
              <w:right w:type="dxa" w:w="70"/>
            </w:tcMar>
          </w:tcPr>
          <w:p>
            <w:pPr>
              <w:jc w:val="center"/>
            </w:pPr>
            <w:r>
              <w:rPr>
                <w:b w:val="false"/>
                <w:bCs w:val="false"/>
                <w:sz w:val="17"/>
                <w:szCs w:val="17"/>
              </w:rPr>
              <w:t xml:space="preserve">6 Jul intraday</w:t>
            </w:r>
          </w:p>
        </w:tc>
        <w:tc>
          <w:tcPr>
            <w:tcW w:type="dxa" w:w="1200"/>
            <w:tcMar>
              <w:top w:type="dxa" w:w="40"/>
              <w:left w:type="dxa" w:w="70"/>
              <w:bottom w:type="dxa" w:w="40"/>
              <w:right w:type="dxa" w:w="70"/>
            </w:tcMar>
          </w:tcPr>
          <w:p>
            <w:pPr>
              <w:jc w:val="center"/>
            </w:pPr>
            <w:r>
              <w:rPr>
                <w:b w:val="false"/>
                <w:bCs w:val="false"/>
                <w:sz w:val="17"/>
                <w:szCs w:val="17"/>
              </w:rPr>
              <w:t xml:space="preserve">10,729</w:t>
            </w:r>
          </w:p>
        </w:tc>
        <w:tc>
          <w:tcPr>
            <w:tcW w:type="dxa" w:w="1500"/>
            <w:tcMar>
              <w:top w:type="dxa" w:w="40"/>
              <w:left w:type="dxa" w:w="70"/>
              <w:bottom w:type="dxa" w:w="40"/>
              <w:right w:type="dxa" w:w="70"/>
            </w:tcMar>
          </w:tcPr>
          <w:p>
            <w:pPr>
              <w:jc w:val="center"/>
            </w:pPr>
            <w:r>
              <w:rPr>
                <w:b w:val="false"/>
                <w:bCs w:val="false"/>
                <w:sz w:val="17"/>
                <w:szCs w:val="17"/>
              </w:rPr>
              <w:t xml:space="preserve">10,729</w:t>
            </w:r>
          </w:p>
        </w:tc>
        <w:tc>
          <w:tcPr>
            <w:tcW w:type="dxa" w:w="1250"/>
            <w:tcMar>
              <w:top w:type="dxa" w:w="40"/>
              <w:left w:type="dxa" w:w="70"/>
              <w:bottom w:type="dxa" w:w="40"/>
              <w:right w:type="dxa" w:w="70"/>
            </w:tcMar>
          </w:tcPr>
          <w:p>
            <w:pPr>
              <w:jc w:val="center"/>
            </w:pPr>
            <w:r>
              <w:rPr>
                <w:b w:val="false"/>
                <w:bCs w:val="false"/>
                <w:sz w:val="17"/>
                <w:szCs w:val="17"/>
              </w:rPr>
              <w:t xml:space="preserve">Cash (CFD-derived)</w:t>
            </w:r>
          </w:p>
        </w:tc>
        <w:tc>
          <w:tcPr>
            <w:tcW w:type="dxa" w:w="900"/>
            <w:tcMar>
              <w:top w:type="dxa" w:w="40"/>
              <w:left w:type="dxa" w:w="70"/>
              <w:bottom w:type="dxa" w:w="40"/>
              <w:right w:type="dxa" w:w="70"/>
            </w:tcMar>
          </w:tcPr>
          <w:p>
            <w:pPr>
              <w:jc w:val="center"/>
            </w:pPr>
            <w:r>
              <w:rPr>
                <w:b w:val="false"/>
                <w:bCs w:val="false"/>
                <w:sz w:val="17"/>
                <w:szCs w:val="17"/>
              </w:rPr>
              <w:t xml:space="preserve">Directional</w:t>
            </w:r>
          </w:p>
        </w:tc>
        <w:tc>
          <w:tcPr>
            <w:tcW w:type="dxa" w:w="1810"/>
            <w:tcMar>
              <w:top w:type="dxa" w:w="40"/>
              <w:left w:type="dxa" w:w="70"/>
              <w:bottom w:type="dxa" w:w="40"/>
              <w:right w:type="dxa" w:w="70"/>
            </w:tcMar>
          </w:tcPr>
          <w:p>
            <w:pPr>
              <w:jc w:val="center"/>
            </w:pPr>
            <w:r>
              <w:rPr>
                <w:b w:val="false"/>
                <w:bCs w:val="false"/>
                <w:sz w:val="17"/>
                <w:szCs w:val="17"/>
              </w:rPr>
              <w:t xml:space="preserve">+0.41–0.47% on Monday</w:t>
            </w:r>
          </w:p>
        </w:tc>
      </w:tr>
      <w:tr>
        <w:tc>
          <w:tcPr>
            <w:tcW w:type="dxa" w:w="1450"/>
            <w:shd w:fill="F2F4F8" w:color="auto" w:val="clear"/>
            <w:tcMar>
              <w:top w:type="dxa" w:w="40"/>
              <w:left w:type="dxa" w:w="70"/>
              <w:bottom w:type="dxa" w:w="40"/>
              <w:right w:type="dxa" w:w="70"/>
            </w:tcMar>
          </w:tcPr>
          <w:p>
            <w:pPr>
              <w:jc w:val="left"/>
            </w:pPr>
            <w:r>
              <w:rPr>
                <w:b w:val="false"/>
                <w:bCs w:val="false"/>
                <w:sz w:val="17"/>
                <w:szCs w:val="17"/>
              </w:rPr>
              <w:t xml:space="preserve">Investing.com</w:t>
            </w:r>
          </w:p>
        </w:tc>
        <w:tc>
          <w:tcPr>
            <w:tcW w:type="dxa" w:w="1250"/>
            <w:shd w:fill="F2F4F8" w:color="auto" w:val="clear"/>
            <w:tcMar>
              <w:top w:type="dxa" w:w="40"/>
              <w:left w:type="dxa" w:w="70"/>
              <w:bottom w:type="dxa" w:w="40"/>
              <w:right w:type="dxa" w:w="70"/>
            </w:tcMar>
          </w:tcPr>
          <w:p>
            <w:pPr>
              <w:jc w:val="center"/>
            </w:pPr>
            <w:r>
              <w:rPr>
                <w:b w:val="false"/>
                <w:bCs w:val="false"/>
                <w:sz w:val="17"/>
                <w:szCs w:val="17"/>
              </w:rPr>
              <w:t xml:space="preserve">6 Jul intraday</w:t>
            </w:r>
          </w:p>
        </w:tc>
        <w:tc>
          <w:tcPr>
            <w:tcW w:type="dxa" w:w="1200"/>
            <w:shd w:fill="F2F4F8" w:color="auto" w:val="clear"/>
            <w:tcMar>
              <w:top w:type="dxa" w:w="40"/>
              <w:left w:type="dxa" w:w="70"/>
              <w:bottom w:type="dxa" w:w="40"/>
              <w:right w:type="dxa" w:w="70"/>
            </w:tcMar>
          </w:tcPr>
          <w:p>
            <w:pPr>
              <w:jc w:val="center"/>
            </w:pPr>
            <w:r>
              <w:rPr>
                <w:b w:val="false"/>
                <w:bCs w:val="false"/>
                <w:sz w:val="17"/>
                <w:szCs w:val="17"/>
              </w:rPr>
              <w:t xml:space="preserve">~10,720</w:t>
            </w:r>
          </w:p>
        </w:tc>
        <w:tc>
          <w:tcPr>
            <w:tcW w:type="dxa" w:w="1500"/>
            <w:shd w:fill="F2F4F8" w:color="auto" w:val="clear"/>
            <w:tcMar>
              <w:top w:type="dxa" w:w="40"/>
              <w:left w:type="dxa" w:w="70"/>
              <w:bottom w:type="dxa" w:w="40"/>
              <w:right w:type="dxa" w:w="70"/>
            </w:tcMar>
          </w:tcPr>
          <w:p>
            <w:pPr>
              <w:jc w:val="center"/>
            </w:pPr>
            <w:r>
              <w:rPr>
                <w:b w:val="false"/>
                <w:bCs w:val="false"/>
                <w:sz w:val="17"/>
                <w:szCs w:val="17"/>
              </w:rPr>
              <w:t xml:space="preserve">~10,720</w:t>
            </w:r>
          </w:p>
        </w:tc>
        <w:tc>
          <w:tcPr>
            <w:tcW w:type="dxa" w:w="1250"/>
            <w:shd w:fill="F2F4F8" w:color="auto" w:val="clear"/>
            <w:tcMar>
              <w:top w:type="dxa" w:w="40"/>
              <w:left w:type="dxa" w:w="70"/>
              <w:bottom w:type="dxa" w:w="40"/>
              <w:right w:type="dxa" w:w="70"/>
            </w:tcMar>
          </w:tcPr>
          <w:p>
            <w:pPr>
              <w:jc w:val="center"/>
            </w:pPr>
            <w:r>
              <w:rPr>
                <w:b w:val="false"/>
                <w:bCs w:val="false"/>
                <w:sz w:val="17"/>
                <w:szCs w:val="17"/>
              </w:rPr>
              <w:t xml:space="preserve">Cash</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Directional</w:t>
            </w:r>
          </w:p>
        </w:tc>
        <w:tc>
          <w:tcPr>
            <w:tcW w:type="dxa" w:w="1810"/>
            <w:shd w:fill="F2F4F8" w:color="auto" w:val="clear"/>
            <w:tcMar>
              <w:top w:type="dxa" w:w="40"/>
              <w:left w:type="dxa" w:w="70"/>
              <w:bottom w:type="dxa" w:w="40"/>
              <w:right w:type="dxa" w:w="70"/>
            </w:tcMar>
          </w:tcPr>
          <w:p>
            <w:pPr>
              <w:jc w:val="center"/>
            </w:pPr>
            <w:r>
              <w:rPr>
                <w:b w:val="false"/>
                <w:bCs w:val="false"/>
                <w:sz w:val="17"/>
                <w:szCs w:val="17"/>
              </w:rPr>
              <w:t xml:space="preserve">Live mark for forward-session anchor</w:t>
            </w:r>
          </w:p>
        </w:tc>
      </w:tr>
    </w:tbl>
    <w:p>
      <w:pPr>
        <w:spacing w:after="100"/>
      </w:pPr>
      <w:r>
        <w:rPr>
          <w:i/>
          <w:iCs/>
          <w:sz w:val="18"/>
          <w:szCs w:val="18"/>
        </w:rPr>
        <w:t xml:space="preserve">Retail CFD-broker spreads excluded per source policy; Trading Economics CFD-derived quotes retained as directional corroboration only, not as pivot inputs.</w:t>
      </w:r>
    </w:p>
    <w:p>
      <w:pPr>
        <w:spacing w:after="120" w:before="240"/>
      </w:pPr>
      <w:r>
        <w:rPr>
          <w:b/>
          <w:bCs/>
          <w:color w:val="1F3864"/>
          <w:sz w:val="26"/>
          <w:szCs w:val="26"/>
        </w:rPr>
        <w:t xml:space="preserve">5 · Consensus Build Explanation</w:t>
      </w:r>
    </w:p>
    <w:p>
      <w:pPr>
        <w:spacing w:after="100"/>
      </w:pPr>
      <w:r>
        <w:rPr>
          <w:sz w:val="20"/>
          <w:szCs w:val="20"/>
        </w:rPr>
        <w:t xml:space="preserve">The 3 July close is the anchor: Investing.com and Yahoo Finance report an identical 10,679.03 (delta 0.00, inside the ±0.10-point equity-index tolerance), giving a fully corroborated settlement. Trading Economics' 10,673 CFD-derived print sits ~6 points below and is treated as directional rather than core, reflecting the CFD-vs-cash basis. Normalisation is trivial for FTSE (already GBP index points). The forward 7 July reference is set from the 6 July intraday mark where two live sources agreed near 10,720–10,730; because the 7 July session had not opened at analysis time, that level is carried as an indicative forward anchor, not a settled price. The weighted-median consensus of the corroborated close set is therefore 10,679, with a bullish tilt into the new session. Excluded: retail CFD spreads and any single-source intraday tick that could not be matched within tolerance.</w:t>
      </w:r>
    </w:p>
    <w:p>
      <w:pPr>
        <w:spacing w:after="120" w:before="240"/>
      </w:pPr>
      <w:r>
        <w:rPr>
          <w:b/>
          <w:bCs/>
          <w:color w:val="2E7D32"/>
          <w:sz w:val="26"/>
          <w:szCs w:val="26"/>
        </w:rPr>
        <w:t xml:space="preserve">6 · Validated OHLC + RSI2 Table (5-Day)</w:t>
      </w:r>
    </w:p>
    <w:p>
      <w:pPr>
        <w:spacing w:after="100"/>
      </w:pPr>
      <w:r>
        <w:rPr>
          <w:i/>
          <w:iCs/>
          <w:sz w:val="18"/>
          <w:szCs w:val="18"/>
        </w:rPr>
        <w:t xml:space="preserve">FTSE 100 (^FTSE) — index points. Close in bold. Corroboration honest-marked; several intraday High/Low fields are single-source indicative given free-source coverage limits (see §19).</w:t>
      </w:r>
    </w:p>
    <w:tbl>
      <w:tblPr>
        <w:tblW w:type="dxa" w:w="9450"/>
        <w:tblBorders>
          <w:top w:val="single" w:color="C0C7D0" w:sz="2"/>
          <w:left w:val="single" w:color="C0C7D0" w:sz="2"/>
          <w:bottom w:val="single" w:color="C0C7D0" w:sz="2"/>
          <w:right w:val="single" w:color="C0C7D0" w:sz="2"/>
          <w:insideH w:val="single" w:color="C0C7D0" w:sz="2"/>
          <w:insideV w:val="single" w:color="C0C7D0" w:sz="2"/>
        </w:tblBorders>
      </w:tblPr>
      <w:tblGrid>
        <w:gridCol w:w="1150"/>
        <w:gridCol w:w="900"/>
        <w:gridCol w:w="900"/>
        <w:gridCol w:w="900"/>
        <w:gridCol w:w="950"/>
        <w:gridCol w:w="720"/>
        <w:gridCol w:w="900"/>
        <w:gridCol w:w="950"/>
        <w:gridCol w:w="900"/>
        <w:gridCol w:w="1180"/>
      </w:tblGrid>
      <w:tr>
        <w:trPr>
          <w:tblHeader/>
        </w:trPr>
        <w:tc>
          <w:tcPr>
            <w:tcW w:type="dxa" w:w="1150"/>
            <w:shd w:fill="1F3864" w:color="auto" w:val="clear"/>
            <w:tcMar>
              <w:top w:type="dxa" w:w="40"/>
              <w:left w:type="dxa" w:w="70"/>
              <w:bottom w:type="dxa" w:w="40"/>
              <w:right w:type="dxa" w:w="70"/>
            </w:tcMar>
          </w:tcPr>
          <w:p>
            <w:pPr>
              <w:jc w:val="center"/>
            </w:pPr>
            <w:r>
              <w:rPr>
                <w:b/>
                <w:bCs/>
                <w:color w:val="FFFFFF"/>
                <w:sz w:val="17"/>
                <w:szCs w:val="17"/>
              </w:rPr>
              <w:t xml:space="preserve">Date</w:t>
            </w:r>
          </w:p>
        </w:tc>
        <w:tc>
          <w:tcPr>
            <w:tcW w:type="dxa" w:w="900"/>
            <w:shd w:fill="1F3864" w:color="auto" w:val="clear"/>
            <w:tcMar>
              <w:top w:type="dxa" w:w="40"/>
              <w:left w:type="dxa" w:w="70"/>
              <w:bottom w:type="dxa" w:w="40"/>
              <w:right w:type="dxa" w:w="70"/>
            </w:tcMar>
          </w:tcPr>
          <w:p>
            <w:pPr>
              <w:jc w:val="center"/>
            </w:pPr>
            <w:r>
              <w:rPr>
                <w:b/>
                <w:bCs/>
                <w:color w:val="FFFFFF"/>
                <w:sz w:val="17"/>
                <w:szCs w:val="17"/>
              </w:rPr>
              <w:t xml:space="preserve">Open</w:t>
            </w:r>
          </w:p>
        </w:tc>
        <w:tc>
          <w:tcPr>
            <w:tcW w:type="dxa" w:w="900"/>
            <w:shd w:fill="1F3864" w:color="auto" w:val="clear"/>
            <w:tcMar>
              <w:top w:type="dxa" w:w="40"/>
              <w:left w:type="dxa" w:w="70"/>
              <w:bottom w:type="dxa" w:w="40"/>
              <w:right w:type="dxa" w:w="70"/>
            </w:tcMar>
          </w:tcPr>
          <w:p>
            <w:pPr>
              <w:jc w:val="center"/>
            </w:pPr>
            <w:r>
              <w:rPr>
                <w:b/>
                <w:bCs/>
                <w:color w:val="FFFFFF"/>
                <w:sz w:val="17"/>
                <w:szCs w:val="17"/>
              </w:rPr>
              <w:t xml:space="preserve">High</w:t>
            </w:r>
          </w:p>
        </w:tc>
        <w:tc>
          <w:tcPr>
            <w:tcW w:type="dxa" w:w="900"/>
            <w:shd w:fill="1F3864" w:color="auto" w:val="clear"/>
            <w:tcMar>
              <w:top w:type="dxa" w:w="40"/>
              <w:left w:type="dxa" w:w="70"/>
              <w:bottom w:type="dxa" w:w="40"/>
              <w:right w:type="dxa" w:w="70"/>
            </w:tcMar>
          </w:tcPr>
          <w:p>
            <w:pPr>
              <w:jc w:val="center"/>
            </w:pPr>
            <w:r>
              <w:rPr>
                <w:b/>
                <w:bCs/>
                <w:color w:val="FFFFFF"/>
                <w:sz w:val="17"/>
                <w:szCs w:val="17"/>
              </w:rPr>
              <w:t xml:space="preserve">Low</w:t>
            </w:r>
          </w:p>
        </w:tc>
        <w:tc>
          <w:tcPr>
            <w:tcW w:type="dxa" w:w="950"/>
            <w:shd w:fill="1F3864" w:color="auto" w:val="clear"/>
            <w:tcMar>
              <w:top w:type="dxa" w:w="40"/>
              <w:left w:type="dxa" w:w="70"/>
              <w:bottom w:type="dxa" w:w="40"/>
              <w:right w:type="dxa" w:w="70"/>
            </w:tcMar>
          </w:tcPr>
          <w:p>
            <w:pPr>
              <w:jc w:val="center"/>
            </w:pPr>
            <w:r>
              <w:rPr>
                <w:b/>
                <w:bCs/>
                <w:color w:val="FFFFFF"/>
                <w:sz w:val="17"/>
                <w:szCs w:val="17"/>
              </w:rPr>
              <w:t xml:space="preserve">Close</w:t>
            </w:r>
          </w:p>
        </w:tc>
        <w:tc>
          <w:tcPr>
            <w:tcW w:type="dxa" w:w="720"/>
            <w:shd w:fill="1F3864" w:color="auto" w:val="clear"/>
            <w:tcMar>
              <w:top w:type="dxa" w:w="40"/>
              <w:left w:type="dxa" w:w="70"/>
              <w:bottom w:type="dxa" w:w="40"/>
              <w:right w:type="dxa" w:w="70"/>
            </w:tcMar>
          </w:tcPr>
          <w:p>
            <w:pPr>
              <w:jc w:val="center"/>
            </w:pPr>
            <w:r>
              <w:rPr>
                <w:b/>
                <w:bCs/>
                <w:color w:val="FFFFFF"/>
                <w:sz w:val="17"/>
                <w:szCs w:val="17"/>
              </w:rPr>
              <w:t xml:space="preserve">RSI2</w:t>
            </w:r>
          </w:p>
        </w:tc>
        <w:tc>
          <w:tcPr>
            <w:tcW w:type="dxa" w:w="900"/>
            <w:shd w:fill="1F3864" w:color="auto" w:val="clear"/>
            <w:tcMar>
              <w:top w:type="dxa" w:w="40"/>
              <w:left w:type="dxa" w:w="70"/>
              <w:bottom w:type="dxa" w:w="40"/>
              <w:right w:type="dxa" w:w="70"/>
            </w:tcMar>
          </w:tcPr>
          <w:p>
            <w:pPr>
              <w:jc w:val="center"/>
            </w:pPr>
            <w:r>
              <w:rPr>
                <w:b/>
                <w:bCs/>
                <w:color w:val="FFFFFF"/>
                <w:sz w:val="17"/>
                <w:szCs w:val="17"/>
              </w:rPr>
              <w:t xml:space="preserve">Trend</w:t>
            </w:r>
          </w:p>
        </w:tc>
        <w:tc>
          <w:tcPr>
            <w:tcW w:type="dxa" w:w="950"/>
            <w:shd w:fill="1F3864" w:color="auto" w:val="clear"/>
            <w:tcMar>
              <w:top w:type="dxa" w:w="40"/>
              <w:left w:type="dxa" w:w="70"/>
              <w:bottom w:type="dxa" w:w="40"/>
              <w:right w:type="dxa" w:w="70"/>
            </w:tcMar>
          </w:tcPr>
          <w:p>
            <w:pPr>
              <w:jc w:val="center"/>
            </w:pPr>
            <w:r>
              <w:rPr>
                <w:b/>
                <w:bCs/>
                <w:color w:val="FFFFFF"/>
                <w:sz w:val="17"/>
                <w:szCs w:val="17"/>
              </w:rPr>
              <w:t xml:space="preserve">Src A</w:t>
            </w:r>
          </w:p>
        </w:tc>
        <w:tc>
          <w:tcPr>
            <w:tcW w:type="dxa" w:w="900"/>
            <w:shd w:fill="1F3864" w:color="auto" w:val="clear"/>
            <w:tcMar>
              <w:top w:type="dxa" w:w="40"/>
              <w:left w:type="dxa" w:w="70"/>
              <w:bottom w:type="dxa" w:w="40"/>
              <w:right w:type="dxa" w:w="70"/>
            </w:tcMar>
          </w:tcPr>
          <w:p>
            <w:pPr>
              <w:jc w:val="center"/>
            </w:pPr>
            <w:r>
              <w:rPr>
                <w:b/>
                <w:bCs/>
                <w:color w:val="FFFFFF"/>
                <w:sz w:val="17"/>
                <w:szCs w:val="17"/>
              </w:rPr>
              <w:t xml:space="preserve">Src B</w:t>
            </w:r>
          </w:p>
        </w:tc>
        <w:tc>
          <w:tcPr>
            <w:tcW w:type="dxa" w:w="1180"/>
            <w:shd w:fill="1F3864" w:color="auto" w:val="clear"/>
            <w:tcMar>
              <w:top w:type="dxa" w:w="40"/>
              <w:left w:type="dxa" w:w="70"/>
              <w:bottom w:type="dxa" w:w="40"/>
              <w:right w:type="dxa" w:w="70"/>
            </w:tcMar>
          </w:tcPr>
          <w:p>
            <w:pPr>
              <w:jc w:val="center"/>
            </w:pPr>
            <w:r>
              <w:rPr>
                <w:b/>
                <w:bCs/>
                <w:color w:val="FFFFFF"/>
                <w:sz w:val="17"/>
                <w:szCs w:val="17"/>
              </w:rPr>
              <w:t xml:space="preserve">Validation</w:t>
            </w:r>
          </w:p>
        </w:tc>
      </w:tr>
      <w:tr>
        <w:tc>
          <w:tcPr>
            <w:tcW w:type="dxa" w:w="1150"/>
            <w:tcMar>
              <w:top w:type="dxa" w:w="40"/>
              <w:left w:type="dxa" w:w="70"/>
              <w:bottom w:type="dxa" w:w="40"/>
              <w:right w:type="dxa" w:w="70"/>
            </w:tcMar>
          </w:tcPr>
          <w:p>
            <w:pPr>
              <w:jc w:val="left"/>
            </w:pPr>
            <w:r>
              <w:rPr>
                <w:b w:val="false"/>
                <w:bCs w:val="false"/>
                <w:sz w:val="17"/>
                <w:szCs w:val="17"/>
              </w:rPr>
              <w:t xml:space="preserve">Mon 29 Jun</w:t>
            </w:r>
          </w:p>
        </w:tc>
        <w:tc>
          <w:tcPr>
            <w:tcW w:type="dxa" w:w="900"/>
            <w:tcMar>
              <w:top w:type="dxa" w:w="40"/>
              <w:left w:type="dxa" w:w="70"/>
              <w:bottom w:type="dxa" w:w="40"/>
              <w:right w:type="dxa" w:w="70"/>
            </w:tcMar>
          </w:tcPr>
          <w:p>
            <w:pPr>
              <w:jc w:val="center"/>
            </w:pPr>
            <w:r>
              <w:rPr>
                <w:b w:val="false"/>
                <w:bCs w:val="false"/>
                <w:sz w:val="17"/>
                <w:szCs w:val="17"/>
              </w:rPr>
              <w:t xml:space="preserve">10,484</w:t>
            </w:r>
          </w:p>
        </w:tc>
        <w:tc>
          <w:tcPr>
            <w:tcW w:type="dxa" w:w="900"/>
            <w:tcMar>
              <w:top w:type="dxa" w:w="40"/>
              <w:left w:type="dxa" w:w="70"/>
              <w:bottom w:type="dxa" w:w="40"/>
              <w:right w:type="dxa" w:w="70"/>
            </w:tcMar>
          </w:tcPr>
          <w:p>
            <w:pPr>
              <w:jc w:val="center"/>
            </w:pPr>
            <w:r>
              <w:rPr>
                <w:b w:val="false"/>
                <w:bCs w:val="false"/>
                <w:sz w:val="17"/>
                <w:szCs w:val="17"/>
              </w:rPr>
              <w:t xml:space="preserve">10,537</w:t>
            </w:r>
          </w:p>
        </w:tc>
        <w:tc>
          <w:tcPr>
            <w:tcW w:type="dxa" w:w="900"/>
            <w:tcMar>
              <w:top w:type="dxa" w:w="40"/>
              <w:left w:type="dxa" w:w="70"/>
              <w:bottom w:type="dxa" w:w="40"/>
              <w:right w:type="dxa" w:w="70"/>
            </w:tcMar>
          </w:tcPr>
          <w:p>
            <w:pPr>
              <w:jc w:val="center"/>
            </w:pPr>
            <w:r>
              <w:rPr>
                <w:b w:val="false"/>
                <w:bCs w:val="false"/>
                <w:sz w:val="17"/>
                <w:szCs w:val="17"/>
              </w:rPr>
              <w:t xml:space="preserve">10,461</w:t>
            </w:r>
          </w:p>
        </w:tc>
        <w:tc>
          <w:tcPr>
            <w:tcW w:type="dxa" w:w="950"/>
            <w:tcMar>
              <w:top w:type="dxa" w:w="40"/>
              <w:left w:type="dxa" w:w="70"/>
              <w:bottom w:type="dxa" w:w="40"/>
              <w:right w:type="dxa" w:w="70"/>
            </w:tcMar>
          </w:tcPr>
          <w:p>
            <w:pPr>
              <w:jc w:val="center"/>
            </w:pPr>
            <w:r>
              <w:rPr>
                <w:b/>
                <w:bCs/>
                <w:sz w:val="17"/>
                <w:szCs w:val="17"/>
              </w:rPr>
              <w:t xml:space="preserve">10,531</w:t>
            </w:r>
          </w:p>
        </w:tc>
        <w:tc>
          <w:tcPr>
            <w:tcW w:type="dxa" w:w="720"/>
            <w:tcMar>
              <w:top w:type="dxa" w:w="40"/>
              <w:left w:type="dxa" w:w="70"/>
              <w:bottom w:type="dxa" w:w="40"/>
              <w:right w:type="dxa" w:w="70"/>
            </w:tcMar>
          </w:tcPr>
          <w:p>
            <w:pPr>
              <w:jc w:val="center"/>
            </w:pPr>
            <w:r>
              <w:rPr>
                <w:b w:val="false"/>
                <w:bCs w:val="false"/>
                <w:sz w:val="17"/>
                <w:szCs w:val="17"/>
              </w:rPr>
              <w:t xml:space="preserve">~100</w:t>
            </w:r>
          </w:p>
        </w:tc>
        <w:tc>
          <w:tcPr>
            <w:tcW w:type="dxa" w:w="900"/>
            <w:tcMar>
              <w:top w:type="dxa" w:w="40"/>
              <w:left w:type="dxa" w:w="70"/>
              <w:bottom w:type="dxa" w:w="40"/>
              <w:right w:type="dxa" w:w="70"/>
            </w:tcMar>
          </w:tcPr>
          <w:p>
            <w:pPr>
              <w:jc w:val="center"/>
            </w:pPr>
            <w:r>
              <w:rPr>
                <w:b w:val="false"/>
                <w:bCs w:val="false"/>
                <w:sz w:val="17"/>
                <w:szCs w:val="17"/>
              </w:rPr>
              <w:t xml:space="preserve">Bullish</w:t>
            </w:r>
          </w:p>
        </w:tc>
        <w:tc>
          <w:tcPr>
            <w:tcW w:type="dxa" w:w="950"/>
            <w:tcMar>
              <w:top w:type="dxa" w:w="40"/>
              <w:left w:type="dxa" w:w="70"/>
              <w:bottom w:type="dxa" w:w="40"/>
              <w:right w:type="dxa" w:w="70"/>
            </w:tcMar>
          </w:tcPr>
          <w:p>
            <w:pPr>
              <w:jc w:val="center"/>
            </w:pPr>
            <w:r>
              <w:rPr>
                <w:b w:val="false"/>
                <w:bCs w:val="false"/>
                <w:sz w:val="17"/>
                <w:szCs w:val="17"/>
              </w:rPr>
              <w:t xml:space="preserve">Investing</w:t>
            </w:r>
          </w:p>
        </w:tc>
        <w:tc>
          <w:tcPr>
            <w:tcW w:type="dxa" w:w="900"/>
            <w:tcMar>
              <w:top w:type="dxa" w:w="40"/>
              <w:left w:type="dxa" w:w="70"/>
              <w:bottom w:type="dxa" w:w="40"/>
              <w:right w:type="dxa" w:w="70"/>
            </w:tcMar>
          </w:tcPr>
          <w:p>
            <w:pPr>
              <w:jc w:val="center"/>
            </w:pPr>
            <w:r>
              <w:rPr>
                <w:b w:val="false"/>
                <w:bCs w:val="false"/>
                <w:sz w:val="17"/>
                <w:szCs w:val="17"/>
              </w:rPr>
              <w:t xml:space="preserve">TradingView</w:t>
            </w:r>
          </w:p>
        </w:tc>
        <w:tc>
          <w:tcPr>
            <w:tcW w:type="dxa" w:w="1180"/>
            <w:tcMar>
              <w:top w:type="dxa" w:w="40"/>
              <w:left w:type="dxa" w:w="70"/>
              <w:bottom w:type="dxa" w:w="40"/>
              <w:right w:type="dxa" w:w="70"/>
            </w:tcMar>
          </w:tcPr>
          <w:p>
            <w:pPr>
              <w:jc w:val="center"/>
            </w:pPr>
            <w:r>
              <w:rPr>
                <w:b w:val="false"/>
                <w:bCs w:val="false"/>
                <w:color w:val="B8860B"/>
                <w:sz w:val="17"/>
                <w:szCs w:val="17"/>
              </w:rPr>
              <w:t xml:space="preserve">SINGLE-SRC (indic.)</w:t>
            </w:r>
          </w:p>
        </w:tc>
      </w:tr>
      <w:tr>
        <w:tc>
          <w:tcPr>
            <w:tcW w:type="dxa" w:w="1150"/>
            <w:shd w:fill="F2F4F8" w:color="auto" w:val="clear"/>
            <w:tcMar>
              <w:top w:type="dxa" w:w="40"/>
              <w:left w:type="dxa" w:w="70"/>
              <w:bottom w:type="dxa" w:w="40"/>
              <w:right w:type="dxa" w:w="70"/>
            </w:tcMar>
          </w:tcPr>
          <w:p>
            <w:pPr>
              <w:jc w:val="left"/>
            </w:pPr>
            <w:r>
              <w:rPr>
                <w:b w:val="false"/>
                <w:bCs w:val="false"/>
                <w:sz w:val="17"/>
                <w:szCs w:val="17"/>
              </w:rPr>
              <w:t xml:space="preserve">Tue 30 Jun</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10,537</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10,575</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10,505</w:t>
            </w:r>
          </w:p>
        </w:tc>
        <w:tc>
          <w:tcPr>
            <w:tcW w:type="dxa" w:w="950"/>
            <w:shd w:fill="F2F4F8" w:color="auto" w:val="clear"/>
            <w:tcMar>
              <w:top w:type="dxa" w:w="40"/>
              <w:left w:type="dxa" w:w="70"/>
              <w:bottom w:type="dxa" w:w="40"/>
              <w:right w:type="dxa" w:w="70"/>
            </w:tcMar>
          </w:tcPr>
          <w:p>
            <w:pPr>
              <w:jc w:val="center"/>
            </w:pPr>
            <w:r>
              <w:rPr>
                <w:b/>
                <w:bCs/>
                <w:sz w:val="17"/>
                <w:szCs w:val="17"/>
              </w:rPr>
              <w:t xml:space="preserve">10,548</w:t>
            </w:r>
          </w:p>
        </w:tc>
        <w:tc>
          <w:tcPr>
            <w:tcW w:type="dxa" w:w="720"/>
            <w:shd w:fill="F2F4F8" w:color="auto" w:val="clear"/>
            <w:tcMar>
              <w:top w:type="dxa" w:w="40"/>
              <w:left w:type="dxa" w:w="70"/>
              <w:bottom w:type="dxa" w:w="40"/>
              <w:right w:type="dxa" w:w="70"/>
            </w:tcMar>
          </w:tcPr>
          <w:p>
            <w:pPr>
              <w:jc w:val="center"/>
            </w:pPr>
            <w:r>
              <w:rPr>
                <w:b w:val="false"/>
                <w:bCs w:val="false"/>
                <w:sz w:val="17"/>
                <w:szCs w:val="17"/>
              </w:rPr>
              <w:t xml:space="preserve">~100</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Neutral</w:t>
            </w:r>
          </w:p>
        </w:tc>
        <w:tc>
          <w:tcPr>
            <w:tcW w:type="dxa" w:w="950"/>
            <w:shd w:fill="F2F4F8" w:color="auto" w:val="clear"/>
            <w:tcMar>
              <w:top w:type="dxa" w:w="40"/>
              <w:left w:type="dxa" w:w="70"/>
              <w:bottom w:type="dxa" w:w="40"/>
              <w:right w:type="dxa" w:w="70"/>
            </w:tcMar>
          </w:tcPr>
          <w:p>
            <w:pPr>
              <w:jc w:val="center"/>
            </w:pPr>
            <w:r>
              <w:rPr>
                <w:b w:val="false"/>
                <w:bCs w:val="false"/>
                <w:sz w:val="17"/>
                <w:szCs w:val="17"/>
              </w:rPr>
              <w:t xml:space="preserve">TradingView</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Investing</w:t>
            </w:r>
          </w:p>
        </w:tc>
        <w:tc>
          <w:tcPr>
            <w:tcW w:type="dxa" w:w="1180"/>
            <w:shd w:fill="F2F4F8" w:color="auto" w:val="clear"/>
            <w:tcMar>
              <w:top w:type="dxa" w:w="40"/>
              <w:left w:type="dxa" w:w="70"/>
              <w:bottom w:type="dxa" w:w="40"/>
              <w:right w:type="dxa" w:w="70"/>
            </w:tcMar>
          </w:tcPr>
          <w:p>
            <w:pPr>
              <w:jc w:val="center"/>
            </w:pPr>
            <w:r>
              <w:rPr>
                <w:b w:val="false"/>
                <w:bCs w:val="false"/>
                <w:color w:val="B8860B"/>
                <w:sz w:val="17"/>
                <w:szCs w:val="17"/>
              </w:rPr>
              <w:t xml:space="preserve">SINGLE-SRC (indic.)</w:t>
            </w:r>
          </w:p>
        </w:tc>
      </w:tr>
      <w:tr>
        <w:tc>
          <w:tcPr>
            <w:tcW w:type="dxa" w:w="1150"/>
            <w:tcMar>
              <w:top w:type="dxa" w:w="40"/>
              <w:left w:type="dxa" w:w="70"/>
              <w:bottom w:type="dxa" w:w="40"/>
              <w:right w:type="dxa" w:w="70"/>
            </w:tcMar>
          </w:tcPr>
          <w:p>
            <w:pPr>
              <w:jc w:val="left"/>
            </w:pPr>
            <w:r>
              <w:rPr>
                <w:b w:val="false"/>
                <w:bCs w:val="false"/>
                <w:sz w:val="17"/>
                <w:szCs w:val="17"/>
              </w:rPr>
              <w:t xml:space="preserve">Wed 01 Jul</w:t>
            </w:r>
          </w:p>
        </w:tc>
        <w:tc>
          <w:tcPr>
            <w:tcW w:type="dxa" w:w="900"/>
            <w:tcMar>
              <w:top w:type="dxa" w:w="40"/>
              <w:left w:type="dxa" w:w="70"/>
              <w:bottom w:type="dxa" w:w="40"/>
              <w:right w:type="dxa" w:w="70"/>
            </w:tcMar>
          </w:tcPr>
          <w:p>
            <w:pPr>
              <w:jc w:val="center"/>
            </w:pPr>
            <w:r>
              <w:rPr>
                <w:b w:val="false"/>
                <w:bCs w:val="false"/>
                <w:sz w:val="17"/>
                <w:szCs w:val="17"/>
              </w:rPr>
              <w:t xml:space="preserve">10,548</w:t>
            </w:r>
          </w:p>
        </w:tc>
        <w:tc>
          <w:tcPr>
            <w:tcW w:type="dxa" w:w="900"/>
            <w:tcMar>
              <w:top w:type="dxa" w:w="40"/>
              <w:left w:type="dxa" w:w="70"/>
              <w:bottom w:type="dxa" w:w="40"/>
              <w:right w:type="dxa" w:w="70"/>
            </w:tcMar>
          </w:tcPr>
          <w:p>
            <w:pPr>
              <w:jc w:val="center"/>
            </w:pPr>
            <w:r>
              <w:rPr>
                <w:b w:val="false"/>
                <w:bCs w:val="false"/>
                <w:sz w:val="17"/>
                <w:szCs w:val="17"/>
              </w:rPr>
              <w:t xml:space="preserve">10,612</w:t>
            </w:r>
          </w:p>
        </w:tc>
        <w:tc>
          <w:tcPr>
            <w:tcW w:type="dxa" w:w="900"/>
            <w:tcMar>
              <w:top w:type="dxa" w:w="40"/>
              <w:left w:type="dxa" w:w="70"/>
              <w:bottom w:type="dxa" w:w="40"/>
              <w:right w:type="dxa" w:w="70"/>
            </w:tcMar>
          </w:tcPr>
          <w:p>
            <w:pPr>
              <w:jc w:val="center"/>
            </w:pPr>
            <w:r>
              <w:rPr>
                <w:b w:val="false"/>
                <w:bCs w:val="false"/>
                <w:sz w:val="17"/>
                <w:szCs w:val="17"/>
              </w:rPr>
              <w:t xml:space="preserve">10,520</w:t>
            </w:r>
          </w:p>
        </w:tc>
        <w:tc>
          <w:tcPr>
            <w:tcW w:type="dxa" w:w="950"/>
            <w:tcMar>
              <w:top w:type="dxa" w:w="40"/>
              <w:left w:type="dxa" w:w="70"/>
              <w:bottom w:type="dxa" w:w="40"/>
              <w:right w:type="dxa" w:w="70"/>
            </w:tcMar>
          </w:tcPr>
          <w:p>
            <w:pPr>
              <w:jc w:val="center"/>
            </w:pPr>
            <w:r>
              <w:rPr>
                <w:b/>
                <w:bCs/>
                <w:sz w:val="17"/>
                <w:szCs w:val="17"/>
              </w:rPr>
              <w:t xml:space="preserve">10,598</w:t>
            </w:r>
          </w:p>
        </w:tc>
        <w:tc>
          <w:tcPr>
            <w:tcW w:type="dxa" w:w="720"/>
            <w:tcMar>
              <w:top w:type="dxa" w:w="40"/>
              <w:left w:type="dxa" w:w="70"/>
              <w:bottom w:type="dxa" w:w="40"/>
              <w:right w:type="dxa" w:w="70"/>
            </w:tcMar>
          </w:tcPr>
          <w:p>
            <w:pPr>
              <w:jc w:val="center"/>
            </w:pPr>
            <w:r>
              <w:rPr>
                <w:b w:val="false"/>
                <w:bCs w:val="false"/>
                <w:sz w:val="17"/>
                <w:szCs w:val="17"/>
              </w:rPr>
              <w:t xml:space="preserve">~100</w:t>
            </w:r>
          </w:p>
        </w:tc>
        <w:tc>
          <w:tcPr>
            <w:tcW w:type="dxa" w:w="900"/>
            <w:tcMar>
              <w:top w:type="dxa" w:w="40"/>
              <w:left w:type="dxa" w:w="70"/>
              <w:bottom w:type="dxa" w:w="40"/>
              <w:right w:type="dxa" w:w="70"/>
            </w:tcMar>
          </w:tcPr>
          <w:p>
            <w:pPr>
              <w:jc w:val="center"/>
            </w:pPr>
            <w:r>
              <w:rPr>
                <w:b w:val="false"/>
                <w:bCs w:val="false"/>
                <w:sz w:val="17"/>
                <w:szCs w:val="17"/>
              </w:rPr>
              <w:t xml:space="preserve">Bullish</w:t>
            </w:r>
          </w:p>
        </w:tc>
        <w:tc>
          <w:tcPr>
            <w:tcW w:type="dxa" w:w="950"/>
            <w:tcMar>
              <w:top w:type="dxa" w:w="40"/>
              <w:left w:type="dxa" w:w="70"/>
              <w:bottom w:type="dxa" w:w="40"/>
              <w:right w:type="dxa" w:w="70"/>
            </w:tcMar>
          </w:tcPr>
          <w:p>
            <w:pPr>
              <w:jc w:val="center"/>
            </w:pPr>
            <w:r>
              <w:rPr>
                <w:b w:val="false"/>
                <w:bCs w:val="false"/>
                <w:sz w:val="17"/>
                <w:szCs w:val="17"/>
              </w:rPr>
              <w:t xml:space="preserve">Investing</w:t>
            </w:r>
          </w:p>
        </w:tc>
        <w:tc>
          <w:tcPr>
            <w:tcW w:type="dxa" w:w="900"/>
            <w:tcMar>
              <w:top w:type="dxa" w:w="40"/>
              <w:left w:type="dxa" w:w="70"/>
              <w:bottom w:type="dxa" w:w="40"/>
              <w:right w:type="dxa" w:w="70"/>
            </w:tcMar>
          </w:tcPr>
          <w:p>
            <w:pPr>
              <w:jc w:val="center"/>
            </w:pPr>
            <w:r>
              <w:rPr>
                <w:b w:val="false"/>
                <w:bCs w:val="false"/>
                <w:sz w:val="17"/>
                <w:szCs w:val="17"/>
              </w:rPr>
              <w:t xml:space="preserve">TradingView</w:t>
            </w:r>
          </w:p>
        </w:tc>
        <w:tc>
          <w:tcPr>
            <w:tcW w:type="dxa" w:w="1180"/>
            <w:tcMar>
              <w:top w:type="dxa" w:w="40"/>
              <w:left w:type="dxa" w:w="70"/>
              <w:bottom w:type="dxa" w:w="40"/>
              <w:right w:type="dxa" w:w="70"/>
            </w:tcMar>
          </w:tcPr>
          <w:p>
            <w:pPr>
              <w:jc w:val="center"/>
            </w:pPr>
            <w:r>
              <w:rPr>
                <w:b w:val="false"/>
                <w:bCs w:val="false"/>
                <w:color w:val="B8860B"/>
                <w:sz w:val="17"/>
                <w:szCs w:val="17"/>
              </w:rPr>
              <w:t xml:space="preserve">SINGLE-SRC (indic.)</w:t>
            </w:r>
          </w:p>
        </w:tc>
      </w:tr>
      <w:tr>
        <w:tc>
          <w:tcPr>
            <w:tcW w:type="dxa" w:w="1150"/>
            <w:shd w:fill="F2F4F8" w:color="auto" w:val="clear"/>
            <w:tcMar>
              <w:top w:type="dxa" w:w="40"/>
              <w:left w:type="dxa" w:w="70"/>
              <w:bottom w:type="dxa" w:w="40"/>
              <w:right w:type="dxa" w:w="70"/>
            </w:tcMar>
          </w:tcPr>
          <w:p>
            <w:pPr>
              <w:jc w:val="left"/>
            </w:pPr>
            <w:r>
              <w:rPr>
                <w:b w:val="false"/>
                <w:bCs w:val="false"/>
                <w:sz w:val="17"/>
                <w:szCs w:val="17"/>
              </w:rPr>
              <w:t xml:space="preserve">Thu 02 Jul</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10,600</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10,701</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10,585</w:t>
            </w:r>
          </w:p>
        </w:tc>
        <w:tc>
          <w:tcPr>
            <w:tcW w:type="dxa" w:w="950"/>
            <w:shd w:fill="F2F4F8" w:color="auto" w:val="clear"/>
            <w:tcMar>
              <w:top w:type="dxa" w:w="40"/>
              <w:left w:type="dxa" w:w="70"/>
              <w:bottom w:type="dxa" w:w="40"/>
              <w:right w:type="dxa" w:w="70"/>
            </w:tcMar>
          </w:tcPr>
          <w:p>
            <w:pPr>
              <w:jc w:val="center"/>
            </w:pPr>
            <w:r>
              <w:rPr>
                <w:b/>
                <w:bCs/>
                <w:sz w:val="17"/>
                <w:szCs w:val="17"/>
              </w:rPr>
              <w:t xml:space="preserve">10,658</w:t>
            </w:r>
          </w:p>
        </w:tc>
        <w:tc>
          <w:tcPr>
            <w:tcW w:type="dxa" w:w="720"/>
            <w:shd w:fill="F2F4F8" w:color="auto" w:val="clear"/>
            <w:tcMar>
              <w:top w:type="dxa" w:w="40"/>
              <w:left w:type="dxa" w:w="70"/>
              <w:bottom w:type="dxa" w:w="40"/>
              <w:right w:type="dxa" w:w="70"/>
            </w:tcMar>
          </w:tcPr>
          <w:p>
            <w:pPr>
              <w:jc w:val="center"/>
            </w:pPr>
            <w:r>
              <w:rPr>
                <w:b w:val="false"/>
                <w:bCs w:val="false"/>
                <w:sz w:val="17"/>
                <w:szCs w:val="17"/>
              </w:rPr>
              <w:t xml:space="preserve">~100</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Bullish</w:t>
            </w:r>
          </w:p>
        </w:tc>
        <w:tc>
          <w:tcPr>
            <w:tcW w:type="dxa" w:w="950"/>
            <w:shd w:fill="F2F4F8" w:color="auto" w:val="clear"/>
            <w:tcMar>
              <w:top w:type="dxa" w:w="40"/>
              <w:left w:type="dxa" w:w="70"/>
              <w:bottom w:type="dxa" w:w="40"/>
              <w:right w:type="dxa" w:w="70"/>
            </w:tcMar>
          </w:tcPr>
          <w:p>
            <w:pPr>
              <w:jc w:val="center"/>
            </w:pPr>
            <w:r>
              <w:rPr>
                <w:b w:val="false"/>
                <w:bCs w:val="false"/>
                <w:sz w:val="17"/>
                <w:szCs w:val="17"/>
              </w:rPr>
              <w:t xml:space="preserve">Sharecast</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Investing</w:t>
            </w:r>
          </w:p>
        </w:tc>
        <w:tc>
          <w:tcPr>
            <w:tcW w:type="dxa" w:w="1180"/>
            <w:shd w:fill="F2F4F8" w:color="auto" w:val="clear"/>
            <w:tcMar>
              <w:top w:type="dxa" w:w="40"/>
              <w:left w:type="dxa" w:w="70"/>
              <w:bottom w:type="dxa" w:w="40"/>
              <w:right w:type="dxa" w:w="70"/>
            </w:tcMar>
          </w:tcPr>
          <w:p>
            <w:pPr>
              <w:jc w:val="center"/>
            </w:pPr>
            <w:r>
              <w:rPr>
                <w:b w:val="false"/>
                <w:bCs w:val="false"/>
                <w:color w:val="2E7D32"/>
                <w:sz w:val="17"/>
                <w:szCs w:val="17"/>
              </w:rPr>
              <w:t xml:space="preserve">CORROB. (close)</w:t>
            </w:r>
          </w:p>
        </w:tc>
      </w:tr>
      <w:tr>
        <w:tc>
          <w:tcPr>
            <w:tcW w:type="dxa" w:w="1150"/>
            <w:tcMar>
              <w:top w:type="dxa" w:w="40"/>
              <w:left w:type="dxa" w:w="70"/>
              <w:bottom w:type="dxa" w:w="40"/>
              <w:right w:type="dxa" w:w="70"/>
            </w:tcMar>
          </w:tcPr>
          <w:p>
            <w:pPr>
              <w:jc w:val="left"/>
            </w:pPr>
            <w:r>
              <w:rPr>
                <w:b w:val="false"/>
                <w:bCs w:val="false"/>
                <w:sz w:val="17"/>
                <w:szCs w:val="17"/>
              </w:rPr>
              <w:t xml:space="preserve">Fri 03 Jul</w:t>
            </w:r>
          </w:p>
        </w:tc>
        <w:tc>
          <w:tcPr>
            <w:tcW w:type="dxa" w:w="900"/>
            <w:tcMar>
              <w:top w:type="dxa" w:w="40"/>
              <w:left w:type="dxa" w:w="70"/>
              <w:bottom w:type="dxa" w:w="40"/>
              <w:right w:type="dxa" w:w="70"/>
            </w:tcMar>
          </w:tcPr>
          <w:p>
            <w:pPr>
              <w:jc w:val="center"/>
            </w:pPr>
            <w:r>
              <w:rPr>
                <w:b w:val="false"/>
                <w:bCs w:val="false"/>
                <w:sz w:val="17"/>
                <w:szCs w:val="17"/>
              </w:rPr>
              <w:t xml:space="preserve">10,653</w:t>
            </w:r>
          </w:p>
        </w:tc>
        <w:tc>
          <w:tcPr>
            <w:tcW w:type="dxa" w:w="900"/>
            <w:tcMar>
              <w:top w:type="dxa" w:w="40"/>
              <w:left w:type="dxa" w:w="70"/>
              <w:bottom w:type="dxa" w:w="40"/>
              <w:right w:type="dxa" w:w="70"/>
            </w:tcMar>
          </w:tcPr>
          <w:p>
            <w:pPr>
              <w:jc w:val="center"/>
            </w:pPr>
            <w:r>
              <w:rPr>
                <w:b w:val="false"/>
                <w:bCs w:val="false"/>
                <w:sz w:val="17"/>
                <w:szCs w:val="17"/>
              </w:rPr>
              <w:t xml:space="preserve">10,701</w:t>
            </w:r>
          </w:p>
        </w:tc>
        <w:tc>
          <w:tcPr>
            <w:tcW w:type="dxa" w:w="900"/>
            <w:tcMar>
              <w:top w:type="dxa" w:w="40"/>
              <w:left w:type="dxa" w:w="70"/>
              <w:bottom w:type="dxa" w:w="40"/>
              <w:right w:type="dxa" w:w="70"/>
            </w:tcMar>
          </w:tcPr>
          <w:p>
            <w:pPr>
              <w:jc w:val="center"/>
            </w:pPr>
            <w:r>
              <w:rPr>
                <w:b w:val="false"/>
                <w:bCs w:val="false"/>
                <w:sz w:val="17"/>
                <w:szCs w:val="17"/>
              </w:rPr>
              <w:t xml:space="preserve">10,604</w:t>
            </w:r>
          </w:p>
        </w:tc>
        <w:tc>
          <w:tcPr>
            <w:tcW w:type="dxa" w:w="950"/>
            <w:tcMar>
              <w:top w:type="dxa" w:w="40"/>
              <w:left w:type="dxa" w:w="70"/>
              <w:bottom w:type="dxa" w:w="40"/>
              <w:right w:type="dxa" w:w="70"/>
            </w:tcMar>
          </w:tcPr>
          <w:p>
            <w:pPr>
              <w:jc w:val="center"/>
            </w:pPr>
            <w:r>
              <w:rPr>
                <w:b/>
                <w:bCs/>
                <w:sz w:val="17"/>
                <w:szCs w:val="17"/>
              </w:rPr>
              <w:t xml:space="preserve">10,679</w:t>
            </w:r>
          </w:p>
        </w:tc>
        <w:tc>
          <w:tcPr>
            <w:tcW w:type="dxa" w:w="720"/>
            <w:tcMar>
              <w:top w:type="dxa" w:w="40"/>
              <w:left w:type="dxa" w:w="70"/>
              <w:bottom w:type="dxa" w:w="40"/>
              <w:right w:type="dxa" w:w="70"/>
            </w:tcMar>
          </w:tcPr>
          <w:p>
            <w:pPr>
              <w:jc w:val="center"/>
            </w:pPr>
            <w:r>
              <w:rPr>
                <w:b w:val="false"/>
                <w:bCs w:val="false"/>
                <w:sz w:val="17"/>
                <w:szCs w:val="17"/>
              </w:rPr>
              <w:t xml:space="preserve">~100</w:t>
            </w:r>
          </w:p>
        </w:tc>
        <w:tc>
          <w:tcPr>
            <w:tcW w:type="dxa" w:w="900"/>
            <w:tcMar>
              <w:top w:type="dxa" w:w="40"/>
              <w:left w:type="dxa" w:w="70"/>
              <w:bottom w:type="dxa" w:w="40"/>
              <w:right w:type="dxa" w:w="70"/>
            </w:tcMar>
          </w:tcPr>
          <w:p>
            <w:pPr>
              <w:jc w:val="center"/>
            </w:pPr>
            <w:r>
              <w:rPr>
                <w:b w:val="false"/>
                <w:bCs w:val="false"/>
                <w:sz w:val="17"/>
                <w:szCs w:val="17"/>
              </w:rPr>
              <w:t xml:space="preserve">Bullish</w:t>
            </w:r>
          </w:p>
        </w:tc>
        <w:tc>
          <w:tcPr>
            <w:tcW w:type="dxa" w:w="950"/>
            <w:tcMar>
              <w:top w:type="dxa" w:w="40"/>
              <w:left w:type="dxa" w:w="70"/>
              <w:bottom w:type="dxa" w:w="40"/>
              <w:right w:type="dxa" w:w="70"/>
            </w:tcMar>
          </w:tcPr>
          <w:p>
            <w:pPr>
              <w:jc w:val="center"/>
            </w:pPr>
            <w:r>
              <w:rPr>
                <w:b w:val="false"/>
                <w:bCs w:val="false"/>
                <w:sz w:val="17"/>
                <w:szCs w:val="17"/>
              </w:rPr>
              <w:t xml:space="preserve">Investing</w:t>
            </w:r>
          </w:p>
        </w:tc>
        <w:tc>
          <w:tcPr>
            <w:tcW w:type="dxa" w:w="900"/>
            <w:tcMar>
              <w:top w:type="dxa" w:w="40"/>
              <w:left w:type="dxa" w:w="70"/>
              <w:bottom w:type="dxa" w:w="40"/>
              <w:right w:type="dxa" w:w="70"/>
            </w:tcMar>
          </w:tcPr>
          <w:p>
            <w:pPr>
              <w:jc w:val="center"/>
            </w:pPr>
            <w:r>
              <w:rPr>
                <w:b w:val="false"/>
                <w:bCs w:val="false"/>
                <w:sz w:val="17"/>
                <w:szCs w:val="17"/>
              </w:rPr>
              <w:t xml:space="preserve">Yahoo</w:t>
            </w:r>
          </w:p>
        </w:tc>
        <w:tc>
          <w:tcPr>
            <w:tcW w:type="dxa" w:w="1180"/>
            <w:tcMar>
              <w:top w:type="dxa" w:w="40"/>
              <w:left w:type="dxa" w:w="70"/>
              <w:bottom w:type="dxa" w:w="40"/>
              <w:right w:type="dxa" w:w="70"/>
            </w:tcMar>
          </w:tcPr>
          <w:p>
            <w:pPr>
              <w:jc w:val="center"/>
            </w:pPr>
            <w:r>
              <w:rPr>
                <w:b w:val="false"/>
                <w:bCs w:val="false"/>
                <w:color w:val="2E7D32"/>
                <w:sz w:val="17"/>
                <w:szCs w:val="17"/>
              </w:rPr>
              <w:t xml:space="preserve">CORROB. Δ0.00</w:t>
            </w:r>
          </w:p>
        </w:tc>
      </w:tr>
    </w:tbl>
    <w:p>
      <w:pPr>
        <w:spacing w:after="100"/>
      </w:pPr>
      <w:r>
        <w:rPr>
          <w:i/>
          <w:iCs/>
          <w:sz w:val="18"/>
          <w:szCs w:val="18"/>
        </w:rPr>
        <w:t xml:space="preserve">EURO STOXX 50 (^STOXX50E) — index points (EUR). 3 Jul close 6,412.68 (+0.82%) corroborated Yahoo × Investing. Prior sessions carried single-source indicative pending second corroboration.</w:t>
      </w:r>
    </w:p>
    <w:tbl>
      <w:tblPr>
        <w:tblW w:type="dxa" w:w="9360"/>
        <w:tblBorders>
          <w:top w:val="single" w:color="C0C7D0" w:sz="2"/>
          <w:left w:val="single" w:color="C0C7D0" w:sz="2"/>
          <w:bottom w:val="single" w:color="C0C7D0" w:sz="2"/>
          <w:right w:val="single" w:color="C0C7D0" w:sz="2"/>
          <w:insideH w:val="single" w:color="C0C7D0" w:sz="2"/>
          <w:insideV w:val="single" w:color="C0C7D0" w:sz="2"/>
        </w:tblBorders>
      </w:tblPr>
      <w:tblGrid>
        <w:gridCol w:w="2200"/>
        <w:gridCol w:w="2000"/>
        <w:gridCol w:w="1600"/>
        <w:gridCol w:w="3560"/>
      </w:tblGrid>
      <w:tr>
        <w:trPr>
          <w:tblHeader/>
        </w:trPr>
        <w:tc>
          <w:tcPr>
            <w:tcW w:type="dxa" w:w="2200"/>
            <w:shd w:fill="1F3864" w:color="auto" w:val="clear"/>
            <w:tcMar>
              <w:top w:type="dxa" w:w="40"/>
              <w:left w:type="dxa" w:w="70"/>
              <w:bottom w:type="dxa" w:w="40"/>
              <w:right w:type="dxa" w:w="70"/>
            </w:tcMar>
          </w:tcPr>
          <w:p>
            <w:pPr>
              <w:jc w:val="center"/>
            </w:pPr>
            <w:r>
              <w:rPr>
                <w:b/>
                <w:bCs/>
                <w:color w:val="FFFFFF"/>
                <w:sz w:val="17"/>
                <w:szCs w:val="17"/>
              </w:rPr>
              <w:t xml:space="preserve">Date</w:t>
            </w:r>
          </w:p>
        </w:tc>
        <w:tc>
          <w:tcPr>
            <w:tcW w:type="dxa" w:w="2000"/>
            <w:shd w:fill="1F3864" w:color="auto" w:val="clear"/>
            <w:tcMar>
              <w:top w:type="dxa" w:w="40"/>
              <w:left w:type="dxa" w:w="70"/>
              <w:bottom w:type="dxa" w:w="40"/>
              <w:right w:type="dxa" w:w="70"/>
            </w:tcMar>
          </w:tcPr>
          <w:p>
            <w:pPr>
              <w:jc w:val="center"/>
            </w:pPr>
            <w:r>
              <w:rPr>
                <w:b/>
                <w:bCs/>
                <w:color w:val="FFFFFF"/>
                <w:sz w:val="17"/>
                <w:szCs w:val="17"/>
              </w:rPr>
              <w:t xml:space="preserve">Close (EUR)</w:t>
            </w:r>
          </w:p>
        </w:tc>
        <w:tc>
          <w:tcPr>
            <w:tcW w:type="dxa" w:w="1600"/>
            <w:shd w:fill="1F3864" w:color="auto" w:val="clear"/>
            <w:tcMar>
              <w:top w:type="dxa" w:w="40"/>
              <w:left w:type="dxa" w:w="70"/>
              <w:bottom w:type="dxa" w:w="40"/>
              <w:right w:type="dxa" w:w="70"/>
            </w:tcMar>
          </w:tcPr>
          <w:p>
            <w:pPr>
              <w:jc w:val="center"/>
            </w:pPr>
            <w:r>
              <w:rPr>
                <w:b/>
                <w:bCs/>
                <w:color w:val="FFFFFF"/>
                <w:sz w:val="17"/>
                <w:szCs w:val="17"/>
              </w:rPr>
              <w:t xml:space="preserve">Chg</w:t>
            </w:r>
          </w:p>
        </w:tc>
        <w:tc>
          <w:tcPr>
            <w:tcW w:type="dxa" w:w="3560"/>
            <w:shd w:fill="1F3864" w:color="auto" w:val="clear"/>
            <w:tcMar>
              <w:top w:type="dxa" w:w="40"/>
              <w:left w:type="dxa" w:w="70"/>
              <w:bottom w:type="dxa" w:w="40"/>
              <w:right w:type="dxa" w:w="70"/>
            </w:tcMar>
          </w:tcPr>
          <w:p>
            <w:pPr>
              <w:jc w:val="center"/>
            </w:pPr>
            <w:r>
              <w:rPr>
                <w:b/>
                <w:bCs/>
                <w:color w:val="FFFFFF"/>
                <w:sz w:val="17"/>
                <w:szCs w:val="17"/>
              </w:rPr>
              <w:t xml:space="preserve">Validation</w:t>
            </w:r>
          </w:p>
        </w:tc>
      </w:tr>
      <w:tr>
        <w:tc>
          <w:tcPr>
            <w:tcW w:type="dxa" w:w="2200"/>
            <w:tcMar>
              <w:top w:type="dxa" w:w="40"/>
              <w:left w:type="dxa" w:w="70"/>
              <w:bottom w:type="dxa" w:w="40"/>
              <w:right w:type="dxa" w:w="70"/>
            </w:tcMar>
          </w:tcPr>
          <w:p>
            <w:pPr>
              <w:jc w:val="left"/>
            </w:pPr>
            <w:r>
              <w:rPr>
                <w:b w:val="false"/>
                <w:bCs w:val="false"/>
                <w:sz w:val="17"/>
                <w:szCs w:val="17"/>
              </w:rPr>
              <w:t xml:space="preserve">Wed 01 Jul</w:t>
            </w:r>
          </w:p>
        </w:tc>
        <w:tc>
          <w:tcPr>
            <w:tcW w:type="dxa" w:w="2000"/>
            <w:tcMar>
              <w:top w:type="dxa" w:w="40"/>
              <w:left w:type="dxa" w:w="70"/>
              <w:bottom w:type="dxa" w:w="40"/>
              <w:right w:type="dxa" w:w="70"/>
            </w:tcMar>
          </w:tcPr>
          <w:p>
            <w:pPr>
              <w:jc w:val="center"/>
            </w:pPr>
            <w:r>
              <w:rPr>
                <w:b w:val="false"/>
                <w:bCs w:val="false"/>
                <w:sz w:val="17"/>
                <w:szCs w:val="17"/>
              </w:rPr>
              <w:t xml:space="preserve">6,318</w:t>
            </w:r>
          </w:p>
        </w:tc>
        <w:tc>
          <w:tcPr>
            <w:tcW w:type="dxa" w:w="1600"/>
            <w:tcMar>
              <w:top w:type="dxa" w:w="40"/>
              <w:left w:type="dxa" w:w="70"/>
              <w:bottom w:type="dxa" w:w="40"/>
              <w:right w:type="dxa" w:w="70"/>
            </w:tcMar>
          </w:tcPr>
          <w:p>
            <w:pPr>
              <w:jc w:val="center"/>
            </w:pPr>
            <w:r>
              <w:rPr>
                <w:b w:val="false"/>
                <w:bCs w:val="false"/>
                <w:sz w:val="17"/>
                <w:szCs w:val="17"/>
              </w:rPr>
              <w:t xml:space="preserve">+0.4%</w:t>
            </w:r>
          </w:p>
        </w:tc>
        <w:tc>
          <w:tcPr>
            <w:tcW w:type="dxa" w:w="3560"/>
            <w:tcMar>
              <w:top w:type="dxa" w:w="40"/>
              <w:left w:type="dxa" w:w="70"/>
              <w:bottom w:type="dxa" w:w="40"/>
              <w:right w:type="dxa" w:w="70"/>
            </w:tcMar>
          </w:tcPr>
          <w:p>
            <w:pPr>
              <w:jc w:val="center"/>
            </w:pPr>
            <w:r>
              <w:rPr>
                <w:b w:val="false"/>
                <w:bCs w:val="false"/>
                <w:color w:val="B8860B"/>
                <w:sz w:val="17"/>
                <w:szCs w:val="17"/>
              </w:rPr>
              <w:t xml:space="preserve">SINGLE-SRC</w:t>
            </w:r>
          </w:p>
        </w:tc>
      </w:tr>
      <w:tr>
        <w:tc>
          <w:tcPr>
            <w:tcW w:type="dxa" w:w="2200"/>
            <w:shd w:fill="F2F4F8" w:color="auto" w:val="clear"/>
            <w:tcMar>
              <w:top w:type="dxa" w:w="40"/>
              <w:left w:type="dxa" w:w="70"/>
              <w:bottom w:type="dxa" w:w="40"/>
              <w:right w:type="dxa" w:w="70"/>
            </w:tcMar>
          </w:tcPr>
          <w:p>
            <w:pPr>
              <w:jc w:val="left"/>
            </w:pPr>
            <w:r>
              <w:rPr>
                <w:b w:val="false"/>
                <w:bCs w:val="false"/>
                <w:sz w:val="17"/>
                <w:szCs w:val="17"/>
              </w:rPr>
              <w:t xml:space="preserve">Thu 02 Jul</w:t>
            </w:r>
          </w:p>
        </w:tc>
        <w:tc>
          <w:tcPr>
            <w:tcW w:type="dxa" w:w="2000"/>
            <w:shd w:fill="F2F4F8" w:color="auto" w:val="clear"/>
            <w:tcMar>
              <w:top w:type="dxa" w:w="40"/>
              <w:left w:type="dxa" w:w="70"/>
              <w:bottom w:type="dxa" w:w="40"/>
              <w:right w:type="dxa" w:w="70"/>
            </w:tcMar>
          </w:tcPr>
          <w:p>
            <w:pPr>
              <w:jc w:val="center"/>
            </w:pPr>
            <w:r>
              <w:rPr>
                <w:b w:val="false"/>
                <w:bCs w:val="false"/>
                <w:sz w:val="17"/>
                <w:szCs w:val="17"/>
              </w:rPr>
              <w:t xml:space="preserve">6,360</w:t>
            </w:r>
          </w:p>
        </w:tc>
        <w:tc>
          <w:tcPr>
            <w:tcW w:type="dxa" w:w="1600"/>
            <w:shd w:fill="F2F4F8" w:color="auto" w:val="clear"/>
            <w:tcMar>
              <w:top w:type="dxa" w:w="40"/>
              <w:left w:type="dxa" w:w="70"/>
              <w:bottom w:type="dxa" w:w="40"/>
              <w:right w:type="dxa" w:w="70"/>
            </w:tcMar>
          </w:tcPr>
          <w:p>
            <w:pPr>
              <w:jc w:val="center"/>
            </w:pPr>
            <w:r>
              <w:rPr>
                <w:b w:val="false"/>
                <w:bCs w:val="false"/>
                <w:sz w:val="17"/>
                <w:szCs w:val="17"/>
              </w:rPr>
              <w:t xml:space="preserve">+0.7%</w:t>
            </w:r>
          </w:p>
        </w:tc>
        <w:tc>
          <w:tcPr>
            <w:tcW w:type="dxa" w:w="3560"/>
            <w:shd w:fill="F2F4F8" w:color="auto" w:val="clear"/>
            <w:tcMar>
              <w:top w:type="dxa" w:w="40"/>
              <w:left w:type="dxa" w:w="70"/>
              <w:bottom w:type="dxa" w:w="40"/>
              <w:right w:type="dxa" w:w="70"/>
            </w:tcMar>
          </w:tcPr>
          <w:p>
            <w:pPr>
              <w:jc w:val="center"/>
            </w:pPr>
            <w:r>
              <w:rPr>
                <w:b w:val="false"/>
                <w:bCs w:val="false"/>
                <w:color w:val="B8860B"/>
                <w:sz w:val="17"/>
                <w:szCs w:val="17"/>
              </w:rPr>
              <w:t xml:space="preserve">SINGLE-SRC</w:t>
            </w:r>
          </w:p>
        </w:tc>
      </w:tr>
      <w:tr>
        <w:tc>
          <w:tcPr>
            <w:tcW w:type="dxa" w:w="2200"/>
            <w:tcMar>
              <w:top w:type="dxa" w:w="40"/>
              <w:left w:type="dxa" w:w="70"/>
              <w:bottom w:type="dxa" w:w="40"/>
              <w:right w:type="dxa" w:w="70"/>
            </w:tcMar>
          </w:tcPr>
          <w:p>
            <w:pPr>
              <w:jc w:val="left"/>
            </w:pPr>
            <w:r>
              <w:rPr>
                <w:b w:val="false"/>
                <w:bCs w:val="false"/>
                <w:sz w:val="17"/>
                <w:szCs w:val="17"/>
              </w:rPr>
              <w:t xml:space="preserve">Fri 03 Jul</w:t>
            </w:r>
          </w:p>
        </w:tc>
        <w:tc>
          <w:tcPr>
            <w:tcW w:type="dxa" w:w="2000"/>
            <w:tcMar>
              <w:top w:type="dxa" w:w="40"/>
              <w:left w:type="dxa" w:w="70"/>
              <w:bottom w:type="dxa" w:w="40"/>
              <w:right w:type="dxa" w:w="70"/>
            </w:tcMar>
          </w:tcPr>
          <w:p>
            <w:pPr>
              <w:jc w:val="center"/>
            </w:pPr>
            <w:r>
              <w:rPr>
                <w:b/>
                <w:bCs/>
                <w:sz w:val="17"/>
                <w:szCs w:val="17"/>
              </w:rPr>
              <w:t xml:space="preserve">6,412.68</w:t>
            </w:r>
          </w:p>
        </w:tc>
        <w:tc>
          <w:tcPr>
            <w:tcW w:type="dxa" w:w="1600"/>
            <w:tcMar>
              <w:top w:type="dxa" w:w="40"/>
              <w:left w:type="dxa" w:w="70"/>
              <w:bottom w:type="dxa" w:w="40"/>
              <w:right w:type="dxa" w:w="70"/>
            </w:tcMar>
          </w:tcPr>
          <w:p>
            <w:pPr>
              <w:jc w:val="center"/>
            </w:pPr>
            <w:r>
              <w:rPr>
                <w:b w:val="false"/>
                <w:bCs w:val="false"/>
                <w:sz w:val="17"/>
                <w:szCs w:val="17"/>
              </w:rPr>
              <w:t xml:space="preserve">+0.82%</w:t>
            </w:r>
          </w:p>
        </w:tc>
        <w:tc>
          <w:tcPr>
            <w:tcW w:type="dxa" w:w="3560"/>
            <w:tcMar>
              <w:top w:type="dxa" w:w="40"/>
              <w:left w:type="dxa" w:w="70"/>
              <w:bottom w:type="dxa" w:w="40"/>
              <w:right w:type="dxa" w:w="70"/>
            </w:tcMar>
          </w:tcPr>
          <w:p>
            <w:pPr>
              <w:jc w:val="center"/>
            </w:pPr>
            <w:r>
              <w:rPr>
                <w:b w:val="false"/>
                <w:bCs w:val="false"/>
                <w:color w:val="2E7D32"/>
                <w:sz w:val="17"/>
                <w:szCs w:val="17"/>
              </w:rPr>
              <w:t xml:space="preserve">CORROB.</w:t>
            </w:r>
          </w:p>
        </w:tc>
      </w:tr>
    </w:tbl>
    <w:p>
      <w:pPr>
        <w:spacing w:after="100"/>
      </w:pPr>
      <w:r>
        <w:rPr>
          <w:b/>
          <w:bCs/>
          <w:sz w:val="20"/>
          <w:szCs w:val="20"/>
        </w:rPr>
        <w:t xml:space="preserve">RSI2 note. </w:t>
      </w:r>
      <w:r>
        <w:rPr>
          <w:i/>
          <w:iCs/>
          <w:sz w:val="18"/>
          <w:szCs w:val="18"/>
        </w:rPr>
        <w:t xml:space="preserve">The period-2 RSI computes to ~100 across the window because the validated close sequence is monotonically rising — an authentic reflection of a strong, low-noise advance rather than a data artefact. It confirms bullish momentum but is, by construction, an overbought reading that argues for caution on chasing strength intraday.</w:t>
      </w:r>
    </w:p>
    <w:p>
      <w:pPr>
        <w:spacing w:after="120" w:before="240"/>
      </w:pPr>
      <w:r>
        <w:rPr>
          <w:b/>
          <w:bCs/>
          <w:color w:val="2E7D32"/>
          <w:sz w:val="26"/>
          <w:szCs w:val="26"/>
        </w:rPr>
        <w:t xml:space="preserve">7 · Charts</w:t>
      </w:r>
    </w:p>
    <w:p>
      <w:pPr>
        <w:spacing w:after="100"/>
      </w:pPr>
      <w:r>
        <w:rPr>
          <w:i/>
          <w:iCs/>
          <w:sz w:val="18"/>
          <w:szCs w:val="18"/>
        </w:rPr>
        <w:t xml:space="preserve">Chart images are described here in lieu of embedded PNGs (data-source coverage did not permit fully corroborated intraday series for pixel-accurate rendering). Structure is stated so the desk can reproduce them from the §6 table:</w:t>
      </w:r>
    </w:p>
    <w:p>
      <w:pPr>
        <w:pStyle w:val="ListParagraph"/>
        <w:numPr>
          <w:ilvl w:val="0"/>
          <w:numId w:val="1"/>
        </w:numPr>
        <w:spacing w:after="60"/>
      </w:pPr>
      <w:r>
        <w:rPr>
          <w:sz w:val="20"/>
          <w:szCs w:val="20"/>
        </w:rPr>
        <w:t xml:space="preserve">Candlestick (5-day): five rising bodies; 30-Jun prints a tombstone-doji upper wick near the record; 2-Jul the widest bullish body; 3-Jul a smaller-bodied continuation into resistance.</w:t>
      </w:r>
    </w:p>
    <w:p>
      <w:pPr>
        <w:pStyle w:val="ListParagraph"/>
        <w:numPr>
          <w:ilvl w:val="0"/>
          <w:numId w:val="1"/>
        </w:numPr>
        <w:spacing w:after="60"/>
      </w:pPr>
      <w:r>
        <w:rPr>
          <w:sz w:val="20"/>
          <w:szCs w:val="20"/>
        </w:rPr>
        <w:t xml:space="preserve">Open=0 distance: closes travel positive each session; 2-Jul the largest close-minus-open displacement, confirming demand.</w:t>
      </w:r>
    </w:p>
    <w:p>
      <w:pPr>
        <w:pStyle w:val="ListParagraph"/>
        <w:numPr>
          <w:ilvl w:val="0"/>
          <w:numId w:val="1"/>
        </w:numPr>
        <w:spacing w:after="60"/>
      </w:pPr>
      <w:r>
        <w:rPr>
          <w:sz w:val="20"/>
          <w:szCs w:val="20"/>
        </w:rPr>
        <w:t xml:space="preserve">5-week structure: persistent higher-highs/higher-lows into the 10,700–10,935 record zone; minimal bar overlap = trend persistence.</w:t>
      </w:r>
    </w:p>
    <w:p>
      <w:pPr>
        <w:pStyle w:val="ListParagraph"/>
        <w:numPr>
          <w:ilvl w:val="0"/>
          <w:numId w:val="1"/>
        </w:numPr>
        <w:spacing w:after="60"/>
      </w:pPr>
      <w:r>
        <w:rPr>
          <w:sz w:val="20"/>
          <w:szCs w:val="20"/>
        </w:rPr>
        <w:t xml:space="preserve">VOLator comparison: FTSE volatility low and expanding modestly; S&amp;P 500 volatility spiking on the tech sell-off — the cross-asset outlier.</w:t>
      </w:r>
    </w:p>
    <w:p>
      <w:pPr>
        <w:pStyle w:val="ListParagraph"/>
        <w:numPr>
          <w:ilvl w:val="0"/>
          <w:numId w:val="1"/>
        </w:numPr>
        <w:spacing w:after="60"/>
      </w:pPr>
      <w:r>
        <w:rPr>
          <w:sz w:val="20"/>
          <w:szCs w:val="20"/>
        </w:rPr>
        <w:t xml:space="preserve">Pivot chart (weekly, 2 candles): current week building above the prior-week pivot, testing R1/R2 territory near the record.</w:t>
      </w:r>
    </w:p>
    <w:p>
      <w:pPr>
        <w:spacing w:after="120" w:before="240"/>
      </w:pPr>
      <w:r>
        <w:rPr>
          <w:b/>
          <w:bCs/>
          <w:color w:val="2E7D32"/>
          <w:sz w:val="26"/>
          <w:szCs w:val="26"/>
        </w:rPr>
        <w:t xml:space="preserve">8 · Short-Term Technical Analysis</w:t>
      </w:r>
    </w:p>
    <w:p>
      <w:pPr>
        <w:pStyle w:val="ListParagraph"/>
        <w:numPr>
          <w:ilvl w:val="0"/>
          <w:numId w:val="1"/>
        </w:numPr>
        <w:spacing w:after="60"/>
      </w:pPr>
      <w:r>
        <w:rPr>
          <w:sz w:val="20"/>
          <w:szCs w:val="20"/>
        </w:rPr>
        <w:t xml:space="preserve">Mon 29 Jun (see §6): bullish body, close in the upper third of range; momentum resuming after the prior week's consolidation near 10,466.</w:t>
      </w:r>
    </w:p>
    <w:p>
      <w:pPr>
        <w:pStyle w:val="ListParagraph"/>
        <w:numPr>
          <w:ilvl w:val="0"/>
          <w:numId w:val="1"/>
        </w:numPr>
        <w:spacing w:after="60"/>
      </w:pPr>
      <w:r>
        <w:rPr>
          <w:sz w:val="20"/>
          <w:szCs w:val="20"/>
        </w:rPr>
        <w:t xml:space="preserve">Tue 30 Jun (see §6): tombstone-doji — a long upper wick rejecting a push to ~10,575 near the record; short-term supply flagged, but no bearish follow-through.</w:t>
      </w:r>
    </w:p>
    <w:p>
      <w:pPr>
        <w:pStyle w:val="ListParagraph"/>
        <w:numPr>
          <w:ilvl w:val="0"/>
          <w:numId w:val="1"/>
        </w:numPr>
        <w:spacing w:after="60"/>
      </w:pPr>
      <w:r>
        <w:rPr>
          <w:sz w:val="20"/>
          <w:szCs w:val="20"/>
        </w:rPr>
        <w:t xml:space="preserve">Wed 01 Jul (see §6): demand re-asserts, bullish body closing ~85% up-range, absorbing the prior day's rejection.</w:t>
      </w:r>
    </w:p>
    <w:p>
      <w:pPr>
        <w:pStyle w:val="ListParagraph"/>
        <w:numPr>
          <w:ilvl w:val="0"/>
          <w:numId w:val="1"/>
        </w:numPr>
        <w:spacing w:after="60"/>
      </w:pPr>
      <w:r>
        <w:rPr>
          <w:sz w:val="20"/>
          <w:szCs w:val="20"/>
        </w:rPr>
        <w:t xml:space="preserve">Thu 02 Jul (see §6): the strongest session — an intraday surge (noted ~+1.8%) on soft US payrolls, close high in range; the momentum anchor of the window.</w:t>
      </w:r>
    </w:p>
    <w:p>
      <w:pPr>
        <w:pStyle w:val="ListParagraph"/>
        <w:numPr>
          <w:ilvl w:val="0"/>
          <w:numId w:val="1"/>
        </w:numPr>
        <w:spacing w:after="60"/>
      </w:pPr>
      <w:r>
        <w:rPr>
          <w:sz w:val="20"/>
          <w:szCs w:val="20"/>
        </w:rPr>
        <w:t xml:space="preserve">Fri 03 Jul (see §6): smaller-bodied continuation into 10,701 resistance in a thin, US-holiday session; close (10,679) held the advance without a fresh record.</w:t>
      </w:r>
    </w:p>
    <w:p>
      <w:pPr>
        <w:spacing w:after="100"/>
      </w:pPr>
      <w:r>
        <w:rPr>
          <w:b/>
          <w:bCs/>
          <w:sz w:val="20"/>
          <w:szCs w:val="20"/>
        </w:rPr>
        <w:t xml:space="preserve">Sequence assessment: </w:t>
      </w:r>
      <w:r>
        <w:rPr>
          <w:sz w:val="19"/>
          <w:szCs w:val="19"/>
        </w:rPr>
        <w:t xml:space="preserve">Continuation. Evidence — five higher closes, low bar overlap, a single failed upper-wick rejection (30-Jun) that was immediately reclaimed, and the largest body pointing up (2-Jul).</w:t>
      </w:r>
    </w:p>
    <w:p>
      <w:pPr>
        <w:spacing w:after="100"/>
      </w:pPr>
      <w:r>
        <w:rPr>
          <w:b/>
          <w:bCs/>
          <w:sz w:val="20"/>
          <w:szCs w:val="20"/>
        </w:rPr>
        <w:t xml:space="preserve">Nearest support / resistance (from window): </w:t>
      </w:r>
      <w:r>
        <w:rPr>
          <w:sz w:val="19"/>
          <w:szCs w:val="19"/>
        </w:rPr>
        <w:t xml:space="preserve">support 10,604 (3-Jul low), then 10,520–10,505; resistance 10,701 (window high) then the 10,935 record.</w:t>
      </w:r>
    </w:p>
    <w:p>
      <w:pPr>
        <w:spacing w:after="100"/>
      </w:pPr>
      <w:r>
        <w:rPr>
          <w:b/>
          <w:bCs/>
          <w:sz w:val="20"/>
          <w:szCs w:val="20"/>
        </w:rPr>
        <w:t xml:space="preserve">Judgement label: </w:t>
      </w:r>
      <w:r>
        <w:rPr>
          <w:b/>
          <w:bCs/>
          <w:color w:val="2E7D32"/>
          <w:sz w:val="19"/>
          <w:szCs w:val="19"/>
        </w:rPr>
        <w:t xml:space="preserve">Bullish continuation. Consistent with the §9 trending-bullish regime.</w:t>
      </w:r>
    </w:p>
    <w:p>
      <w:pPr>
        <w:spacing w:after="120" w:before="240"/>
      </w:pPr>
      <w:r>
        <w:rPr>
          <w:b/>
          <w:bCs/>
          <w:color w:val="2E7D32"/>
          <w:sz w:val="26"/>
          <w:szCs w:val="26"/>
        </w:rPr>
        <w:t xml:space="preserve">9 · Medium-Term Regime &amp; VOLator</w:t>
      </w:r>
    </w:p>
    <w:p>
      <w:pPr>
        <w:pStyle w:val="ListParagraph"/>
        <w:numPr>
          <w:ilvl w:val="0"/>
          <w:numId w:val="1"/>
        </w:numPr>
        <w:spacing w:after="60"/>
      </w:pPr>
      <w:r>
        <w:rPr>
          <w:sz w:val="20"/>
          <w:szCs w:val="20"/>
        </w:rPr>
        <w:t xml:space="preserve">Regime: Trending — Bullish. Supporting metrics: low bar-overlap ratio, high directional persistence (five up-closes), VOLator slope positive (expanding), median RSI2 elevated (~100), range-position bias in the upper quartile toward the record.</w:t>
      </w:r>
    </w:p>
    <w:p>
      <w:pPr>
        <w:pStyle w:val="ListParagraph"/>
        <w:numPr>
          <w:ilvl w:val="0"/>
          <w:numId w:val="1"/>
        </w:numPr>
        <w:spacing w:after="60"/>
      </w:pPr>
      <w:r>
        <w:rPr>
          <w:sz w:val="20"/>
          <w:szCs w:val="20"/>
        </w:rPr>
        <w:t xml:space="preserve">Bias: Bullish.</w:t>
      </w:r>
    </w:p>
    <w:p>
      <w:pPr>
        <w:pStyle w:val="ListParagraph"/>
        <w:numPr>
          <w:ilvl w:val="0"/>
          <w:numId w:val="1"/>
        </w:numPr>
        <w:spacing w:after="60"/>
      </w:pPr>
      <w:r>
        <w:rPr>
          <w:sz w:val="20"/>
          <w:szCs w:val="20"/>
        </w:rPr>
        <w:t xml:space="preserve">VOLator readings (scaled −1…+1): FTSE ≈ +0.2 and expanding (above midpoint); USDX ≈ 0 flat; S&amp;P 500 ≈ +0.6 and expanding sharply (risk event); DAX ≈ +0.1. FTSE's own volatility is contained relative to the US spike.</w:t>
      </w:r>
    </w:p>
    <w:p>
      <w:pPr>
        <w:pStyle w:val="ListParagraph"/>
        <w:numPr>
          <w:ilvl w:val="0"/>
          <w:numId w:val="1"/>
        </w:numPr>
        <w:spacing w:after="60"/>
      </w:pPr>
      <w:r>
        <w:rPr>
          <w:sz w:val="20"/>
          <w:szCs w:val="20"/>
        </w:rPr>
        <w:t xml:space="preserve">Preferred trade protocol: trend-pullback longs — buy dips toward the rising pivot/support rather than chasing into overbought RSI2 at resistance.</w:t>
      </w:r>
    </w:p>
    <w:p>
      <w:pPr>
        <w:spacing w:after="100"/>
      </w:pPr>
      <w:r>
        <w:rPr>
          <w:b/>
          <w:bCs/>
          <w:sz w:val="20"/>
          <w:szCs w:val="20"/>
        </w:rPr>
        <w:t xml:space="preserve">Kaufman confirmation: </w:t>
      </w:r>
      <w:r>
        <w:rPr>
          <w:sz w:val="19"/>
          <w:szCs w:val="19"/>
        </w:rPr>
        <w:t xml:space="preserve">Strongly Trending Up. The efficiency read is near-maximal (net travel ≈ path travel over the window), agreeing with the regime. KER takes precedence and reinforces the bullish label; no contradiction.</w:t>
      </w:r>
    </w:p>
    <w:p>
      <w:pPr>
        <w:spacing w:after="120" w:before="240"/>
      </w:pPr>
      <w:r>
        <w:rPr>
          <w:b/>
          <w:bCs/>
          <w:color w:val="2E7D32"/>
          <w:sz w:val="26"/>
          <w:szCs w:val="26"/>
        </w:rPr>
        <w:t xml:space="preserve">10 · Cross-Asset Analysis</w:t>
      </w:r>
    </w:p>
    <w:tbl>
      <w:tblPr>
        <w:tblW w:type="dxa" w:w="9360"/>
        <w:tblBorders>
          <w:top w:val="single" w:color="C0C7D0" w:sz="2"/>
          <w:left w:val="single" w:color="C0C7D0" w:sz="2"/>
          <w:bottom w:val="single" w:color="C0C7D0" w:sz="2"/>
          <w:right w:val="single" w:color="C0C7D0" w:sz="2"/>
          <w:insideH w:val="single" w:color="C0C7D0" w:sz="2"/>
          <w:insideV w:val="single" w:color="C0C7D0" w:sz="2"/>
        </w:tblBorders>
      </w:tblPr>
      <w:tblGrid>
        <w:gridCol w:w="1650"/>
        <w:gridCol w:w="1300"/>
        <w:gridCol w:w="2650"/>
        <w:gridCol w:w="1400"/>
        <w:gridCol w:w="2360"/>
      </w:tblGrid>
      <w:tr>
        <w:trPr>
          <w:tblHeader/>
        </w:trPr>
        <w:tc>
          <w:tcPr>
            <w:tcW w:type="dxa" w:w="1650"/>
            <w:shd w:fill="1F3864" w:color="auto" w:val="clear"/>
            <w:tcMar>
              <w:top w:type="dxa" w:w="40"/>
              <w:left w:type="dxa" w:w="70"/>
              <w:bottom w:type="dxa" w:w="40"/>
              <w:right w:type="dxa" w:w="70"/>
            </w:tcMar>
          </w:tcPr>
          <w:p>
            <w:pPr>
              <w:jc w:val="center"/>
            </w:pPr>
            <w:r>
              <w:rPr>
                <w:b/>
                <w:bCs/>
                <w:color w:val="FFFFFF"/>
                <w:sz w:val="17"/>
                <w:szCs w:val="17"/>
              </w:rPr>
              <w:t xml:space="preserve">Counter</w:t>
            </w:r>
          </w:p>
        </w:tc>
        <w:tc>
          <w:tcPr>
            <w:tcW w:type="dxa" w:w="1300"/>
            <w:shd w:fill="1F3864" w:color="auto" w:val="clear"/>
            <w:tcMar>
              <w:top w:type="dxa" w:w="40"/>
              <w:left w:type="dxa" w:w="70"/>
              <w:bottom w:type="dxa" w:w="40"/>
              <w:right w:type="dxa" w:w="70"/>
            </w:tcMar>
          </w:tcPr>
          <w:p>
            <w:pPr>
              <w:jc w:val="center"/>
            </w:pPr>
            <w:r>
              <w:rPr>
                <w:b/>
                <w:bCs/>
                <w:color w:val="FFFFFF"/>
                <w:sz w:val="17"/>
                <w:szCs w:val="17"/>
              </w:rPr>
              <w:t xml:space="preserve">5-day dir.</w:t>
            </w:r>
          </w:p>
        </w:tc>
        <w:tc>
          <w:tcPr>
            <w:tcW w:type="dxa" w:w="2650"/>
            <w:shd w:fill="1F3864" w:color="auto" w:val="clear"/>
            <w:tcMar>
              <w:top w:type="dxa" w:w="40"/>
              <w:left w:type="dxa" w:w="70"/>
              <w:bottom w:type="dxa" w:w="40"/>
              <w:right w:type="dxa" w:w="70"/>
            </w:tcMar>
          </w:tcPr>
          <w:p>
            <w:pPr>
              <w:jc w:val="center"/>
            </w:pPr>
            <w:r>
              <w:rPr>
                <w:b/>
                <w:bCs/>
                <w:color w:val="FFFFFF"/>
                <w:sz w:val="17"/>
                <w:szCs w:val="17"/>
              </w:rPr>
              <w:t xml:space="preserve">Mechanism</w:t>
            </w:r>
          </w:p>
        </w:tc>
        <w:tc>
          <w:tcPr>
            <w:tcW w:type="dxa" w:w="1400"/>
            <w:shd w:fill="1F3864" w:color="auto" w:val="clear"/>
            <w:tcMar>
              <w:top w:type="dxa" w:w="40"/>
              <w:left w:type="dxa" w:w="70"/>
              <w:bottom w:type="dxa" w:w="40"/>
              <w:right w:type="dxa" w:w="70"/>
            </w:tcMar>
          </w:tcPr>
          <w:p>
            <w:pPr>
              <w:jc w:val="center"/>
            </w:pPr>
            <w:r>
              <w:rPr>
                <w:b/>
                <w:bCs/>
                <w:color w:val="FFFFFF"/>
                <w:sz w:val="17"/>
                <w:szCs w:val="17"/>
              </w:rPr>
              <w:t xml:space="preserve">Status</w:t>
            </w:r>
          </w:p>
        </w:tc>
        <w:tc>
          <w:tcPr>
            <w:tcW w:type="dxa" w:w="2360"/>
            <w:shd w:fill="1F3864" w:color="auto" w:val="clear"/>
            <w:tcMar>
              <w:top w:type="dxa" w:w="40"/>
              <w:left w:type="dxa" w:w="70"/>
              <w:bottom w:type="dxa" w:w="40"/>
              <w:right w:type="dxa" w:w="70"/>
            </w:tcMar>
          </w:tcPr>
          <w:p>
            <w:pPr>
              <w:jc w:val="center"/>
            </w:pPr>
            <w:r>
              <w:rPr>
                <w:b/>
                <w:bCs/>
                <w:color w:val="FFFFFF"/>
                <w:sz w:val="17"/>
                <w:szCs w:val="17"/>
              </w:rPr>
              <w:t xml:space="preserve">Implication</w:t>
            </w:r>
          </w:p>
        </w:tc>
      </w:tr>
      <w:tr>
        <w:tc>
          <w:tcPr>
            <w:tcW w:type="dxa" w:w="1650"/>
            <w:tcMar>
              <w:top w:type="dxa" w:w="40"/>
              <w:left w:type="dxa" w:w="70"/>
              <w:bottom w:type="dxa" w:w="40"/>
              <w:right w:type="dxa" w:w="70"/>
            </w:tcMar>
          </w:tcPr>
          <w:p>
            <w:pPr>
              <w:jc w:val="left"/>
            </w:pPr>
            <w:r>
              <w:rPr>
                <w:b w:val="false"/>
                <w:bCs w:val="false"/>
                <w:sz w:val="17"/>
                <w:szCs w:val="17"/>
              </w:rPr>
              <w:t xml:space="preserve">USDX (Dollar Index)</w:t>
            </w:r>
          </w:p>
        </w:tc>
        <w:tc>
          <w:tcPr>
            <w:tcW w:type="dxa" w:w="1300"/>
            <w:tcMar>
              <w:top w:type="dxa" w:w="40"/>
              <w:left w:type="dxa" w:w="70"/>
              <w:bottom w:type="dxa" w:w="40"/>
              <w:right w:type="dxa" w:w="70"/>
            </w:tcMar>
          </w:tcPr>
          <w:p>
            <w:pPr>
              <w:jc w:val="center"/>
            </w:pPr>
            <w:r>
              <w:rPr>
                <w:b w:val="false"/>
                <w:bCs w:val="false"/>
                <w:sz w:val="17"/>
                <w:szCs w:val="17"/>
              </w:rPr>
              <w:t xml:space="preserve">Flat / soft</w:t>
            </w:r>
          </w:p>
        </w:tc>
        <w:tc>
          <w:tcPr>
            <w:tcW w:type="dxa" w:w="2650"/>
            <w:tcMar>
              <w:top w:type="dxa" w:w="40"/>
              <w:left w:type="dxa" w:w="70"/>
              <w:bottom w:type="dxa" w:w="40"/>
              <w:right w:type="dxa" w:w="70"/>
            </w:tcMar>
          </w:tcPr>
          <w:p>
            <w:pPr>
              <w:jc w:val="center"/>
            </w:pPr>
            <w:r>
              <w:rPr>
                <w:b w:val="false"/>
                <w:bCs w:val="false"/>
                <w:sz w:val="17"/>
                <w:szCs w:val="17"/>
              </w:rPr>
              <w:t xml:space="preserve">A softer dollar tends to lift sterling-translated and dollar-earner valuations; effect muted here</w:t>
            </w:r>
          </w:p>
        </w:tc>
        <w:tc>
          <w:tcPr>
            <w:tcW w:type="dxa" w:w="1400"/>
            <w:tcMar>
              <w:top w:type="dxa" w:w="40"/>
              <w:left w:type="dxa" w:w="70"/>
              <w:bottom w:type="dxa" w:w="40"/>
              <w:right w:type="dxa" w:w="70"/>
            </w:tcMar>
          </w:tcPr>
          <w:p>
            <w:pPr>
              <w:jc w:val="center"/>
            </w:pPr>
            <w:r>
              <w:rPr>
                <w:b w:val="false"/>
                <w:bCs w:val="false"/>
                <w:sz w:val="17"/>
                <w:szCs w:val="17"/>
              </w:rPr>
              <w:t xml:space="preserve">Neutral</w:t>
            </w:r>
          </w:p>
        </w:tc>
        <w:tc>
          <w:tcPr>
            <w:tcW w:type="dxa" w:w="2360"/>
            <w:tcMar>
              <w:top w:type="dxa" w:w="40"/>
              <w:left w:type="dxa" w:w="70"/>
              <w:bottom w:type="dxa" w:w="40"/>
              <w:right w:type="dxa" w:w="70"/>
            </w:tcMar>
          </w:tcPr>
          <w:p>
            <w:pPr>
              <w:jc w:val="center"/>
            </w:pPr>
            <w:r>
              <w:rPr>
                <w:b w:val="false"/>
                <w:bCs w:val="false"/>
                <w:sz w:val="17"/>
                <w:szCs w:val="17"/>
              </w:rPr>
              <w:t xml:space="preserve">Mildly supportive; not a confirming driver this window</w:t>
            </w:r>
          </w:p>
        </w:tc>
      </w:tr>
      <w:tr>
        <w:tc>
          <w:tcPr>
            <w:tcW w:type="dxa" w:w="1650"/>
            <w:shd w:fill="F2F4F8" w:color="auto" w:val="clear"/>
            <w:tcMar>
              <w:top w:type="dxa" w:w="40"/>
              <w:left w:type="dxa" w:w="70"/>
              <w:bottom w:type="dxa" w:w="40"/>
              <w:right w:type="dxa" w:w="70"/>
            </w:tcMar>
          </w:tcPr>
          <w:p>
            <w:pPr>
              <w:jc w:val="left"/>
            </w:pPr>
            <w:r>
              <w:rPr>
                <w:b w:val="false"/>
                <w:bCs w:val="false"/>
                <w:sz w:val="17"/>
                <w:szCs w:val="17"/>
              </w:rPr>
              <w:t xml:space="preserve">S&amp;P 500</w:t>
            </w:r>
          </w:p>
        </w:tc>
        <w:tc>
          <w:tcPr>
            <w:tcW w:type="dxa" w:w="1300"/>
            <w:shd w:fill="F2F4F8" w:color="auto" w:val="clear"/>
            <w:tcMar>
              <w:top w:type="dxa" w:w="40"/>
              <w:left w:type="dxa" w:w="70"/>
              <w:bottom w:type="dxa" w:w="40"/>
              <w:right w:type="dxa" w:w="70"/>
            </w:tcMar>
          </w:tcPr>
          <w:p>
            <w:pPr>
              <w:jc w:val="center"/>
            </w:pPr>
            <w:r>
              <w:rPr>
                <w:b w:val="false"/>
                <w:bCs w:val="false"/>
                <w:sz w:val="17"/>
                <w:szCs w:val="17"/>
              </w:rPr>
              <w:t xml:space="preserve">Falling (tech-led)</w:t>
            </w:r>
          </w:p>
        </w:tc>
        <w:tc>
          <w:tcPr>
            <w:tcW w:type="dxa" w:w="2650"/>
            <w:shd w:fill="F2F4F8" w:color="auto" w:val="clear"/>
            <w:tcMar>
              <w:top w:type="dxa" w:w="40"/>
              <w:left w:type="dxa" w:w="70"/>
              <w:bottom w:type="dxa" w:w="40"/>
              <w:right w:type="dxa" w:w="70"/>
            </w:tcMar>
          </w:tcPr>
          <w:p>
            <w:pPr>
              <w:jc w:val="center"/>
            </w:pPr>
            <w:r>
              <w:rPr>
                <w:b w:val="false"/>
                <w:bCs w:val="false"/>
                <w:sz w:val="17"/>
                <w:szCs w:val="17"/>
              </w:rPr>
              <w:t xml:space="preserve">Common risk-factor beta; a US tech rout can pull European risk lower via sentiment</w:t>
            </w:r>
          </w:p>
        </w:tc>
        <w:tc>
          <w:tcPr>
            <w:tcW w:type="dxa" w:w="1400"/>
            <w:shd w:fill="F2F4F8" w:color="auto" w:val="clear"/>
            <w:tcMar>
              <w:top w:type="dxa" w:w="40"/>
              <w:left w:type="dxa" w:w="70"/>
              <w:bottom w:type="dxa" w:w="40"/>
              <w:right w:type="dxa" w:w="70"/>
            </w:tcMar>
          </w:tcPr>
          <w:p>
            <w:pPr>
              <w:jc w:val="center"/>
            </w:pPr>
            <w:r>
              <w:rPr>
                <w:b w:val="false"/>
                <w:bCs w:val="false"/>
                <w:sz w:val="17"/>
                <w:szCs w:val="17"/>
              </w:rPr>
              <w:t xml:space="preserve">Contradicts</w:t>
            </w:r>
          </w:p>
        </w:tc>
        <w:tc>
          <w:tcPr>
            <w:tcW w:type="dxa" w:w="2360"/>
            <w:shd w:fill="F2F4F8" w:color="auto" w:val="clear"/>
            <w:tcMar>
              <w:top w:type="dxa" w:w="40"/>
              <w:left w:type="dxa" w:w="70"/>
              <w:bottom w:type="dxa" w:w="40"/>
              <w:right w:type="dxa" w:w="70"/>
            </w:tcMar>
          </w:tcPr>
          <w:p>
            <w:pPr>
              <w:jc w:val="center"/>
            </w:pPr>
            <w:r>
              <w:rPr>
                <w:b w:val="false"/>
                <w:bCs w:val="false"/>
                <w:sz w:val="17"/>
                <w:szCs w:val="17"/>
              </w:rPr>
              <w:t xml:space="preserve">The main non-confirming signal — a spillover risk to the FTSE base case</w:t>
            </w:r>
          </w:p>
        </w:tc>
      </w:tr>
      <w:tr>
        <w:tc>
          <w:tcPr>
            <w:tcW w:type="dxa" w:w="1650"/>
            <w:tcMar>
              <w:top w:type="dxa" w:w="40"/>
              <w:left w:type="dxa" w:w="70"/>
              <w:bottom w:type="dxa" w:w="40"/>
              <w:right w:type="dxa" w:w="70"/>
            </w:tcMar>
          </w:tcPr>
          <w:p>
            <w:pPr>
              <w:jc w:val="left"/>
            </w:pPr>
            <w:r>
              <w:rPr>
                <w:b w:val="false"/>
                <w:bCs w:val="false"/>
                <w:sz w:val="17"/>
                <w:szCs w:val="17"/>
              </w:rPr>
              <w:t xml:space="preserve">DAX 40</w:t>
            </w:r>
          </w:p>
        </w:tc>
        <w:tc>
          <w:tcPr>
            <w:tcW w:type="dxa" w:w="1300"/>
            <w:tcMar>
              <w:top w:type="dxa" w:w="40"/>
              <w:left w:type="dxa" w:w="70"/>
              <w:bottom w:type="dxa" w:w="40"/>
              <w:right w:type="dxa" w:w="70"/>
            </w:tcMar>
          </w:tcPr>
          <w:p>
            <w:pPr>
              <w:jc w:val="center"/>
            </w:pPr>
            <w:r>
              <w:rPr>
                <w:b w:val="false"/>
                <w:bCs w:val="false"/>
                <w:sz w:val="17"/>
                <w:szCs w:val="17"/>
              </w:rPr>
              <w:t xml:space="preserve">Soft / flat</w:t>
            </w:r>
          </w:p>
        </w:tc>
        <w:tc>
          <w:tcPr>
            <w:tcW w:type="dxa" w:w="2650"/>
            <w:tcMar>
              <w:top w:type="dxa" w:w="40"/>
              <w:left w:type="dxa" w:w="70"/>
              <w:bottom w:type="dxa" w:w="40"/>
              <w:right w:type="dxa" w:w="70"/>
            </w:tcMar>
          </w:tcPr>
          <w:p>
            <w:pPr>
              <w:jc w:val="center"/>
            </w:pPr>
            <w:r>
              <w:rPr>
                <w:b w:val="false"/>
                <w:bCs w:val="false"/>
                <w:sz w:val="17"/>
                <w:szCs w:val="17"/>
              </w:rPr>
              <w:t xml:space="preserve">Eurozone industrial proxy; weakness caps European breadth</w:t>
            </w:r>
          </w:p>
        </w:tc>
        <w:tc>
          <w:tcPr>
            <w:tcW w:type="dxa" w:w="1400"/>
            <w:tcMar>
              <w:top w:type="dxa" w:w="40"/>
              <w:left w:type="dxa" w:w="70"/>
              <w:bottom w:type="dxa" w:w="40"/>
              <w:right w:type="dxa" w:w="70"/>
            </w:tcMar>
          </w:tcPr>
          <w:p>
            <w:pPr>
              <w:jc w:val="center"/>
            </w:pPr>
            <w:r>
              <w:rPr>
                <w:b w:val="false"/>
                <w:bCs w:val="false"/>
                <w:sz w:val="17"/>
                <w:szCs w:val="17"/>
              </w:rPr>
              <w:t xml:space="preserve">Neutral / mild contradict</w:t>
            </w:r>
          </w:p>
        </w:tc>
        <w:tc>
          <w:tcPr>
            <w:tcW w:type="dxa" w:w="2360"/>
            <w:tcMar>
              <w:top w:type="dxa" w:w="40"/>
              <w:left w:type="dxa" w:w="70"/>
              <w:bottom w:type="dxa" w:w="40"/>
              <w:right w:type="dxa" w:w="70"/>
            </w:tcMar>
          </w:tcPr>
          <w:p>
            <w:pPr>
              <w:jc w:val="center"/>
            </w:pPr>
            <w:r>
              <w:rPr>
                <w:b w:val="false"/>
                <w:bCs w:val="false"/>
                <w:sz w:val="17"/>
                <w:szCs w:val="17"/>
              </w:rPr>
              <w:t xml:space="preserve">FTSE outperforming Europe on defensive/energy mix</w:t>
            </w:r>
          </w:p>
        </w:tc>
      </w:tr>
      <w:tr>
        <w:tc>
          <w:tcPr>
            <w:tcW w:type="dxa" w:w="1650"/>
            <w:shd w:fill="F2F4F8" w:color="auto" w:val="clear"/>
            <w:tcMar>
              <w:top w:type="dxa" w:w="40"/>
              <w:left w:type="dxa" w:w="70"/>
              <w:bottom w:type="dxa" w:w="40"/>
              <w:right w:type="dxa" w:w="70"/>
            </w:tcMar>
          </w:tcPr>
          <w:p>
            <w:pPr>
              <w:jc w:val="left"/>
            </w:pPr>
            <w:r>
              <w:rPr>
                <w:b w:val="false"/>
                <w:bCs w:val="false"/>
                <w:sz w:val="17"/>
                <w:szCs w:val="17"/>
              </w:rPr>
              <w:t xml:space="preserve">EURO STOXX 50</w:t>
            </w:r>
          </w:p>
        </w:tc>
        <w:tc>
          <w:tcPr>
            <w:tcW w:type="dxa" w:w="1300"/>
            <w:shd w:fill="F2F4F8" w:color="auto" w:val="clear"/>
            <w:tcMar>
              <w:top w:type="dxa" w:w="40"/>
              <w:left w:type="dxa" w:w="70"/>
              <w:bottom w:type="dxa" w:w="40"/>
              <w:right w:type="dxa" w:w="70"/>
            </w:tcMar>
          </w:tcPr>
          <w:p>
            <w:pPr>
              <w:jc w:val="center"/>
            </w:pPr>
            <w:r>
              <w:rPr>
                <w:b w:val="false"/>
                <w:bCs w:val="false"/>
                <w:sz w:val="17"/>
                <w:szCs w:val="17"/>
              </w:rPr>
              <w:t xml:space="preserve">Rising (3 Jul +0.82%)</w:t>
            </w:r>
          </w:p>
        </w:tc>
        <w:tc>
          <w:tcPr>
            <w:tcW w:type="dxa" w:w="2650"/>
            <w:shd w:fill="F2F4F8" w:color="auto" w:val="clear"/>
            <w:tcMar>
              <w:top w:type="dxa" w:w="40"/>
              <w:left w:type="dxa" w:w="70"/>
              <w:bottom w:type="dxa" w:w="40"/>
              <w:right w:type="dxa" w:w="70"/>
            </w:tcMar>
          </w:tcPr>
          <w:p>
            <w:pPr>
              <w:jc w:val="center"/>
            </w:pPr>
            <w:r>
              <w:rPr>
                <w:b w:val="false"/>
                <w:bCs w:val="false"/>
                <w:sz w:val="17"/>
                <w:szCs w:val="17"/>
              </w:rPr>
              <w:t xml:space="preserve">Direct eurozone large-cap read-across</w:t>
            </w:r>
          </w:p>
        </w:tc>
        <w:tc>
          <w:tcPr>
            <w:tcW w:type="dxa" w:w="1400"/>
            <w:shd w:fill="F2F4F8" w:color="auto" w:val="clear"/>
            <w:tcMar>
              <w:top w:type="dxa" w:w="40"/>
              <w:left w:type="dxa" w:w="70"/>
              <w:bottom w:type="dxa" w:w="40"/>
              <w:right w:type="dxa" w:w="70"/>
            </w:tcMar>
          </w:tcPr>
          <w:p>
            <w:pPr>
              <w:jc w:val="center"/>
            </w:pPr>
            <w:r>
              <w:rPr>
                <w:b w:val="false"/>
                <w:bCs w:val="false"/>
                <w:sz w:val="17"/>
                <w:szCs w:val="17"/>
              </w:rPr>
              <w:t xml:space="preserve">Confirms</w:t>
            </w:r>
          </w:p>
        </w:tc>
        <w:tc>
          <w:tcPr>
            <w:tcW w:type="dxa" w:w="2360"/>
            <w:shd w:fill="F2F4F8" w:color="auto" w:val="clear"/>
            <w:tcMar>
              <w:top w:type="dxa" w:w="40"/>
              <w:left w:type="dxa" w:w="70"/>
              <w:bottom w:type="dxa" w:w="40"/>
              <w:right w:type="dxa" w:w="70"/>
            </w:tcMar>
          </w:tcPr>
          <w:p>
            <w:pPr>
              <w:jc w:val="center"/>
            </w:pPr>
            <w:r>
              <w:rPr>
                <w:b w:val="false"/>
                <w:bCs w:val="false"/>
                <w:sz w:val="17"/>
                <w:szCs w:val="17"/>
              </w:rPr>
              <w:t xml:space="preserve">Broad European large-cap bid corroborates the FTSE advance</w:t>
            </w:r>
          </w:p>
        </w:tc>
      </w:tr>
    </w:tbl>
    <w:p>
      <w:pPr>
        <w:spacing w:after="100"/>
      </w:pPr>
      <w:r>
        <w:rPr>
          <w:b/>
          <w:bCs/>
          <w:sz w:val="20"/>
          <w:szCs w:val="20"/>
        </w:rPr>
        <w:t xml:space="preserve">Contradiction flag: </w:t>
      </w:r>
      <w:r>
        <w:rPr>
          <w:b/>
          <w:bCs/>
          <w:color w:val="AD1457"/>
          <w:sz w:val="19"/>
          <w:szCs w:val="19"/>
        </w:rPr>
        <w:t xml:space="preserve">The S&amp;P 500's tech-led sell-off contradicts the trending-bullish synthesis and is carried forward — unresolved — into §15 and §16. Aggregate cross-asset read: MIXED (one confirm, one contradict, two neutral).</w:t>
      </w:r>
    </w:p>
    <w:p>
      <w:pPr>
        <w:spacing w:after="120" w:before="240"/>
      </w:pPr>
      <w:r>
        <w:rPr>
          <w:b/>
          <w:bCs/>
          <w:color w:val="2E7D32"/>
          <w:sz w:val="26"/>
          <w:szCs w:val="26"/>
        </w:rPr>
        <w:t xml:space="preserve">11 · Floor Pivot Analysis</w:t>
      </w:r>
    </w:p>
    <w:p>
      <w:pPr>
        <w:spacing w:after="100"/>
      </w:pPr>
      <w:r>
        <w:rPr>
          <w:i/>
          <w:iCs/>
          <w:sz w:val="18"/>
          <w:szCs w:val="18"/>
        </w:rPr>
        <w:t xml:space="preserve">Daily pivots computed from the corroborated 3-Jul session (H 10,701.32 / L 10,604.25 / C 10,679.03) for the 6/7-Jul sessions. Weekly and monthly enabled but carried indicative pending second-source prior-period H/L/C.</w:t>
      </w:r>
    </w:p>
    <w:tbl>
      <w:tblPr>
        <w:tblW w:type="dxa" w:w="9360"/>
        <w:tblBorders>
          <w:top w:val="single" w:color="C0C7D0" w:sz="2"/>
          <w:left w:val="single" w:color="C0C7D0" w:sz="2"/>
          <w:bottom w:val="single" w:color="C0C7D0" w:sz="2"/>
          <w:right w:val="single" w:color="C0C7D0" w:sz="2"/>
          <w:insideH w:val="single" w:color="C0C7D0" w:sz="2"/>
          <w:insideV w:val="single" w:color="C0C7D0" w:sz="2"/>
        </w:tblBorders>
      </w:tblPr>
      <w:tblGrid>
        <w:gridCol w:w="2200"/>
        <w:gridCol w:w="2600"/>
        <w:gridCol w:w="4560"/>
      </w:tblGrid>
      <w:tr>
        <w:trPr>
          <w:tblHeader/>
        </w:trPr>
        <w:tc>
          <w:tcPr>
            <w:tcW w:type="dxa" w:w="2200"/>
            <w:shd w:fill="1F3864" w:color="auto" w:val="clear"/>
            <w:tcMar>
              <w:top w:type="dxa" w:w="40"/>
              <w:left w:type="dxa" w:w="70"/>
              <w:bottom w:type="dxa" w:w="40"/>
              <w:right w:type="dxa" w:w="70"/>
            </w:tcMar>
          </w:tcPr>
          <w:p>
            <w:pPr>
              <w:jc w:val="center"/>
            </w:pPr>
            <w:r>
              <w:rPr>
                <w:b/>
                <w:bCs/>
                <w:color w:val="FFFFFF"/>
                <w:sz w:val="17"/>
                <w:szCs w:val="17"/>
              </w:rPr>
              <w:t xml:space="preserve">Level</w:t>
            </w:r>
          </w:p>
        </w:tc>
        <w:tc>
          <w:tcPr>
            <w:tcW w:type="dxa" w:w="2600"/>
            <w:shd w:fill="1F3864" w:color="auto" w:val="clear"/>
            <w:tcMar>
              <w:top w:type="dxa" w:w="40"/>
              <w:left w:type="dxa" w:w="70"/>
              <w:bottom w:type="dxa" w:w="40"/>
              <w:right w:type="dxa" w:w="70"/>
            </w:tcMar>
          </w:tcPr>
          <w:p>
            <w:pPr>
              <w:jc w:val="center"/>
            </w:pPr>
            <w:r>
              <w:rPr>
                <w:b/>
                <w:bCs/>
                <w:color w:val="FFFFFF"/>
                <w:sz w:val="17"/>
                <w:szCs w:val="17"/>
              </w:rPr>
              <w:t xml:space="preserve">Daily (from 3-Jul)</w:t>
            </w:r>
          </w:p>
        </w:tc>
        <w:tc>
          <w:tcPr>
            <w:tcW w:type="dxa" w:w="4560"/>
            <w:shd w:fill="1F3864" w:color="auto" w:val="clear"/>
            <w:tcMar>
              <w:top w:type="dxa" w:w="40"/>
              <w:left w:type="dxa" w:w="70"/>
              <w:bottom w:type="dxa" w:w="40"/>
              <w:right w:type="dxa" w:w="70"/>
            </w:tcMar>
          </w:tcPr>
          <w:p>
            <w:pPr>
              <w:jc w:val="center"/>
            </w:pPr>
            <w:r>
              <w:rPr>
                <w:b/>
                <w:bCs/>
                <w:color w:val="FFFFFF"/>
                <w:sz w:val="17"/>
                <w:szCs w:val="17"/>
              </w:rPr>
              <w:t xml:space="preserve">Status</w:t>
            </w:r>
          </w:p>
        </w:tc>
      </w:tr>
      <w:tr>
        <w:tc>
          <w:tcPr>
            <w:tcW w:type="dxa" w:w="2200"/>
            <w:tcMar>
              <w:top w:type="dxa" w:w="40"/>
              <w:left w:type="dxa" w:w="70"/>
              <w:bottom w:type="dxa" w:w="40"/>
              <w:right w:type="dxa" w:w="70"/>
            </w:tcMar>
          </w:tcPr>
          <w:p>
            <w:pPr>
              <w:jc w:val="left"/>
            </w:pPr>
            <w:r>
              <w:rPr>
                <w:b w:val="false"/>
                <w:bCs w:val="false"/>
                <w:sz w:val="17"/>
                <w:szCs w:val="17"/>
              </w:rPr>
              <w:t xml:space="preserve">R3</w:t>
            </w:r>
          </w:p>
        </w:tc>
        <w:tc>
          <w:tcPr>
            <w:tcW w:type="dxa" w:w="2600"/>
            <w:tcMar>
              <w:top w:type="dxa" w:w="40"/>
              <w:left w:type="dxa" w:w="70"/>
              <w:bottom w:type="dxa" w:w="40"/>
              <w:right w:type="dxa" w:w="70"/>
            </w:tcMar>
          </w:tcPr>
          <w:p>
            <w:pPr>
              <w:jc w:val="center"/>
            </w:pPr>
            <w:r>
              <w:rPr>
                <w:b w:val="false"/>
                <w:bCs w:val="false"/>
                <w:sz w:val="17"/>
                <w:szCs w:val="17"/>
              </w:rPr>
              <w:t xml:space="preserve">10,816</w:t>
            </w:r>
          </w:p>
        </w:tc>
        <w:tc>
          <w:tcPr>
            <w:tcW w:type="dxa" w:w="4560"/>
            <w:tcMar>
              <w:top w:type="dxa" w:w="40"/>
              <w:left w:type="dxa" w:w="70"/>
              <w:bottom w:type="dxa" w:w="40"/>
              <w:right w:type="dxa" w:w="70"/>
            </w:tcMar>
          </w:tcPr>
          <w:p>
            <w:pPr>
              <w:jc w:val="center"/>
            </w:pPr>
            <w:r>
              <w:rPr>
                <w:b w:val="false"/>
                <w:bCs w:val="false"/>
                <w:color w:val="2E7D32"/>
                <w:sz w:val="17"/>
                <w:szCs w:val="17"/>
              </w:rPr>
              <w:t xml:space="preserve">CORROB. source session</w:t>
            </w:r>
          </w:p>
        </w:tc>
      </w:tr>
      <w:tr>
        <w:tc>
          <w:tcPr>
            <w:tcW w:type="dxa" w:w="2200"/>
            <w:shd w:fill="F2F4F8" w:color="auto" w:val="clear"/>
            <w:tcMar>
              <w:top w:type="dxa" w:w="40"/>
              <w:left w:type="dxa" w:w="70"/>
              <w:bottom w:type="dxa" w:w="40"/>
              <w:right w:type="dxa" w:w="70"/>
            </w:tcMar>
          </w:tcPr>
          <w:p>
            <w:pPr>
              <w:jc w:val="left"/>
            </w:pPr>
            <w:r>
              <w:rPr>
                <w:b w:val="false"/>
                <w:bCs w:val="false"/>
                <w:sz w:val="17"/>
                <w:szCs w:val="17"/>
              </w:rPr>
              <w:t xml:space="preserve">R2</w:t>
            </w:r>
          </w:p>
        </w:tc>
        <w:tc>
          <w:tcPr>
            <w:tcW w:type="dxa" w:w="2600"/>
            <w:shd w:fill="F2F4F8" w:color="auto" w:val="clear"/>
            <w:tcMar>
              <w:top w:type="dxa" w:w="40"/>
              <w:left w:type="dxa" w:w="70"/>
              <w:bottom w:type="dxa" w:w="40"/>
              <w:right w:type="dxa" w:w="70"/>
            </w:tcMar>
          </w:tcPr>
          <w:p>
            <w:pPr>
              <w:jc w:val="center"/>
            </w:pPr>
            <w:r>
              <w:rPr>
                <w:b w:val="false"/>
                <w:bCs w:val="false"/>
                <w:sz w:val="17"/>
                <w:szCs w:val="17"/>
              </w:rPr>
              <w:t xml:space="preserve">10,759</w:t>
            </w:r>
          </w:p>
        </w:tc>
        <w:tc>
          <w:tcPr>
            <w:tcW w:type="dxa" w:w="4560"/>
            <w:shd w:fill="F2F4F8" w:color="auto" w:val="clear"/>
            <w:tcMar>
              <w:top w:type="dxa" w:w="40"/>
              <w:left w:type="dxa" w:w="70"/>
              <w:bottom w:type="dxa" w:w="40"/>
              <w:right w:type="dxa" w:w="70"/>
            </w:tcMar>
          </w:tcPr>
          <w:p>
            <w:pPr>
              <w:jc w:val="center"/>
            </w:pPr>
            <w:r>
              <w:rPr>
                <w:b w:val="false"/>
                <w:bCs w:val="false"/>
                <w:color w:val="2E7D32"/>
                <w:sz w:val="17"/>
                <w:szCs w:val="17"/>
              </w:rPr>
              <w:t xml:space="preserve">CORROB.</w:t>
            </w:r>
          </w:p>
        </w:tc>
      </w:tr>
      <w:tr>
        <w:tc>
          <w:tcPr>
            <w:tcW w:type="dxa" w:w="2200"/>
            <w:tcMar>
              <w:top w:type="dxa" w:w="40"/>
              <w:left w:type="dxa" w:w="70"/>
              <w:bottom w:type="dxa" w:w="40"/>
              <w:right w:type="dxa" w:w="70"/>
            </w:tcMar>
          </w:tcPr>
          <w:p>
            <w:pPr>
              <w:jc w:val="left"/>
            </w:pPr>
            <w:r>
              <w:rPr>
                <w:b w:val="false"/>
                <w:bCs w:val="false"/>
                <w:sz w:val="17"/>
                <w:szCs w:val="17"/>
              </w:rPr>
              <w:t xml:space="preserve">R1</w:t>
            </w:r>
          </w:p>
        </w:tc>
        <w:tc>
          <w:tcPr>
            <w:tcW w:type="dxa" w:w="2600"/>
            <w:tcMar>
              <w:top w:type="dxa" w:w="40"/>
              <w:left w:type="dxa" w:w="70"/>
              <w:bottom w:type="dxa" w:w="40"/>
              <w:right w:type="dxa" w:w="70"/>
            </w:tcMar>
          </w:tcPr>
          <w:p>
            <w:pPr>
              <w:jc w:val="center"/>
            </w:pPr>
            <w:r>
              <w:rPr>
                <w:b w:val="false"/>
                <w:bCs w:val="false"/>
                <w:sz w:val="17"/>
                <w:szCs w:val="17"/>
              </w:rPr>
              <w:t xml:space="preserve">10,719</w:t>
            </w:r>
          </w:p>
        </w:tc>
        <w:tc>
          <w:tcPr>
            <w:tcW w:type="dxa" w:w="4560"/>
            <w:tcMar>
              <w:top w:type="dxa" w:w="40"/>
              <w:left w:type="dxa" w:w="70"/>
              <w:bottom w:type="dxa" w:w="40"/>
              <w:right w:type="dxa" w:w="70"/>
            </w:tcMar>
          </w:tcPr>
          <w:p>
            <w:pPr>
              <w:jc w:val="center"/>
            </w:pPr>
            <w:r>
              <w:rPr>
                <w:b w:val="false"/>
                <w:bCs w:val="false"/>
                <w:color w:val="2E7D32"/>
                <w:sz w:val="17"/>
                <w:szCs w:val="17"/>
              </w:rPr>
              <w:t xml:space="preserve">CORROB.</w:t>
            </w:r>
          </w:p>
        </w:tc>
      </w:tr>
      <w:tr>
        <w:tc>
          <w:tcPr>
            <w:tcW w:type="dxa" w:w="2200"/>
            <w:shd w:fill="F2F4F8" w:color="auto" w:val="clear"/>
            <w:tcMar>
              <w:top w:type="dxa" w:w="40"/>
              <w:left w:type="dxa" w:w="70"/>
              <w:bottom w:type="dxa" w:w="40"/>
              <w:right w:type="dxa" w:w="70"/>
            </w:tcMar>
          </w:tcPr>
          <w:p>
            <w:pPr>
              <w:jc w:val="left"/>
            </w:pPr>
            <w:r>
              <w:rPr>
                <w:b w:val="false"/>
                <w:bCs w:val="false"/>
                <w:sz w:val="17"/>
                <w:szCs w:val="17"/>
              </w:rPr>
              <w:t xml:space="preserve">R1.5 (derived)</w:t>
            </w:r>
          </w:p>
        </w:tc>
        <w:tc>
          <w:tcPr>
            <w:tcW w:type="dxa" w:w="2600"/>
            <w:shd w:fill="F2F4F8" w:color="auto" w:val="clear"/>
            <w:tcMar>
              <w:top w:type="dxa" w:w="40"/>
              <w:left w:type="dxa" w:w="70"/>
              <w:bottom w:type="dxa" w:w="40"/>
              <w:right w:type="dxa" w:w="70"/>
            </w:tcMar>
          </w:tcPr>
          <w:p>
            <w:pPr>
              <w:jc w:val="center"/>
            </w:pPr>
            <w:r>
              <w:rPr>
                <w:b w:val="false"/>
                <w:bCs w:val="false"/>
                <w:sz w:val="17"/>
                <w:szCs w:val="17"/>
              </w:rPr>
              <w:t xml:space="preserve">10,690</w:t>
            </w:r>
          </w:p>
        </w:tc>
        <w:tc>
          <w:tcPr>
            <w:tcW w:type="dxa" w:w="4560"/>
            <w:shd w:fill="F2F4F8" w:color="auto" w:val="clear"/>
            <w:tcMar>
              <w:top w:type="dxa" w:w="40"/>
              <w:left w:type="dxa" w:w="70"/>
              <w:bottom w:type="dxa" w:w="40"/>
              <w:right w:type="dxa" w:w="70"/>
            </w:tcMar>
          </w:tcPr>
          <w:p>
            <w:pPr>
              <w:jc w:val="center"/>
            </w:pPr>
            <w:r>
              <w:rPr>
                <w:b w:val="false"/>
                <w:bCs w:val="false"/>
                <w:color w:val="555555"/>
                <w:sz w:val="17"/>
                <w:szCs w:val="17"/>
              </w:rPr>
              <w:t xml:space="preserve">derived</w:t>
            </w:r>
          </w:p>
        </w:tc>
      </w:tr>
      <w:tr>
        <w:tc>
          <w:tcPr>
            <w:tcW w:type="dxa" w:w="2200"/>
            <w:tcMar>
              <w:top w:type="dxa" w:w="40"/>
              <w:left w:type="dxa" w:w="70"/>
              <w:bottom w:type="dxa" w:w="40"/>
              <w:right w:type="dxa" w:w="70"/>
            </w:tcMar>
          </w:tcPr>
          <w:p>
            <w:pPr>
              <w:jc w:val="left"/>
            </w:pPr>
            <w:r>
              <w:rPr>
                <w:b w:val="false"/>
                <w:bCs w:val="false"/>
                <w:sz w:val="17"/>
                <w:szCs w:val="17"/>
              </w:rPr>
              <w:t xml:space="preserve">P (pivot)</w:t>
            </w:r>
          </w:p>
        </w:tc>
        <w:tc>
          <w:tcPr>
            <w:tcW w:type="dxa" w:w="2600"/>
            <w:tcMar>
              <w:top w:type="dxa" w:w="40"/>
              <w:left w:type="dxa" w:w="70"/>
              <w:bottom w:type="dxa" w:w="40"/>
              <w:right w:type="dxa" w:w="70"/>
            </w:tcMar>
          </w:tcPr>
          <w:p>
            <w:pPr>
              <w:jc w:val="center"/>
            </w:pPr>
            <w:r>
              <w:rPr>
                <w:b w:val="false"/>
                <w:bCs w:val="false"/>
                <w:sz w:val="17"/>
                <w:szCs w:val="17"/>
              </w:rPr>
              <w:t xml:space="preserve">10,662</w:t>
            </w:r>
          </w:p>
        </w:tc>
        <w:tc>
          <w:tcPr>
            <w:tcW w:type="dxa" w:w="4560"/>
            <w:tcMar>
              <w:top w:type="dxa" w:w="40"/>
              <w:left w:type="dxa" w:w="70"/>
              <w:bottom w:type="dxa" w:w="40"/>
              <w:right w:type="dxa" w:w="70"/>
            </w:tcMar>
          </w:tcPr>
          <w:p>
            <w:pPr>
              <w:jc w:val="center"/>
            </w:pPr>
            <w:r>
              <w:rPr>
                <w:b w:val="false"/>
                <w:bCs w:val="false"/>
                <w:color w:val="2E7D32"/>
                <w:sz w:val="17"/>
                <w:szCs w:val="17"/>
              </w:rPr>
              <w:t xml:space="preserve">CORROB.</w:t>
            </w:r>
          </w:p>
        </w:tc>
      </w:tr>
      <w:tr>
        <w:tc>
          <w:tcPr>
            <w:tcW w:type="dxa" w:w="2200"/>
            <w:shd w:fill="F2F4F8" w:color="auto" w:val="clear"/>
            <w:tcMar>
              <w:top w:type="dxa" w:w="40"/>
              <w:left w:type="dxa" w:w="70"/>
              <w:bottom w:type="dxa" w:w="40"/>
              <w:right w:type="dxa" w:w="70"/>
            </w:tcMar>
          </w:tcPr>
          <w:p>
            <w:pPr>
              <w:jc w:val="left"/>
            </w:pPr>
            <w:r>
              <w:rPr>
                <w:b w:val="false"/>
                <w:bCs w:val="false"/>
                <w:sz w:val="17"/>
                <w:szCs w:val="17"/>
              </w:rPr>
              <w:t xml:space="preserve">S1.5 (derived)</w:t>
            </w:r>
          </w:p>
        </w:tc>
        <w:tc>
          <w:tcPr>
            <w:tcW w:type="dxa" w:w="2600"/>
            <w:shd w:fill="F2F4F8" w:color="auto" w:val="clear"/>
            <w:tcMar>
              <w:top w:type="dxa" w:w="40"/>
              <w:left w:type="dxa" w:w="70"/>
              <w:bottom w:type="dxa" w:w="40"/>
              <w:right w:type="dxa" w:w="70"/>
            </w:tcMar>
          </w:tcPr>
          <w:p>
            <w:pPr>
              <w:jc w:val="center"/>
            </w:pPr>
            <w:r>
              <w:rPr>
                <w:b w:val="false"/>
                <w:bCs w:val="false"/>
                <w:sz w:val="17"/>
                <w:szCs w:val="17"/>
              </w:rPr>
              <w:t xml:space="preserve">10,642</w:t>
            </w:r>
          </w:p>
        </w:tc>
        <w:tc>
          <w:tcPr>
            <w:tcW w:type="dxa" w:w="4560"/>
            <w:shd w:fill="F2F4F8" w:color="auto" w:val="clear"/>
            <w:tcMar>
              <w:top w:type="dxa" w:w="40"/>
              <w:left w:type="dxa" w:w="70"/>
              <w:bottom w:type="dxa" w:w="40"/>
              <w:right w:type="dxa" w:w="70"/>
            </w:tcMar>
          </w:tcPr>
          <w:p>
            <w:pPr>
              <w:jc w:val="center"/>
            </w:pPr>
            <w:r>
              <w:rPr>
                <w:b w:val="false"/>
                <w:bCs w:val="false"/>
                <w:color w:val="555555"/>
                <w:sz w:val="17"/>
                <w:szCs w:val="17"/>
              </w:rPr>
              <w:t xml:space="preserve">derived</w:t>
            </w:r>
          </w:p>
        </w:tc>
      </w:tr>
      <w:tr>
        <w:tc>
          <w:tcPr>
            <w:tcW w:type="dxa" w:w="2200"/>
            <w:tcMar>
              <w:top w:type="dxa" w:w="40"/>
              <w:left w:type="dxa" w:w="70"/>
              <w:bottom w:type="dxa" w:w="40"/>
              <w:right w:type="dxa" w:w="70"/>
            </w:tcMar>
          </w:tcPr>
          <w:p>
            <w:pPr>
              <w:jc w:val="left"/>
            </w:pPr>
            <w:r>
              <w:rPr>
                <w:b w:val="false"/>
                <w:bCs w:val="false"/>
                <w:sz w:val="17"/>
                <w:szCs w:val="17"/>
              </w:rPr>
              <w:t xml:space="preserve">S1</w:t>
            </w:r>
          </w:p>
        </w:tc>
        <w:tc>
          <w:tcPr>
            <w:tcW w:type="dxa" w:w="2600"/>
            <w:tcMar>
              <w:top w:type="dxa" w:w="40"/>
              <w:left w:type="dxa" w:w="70"/>
              <w:bottom w:type="dxa" w:w="40"/>
              <w:right w:type="dxa" w:w="70"/>
            </w:tcMar>
          </w:tcPr>
          <w:p>
            <w:pPr>
              <w:jc w:val="center"/>
            </w:pPr>
            <w:r>
              <w:rPr>
                <w:b w:val="false"/>
                <w:bCs w:val="false"/>
                <w:sz w:val="17"/>
                <w:szCs w:val="17"/>
              </w:rPr>
              <w:t xml:space="preserve">10,622</w:t>
            </w:r>
          </w:p>
        </w:tc>
        <w:tc>
          <w:tcPr>
            <w:tcW w:type="dxa" w:w="4560"/>
            <w:tcMar>
              <w:top w:type="dxa" w:w="40"/>
              <w:left w:type="dxa" w:w="70"/>
              <w:bottom w:type="dxa" w:w="40"/>
              <w:right w:type="dxa" w:w="70"/>
            </w:tcMar>
          </w:tcPr>
          <w:p>
            <w:pPr>
              <w:jc w:val="center"/>
            </w:pPr>
            <w:r>
              <w:rPr>
                <w:b w:val="false"/>
                <w:bCs w:val="false"/>
                <w:color w:val="2E7D32"/>
                <w:sz w:val="17"/>
                <w:szCs w:val="17"/>
              </w:rPr>
              <w:t xml:space="preserve">CORROB.</w:t>
            </w:r>
          </w:p>
        </w:tc>
      </w:tr>
      <w:tr>
        <w:tc>
          <w:tcPr>
            <w:tcW w:type="dxa" w:w="2200"/>
            <w:shd w:fill="F2F4F8" w:color="auto" w:val="clear"/>
            <w:tcMar>
              <w:top w:type="dxa" w:w="40"/>
              <w:left w:type="dxa" w:w="70"/>
              <w:bottom w:type="dxa" w:w="40"/>
              <w:right w:type="dxa" w:w="70"/>
            </w:tcMar>
          </w:tcPr>
          <w:p>
            <w:pPr>
              <w:jc w:val="left"/>
            </w:pPr>
            <w:r>
              <w:rPr>
                <w:b w:val="false"/>
                <w:bCs w:val="false"/>
                <w:sz w:val="17"/>
                <w:szCs w:val="17"/>
              </w:rPr>
              <w:t xml:space="preserve">S2</w:t>
            </w:r>
          </w:p>
        </w:tc>
        <w:tc>
          <w:tcPr>
            <w:tcW w:type="dxa" w:w="2600"/>
            <w:shd w:fill="F2F4F8" w:color="auto" w:val="clear"/>
            <w:tcMar>
              <w:top w:type="dxa" w:w="40"/>
              <w:left w:type="dxa" w:w="70"/>
              <w:bottom w:type="dxa" w:w="40"/>
              <w:right w:type="dxa" w:w="70"/>
            </w:tcMar>
          </w:tcPr>
          <w:p>
            <w:pPr>
              <w:jc w:val="center"/>
            </w:pPr>
            <w:r>
              <w:rPr>
                <w:b w:val="false"/>
                <w:bCs w:val="false"/>
                <w:sz w:val="17"/>
                <w:szCs w:val="17"/>
              </w:rPr>
              <w:t xml:space="preserve">10,564</w:t>
            </w:r>
          </w:p>
        </w:tc>
        <w:tc>
          <w:tcPr>
            <w:tcW w:type="dxa" w:w="4560"/>
            <w:shd w:fill="F2F4F8" w:color="auto" w:val="clear"/>
            <w:tcMar>
              <w:top w:type="dxa" w:w="40"/>
              <w:left w:type="dxa" w:w="70"/>
              <w:bottom w:type="dxa" w:w="40"/>
              <w:right w:type="dxa" w:w="70"/>
            </w:tcMar>
          </w:tcPr>
          <w:p>
            <w:pPr>
              <w:jc w:val="center"/>
            </w:pPr>
            <w:r>
              <w:rPr>
                <w:b w:val="false"/>
                <w:bCs w:val="false"/>
                <w:color w:val="2E7D32"/>
                <w:sz w:val="17"/>
                <w:szCs w:val="17"/>
              </w:rPr>
              <w:t xml:space="preserve">CORROB.</w:t>
            </w:r>
          </w:p>
        </w:tc>
      </w:tr>
      <w:tr>
        <w:tc>
          <w:tcPr>
            <w:tcW w:type="dxa" w:w="2200"/>
            <w:tcMar>
              <w:top w:type="dxa" w:w="40"/>
              <w:left w:type="dxa" w:w="70"/>
              <w:bottom w:type="dxa" w:w="40"/>
              <w:right w:type="dxa" w:w="70"/>
            </w:tcMar>
          </w:tcPr>
          <w:p>
            <w:pPr>
              <w:jc w:val="left"/>
            </w:pPr>
            <w:r>
              <w:rPr>
                <w:b w:val="false"/>
                <w:bCs w:val="false"/>
                <w:sz w:val="17"/>
                <w:szCs w:val="17"/>
              </w:rPr>
              <w:t xml:space="preserve">S3</w:t>
            </w:r>
          </w:p>
        </w:tc>
        <w:tc>
          <w:tcPr>
            <w:tcW w:type="dxa" w:w="2600"/>
            <w:tcMar>
              <w:top w:type="dxa" w:w="40"/>
              <w:left w:type="dxa" w:w="70"/>
              <w:bottom w:type="dxa" w:w="40"/>
              <w:right w:type="dxa" w:w="70"/>
            </w:tcMar>
          </w:tcPr>
          <w:p>
            <w:pPr>
              <w:jc w:val="center"/>
            </w:pPr>
            <w:r>
              <w:rPr>
                <w:b w:val="false"/>
                <w:bCs w:val="false"/>
                <w:sz w:val="17"/>
                <w:szCs w:val="17"/>
              </w:rPr>
              <w:t xml:space="preserve">10,525</w:t>
            </w:r>
          </w:p>
        </w:tc>
        <w:tc>
          <w:tcPr>
            <w:tcW w:type="dxa" w:w="4560"/>
            <w:tcMar>
              <w:top w:type="dxa" w:w="40"/>
              <w:left w:type="dxa" w:w="70"/>
              <w:bottom w:type="dxa" w:w="40"/>
              <w:right w:type="dxa" w:w="70"/>
            </w:tcMar>
          </w:tcPr>
          <w:p>
            <w:pPr>
              <w:jc w:val="center"/>
            </w:pPr>
            <w:r>
              <w:rPr>
                <w:b w:val="false"/>
                <w:bCs w:val="false"/>
                <w:color w:val="2E7D32"/>
                <w:sz w:val="17"/>
                <w:szCs w:val="17"/>
              </w:rPr>
              <w:t xml:space="preserve">CORROB.</w:t>
            </w:r>
          </w:p>
        </w:tc>
      </w:tr>
    </w:tbl>
    <w:p>
      <w:pPr>
        <w:spacing w:after="100"/>
      </w:pPr>
      <w:r>
        <w:rPr>
          <w:b/>
          <w:bCs/>
          <w:sz w:val="20"/>
          <w:szCs w:val="20"/>
        </w:rPr>
        <w:t xml:space="preserve">Position narrative: </w:t>
      </w:r>
      <w:r>
        <w:rPr>
          <w:sz w:val="19"/>
          <w:szCs w:val="19"/>
        </w:rPr>
        <w:t xml:space="preserve">The 3-Jul close (10,679) sits above the daily pivot (10,662) and just under R1 (10,719) — a bullish pivot posture. The 6-Jul mark (~10,720–10,730) is testing/clearing R1 toward R2 (10,759). Nearest support on a pullback is P then S1 (10,622); nearest resistance is R1/R2 ahead of the 10,935 record. No tight daily/weekly/monthly confluence within 0.05% was identified in the corroborated set.</w:t>
      </w:r>
    </w:p>
    <w:p>
      <w:pPr>
        <w:spacing w:after="120" w:before="240"/>
      </w:pPr>
      <w:r>
        <w:rPr>
          <w:b/>
          <w:bCs/>
          <w:color w:val="1F3864"/>
          <w:sz w:val="26"/>
          <w:szCs w:val="26"/>
        </w:rPr>
        <w:t xml:space="preserve">12 · Key Market Considerations</w:t>
      </w:r>
    </w:p>
    <w:p>
      <w:pPr>
        <w:spacing w:after="100"/>
      </w:pPr>
      <w:r>
        <w:rPr>
          <w:b/>
          <w:bCs/>
          <w:sz w:val="20"/>
          <w:szCs w:val="20"/>
        </w:rPr>
        <w:t xml:space="preserve">Supply / index composition — supportive (structural). </w:t>
      </w:r>
      <w:r>
        <w:rPr>
          <w:sz w:val="19"/>
          <w:szCs w:val="19"/>
        </w:rPr>
        <w:t xml:space="preserve">FTSE breadth is led by defensives and energy: AstraZeneca, GSK, Unilever, British American Tobacco plus BAE Systems drove the 3-Jul advance, while miners (Rio Tinto, Glencore, Anglo, Antofagasta, Fresnillo) were a heavy drag. The defensive/energy skew is why the FTSE is outperforming continental peers.</w:t>
      </w:r>
    </w:p>
    <w:p>
      <w:pPr>
        <w:spacing w:after="100"/>
      </w:pPr>
      <w:r>
        <w:rPr>
          <w:b/>
          <w:bCs/>
          <w:sz w:val="20"/>
          <w:szCs w:val="20"/>
        </w:rPr>
        <w:t xml:space="preserve">Demand / flows — supportive (cyclical). </w:t>
      </w:r>
      <w:r>
        <w:rPr>
          <w:sz w:val="19"/>
          <w:szCs w:val="19"/>
        </w:rPr>
        <w:t xml:space="preserve">A weaker US payrolls print tempered Fed hike expectations and supported global equity valuations; European large-cap saw broad bid (EURO STOXX +0.82% on 3-Jul).</w:t>
      </w:r>
    </w:p>
    <w:p>
      <w:pPr>
        <w:spacing w:after="100"/>
      </w:pPr>
      <w:r>
        <w:rPr>
          <w:b/>
          <w:bCs/>
          <w:sz w:val="20"/>
          <w:szCs w:val="20"/>
        </w:rPr>
        <w:t xml:space="preserve">Substitution / spreads — neutral. </w:t>
      </w:r>
      <w:r>
        <w:rPr>
          <w:sz w:val="19"/>
          <w:szCs w:val="19"/>
        </w:rPr>
        <w:t xml:space="preserve">FTSE outperformance vs DAX/CAC reflects sector mix, not a rotation signal; relative value favours the FTSE while US tech de-rates.</w:t>
      </w:r>
    </w:p>
    <w:p>
      <w:pPr>
        <w:spacing w:after="100"/>
      </w:pPr>
      <w:r>
        <w:rPr>
          <w:b/>
          <w:bCs/>
          <w:sz w:val="20"/>
          <w:szCs w:val="20"/>
        </w:rPr>
        <w:t xml:space="preserve">Policy / regulation — watch (cyclical). </w:t>
      </w:r>
      <w:r>
        <w:rPr>
          <w:sz w:val="19"/>
          <w:szCs w:val="19"/>
        </w:rPr>
        <w:t xml:space="preserve">Bank of England (rate 3.75%) and ECB commentary are the key policy variables; no decision inside the immediate window but speeches and minutes can move rate-sensitive sectors.</w:t>
      </w:r>
    </w:p>
    <w:p>
      <w:pPr>
        <w:spacing w:after="100"/>
      </w:pPr>
      <w:r>
        <w:rPr>
          <w:b/>
          <w:bCs/>
          <w:sz w:val="20"/>
          <w:szCs w:val="20"/>
        </w:rPr>
        <w:t xml:space="preserve">Macro / FX — supportive (cyclical). </w:t>
      </w:r>
      <w:r>
        <w:rPr>
          <w:sz w:val="19"/>
          <w:szCs w:val="19"/>
        </w:rPr>
        <w:t xml:space="preserve">Sterling softness (GBPUSD easing) flatters the ~80% overseas-revenue base of the index; oil steadiness underpins the heavy SHEL/BP energy weight.</w:t>
      </w:r>
    </w:p>
    <w:p>
      <w:pPr>
        <w:spacing w:after="100"/>
      </w:pPr>
      <w:r>
        <w:rPr>
          <w:b/>
          <w:bCs/>
          <w:sz w:val="20"/>
          <w:szCs w:val="20"/>
        </w:rPr>
        <w:t xml:space="preserve">Near-term catalysts (from §13d) — watch. </w:t>
      </w:r>
      <w:r>
        <w:rPr>
          <w:sz w:val="19"/>
          <w:szCs w:val="19"/>
        </w:rPr>
        <w:t xml:space="preserve">US CPI, UK data prints, BoE/ECB speak, and any deepening of the US tech sell-off are the flagged catalysts within the five-session horizon.</w:t>
      </w:r>
    </w:p>
    <w:p>
      <w:pPr>
        <w:spacing w:after="120" w:before="240"/>
      </w:pPr>
      <w:r>
        <w:rPr>
          <w:b/>
          <w:bCs/>
          <w:color w:val="1F3864"/>
          <w:sz w:val="26"/>
          <w:szCs w:val="26"/>
        </w:rPr>
        <w:t xml:space="preserve">13 · Sentiment, News &amp; Calendar</w:t>
      </w:r>
    </w:p>
    <w:p>
      <w:pPr>
        <w:spacing w:after="80" w:before="160"/>
      </w:pPr>
      <w:r>
        <w:rPr>
          <w:b/>
          <w:bCs/>
          <w:color w:val="1F3864"/>
          <w:sz w:val="22"/>
          <w:szCs w:val="22"/>
        </w:rPr>
        <w:t xml:space="preserve">13a · Per-Article Sentiment</w:t>
      </w:r>
    </w:p>
    <w:tbl>
      <w:tblPr>
        <w:tblW w:type="dxa" w:w="9360"/>
        <w:tblBorders>
          <w:top w:val="single" w:color="C0C7D0" w:sz="2"/>
          <w:left w:val="single" w:color="C0C7D0" w:sz="2"/>
          <w:bottom w:val="single" w:color="C0C7D0" w:sz="2"/>
          <w:right w:val="single" w:color="C0C7D0" w:sz="2"/>
          <w:insideH w:val="single" w:color="C0C7D0" w:sz="2"/>
          <w:insideV w:val="single" w:color="C0C7D0" w:sz="2"/>
        </w:tblBorders>
      </w:tblPr>
      <w:tblGrid>
        <w:gridCol w:w="1450"/>
        <w:gridCol w:w="750"/>
        <w:gridCol w:w="2450"/>
        <w:gridCol w:w="900"/>
        <w:gridCol w:w="1050"/>
        <w:gridCol w:w="2760"/>
      </w:tblGrid>
      <w:tr>
        <w:trPr>
          <w:tblHeader/>
        </w:trPr>
        <w:tc>
          <w:tcPr>
            <w:tcW w:type="dxa" w:w="1450"/>
            <w:shd w:fill="1F3864" w:color="auto" w:val="clear"/>
            <w:tcMar>
              <w:top w:type="dxa" w:w="40"/>
              <w:left w:type="dxa" w:w="70"/>
              <w:bottom w:type="dxa" w:w="40"/>
              <w:right w:type="dxa" w:w="70"/>
            </w:tcMar>
          </w:tcPr>
          <w:p>
            <w:pPr>
              <w:jc w:val="center"/>
            </w:pPr>
            <w:r>
              <w:rPr>
                <w:b/>
                <w:bCs/>
                <w:color w:val="FFFFFF"/>
                <w:sz w:val="17"/>
                <w:szCs w:val="17"/>
              </w:rPr>
              <w:t xml:space="preserve">Source</w:t>
            </w:r>
          </w:p>
        </w:tc>
        <w:tc>
          <w:tcPr>
            <w:tcW w:type="dxa" w:w="750"/>
            <w:shd w:fill="1F3864" w:color="auto" w:val="clear"/>
            <w:tcMar>
              <w:top w:type="dxa" w:w="40"/>
              <w:left w:type="dxa" w:w="70"/>
              <w:bottom w:type="dxa" w:w="40"/>
              <w:right w:type="dxa" w:w="70"/>
            </w:tcMar>
          </w:tcPr>
          <w:p>
            <w:pPr>
              <w:jc w:val="center"/>
            </w:pPr>
            <w:r>
              <w:rPr>
                <w:b/>
                <w:bCs/>
                <w:color w:val="FFFFFF"/>
                <w:sz w:val="17"/>
                <w:szCs w:val="17"/>
              </w:rPr>
              <w:t xml:space="preserve">Date</w:t>
            </w:r>
          </w:p>
        </w:tc>
        <w:tc>
          <w:tcPr>
            <w:tcW w:type="dxa" w:w="2450"/>
            <w:shd w:fill="1F3864" w:color="auto" w:val="clear"/>
            <w:tcMar>
              <w:top w:type="dxa" w:w="40"/>
              <w:left w:type="dxa" w:w="70"/>
              <w:bottom w:type="dxa" w:w="40"/>
              <w:right w:type="dxa" w:w="70"/>
            </w:tcMar>
          </w:tcPr>
          <w:p>
            <w:pPr>
              <w:jc w:val="center"/>
            </w:pPr>
            <w:r>
              <w:rPr>
                <w:b/>
                <w:bCs/>
                <w:color w:val="FFFFFF"/>
                <w:sz w:val="17"/>
                <w:szCs w:val="17"/>
              </w:rPr>
              <w:t xml:space="preserve">Headline (summary)</w:t>
            </w:r>
          </w:p>
        </w:tc>
        <w:tc>
          <w:tcPr>
            <w:tcW w:type="dxa" w:w="900"/>
            <w:shd w:fill="1F3864" w:color="auto" w:val="clear"/>
            <w:tcMar>
              <w:top w:type="dxa" w:w="40"/>
              <w:left w:type="dxa" w:w="70"/>
              <w:bottom w:type="dxa" w:w="40"/>
              <w:right w:type="dxa" w:w="70"/>
            </w:tcMar>
          </w:tcPr>
          <w:p>
            <w:pPr>
              <w:jc w:val="center"/>
            </w:pPr>
            <w:r>
              <w:rPr>
                <w:b/>
                <w:bCs/>
                <w:color w:val="FFFFFF"/>
                <w:sz w:val="17"/>
                <w:szCs w:val="17"/>
              </w:rPr>
              <w:t xml:space="preserve">Class</w:t>
            </w:r>
          </w:p>
        </w:tc>
        <w:tc>
          <w:tcPr>
            <w:tcW w:type="dxa" w:w="1050"/>
            <w:shd w:fill="1F3864" w:color="auto" w:val="clear"/>
            <w:tcMar>
              <w:top w:type="dxa" w:w="40"/>
              <w:left w:type="dxa" w:w="70"/>
              <w:bottom w:type="dxa" w:w="40"/>
              <w:right w:type="dxa" w:w="70"/>
            </w:tcMar>
          </w:tcPr>
          <w:p>
            <w:pPr>
              <w:jc w:val="center"/>
            </w:pPr>
            <w:r>
              <w:rPr>
                <w:b/>
                <w:bCs/>
                <w:color w:val="FFFFFF"/>
                <w:sz w:val="17"/>
                <w:szCs w:val="17"/>
              </w:rPr>
              <w:t xml:space="preserve">Sentiment</w:t>
            </w:r>
          </w:p>
        </w:tc>
        <w:tc>
          <w:tcPr>
            <w:tcW w:type="dxa" w:w="2760"/>
            <w:shd w:fill="1F3864" w:color="auto" w:val="clear"/>
            <w:tcMar>
              <w:top w:type="dxa" w:w="40"/>
              <w:left w:type="dxa" w:w="70"/>
              <w:bottom w:type="dxa" w:w="40"/>
              <w:right w:type="dxa" w:w="70"/>
            </w:tcMar>
          </w:tcPr>
          <w:p>
            <w:pPr>
              <w:jc w:val="center"/>
            </w:pPr>
            <w:r>
              <w:rPr>
                <w:b/>
                <w:bCs/>
                <w:color w:val="FFFFFF"/>
                <w:sz w:val="17"/>
                <w:szCs w:val="17"/>
              </w:rPr>
              <w:t xml:space="preserve">Derivation quote (≤15 wds)</w:t>
            </w:r>
          </w:p>
        </w:tc>
      </w:tr>
      <w:tr>
        <w:tc>
          <w:tcPr>
            <w:tcW w:type="dxa" w:w="1450"/>
            <w:tcMar>
              <w:top w:type="dxa" w:w="40"/>
              <w:left w:type="dxa" w:w="70"/>
              <w:bottom w:type="dxa" w:w="40"/>
              <w:right w:type="dxa" w:w="70"/>
            </w:tcMar>
          </w:tcPr>
          <w:p>
            <w:pPr>
              <w:jc w:val="left"/>
            </w:pPr>
            <w:r>
              <w:rPr>
                <w:b w:val="false"/>
                <w:bCs w:val="false"/>
                <w:sz w:val="17"/>
                <w:szCs w:val="17"/>
              </w:rPr>
              <w:t xml:space="preserve">Trading Economics</w:t>
            </w:r>
          </w:p>
        </w:tc>
        <w:tc>
          <w:tcPr>
            <w:tcW w:type="dxa" w:w="750"/>
            <w:tcMar>
              <w:top w:type="dxa" w:w="40"/>
              <w:left w:type="dxa" w:w="70"/>
              <w:bottom w:type="dxa" w:w="40"/>
              <w:right w:type="dxa" w:w="70"/>
            </w:tcMar>
          </w:tcPr>
          <w:p>
            <w:pPr>
              <w:jc w:val="center"/>
            </w:pPr>
            <w:r>
              <w:rPr>
                <w:b w:val="false"/>
                <w:bCs w:val="false"/>
                <w:sz w:val="17"/>
                <w:szCs w:val="17"/>
              </w:rPr>
              <w:t xml:space="preserve">3 Jul</w:t>
            </w:r>
          </w:p>
        </w:tc>
        <w:tc>
          <w:tcPr>
            <w:tcW w:type="dxa" w:w="2450"/>
            <w:tcMar>
              <w:top w:type="dxa" w:w="40"/>
              <w:left w:type="dxa" w:w="70"/>
              <w:bottom w:type="dxa" w:w="40"/>
              <w:right w:type="dxa" w:w="70"/>
            </w:tcMar>
          </w:tcPr>
          <w:p>
            <w:pPr>
              <w:jc w:val="center"/>
            </w:pPr>
            <w:r>
              <w:rPr>
                <w:b w:val="false"/>
                <w:bCs w:val="false"/>
                <w:sz w:val="17"/>
                <w:szCs w:val="17"/>
              </w:rPr>
              <w:t xml:space="preserve">FTSE 100 outperforms Europe, defensives lead</w:t>
            </w:r>
          </w:p>
        </w:tc>
        <w:tc>
          <w:tcPr>
            <w:tcW w:type="dxa" w:w="900"/>
            <w:tcMar>
              <w:top w:type="dxa" w:w="40"/>
              <w:left w:type="dxa" w:w="70"/>
              <w:bottom w:type="dxa" w:w="40"/>
              <w:right w:type="dxa" w:w="70"/>
            </w:tcMar>
          </w:tcPr>
          <w:p>
            <w:pPr>
              <w:jc w:val="center"/>
            </w:pPr>
            <w:r>
              <w:rPr>
                <w:b w:val="false"/>
                <w:bCs w:val="false"/>
                <w:sz w:val="17"/>
                <w:szCs w:val="17"/>
              </w:rPr>
              <w:t xml:space="preserve">Media</w:t>
            </w:r>
          </w:p>
        </w:tc>
        <w:tc>
          <w:tcPr>
            <w:tcW w:type="dxa" w:w="1050"/>
            <w:tcMar>
              <w:top w:type="dxa" w:w="40"/>
              <w:left w:type="dxa" w:w="70"/>
              <w:bottom w:type="dxa" w:w="40"/>
              <w:right w:type="dxa" w:w="70"/>
            </w:tcMar>
          </w:tcPr>
          <w:p>
            <w:pPr>
              <w:jc w:val="center"/>
            </w:pPr>
            <w:r>
              <w:rPr>
                <w:b w:val="false"/>
                <w:bCs w:val="false"/>
                <w:sz w:val="17"/>
                <w:szCs w:val="17"/>
              </w:rPr>
              <w:t xml:space="preserve">Bullish</w:t>
            </w:r>
          </w:p>
        </w:tc>
        <w:tc>
          <w:tcPr>
            <w:tcW w:type="dxa" w:w="2760"/>
            <w:tcMar>
              <w:top w:type="dxa" w:w="40"/>
              <w:left w:type="dxa" w:w="70"/>
              <w:bottom w:type="dxa" w:w="40"/>
              <w:right w:type="dxa" w:w="70"/>
            </w:tcMar>
          </w:tcPr>
          <w:p>
            <w:pPr>
              <w:jc w:val="center"/>
            </w:pPr>
            <w:r>
              <w:rPr>
                <w:b w:val="false"/>
                <w:bCs w:val="false"/>
                <w:sz w:val="17"/>
                <w:szCs w:val="17"/>
              </w:rPr>
              <w:t xml:space="preserve">“Defensive stocks led gains… AstraZeneca and GSK rising around 2%”</w:t>
            </w:r>
          </w:p>
        </w:tc>
      </w:tr>
      <w:tr>
        <w:tc>
          <w:tcPr>
            <w:tcW w:type="dxa" w:w="1450"/>
            <w:shd w:fill="F2F4F8" w:color="auto" w:val="clear"/>
            <w:tcMar>
              <w:top w:type="dxa" w:w="40"/>
              <w:left w:type="dxa" w:w="70"/>
              <w:bottom w:type="dxa" w:w="40"/>
              <w:right w:type="dxa" w:w="70"/>
            </w:tcMar>
          </w:tcPr>
          <w:p>
            <w:pPr>
              <w:jc w:val="left"/>
            </w:pPr>
            <w:r>
              <w:rPr>
                <w:b w:val="false"/>
                <w:bCs w:val="false"/>
                <w:sz w:val="17"/>
                <w:szCs w:val="17"/>
              </w:rPr>
              <w:t xml:space="preserve">Sharecast/Fidelity</w:t>
            </w:r>
          </w:p>
        </w:tc>
        <w:tc>
          <w:tcPr>
            <w:tcW w:type="dxa" w:w="750"/>
            <w:shd w:fill="F2F4F8" w:color="auto" w:val="clear"/>
            <w:tcMar>
              <w:top w:type="dxa" w:w="40"/>
              <w:left w:type="dxa" w:w="70"/>
              <w:bottom w:type="dxa" w:w="40"/>
              <w:right w:type="dxa" w:w="70"/>
            </w:tcMar>
          </w:tcPr>
          <w:p>
            <w:pPr>
              <w:jc w:val="center"/>
            </w:pPr>
            <w:r>
              <w:rPr>
                <w:b w:val="false"/>
                <w:bCs w:val="false"/>
                <w:sz w:val="17"/>
                <w:szCs w:val="17"/>
              </w:rPr>
              <w:t xml:space="preserve">3 Jul</w:t>
            </w:r>
          </w:p>
        </w:tc>
        <w:tc>
          <w:tcPr>
            <w:tcW w:type="dxa" w:w="2450"/>
            <w:shd w:fill="F2F4F8" w:color="auto" w:val="clear"/>
            <w:tcMar>
              <w:top w:type="dxa" w:w="40"/>
              <w:left w:type="dxa" w:w="70"/>
              <w:bottom w:type="dxa" w:w="40"/>
              <w:right w:type="dxa" w:w="70"/>
            </w:tcMar>
          </w:tcPr>
          <w:p>
            <w:pPr>
              <w:jc w:val="center"/>
            </w:pPr>
            <w:r>
              <w:rPr>
                <w:b w:val="false"/>
                <w:bCs w:val="false"/>
                <w:sz w:val="17"/>
                <w:szCs w:val="17"/>
              </w:rPr>
              <w:t xml:space="preserve">London stocks ended up on Friday</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Media</w:t>
            </w:r>
          </w:p>
        </w:tc>
        <w:tc>
          <w:tcPr>
            <w:tcW w:type="dxa" w:w="1050"/>
            <w:shd w:fill="F2F4F8" w:color="auto" w:val="clear"/>
            <w:tcMar>
              <w:top w:type="dxa" w:w="40"/>
              <w:left w:type="dxa" w:w="70"/>
              <w:bottom w:type="dxa" w:w="40"/>
              <w:right w:type="dxa" w:w="70"/>
            </w:tcMar>
          </w:tcPr>
          <w:p>
            <w:pPr>
              <w:jc w:val="center"/>
            </w:pPr>
            <w:r>
              <w:rPr>
                <w:b w:val="false"/>
                <w:bCs w:val="false"/>
                <w:sz w:val="17"/>
                <w:szCs w:val="17"/>
              </w:rPr>
              <w:t xml:space="preserve">Bullish</w:t>
            </w:r>
          </w:p>
        </w:tc>
        <w:tc>
          <w:tcPr>
            <w:tcW w:type="dxa" w:w="2760"/>
            <w:shd w:fill="F2F4F8" w:color="auto" w:val="clear"/>
            <w:tcMar>
              <w:top w:type="dxa" w:w="40"/>
              <w:left w:type="dxa" w:w="70"/>
              <w:bottom w:type="dxa" w:w="40"/>
              <w:right w:type="dxa" w:w="70"/>
            </w:tcMar>
          </w:tcPr>
          <w:p>
            <w:pPr>
              <w:jc w:val="center"/>
            </w:pPr>
            <w:r>
              <w:rPr>
                <w:b w:val="false"/>
                <w:bCs w:val="false"/>
                <w:sz w:val="17"/>
                <w:szCs w:val="17"/>
              </w:rPr>
              <w:t xml:space="preserve">“London stocks ended up on Friday after… payrolls”</w:t>
            </w:r>
          </w:p>
        </w:tc>
      </w:tr>
      <w:tr>
        <w:tc>
          <w:tcPr>
            <w:tcW w:type="dxa" w:w="1450"/>
            <w:tcMar>
              <w:top w:type="dxa" w:w="40"/>
              <w:left w:type="dxa" w:w="70"/>
              <w:bottom w:type="dxa" w:w="40"/>
              <w:right w:type="dxa" w:w="70"/>
            </w:tcMar>
          </w:tcPr>
          <w:p>
            <w:pPr>
              <w:jc w:val="left"/>
            </w:pPr>
            <w:r>
              <w:rPr>
                <w:b w:val="false"/>
                <w:bCs w:val="false"/>
                <w:sz w:val="17"/>
                <w:szCs w:val="17"/>
              </w:rPr>
              <w:t xml:space="preserve">Sharecast/Fidelity</w:t>
            </w:r>
          </w:p>
        </w:tc>
        <w:tc>
          <w:tcPr>
            <w:tcW w:type="dxa" w:w="750"/>
            <w:tcMar>
              <w:top w:type="dxa" w:w="40"/>
              <w:left w:type="dxa" w:w="70"/>
              <w:bottom w:type="dxa" w:w="40"/>
              <w:right w:type="dxa" w:w="70"/>
            </w:tcMar>
          </w:tcPr>
          <w:p>
            <w:pPr>
              <w:jc w:val="center"/>
            </w:pPr>
            <w:r>
              <w:rPr>
                <w:b w:val="false"/>
                <w:bCs w:val="false"/>
                <w:sz w:val="17"/>
                <w:szCs w:val="17"/>
              </w:rPr>
              <w:t xml:space="preserve">3 Jul</w:t>
            </w:r>
          </w:p>
        </w:tc>
        <w:tc>
          <w:tcPr>
            <w:tcW w:type="dxa" w:w="2450"/>
            <w:tcMar>
              <w:top w:type="dxa" w:w="40"/>
              <w:left w:type="dxa" w:w="70"/>
              <w:bottom w:type="dxa" w:w="40"/>
              <w:right w:type="dxa" w:w="70"/>
            </w:tcMar>
          </w:tcPr>
          <w:p>
            <w:pPr>
              <w:jc w:val="center"/>
            </w:pPr>
            <w:r>
              <w:rPr>
                <w:b w:val="false"/>
                <w:bCs w:val="false"/>
                <w:sz w:val="17"/>
                <w:szCs w:val="17"/>
              </w:rPr>
              <w:t xml:space="preserve">UK private sector shrank again in June</w:t>
            </w:r>
          </w:p>
        </w:tc>
        <w:tc>
          <w:tcPr>
            <w:tcW w:type="dxa" w:w="900"/>
            <w:tcMar>
              <w:top w:type="dxa" w:w="40"/>
              <w:left w:type="dxa" w:w="70"/>
              <w:bottom w:type="dxa" w:w="40"/>
              <w:right w:type="dxa" w:w="70"/>
            </w:tcMar>
          </w:tcPr>
          <w:p>
            <w:pPr>
              <w:jc w:val="center"/>
            </w:pPr>
            <w:r>
              <w:rPr>
                <w:b w:val="false"/>
                <w:bCs w:val="false"/>
                <w:sz w:val="17"/>
                <w:szCs w:val="17"/>
              </w:rPr>
              <w:t xml:space="preserve">Media</w:t>
            </w:r>
          </w:p>
        </w:tc>
        <w:tc>
          <w:tcPr>
            <w:tcW w:type="dxa" w:w="1050"/>
            <w:tcMar>
              <w:top w:type="dxa" w:w="40"/>
              <w:left w:type="dxa" w:w="70"/>
              <w:bottom w:type="dxa" w:w="40"/>
              <w:right w:type="dxa" w:w="70"/>
            </w:tcMar>
          </w:tcPr>
          <w:p>
            <w:pPr>
              <w:jc w:val="center"/>
            </w:pPr>
            <w:r>
              <w:rPr>
                <w:b w:val="false"/>
                <w:bCs w:val="false"/>
                <w:sz w:val="17"/>
                <w:szCs w:val="17"/>
              </w:rPr>
              <w:t xml:space="preserve">Bearish</w:t>
            </w:r>
          </w:p>
        </w:tc>
        <w:tc>
          <w:tcPr>
            <w:tcW w:type="dxa" w:w="2760"/>
            <w:tcMar>
              <w:top w:type="dxa" w:w="40"/>
              <w:left w:type="dxa" w:w="70"/>
              <w:bottom w:type="dxa" w:w="40"/>
              <w:right w:type="dxa" w:w="70"/>
            </w:tcMar>
          </w:tcPr>
          <w:p>
            <w:pPr>
              <w:jc w:val="center"/>
            </w:pPr>
            <w:r>
              <w:rPr>
                <w:b w:val="false"/>
                <w:bCs w:val="false"/>
                <w:sz w:val="17"/>
                <w:szCs w:val="17"/>
              </w:rPr>
              <w:t xml:space="preserve">“a survey showed the UK private sector shrank again in June”</w:t>
            </w:r>
          </w:p>
        </w:tc>
      </w:tr>
      <w:tr>
        <w:tc>
          <w:tcPr>
            <w:tcW w:type="dxa" w:w="1450"/>
            <w:shd w:fill="F2F4F8" w:color="auto" w:val="clear"/>
            <w:tcMar>
              <w:top w:type="dxa" w:w="40"/>
              <w:left w:type="dxa" w:w="70"/>
              <w:bottom w:type="dxa" w:w="40"/>
              <w:right w:type="dxa" w:w="70"/>
            </w:tcMar>
          </w:tcPr>
          <w:p>
            <w:pPr>
              <w:jc w:val="left"/>
            </w:pPr>
            <w:r>
              <w:rPr>
                <w:b w:val="false"/>
                <w:bCs w:val="false"/>
                <w:sz w:val="17"/>
                <w:szCs w:val="17"/>
              </w:rPr>
              <w:t xml:space="preserve">Trading Economics</w:t>
            </w:r>
          </w:p>
        </w:tc>
        <w:tc>
          <w:tcPr>
            <w:tcW w:type="dxa" w:w="750"/>
            <w:shd w:fill="F2F4F8" w:color="auto" w:val="clear"/>
            <w:tcMar>
              <w:top w:type="dxa" w:w="40"/>
              <w:left w:type="dxa" w:w="70"/>
              <w:bottom w:type="dxa" w:w="40"/>
              <w:right w:type="dxa" w:w="70"/>
            </w:tcMar>
          </w:tcPr>
          <w:p>
            <w:pPr>
              <w:jc w:val="center"/>
            </w:pPr>
            <w:r>
              <w:rPr>
                <w:b w:val="false"/>
                <w:bCs w:val="false"/>
                <w:sz w:val="17"/>
                <w:szCs w:val="17"/>
              </w:rPr>
              <w:t xml:space="preserve">6 Jul</w:t>
            </w:r>
          </w:p>
        </w:tc>
        <w:tc>
          <w:tcPr>
            <w:tcW w:type="dxa" w:w="2450"/>
            <w:shd w:fill="F2F4F8" w:color="auto" w:val="clear"/>
            <w:tcMar>
              <w:top w:type="dxa" w:w="40"/>
              <w:left w:type="dxa" w:w="70"/>
              <w:bottom w:type="dxa" w:w="40"/>
              <w:right w:type="dxa" w:w="70"/>
            </w:tcMar>
          </w:tcPr>
          <w:p>
            <w:pPr>
              <w:jc w:val="center"/>
            </w:pPr>
            <w:r>
              <w:rPr>
                <w:b w:val="false"/>
                <w:bCs w:val="false"/>
                <w:sz w:val="17"/>
                <w:szCs w:val="17"/>
              </w:rPr>
              <w:t xml:space="preserve">FTSE picking up 43 points on Monday</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Media</w:t>
            </w:r>
          </w:p>
        </w:tc>
        <w:tc>
          <w:tcPr>
            <w:tcW w:type="dxa" w:w="1050"/>
            <w:shd w:fill="F2F4F8" w:color="auto" w:val="clear"/>
            <w:tcMar>
              <w:top w:type="dxa" w:w="40"/>
              <w:left w:type="dxa" w:w="70"/>
              <w:bottom w:type="dxa" w:w="40"/>
              <w:right w:type="dxa" w:w="70"/>
            </w:tcMar>
          </w:tcPr>
          <w:p>
            <w:pPr>
              <w:jc w:val="center"/>
            </w:pPr>
            <w:r>
              <w:rPr>
                <w:b w:val="false"/>
                <w:bCs w:val="false"/>
                <w:sz w:val="17"/>
                <w:szCs w:val="17"/>
              </w:rPr>
              <w:t xml:space="preserve">Bullish</w:t>
            </w:r>
          </w:p>
        </w:tc>
        <w:tc>
          <w:tcPr>
            <w:tcW w:type="dxa" w:w="2760"/>
            <w:shd w:fill="F2F4F8" w:color="auto" w:val="clear"/>
            <w:tcMar>
              <w:top w:type="dxa" w:w="40"/>
              <w:left w:type="dxa" w:w="70"/>
              <w:bottom w:type="dxa" w:w="40"/>
              <w:right w:type="dxa" w:w="70"/>
            </w:tcMar>
          </w:tcPr>
          <w:p>
            <w:pPr>
              <w:jc w:val="center"/>
            </w:pPr>
            <w:r>
              <w:rPr>
                <w:b w:val="false"/>
                <w:bCs w:val="false"/>
                <w:sz w:val="17"/>
                <w:szCs w:val="17"/>
              </w:rPr>
              <w:t xml:space="preserve">“FTSE 100 Index is picking up 43 points… on Monday”</w:t>
            </w:r>
          </w:p>
        </w:tc>
      </w:tr>
      <w:tr>
        <w:tc>
          <w:tcPr>
            <w:tcW w:type="dxa" w:w="1450"/>
            <w:tcMar>
              <w:top w:type="dxa" w:w="40"/>
              <w:left w:type="dxa" w:w="70"/>
              <w:bottom w:type="dxa" w:w="40"/>
              <w:right w:type="dxa" w:w="70"/>
            </w:tcMar>
          </w:tcPr>
          <w:p>
            <w:pPr>
              <w:jc w:val="left"/>
            </w:pPr>
            <w:r>
              <w:rPr>
                <w:b w:val="false"/>
                <w:bCs w:val="false"/>
                <w:sz w:val="17"/>
                <w:szCs w:val="17"/>
              </w:rPr>
              <w:t xml:space="preserve">TradingView</w:t>
            </w:r>
          </w:p>
        </w:tc>
        <w:tc>
          <w:tcPr>
            <w:tcW w:type="dxa" w:w="750"/>
            <w:tcMar>
              <w:top w:type="dxa" w:w="40"/>
              <w:left w:type="dxa" w:w="70"/>
              <w:bottom w:type="dxa" w:w="40"/>
              <w:right w:type="dxa" w:w="70"/>
            </w:tcMar>
          </w:tcPr>
          <w:p>
            <w:pPr>
              <w:jc w:val="center"/>
            </w:pPr>
            <w:r>
              <w:rPr>
                <w:b w:val="false"/>
                <w:bCs w:val="false"/>
                <w:sz w:val="17"/>
                <w:szCs w:val="17"/>
              </w:rPr>
              <w:t xml:space="preserve">30 Jun</w:t>
            </w:r>
          </w:p>
        </w:tc>
        <w:tc>
          <w:tcPr>
            <w:tcW w:type="dxa" w:w="2450"/>
            <w:tcMar>
              <w:top w:type="dxa" w:w="40"/>
              <w:left w:type="dxa" w:w="70"/>
              <w:bottom w:type="dxa" w:w="40"/>
              <w:right w:type="dxa" w:w="70"/>
            </w:tcMar>
          </w:tcPr>
          <w:p>
            <w:pPr>
              <w:jc w:val="center"/>
            </w:pPr>
            <w:r>
              <w:rPr>
                <w:b w:val="false"/>
                <w:bCs w:val="false"/>
                <w:sz w:val="17"/>
                <w:szCs w:val="17"/>
              </w:rPr>
              <w:t xml:space="preserve">UK100 record highs, going nowhere fast</w:t>
            </w:r>
          </w:p>
        </w:tc>
        <w:tc>
          <w:tcPr>
            <w:tcW w:type="dxa" w:w="900"/>
            <w:tcMar>
              <w:top w:type="dxa" w:w="40"/>
              <w:left w:type="dxa" w:w="70"/>
              <w:bottom w:type="dxa" w:w="40"/>
              <w:right w:type="dxa" w:w="70"/>
            </w:tcMar>
          </w:tcPr>
          <w:p>
            <w:pPr>
              <w:jc w:val="center"/>
            </w:pPr>
            <w:r>
              <w:rPr>
                <w:b w:val="false"/>
                <w:bCs w:val="false"/>
                <w:sz w:val="17"/>
                <w:szCs w:val="17"/>
              </w:rPr>
              <w:t xml:space="preserve">Trade Press</w:t>
            </w:r>
          </w:p>
        </w:tc>
        <w:tc>
          <w:tcPr>
            <w:tcW w:type="dxa" w:w="1050"/>
            <w:tcMar>
              <w:top w:type="dxa" w:w="40"/>
              <w:left w:type="dxa" w:w="70"/>
              <w:bottom w:type="dxa" w:w="40"/>
              <w:right w:type="dxa" w:w="70"/>
            </w:tcMar>
          </w:tcPr>
          <w:p>
            <w:pPr>
              <w:jc w:val="center"/>
            </w:pPr>
            <w:r>
              <w:rPr>
                <w:b w:val="false"/>
                <w:bCs w:val="false"/>
                <w:sz w:val="17"/>
                <w:szCs w:val="17"/>
              </w:rPr>
              <w:t xml:space="preserve">Mixed</w:t>
            </w:r>
          </w:p>
        </w:tc>
        <w:tc>
          <w:tcPr>
            <w:tcW w:type="dxa" w:w="2760"/>
            <w:tcMar>
              <w:top w:type="dxa" w:w="40"/>
              <w:left w:type="dxa" w:w="70"/>
              <w:bottom w:type="dxa" w:w="40"/>
              <w:right w:type="dxa" w:w="70"/>
            </w:tcMar>
          </w:tcPr>
          <w:p>
            <w:pPr>
              <w:jc w:val="center"/>
            </w:pPr>
            <w:r>
              <w:rPr>
                <w:b w:val="false"/>
                <w:bCs w:val="false"/>
                <w:sz w:val="17"/>
                <w:szCs w:val="17"/>
              </w:rPr>
              <w:t xml:space="preserve">“near all-time highs… without any conviction whether up or down”</w:t>
            </w:r>
          </w:p>
        </w:tc>
      </w:tr>
      <w:tr>
        <w:tc>
          <w:tcPr>
            <w:tcW w:type="dxa" w:w="1450"/>
            <w:shd w:fill="F2F4F8" w:color="auto" w:val="clear"/>
            <w:tcMar>
              <w:top w:type="dxa" w:w="40"/>
              <w:left w:type="dxa" w:w="70"/>
              <w:bottom w:type="dxa" w:w="40"/>
              <w:right w:type="dxa" w:w="70"/>
            </w:tcMar>
          </w:tcPr>
          <w:p>
            <w:pPr>
              <w:jc w:val="left"/>
            </w:pPr>
            <w:r>
              <w:rPr>
                <w:b w:val="false"/>
                <w:bCs w:val="false"/>
                <w:sz w:val="17"/>
                <w:szCs w:val="17"/>
              </w:rPr>
              <w:t xml:space="preserve">TradingView</w:t>
            </w:r>
          </w:p>
        </w:tc>
        <w:tc>
          <w:tcPr>
            <w:tcW w:type="dxa" w:w="750"/>
            <w:shd w:fill="F2F4F8" w:color="auto" w:val="clear"/>
            <w:tcMar>
              <w:top w:type="dxa" w:w="40"/>
              <w:left w:type="dxa" w:w="70"/>
              <w:bottom w:type="dxa" w:w="40"/>
              <w:right w:type="dxa" w:w="70"/>
            </w:tcMar>
          </w:tcPr>
          <w:p>
            <w:pPr>
              <w:jc w:val="center"/>
            </w:pPr>
            <w:r>
              <w:rPr>
                <w:b w:val="false"/>
                <w:bCs w:val="false"/>
                <w:sz w:val="17"/>
                <w:szCs w:val="17"/>
              </w:rPr>
              <w:t xml:space="preserve">30 Jun</w:t>
            </w:r>
          </w:p>
        </w:tc>
        <w:tc>
          <w:tcPr>
            <w:tcW w:type="dxa" w:w="2450"/>
            <w:shd w:fill="F2F4F8" w:color="auto" w:val="clear"/>
            <w:tcMar>
              <w:top w:type="dxa" w:w="40"/>
              <w:left w:type="dxa" w:w="70"/>
              <w:bottom w:type="dxa" w:w="40"/>
              <w:right w:type="dxa" w:w="70"/>
            </w:tcMar>
          </w:tcPr>
          <w:p>
            <w:pPr>
              <w:jc w:val="center"/>
            </w:pPr>
            <w:r>
              <w:rPr>
                <w:b w:val="false"/>
                <w:bCs w:val="false"/>
                <w:sz w:val="17"/>
                <w:szCs w:val="17"/>
              </w:rPr>
              <w:t xml:space="preserve">UK100 bullish breakout activated</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Trade Press</w:t>
            </w:r>
          </w:p>
        </w:tc>
        <w:tc>
          <w:tcPr>
            <w:tcW w:type="dxa" w:w="1050"/>
            <w:shd w:fill="F2F4F8" w:color="auto" w:val="clear"/>
            <w:tcMar>
              <w:top w:type="dxa" w:w="40"/>
              <w:left w:type="dxa" w:w="70"/>
              <w:bottom w:type="dxa" w:w="40"/>
              <w:right w:type="dxa" w:w="70"/>
            </w:tcMar>
          </w:tcPr>
          <w:p>
            <w:pPr>
              <w:jc w:val="center"/>
            </w:pPr>
            <w:r>
              <w:rPr>
                <w:b w:val="false"/>
                <w:bCs w:val="false"/>
                <w:sz w:val="17"/>
                <w:szCs w:val="17"/>
              </w:rPr>
              <w:t xml:space="preserve">Bullish</w:t>
            </w:r>
          </w:p>
        </w:tc>
        <w:tc>
          <w:tcPr>
            <w:tcW w:type="dxa" w:w="2760"/>
            <w:shd w:fill="F2F4F8" w:color="auto" w:val="clear"/>
            <w:tcMar>
              <w:top w:type="dxa" w:w="40"/>
              <w:left w:type="dxa" w:w="70"/>
              <w:bottom w:type="dxa" w:w="40"/>
              <w:right w:type="dxa" w:w="70"/>
            </w:tcMar>
          </w:tcPr>
          <w:p>
            <w:pPr>
              <w:jc w:val="center"/>
            </w:pPr>
            <w:r>
              <w:rPr>
                <w:b w:val="false"/>
                <w:bCs w:val="false"/>
                <w:sz w:val="17"/>
                <w:szCs w:val="17"/>
              </w:rPr>
              <w:t xml:space="preserve">“Bullish Breakout Activated… toward 10,800 Fibonacci target”</w:t>
            </w:r>
          </w:p>
        </w:tc>
      </w:tr>
    </w:tbl>
    <w:p>
      <w:pPr>
        <w:spacing w:after="100"/>
      </w:pPr>
      <w:r>
        <w:rPr>
          <w:b/>
          <w:bCs/>
          <w:sz w:val="20"/>
          <w:szCs w:val="20"/>
        </w:rPr>
        <w:t xml:space="preserve">13b · Aggregate Sentiment. </w:t>
      </w:r>
      <w:r>
        <w:rPr>
          <w:sz w:val="19"/>
          <w:szCs w:val="19"/>
        </w:rPr>
        <w:t xml:space="preserve">4 Bullish (all media/trade), 1 Bearish (media), 1 Mixed (trade press) = Predominantly Bullish (tilt = +0.30). </w:t>
      </w:r>
      <w:r>
        <w:rPr>
          <w:b/>
          <w:bCs/>
          <w:sz w:val="19"/>
          <w:szCs w:val="19"/>
        </w:rPr>
        <w:t xml:space="preserve">Numeric tilt basis: </w:t>
      </w:r>
      <w:r>
        <w:rPr>
          <w:sz w:val="19"/>
          <w:szCs w:val="19"/>
        </w:rPr>
        <w:t xml:space="preserve">source-class-weighted mean of article scores, dominated by media weight (0.5) with mild-conviction bullish leans and one bearish PMI offset. </w:t>
      </w:r>
      <w:r>
        <w:rPr>
          <w:b/>
          <w:bCs/>
          <w:sz w:val="19"/>
          <w:szCs w:val="19"/>
        </w:rPr>
        <w:t xml:space="preserve">Divergence: </w:t>
      </w:r>
      <w:r>
        <w:rPr>
          <w:sz w:val="19"/>
          <w:szCs w:val="19"/>
        </w:rPr>
        <w:t xml:space="preserve">sentiment agrees with rising price and the §9 bullish regime — no divergence. Note the tilt leans bullish but is not high-conviction (media-heavy).</w:t>
      </w:r>
    </w:p>
    <w:p>
      <w:pPr>
        <w:spacing w:after="100"/>
      </w:pPr>
      <w:r>
        <w:rPr>
          <w:b/>
          <w:bCs/>
          <w:sz w:val="20"/>
          <w:szCs w:val="20"/>
        </w:rPr>
        <w:t xml:space="preserve">13c · News Calendar — Previous Period (29 Jun – 3 Jul)</w:t>
      </w:r>
    </w:p>
    <w:tbl>
      <w:tblPr>
        <w:tblW w:type="dxa" w:w="9360"/>
        <w:tblBorders>
          <w:top w:val="single" w:color="C0C7D0" w:sz="2"/>
          <w:left w:val="single" w:color="C0C7D0" w:sz="2"/>
          <w:bottom w:val="single" w:color="C0C7D0" w:sz="2"/>
          <w:right w:val="single" w:color="C0C7D0" w:sz="2"/>
          <w:insideH w:val="single" w:color="C0C7D0" w:sz="2"/>
          <w:insideV w:val="single" w:color="C0C7D0" w:sz="2"/>
        </w:tblBorders>
      </w:tblPr>
      <w:tblGrid>
        <w:gridCol w:w="1150"/>
        <w:gridCol w:w="1900"/>
        <w:gridCol w:w="1900"/>
        <w:gridCol w:w="900"/>
        <w:gridCol w:w="3510"/>
      </w:tblGrid>
      <w:tr>
        <w:trPr>
          <w:tblHeader/>
        </w:trPr>
        <w:tc>
          <w:tcPr>
            <w:tcW w:type="dxa" w:w="1150"/>
            <w:shd w:fill="1F3864" w:color="auto" w:val="clear"/>
            <w:tcMar>
              <w:top w:type="dxa" w:w="40"/>
              <w:left w:type="dxa" w:w="70"/>
              <w:bottom w:type="dxa" w:w="40"/>
              <w:right w:type="dxa" w:w="70"/>
            </w:tcMar>
          </w:tcPr>
          <w:p>
            <w:pPr>
              <w:jc w:val="center"/>
            </w:pPr>
            <w:r>
              <w:rPr>
                <w:b/>
                <w:bCs/>
                <w:color w:val="FFFFFF"/>
                <w:sz w:val="17"/>
                <w:szCs w:val="17"/>
              </w:rPr>
              <w:t xml:space="preserve">Date</w:t>
            </w:r>
          </w:p>
        </w:tc>
        <w:tc>
          <w:tcPr>
            <w:tcW w:type="dxa" w:w="1900"/>
            <w:shd w:fill="1F3864" w:color="auto" w:val="clear"/>
            <w:tcMar>
              <w:top w:type="dxa" w:w="40"/>
              <w:left w:type="dxa" w:w="70"/>
              <w:bottom w:type="dxa" w:w="40"/>
              <w:right w:type="dxa" w:w="70"/>
            </w:tcMar>
          </w:tcPr>
          <w:p>
            <w:pPr>
              <w:jc w:val="center"/>
            </w:pPr>
            <w:r>
              <w:rPr>
                <w:b/>
                <w:bCs/>
                <w:color w:val="FFFFFF"/>
                <w:sz w:val="17"/>
                <w:szCs w:val="17"/>
              </w:rPr>
              <w:t xml:space="preserve">Event</w:t>
            </w:r>
          </w:p>
        </w:tc>
        <w:tc>
          <w:tcPr>
            <w:tcW w:type="dxa" w:w="1900"/>
            <w:shd w:fill="1F3864" w:color="auto" w:val="clear"/>
            <w:tcMar>
              <w:top w:type="dxa" w:w="40"/>
              <w:left w:type="dxa" w:w="70"/>
              <w:bottom w:type="dxa" w:w="40"/>
              <w:right w:type="dxa" w:w="70"/>
            </w:tcMar>
          </w:tcPr>
          <w:p>
            <w:pPr>
              <w:jc w:val="center"/>
            </w:pPr>
            <w:r>
              <w:rPr>
                <w:b/>
                <w:bCs/>
                <w:color w:val="FFFFFF"/>
                <w:sz w:val="17"/>
                <w:szCs w:val="17"/>
              </w:rPr>
              <w:t xml:space="preserve">Prior / Context</w:t>
            </w:r>
          </w:p>
        </w:tc>
        <w:tc>
          <w:tcPr>
            <w:tcW w:type="dxa" w:w="900"/>
            <w:shd w:fill="1F3864" w:color="auto" w:val="clear"/>
            <w:tcMar>
              <w:top w:type="dxa" w:w="40"/>
              <w:left w:type="dxa" w:w="70"/>
              <w:bottom w:type="dxa" w:w="40"/>
              <w:right w:type="dxa" w:w="70"/>
            </w:tcMar>
          </w:tcPr>
          <w:p>
            <w:pPr>
              <w:jc w:val="center"/>
            </w:pPr>
            <w:r>
              <w:rPr>
                <w:b/>
                <w:bCs/>
                <w:color w:val="FFFFFF"/>
                <w:sz w:val="17"/>
                <w:szCs w:val="17"/>
              </w:rPr>
              <w:t xml:space="preserve">Impact</w:t>
            </w:r>
          </w:p>
        </w:tc>
        <w:tc>
          <w:tcPr>
            <w:tcW w:type="dxa" w:w="3510"/>
            <w:shd w:fill="1F3864" w:color="auto" w:val="clear"/>
            <w:tcMar>
              <w:top w:type="dxa" w:w="40"/>
              <w:left w:type="dxa" w:w="70"/>
              <w:bottom w:type="dxa" w:w="40"/>
              <w:right w:type="dxa" w:w="70"/>
            </w:tcMar>
          </w:tcPr>
          <w:p>
            <w:pPr>
              <w:jc w:val="center"/>
            </w:pPr>
            <w:r>
              <w:rPr>
                <w:b/>
                <w:bCs/>
                <w:color w:val="FFFFFF"/>
                <w:sz w:val="17"/>
                <w:szCs w:val="17"/>
              </w:rPr>
              <w:t xml:space="preserve">Implication for FTSE</w:t>
            </w:r>
          </w:p>
        </w:tc>
      </w:tr>
      <w:tr>
        <w:tc>
          <w:tcPr>
            <w:tcW w:type="dxa" w:w="1150"/>
            <w:tcMar>
              <w:top w:type="dxa" w:w="40"/>
              <w:left w:type="dxa" w:w="70"/>
              <w:bottom w:type="dxa" w:w="40"/>
              <w:right w:type="dxa" w:w="70"/>
            </w:tcMar>
          </w:tcPr>
          <w:p>
            <w:pPr>
              <w:jc w:val="left"/>
            </w:pPr>
            <w:r>
              <w:rPr>
                <w:b w:val="false"/>
                <w:bCs w:val="false"/>
                <w:sz w:val="17"/>
                <w:szCs w:val="17"/>
              </w:rPr>
              <w:t xml:space="preserve">Thu 2 Jul</w:t>
            </w:r>
          </w:p>
        </w:tc>
        <w:tc>
          <w:tcPr>
            <w:tcW w:type="dxa" w:w="1900"/>
            <w:tcMar>
              <w:top w:type="dxa" w:w="40"/>
              <w:left w:type="dxa" w:w="70"/>
              <w:bottom w:type="dxa" w:w="40"/>
              <w:right w:type="dxa" w:w="70"/>
            </w:tcMar>
          </w:tcPr>
          <w:p>
            <w:pPr>
              <w:jc w:val="center"/>
            </w:pPr>
            <w:r>
              <w:rPr>
                <w:b w:val="false"/>
                <w:bCs w:val="false"/>
                <w:sz w:val="17"/>
                <w:szCs w:val="17"/>
              </w:rPr>
              <w:t xml:space="preserve">US Non-Farm Payrolls</w:t>
            </w:r>
          </w:p>
        </w:tc>
        <w:tc>
          <w:tcPr>
            <w:tcW w:type="dxa" w:w="1900"/>
            <w:tcMar>
              <w:top w:type="dxa" w:w="40"/>
              <w:left w:type="dxa" w:w="70"/>
              <w:bottom w:type="dxa" w:w="40"/>
              <w:right w:type="dxa" w:w="70"/>
            </w:tcMar>
          </w:tcPr>
          <w:p>
            <w:pPr>
              <w:jc w:val="center"/>
            </w:pPr>
            <w:r>
              <w:rPr>
                <w:b w:val="false"/>
                <w:bCs w:val="false"/>
                <w:sz w:val="17"/>
                <w:szCs w:val="17"/>
              </w:rPr>
              <w:t xml:space="preserve">Weaker than expected</w:t>
            </w:r>
          </w:p>
        </w:tc>
        <w:tc>
          <w:tcPr>
            <w:tcW w:type="dxa" w:w="900"/>
            <w:tcMar>
              <w:top w:type="dxa" w:w="40"/>
              <w:left w:type="dxa" w:w="70"/>
              <w:bottom w:type="dxa" w:w="40"/>
              <w:right w:type="dxa" w:w="70"/>
            </w:tcMar>
          </w:tcPr>
          <w:p>
            <w:pPr>
              <w:jc w:val="center"/>
            </w:pPr>
            <w:r>
              <w:rPr>
                <w:b w:val="false"/>
                <w:bCs w:val="false"/>
                <w:sz w:val="17"/>
                <w:szCs w:val="17"/>
              </w:rPr>
              <w:t xml:space="preserve">High</w:t>
            </w:r>
          </w:p>
        </w:tc>
        <w:tc>
          <w:tcPr>
            <w:tcW w:type="dxa" w:w="3510"/>
            <w:tcMar>
              <w:top w:type="dxa" w:w="40"/>
              <w:left w:type="dxa" w:w="70"/>
              <w:bottom w:type="dxa" w:w="40"/>
              <w:right w:type="dxa" w:w="70"/>
            </w:tcMar>
          </w:tcPr>
          <w:p>
            <w:pPr>
              <w:jc w:val="center"/>
            </w:pPr>
            <w:r>
              <w:rPr>
                <w:b w:val="false"/>
                <w:bCs w:val="false"/>
                <w:sz w:val="17"/>
                <w:szCs w:val="17"/>
              </w:rPr>
              <w:t xml:space="preserve">Tempered Fed hike bets; FTSE surged ~+1.8% intraday</w:t>
            </w:r>
          </w:p>
        </w:tc>
      </w:tr>
      <w:tr>
        <w:tc>
          <w:tcPr>
            <w:tcW w:type="dxa" w:w="1150"/>
            <w:shd w:fill="F2F4F8" w:color="auto" w:val="clear"/>
            <w:tcMar>
              <w:top w:type="dxa" w:w="40"/>
              <w:left w:type="dxa" w:w="70"/>
              <w:bottom w:type="dxa" w:w="40"/>
              <w:right w:type="dxa" w:w="70"/>
            </w:tcMar>
          </w:tcPr>
          <w:p>
            <w:pPr>
              <w:jc w:val="left"/>
            </w:pPr>
            <w:r>
              <w:rPr>
                <w:b w:val="false"/>
                <w:bCs w:val="false"/>
                <w:sz w:val="17"/>
                <w:szCs w:val="17"/>
              </w:rPr>
              <w:t xml:space="preserve">Fri 3 Jul</w:t>
            </w:r>
          </w:p>
        </w:tc>
        <w:tc>
          <w:tcPr>
            <w:tcW w:type="dxa" w:w="1900"/>
            <w:shd w:fill="F2F4F8" w:color="auto" w:val="clear"/>
            <w:tcMar>
              <w:top w:type="dxa" w:w="40"/>
              <w:left w:type="dxa" w:w="70"/>
              <w:bottom w:type="dxa" w:w="40"/>
              <w:right w:type="dxa" w:w="70"/>
            </w:tcMar>
          </w:tcPr>
          <w:p>
            <w:pPr>
              <w:jc w:val="center"/>
            </w:pPr>
            <w:r>
              <w:rPr>
                <w:b w:val="false"/>
                <w:bCs w:val="false"/>
                <w:sz w:val="17"/>
                <w:szCs w:val="17"/>
              </w:rPr>
              <w:t xml:space="preserve">UK Services/Composite PMI</w:t>
            </w:r>
          </w:p>
        </w:tc>
        <w:tc>
          <w:tcPr>
            <w:tcW w:type="dxa" w:w="1900"/>
            <w:shd w:fill="F2F4F8" w:color="auto" w:val="clear"/>
            <w:tcMar>
              <w:top w:type="dxa" w:w="40"/>
              <w:left w:type="dxa" w:w="70"/>
              <w:bottom w:type="dxa" w:w="40"/>
              <w:right w:type="dxa" w:w="70"/>
            </w:tcMar>
          </w:tcPr>
          <w:p>
            <w:pPr>
              <w:jc w:val="center"/>
            </w:pPr>
            <w:r>
              <w:rPr>
                <w:b w:val="false"/>
                <w:bCs w:val="false"/>
                <w:sz w:val="17"/>
                <w:szCs w:val="17"/>
              </w:rPr>
              <w:t xml:space="preserve">Contraction (sub-50)</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Medium</w:t>
            </w:r>
          </w:p>
        </w:tc>
        <w:tc>
          <w:tcPr>
            <w:tcW w:type="dxa" w:w="3510"/>
            <w:shd w:fill="F2F4F8" w:color="auto" w:val="clear"/>
            <w:tcMar>
              <w:top w:type="dxa" w:w="40"/>
              <w:left w:type="dxa" w:w="70"/>
              <w:bottom w:type="dxa" w:w="40"/>
              <w:right w:type="dxa" w:w="70"/>
            </w:tcMar>
          </w:tcPr>
          <w:p>
            <w:pPr>
              <w:jc w:val="center"/>
            </w:pPr>
            <w:r>
              <w:rPr>
                <w:b w:val="false"/>
                <w:bCs w:val="false"/>
                <w:sz w:val="17"/>
                <w:szCs w:val="17"/>
              </w:rPr>
              <w:t xml:space="preserve">Capped gains; private sector shrank again in June</w:t>
            </w:r>
          </w:p>
        </w:tc>
      </w:tr>
      <w:tr>
        <w:tc>
          <w:tcPr>
            <w:tcW w:type="dxa" w:w="1150"/>
            <w:tcMar>
              <w:top w:type="dxa" w:w="40"/>
              <w:left w:type="dxa" w:w="70"/>
              <w:bottom w:type="dxa" w:w="40"/>
              <w:right w:type="dxa" w:w="70"/>
            </w:tcMar>
          </w:tcPr>
          <w:p>
            <w:pPr>
              <w:jc w:val="left"/>
            </w:pPr>
            <w:r>
              <w:rPr>
                <w:b w:val="false"/>
                <w:bCs w:val="false"/>
                <w:sz w:val="17"/>
                <w:szCs w:val="17"/>
              </w:rPr>
              <w:t xml:space="preserve">Fri 3 Jul</w:t>
            </w:r>
          </w:p>
        </w:tc>
        <w:tc>
          <w:tcPr>
            <w:tcW w:type="dxa" w:w="1900"/>
            <w:tcMar>
              <w:top w:type="dxa" w:w="40"/>
              <w:left w:type="dxa" w:w="70"/>
              <w:bottom w:type="dxa" w:w="40"/>
              <w:right w:type="dxa" w:w="70"/>
            </w:tcMar>
          </w:tcPr>
          <w:p>
            <w:pPr>
              <w:jc w:val="center"/>
            </w:pPr>
            <w:r>
              <w:rPr>
                <w:b w:val="false"/>
                <w:bCs w:val="false"/>
                <w:sz w:val="17"/>
                <w:szCs w:val="17"/>
              </w:rPr>
              <w:t xml:space="preserve">US Independence Day holiday</w:t>
            </w:r>
          </w:p>
        </w:tc>
        <w:tc>
          <w:tcPr>
            <w:tcW w:type="dxa" w:w="1900"/>
            <w:tcMar>
              <w:top w:type="dxa" w:w="40"/>
              <w:left w:type="dxa" w:w="70"/>
              <w:bottom w:type="dxa" w:w="40"/>
              <w:right w:type="dxa" w:w="70"/>
            </w:tcMar>
          </w:tcPr>
          <w:p>
            <w:pPr>
              <w:jc w:val="center"/>
            </w:pPr>
            <w:r>
              <w:rPr>
                <w:b w:val="false"/>
                <w:bCs w:val="false"/>
                <w:sz w:val="17"/>
                <w:szCs w:val="17"/>
              </w:rPr>
              <w:t xml:space="preserve">Wall St closed</w:t>
            </w:r>
          </w:p>
        </w:tc>
        <w:tc>
          <w:tcPr>
            <w:tcW w:type="dxa" w:w="900"/>
            <w:tcMar>
              <w:top w:type="dxa" w:w="40"/>
              <w:left w:type="dxa" w:w="70"/>
              <w:bottom w:type="dxa" w:w="40"/>
              <w:right w:type="dxa" w:w="70"/>
            </w:tcMar>
          </w:tcPr>
          <w:p>
            <w:pPr>
              <w:jc w:val="center"/>
            </w:pPr>
            <w:r>
              <w:rPr>
                <w:b w:val="false"/>
                <w:bCs w:val="false"/>
                <w:sz w:val="17"/>
                <w:szCs w:val="17"/>
              </w:rPr>
              <w:t xml:space="preserve">Low</w:t>
            </w:r>
          </w:p>
        </w:tc>
        <w:tc>
          <w:tcPr>
            <w:tcW w:type="dxa" w:w="3510"/>
            <w:tcMar>
              <w:top w:type="dxa" w:w="40"/>
              <w:left w:type="dxa" w:w="70"/>
              <w:bottom w:type="dxa" w:w="40"/>
              <w:right w:type="dxa" w:w="70"/>
            </w:tcMar>
          </w:tcPr>
          <w:p>
            <w:pPr>
              <w:jc w:val="center"/>
            </w:pPr>
            <w:r>
              <w:rPr>
                <w:b w:val="false"/>
                <w:bCs w:val="false"/>
                <w:sz w:val="17"/>
                <w:szCs w:val="17"/>
              </w:rPr>
              <w:t xml:space="preserve">Thin, quiet FTSE session; smaller-bodied continuation</w:t>
            </w:r>
          </w:p>
        </w:tc>
      </w:tr>
      <w:tr>
        <w:tc>
          <w:tcPr>
            <w:tcW w:type="dxa" w:w="1150"/>
            <w:shd w:fill="F2F4F8" w:color="auto" w:val="clear"/>
            <w:tcMar>
              <w:top w:type="dxa" w:w="40"/>
              <w:left w:type="dxa" w:w="70"/>
              <w:bottom w:type="dxa" w:w="40"/>
              <w:right w:type="dxa" w:w="70"/>
            </w:tcMar>
          </w:tcPr>
          <w:p>
            <w:pPr>
              <w:jc w:val="left"/>
            </w:pPr>
            <w:r>
              <w:rPr>
                <w:b w:val="false"/>
                <w:bCs w:val="false"/>
                <w:sz w:val="17"/>
                <w:szCs w:val="17"/>
              </w:rPr>
              <w:t xml:space="preserve">wk</w:t>
            </w:r>
          </w:p>
        </w:tc>
        <w:tc>
          <w:tcPr>
            <w:tcW w:type="dxa" w:w="1900"/>
            <w:shd w:fill="F2F4F8" w:color="auto" w:val="clear"/>
            <w:tcMar>
              <w:top w:type="dxa" w:w="40"/>
              <w:left w:type="dxa" w:w="70"/>
              <w:bottom w:type="dxa" w:w="40"/>
              <w:right w:type="dxa" w:w="70"/>
            </w:tcMar>
          </w:tcPr>
          <w:p>
            <w:pPr>
              <w:jc w:val="center"/>
            </w:pPr>
            <w:r>
              <w:rPr>
                <w:b w:val="false"/>
                <w:bCs w:val="false"/>
                <w:sz w:val="17"/>
                <w:szCs w:val="17"/>
              </w:rPr>
              <w:t xml:space="preserve">Halifax house prices</w:t>
            </w:r>
          </w:p>
        </w:tc>
        <w:tc>
          <w:tcPr>
            <w:tcW w:type="dxa" w:w="1900"/>
            <w:shd w:fill="F2F4F8" w:color="auto" w:val="clear"/>
            <w:tcMar>
              <w:top w:type="dxa" w:w="40"/>
              <w:left w:type="dxa" w:w="70"/>
              <w:bottom w:type="dxa" w:w="40"/>
              <w:right w:type="dxa" w:w="70"/>
            </w:tcMar>
          </w:tcPr>
          <w:p>
            <w:pPr>
              <w:jc w:val="center"/>
            </w:pPr>
            <w:r>
              <w:rPr>
                <w:b w:val="false"/>
                <w:bCs w:val="false"/>
                <w:sz w:val="17"/>
                <w:szCs w:val="17"/>
              </w:rPr>
              <w:t xml:space="preserve">−0.1% May</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Low</w:t>
            </w:r>
          </w:p>
        </w:tc>
        <w:tc>
          <w:tcPr>
            <w:tcW w:type="dxa" w:w="3510"/>
            <w:shd w:fill="F2F4F8" w:color="auto" w:val="clear"/>
            <w:tcMar>
              <w:top w:type="dxa" w:w="40"/>
              <w:left w:type="dxa" w:w="70"/>
              <w:bottom w:type="dxa" w:w="40"/>
              <w:right w:type="dxa" w:w="70"/>
            </w:tcMar>
          </w:tcPr>
          <w:p>
            <w:pPr>
              <w:jc w:val="center"/>
            </w:pPr>
            <w:r>
              <w:rPr>
                <w:b w:val="false"/>
                <w:bCs w:val="false"/>
                <w:sz w:val="17"/>
                <w:szCs w:val="17"/>
              </w:rPr>
              <w:t xml:space="preserve">Housing/retail sentiment; limited index impact</w:t>
            </w:r>
          </w:p>
        </w:tc>
      </w:tr>
    </w:tbl>
    <w:p>
      <w:pPr>
        <w:spacing w:after="100"/>
      </w:pPr>
      <w:r>
        <w:rPr>
          <w:b/>
          <w:bCs/>
          <w:sz w:val="20"/>
          <w:szCs w:val="20"/>
        </w:rPr>
        <w:t xml:space="preserve">13d · News Calendar — Upcoming Period (7 Jul – 11 Jul)</w:t>
      </w:r>
    </w:p>
    <w:tbl>
      <w:tblPr>
        <w:tblW w:type="dxa" w:w="9360"/>
        <w:tblBorders>
          <w:top w:val="single" w:color="C0C7D0" w:sz="2"/>
          <w:left w:val="single" w:color="C0C7D0" w:sz="2"/>
          <w:bottom w:val="single" w:color="C0C7D0" w:sz="2"/>
          <w:right w:val="single" w:color="C0C7D0" w:sz="2"/>
          <w:insideH w:val="single" w:color="C0C7D0" w:sz="2"/>
          <w:insideV w:val="single" w:color="C0C7D0" w:sz="2"/>
        </w:tblBorders>
      </w:tblPr>
      <w:tblGrid>
        <w:gridCol w:w="1050"/>
        <w:gridCol w:w="2050"/>
        <w:gridCol w:w="1600"/>
        <w:gridCol w:w="900"/>
        <w:gridCol w:w="3760"/>
      </w:tblGrid>
      <w:tr>
        <w:trPr>
          <w:tblHeader/>
        </w:trPr>
        <w:tc>
          <w:tcPr>
            <w:tcW w:type="dxa" w:w="1050"/>
            <w:shd w:fill="1F3864" w:color="auto" w:val="clear"/>
            <w:tcMar>
              <w:top w:type="dxa" w:w="40"/>
              <w:left w:type="dxa" w:w="70"/>
              <w:bottom w:type="dxa" w:w="40"/>
              <w:right w:type="dxa" w:w="70"/>
            </w:tcMar>
          </w:tcPr>
          <w:p>
            <w:pPr>
              <w:jc w:val="center"/>
            </w:pPr>
            <w:r>
              <w:rPr>
                <w:b/>
                <w:bCs/>
                <w:color w:val="FFFFFF"/>
                <w:sz w:val="17"/>
                <w:szCs w:val="17"/>
              </w:rPr>
              <w:t xml:space="preserve">Date</w:t>
            </w:r>
          </w:p>
        </w:tc>
        <w:tc>
          <w:tcPr>
            <w:tcW w:type="dxa" w:w="2050"/>
            <w:shd w:fill="1F3864" w:color="auto" w:val="clear"/>
            <w:tcMar>
              <w:top w:type="dxa" w:w="40"/>
              <w:left w:type="dxa" w:w="70"/>
              <w:bottom w:type="dxa" w:w="40"/>
              <w:right w:type="dxa" w:w="70"/>
            </w:tcMar>
          </w:tcPr>
          <w:p>
            <w:pPr>
              <w:jc w:val="center"/>
            </w:pPr>
            <w:r>
              <w:rPr>
                <w:b/>
                <w:bCs/>
                <w:color w:val="FFFFFF"/>
                <w:sz w:val="17"/>
                <w:szCs w:val="17"/>
              </w:rPr>
              <w:t xml:space="preserve">Event</w:t>
            </w:r>
          </w:p>
        </w:tc>
        <w:tc>
          <w:tcPr>
            <w:tcW w:type="dxa" w:w="1600"/>
            <w:shd w:fill="1F3864" w:color="auto" w:val="clear"/>
            <w:tcMar>
              <w:top w:type="dxa" w:w="40"/>
              <w:left w:type="dxa" w:w="70"/>
              <w:bottom w:type="dxa" w:w="40"/>
              <w:right w:type="dxa" w:w="70"/>
            </w:tcMar>
          </w:tcPr>
          <w:p>
            <w:pPr>
              <w:jc w:val="center"/>
            </w:pPr>
            <w:r>
              <w:rPr>
                <w:b/>
                <w:bCs/>
                <w:color w:val="FFFFFF"/>
                <w:sz w:val="17"/>
                <w:szCs w:val="17"/>
              </w:rPr>
              <w:t xml:space="preserve">Context</w:t>
            </w:r>
          </w:p>
        </w:tc>
        <w:tc>
          <w:tcPr>
            <w:tcW w:type="dxa" w:w="900"/>
            <w:shd w:fill="1F3864" w:color="auto" w:val="clear"/>
            <w:tcMar>
              <w:top w:type="dxa" w:w="40"/>
              <w:left w:type="dxa" w:w="70"/>
              <w:bottom w:type="dxa" w:w="40"/>
              <w:right w:type="dxa" w:w="70"/>
            </w:tcMar>
          </w:tcPr>
          <w:p>
            <w:pPr>
              <w:jc w:val="center"/>
            </w:pPr>
            <w:r>
              <w:rPr>
                <w:b/>
                <w:bCs/>
                <w:color w:val="FFFFFF"/>
                <w:sz w:val="17"/>
                <w:szCs w:val="17"/>
              </w:rPr>
              <w:t xml:space="preserve">Impact</w:t>
            </w:r>
          </w:p>
        </w:tc>
        <w:tc>
          <w:tcPr>
            <w:tcW w:type="dxa" w:w="3760"/>
            <w:shd w:fill="1F3864" w:color="auto" w:val="clear"/>
            <w:tcMar>
              <w:top w:type="dxa" w:w="40"/>
              <w:left w:type="dxa" w:w="70"/>
              <w:bottom w:type="dxa" w:w="40"/>
              <w:right w:type="dxa" w:w="70"/>
            </w:tcMar>
          </w:tcPr>
          <w:p>
            <w:pPr>
              <w:jc w:val="center"/>
            </w:pPr>
            <w:r>
              <w:rPr>
                <w:b/>
                <w:bCs/>
                <w:color w:val="FFFFFF"/>
                <w:sz w:val="17"/>
                <w:szCs w:val="17"/>
              </w:rPr>
              <w:t xml:space="preserve">Implication (beat / miss)</w:t>
            </w:r>
          </w:p>
        </w:tc>
      </w:tr>
      <w:tr>
        <w:tc>
          <w:tcPr>
            <w:tcW w:type="dxa" w:w="1050"/>
            <w:tcMar>
              <w:top w:type="dxa" w:w="40"/>
              <w:left w:type="dxa" w:w="70"/>
              <w:bottom w:type="dxa" w:w="40"/>
              <w:right w:type="dxa" w:w="70"/>
            </w:tcMar>
          </w:tcPr>
          <w:p>
            <w:pPr>
              <w:jc w:val="left"/>
            </w:pPr>
            <w:r>
              <w:rPr>
                <w:b/>
                <w:bCs/>
                <w:sz w:val="17"/>
                <w:szCs w:val="17"/>
              </w:rPr>
              <w:t xml:space="preserve">wk</w:t>
            </w:r>
          </w:p>
        </w:tc>
        <w:tc>
          <w:tcPr>
            <w:tcW w:type="dxa" w:w="2050"/>
            <w:tcMar>
              <w:top w:type="dxa" w:w="40"/>
              <w:left w:type="dxa" w:w="70"/>
              <w:bottom w:type="dxa" w:w="40"/>
              <w:right w:type="dxa" w:w="70"/>
            </w:tcMar>
          </w:tcPr>
          <w:p>
            <w:pPr>
              <w:jc w:val="center"/>
            </w:pPr>
            <w:r>
              <w:rPr>
                <w:b/>
                <w:bCs/>
                <w:sz w:val="17"/>
                <w:szCs w:val="17"/>
              </w:rPr>
              <w:t xml:space="preserve">US CPI</w:t>
            </w:r>
          </w:p>
        </w:tc>
        <w:tc>
          <w:tcPr>
            <w:tcW w:type="dxa" w:w="1600"/>
            <w:tcMar>
              <w:top w:type="dxa" w:w="40"/>
              <w:left w:type="dxa" w:w="70"/>
              <w:bottom w:type="dxa" w:w="40"/>
              <w:right w:type="dxa" w:w="70"/>
            </w:tcMar>
          </w:tcPr>
          <w:p>
            <w:pPr>
              <w:jc w:val="center"/>
            </w:pPr>
            <w:r>
              <w:rPr>
                <w:b w:val="false"/>
                <w:bCs w:val="false"/>
                <w:sz w:val="17"/>
                <w:szCs w:val="17"/>
              </w:rPr>
              <w:t xml:space="preserve">Key inflation read</w:t>
            </w:r>
          </w:p>
        </w:tc>
        <w:tc>
          <w:tcPr>
            <w:tcW w:type="dxa" w:w="900"/>
            <w:tcMar>
              <w:top w:type="dxa" w:w="40"/>
              <w:left w:type="dxa" w:w="70"/>
              <w:bottom w:type="dxa" w:w="40"/>
              <w:right w:type="dxa" w:w="70"/>
            </w:tcMar>
          </w:tcPr>
          <w:p>
            <w:pPr>
              <w:jc w:val="center"/>
            </w:pPr>
            <w:r>
              <w:rPr>
                <w:b w:val="false"/>
                <w:bCs w:val="false"/>
                <w:sz w:val="17"/>
                <w:szCs w:val="17"/>
              </w:rPr>
              <w:t xml:space="preserve">High</w:t>
            </w:r>
          </w:p>
        </w:tc>
        <w:tc>
          <w:tcPr>
            <w:tcW w:type="dxa" w:w="3760"/>
            <w:tcMar>
              <w:top w:type="dxa" w:w="40"/>
              <w:left w:type="dxa" w:w="70"/>
              <w:bottom w:type="dxa" w:w="40"/>
              <w:right w:type="dxa" w:w="70"/>
            </w:tcMar>
          </w:tcPr>
          <w:p>
            <w:pPr>
              <w:jc w:val="center"/>
            </w:pPr>
            <w:r>
              <w:rPr>
                <w:b/>
                <w:bCs/>
                <w:sz w:val="17"/>
                <w:szCs w:val="17"/>
              </w:rPr>
              <w:t xml:space="preserve">Hot CPI → Fed-hawkish, risk-off, FTSE lower; soft CPI → risk-on, FTSE toward record</w:t>
            </w:r>
          </w:p>
        </w:tc>
      </w:tr>
      <w:tr>
        <w:tc>
          <w:tcPr>
            <w:tcW w:type="dxa" w:w="1050"/>
            <w:shd w:fill="F2F4F8" w:color="auto" w:val="clear"/>
            <w:tcMar>
              <w:top w:type="dxa" w:w="40"/>
              <w:left w:type="dxa" w:w="70"/>
              <w:bottom w:type="dxa" w:w="40"/>
              <w:right w:type="dxa" w:w="70"/>
            </w:tcMar>
          </w:tcPr>
          <w:p>
            <w:pPr>
              <w:jc w:val="left"/>
            </w:pPr>
            <w:r>
              <w:rPr>
                <w:b w:val="false"/>
                <w:bCs w:val="false"/>
                <w:sz w:val="17"/>
                <w:szCs w:val="17"/>
              </w:rPr>
              <w:t xml:space="preserve">wk</w:t>
            </w:r>
          </w:p>
        </w:tc>
        <w:tc>
          <w:tcPr>
            <w:tcW w:type="dxa" w:w="2050"/>
            <w:shd w:fill="F2F4F8" w:color="auto" w:val="clear"/>
            <w:tcMar>
              <w:top w:type="dxa" w:w="40"/>
              <w:left w:type="dxa" w:w="70"/>
              <w:bottom w:type="dxa" w:w="40"/>
              <w:right w:type="dxa" w:w="70"/>
            </w:tcMar>
          </w:tcPr>
          <w:p>
            <w:pPr>
              <w:jc w:val="center"/>
            </w:pPr>
            <w:r>
              <w:rPr>
                <w:b w:val="false"/>
                <w:bCs w:val="false"/>
                <w:sz w:val="17"/>
                <w:szCs w:val="17"/>
              </w:rPr>
              <w:t xml:space="preserve">BoE / ECB speak</w:t>
            </w:r>
          </w:p>
        </w:tc>
        <w:tc>
          <w:tcPr>
            <w:tcW w:type="dxa" w:w="1600"/>
            <w:shd w:fill="F2F4F8" w:color="auto" w:val="clear"/>
            <w:tcMar>
              <w:top w:type="dxa" w:w="40"/>
              <w:left w:type="dxa" w:w="70"/>
              <w:bottom w:type="dxa" w:w="40"/>
              <w:right w:type="dxa" w:w="70"/>
            </w:tcMar>
          </w:tcPr>
          <w:p>
            <w:pPr>
              <w:jc w:val="center"/>
            </w:pPr>
            <w:r>
              <w:rPr>
                <w:b w:val="false"/>
                <w:bCs w:val="false"/>
                <w:sz w:val="17"/>
                <w:szCs w:val="17"/>
              </w:rPr>
              <w:t xml:space="preserve">Rate 3.75% (UK)</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Medium</w:t>
            </w:r>
          </w:p>
        </w:tc>
        <w:tc>
          <w:tcPr>
            <w:tcW w:type="dxa" w:w="3760"/>
            <w:shd w:fill="F2F4F8" w:color="auto" w:val="clear"/>
            <w:tcMar>
              <w:top w:type="dxa" w:w="40"/>
              <w:left w:type="dxa" w:w="70"/>
              <w:bottom w:type="dxa" w:w="40"/>
              <w:right w:type="dxa" w:w="70"/>
            </w:tcMar>
          </w:tcPr>
          <w:p>
            <w:pPr>
              <w:jc w:val="center"/>
            </w:pPr>
            <w:r>
              <w:rPr>
                <w:b w:val="false"/>
                <w:bCs w:val="false"/>
                <w:sz w:val="17"/>
                <w:szCs w:val="17"/>
              </w:rPr>
              <w:t xml:space="preserve">Hawkish tone pressures rate-sensitives; dovish supports</w:t>
            </w:r>
          </w:p>
        </w:tc>
      </w:tr>
      <w:tr>
        <w:tc>
          <w:tcPr>
            <w:tcW w:type="dxa" w:w="1050"/>
            <w:tcMar>
              <w:top w:type="dxa" w:w="40"/>
              <w:left w:type="dxa" w:w="70"/>
              <w:bottom w:type="dxa" w:w="40"/>
              <w:right w:type="dxa" w:w="70"/>
            </w:tcMar>
          </w:tcPr>
          <w:p>
            <w:pPr>
              <w:jc w:val="left"/>
            </w:pPr>
            <w:r>
              <w:rPr>
                <w:b w:val="false"/>
                <w:bCs w:val="false"/>
                <w:sz w:val="17"/>
                <w:szCs w:val="17"/>
              </w:rPr>
              <w:t xml:space="preserve">wk</w:t>
            </w:r>
          </w:p>
        </w:tc>
        <w:tc>
          <w:tcPr>
            <w:tcW w:type="dxa" w:w="2050"/>
            <w:tcMar>
              <w:top w:type="dxa" w:w="40"/>
              <w:left w:type="dxa" w:w="70"/>
              <w:bottom w:type="dxa" w:w="40"/>
              <w:right w:type="dxa" w:w="70"/>
            </w:tcMar>
          </w:tcPr>
          <w:p>
            <w:pPr>
              <w:jc w:val="center"/>
            </w:pPr>
            <w:r>
              <w:rPr>
                <w:b w:val="false"/>
                <w:bCs w:val="false"/>
                <w:sz w:val="17"/>
                <w:szCs w:val="17"/>
              </w:rPr>
              <w:t xml:space="preserve">US tech earnings / sell-off follow-through</w:t>
            </w:r>
          </w:p>
        </w:tc>
        <w:tc>
          <w:tcPr>
            <w:tcW w:type="dxa" w:w="1600"/>
            <w:tcMar>
              <w:top w:type="dxa" w:w="40"/>
              <w:left w:type="dxa" w:w="70"/>
              <w:bottom w:type="dxa" w:w="40"/>
              <w:right w:type="dxa" w:w="70"/>
            </w:tcMar>
          </w:tcPr>
          <w:p>
            <w:pPr>
              <w:jc w:val="center"/>
            </w:pPr>
            <w:r>
              <w:rPr>
                <w:b w:val="false"/>
                <w:bCs w:val="false"/>
                <w:sz w:val="17"/>
                <w:szCs w:val="17"/>
              </w:rPr>
              <w:t xml:space="preserve">Nasdaq under pressure</w:t>
            </w:r>
          </w:p>
        </w:tc>
        <w:tc>
          <w:tcPr>
            <w:tcW w:type="dxa" w:w="900"/>
            <w:tcMar>
              <w:top w:type="dxa" w:w="40"/>
              <w:left w:type="dxa" w:w="70"/>
              <w:bottom w:type="dxa" w:w="40"/>
              <w:right w:type="dxa" w:w="70"/>
            </w:tcMar>
          </w:tcPr>
          <w:p>
            <w:pPr>
              <w:jc w:val="center"/>
            </w:pPr>
            <w:r>
              <w:rPr>
                <w:b w:val="false"/>
                <w:bCs w:val="false"/>
                <w:sz w:val="17"/>
                <w:szCs w:val="17"/>
              </w:rPr>
              <w:t xml:space="preserve">High</w:t>
            </w:r>
          </w:p>
        </w:tc>
        <w:tc>
          <w:tcPr>
            <w:tcW w:type="dxa" w:w="3760"/>
            <w:tcMar>
              <w:top w:type="dxa" w:w="40"/>
              <w:left w:type="dxa" w:w="70"/>
              <w:bottom w:type="dxa" w:w="40"/>
              <w:right w:type="dxa" w:w="70"/>
            </w:tcMar>
          </w:tcPr>
          <w:p>
            <w:pPr>
              <w:jc w:val="center"/>
            </w:pPr>
            <w:r>
              <w:rPr>
                <w:b w:val="false"/>
                <w:bCs w:val="false"/>
                <w:sz w:val="17"/>
                <w:szCs w:val="17"/>
              </w:rPr>
              <w:t xml:space="preserve">Deeper US rout spills to European risk via beta</w:t>
            </w:r>
          </w:p>
        </w:tc>
      </w:tr>
      <w:tr>
        <w:tc>
          <w:tcPr>
            <w:tcW w:type="dxa" w:w="1050"/>
            <w:shd w:fill="F2F4F8" w:color="auto" w:val="clear"/>
            <w:tcMar>
              <w:top w:type="dxa" w:w="40"/>
              <w:left w:type="dxa" w:w="70"/>
              <w:bottom w:type="dxa" w:w="40"/>
              <w:right w:type="dxa" w:w="70"/>
            </w:tcMar>
          </w:tcPr>
          <w:p>
            <w:pPr>
              <w:jc w:val="left"/>
            </w:pPr>
            <w:r>
              <w:rPr>
                <w:b w:val="false"/>
                <w:bCs w:val="false"/>
                <w:sz w:val="17"/>
                <w:szCs w:val="17"/>
              </w:rPr>
              <w:t xml:space="preserve">wk</w:t>
            </w:r>
          </w:p>
        </w:tc>
        <w:tc>
          <w:tcPr>
            <w:tcW w:type="dxa" w:w="2050"/>
            <w:shd w:fill="F2F4F8" w:color="auto" w:val="clear"/>
            <w:tcMar>
              <w:top w:type="dxa" w:w="40"/>
              <w:left w:type="dxa" w:w="70"/>
              <w:bottom w:type="dxa" w:w="40"/>
              <w:right w:type="dxa" w:w="70"/>
            </w:tcMar>
          </w:tcPr>
          <w:p>
            <w:pPr>
              <w:jc w:val="center"/>
            </w:pPr>
            <w:r>
              <w:rPr>
                <w:b w:val="false"/>
                <w:bCs w:val="false"/>
                <w:sz w:val="17"/>
                <w:szCs w:val="17"/>
              </w:rPr>
              <w:t xml:space="preserve">UK GDP / industrial data</w:t>
            </w:r>
          </w:p>
        </w:tc>
        <w:tc>
          <w:tcPr>
            <w:tcW w:type="dxa" w:w="1600"/>
            <w:shd w:fill="F2F4F8" w:color="auto" w:val="clear"/>
            <w:tcMar>
              <w:top w:type="dxa" w:w="40"/>
              <w:left w:type="dxa" w:w="70"/>
              <w:bottom w:type="dxa" w:w="40"/>
              <w:right w:type="dxa" w:w="70"/>
            </w:tcMar>
          </w:tcPr>
          <w:p>
            <w:pPr>
              <w:jc w:val="center"/>
            </w:pPr>
            <w:r>
              <w:rPr>
                <w:b w:val="false"/>
                <w:bCs w:val="false"/>
                <w:sz w:val="17"/>
                <w:szCs w:val="17"/>
              </w:rPr>
              <w:t xml:space="preserve">Softening trend</w:t>
            </w:r>
          </w:p>
        </w:tc>
        <w:tc>
          <w:tcPr>
            <w:tcW w:type="dxa" w:w="900"/>
            <w:shd w:fill="F2F4F8" w:color="auto" w:val="clear"/>
            <w:tcMar>
              <w:top w:type="dxa" w:w="40"/>
              <w:left w:type="dxa" w:w="70"/>
              <w:bottom w:type="dxa" w:w="40"/>
              <w:right w:type="dxa" w:w="70"/>
            </w:tcMar>
          </w:tcPr>
          <w:p>
            <w:pPr>
              <w:jc w:val="center"/>
            </w:pPr>
            <w:r>
              <w:rPr>
                <w:b w:val="false"/>
                <w:bCs w:val="false"/>
                <w:sz w:val="17"/>
                <w:szCs w:val="17"/>
              </w:rPr>
              <w:t xml:space="preserve">Medium</w:t>
            </w:r>
          </w:p>
        </w:tc>
        <w:tc>
          <w:tcPr>
            <w:tcW w:type="dxa" w:w="3760"/>
            <w:shd w:fill="F2F4F8" w:color="auto" w:val="clear"/>
            <w:tcMar>
              <w:top w:type="dxa" w:w="40"/>
              <w:left w:type="dxa" w:w="70"/>
              <w:bottom w:type="dxa" w:w="40"/>
              <w:right w:type="dxa" w:w="70"/>
            </w:tcMar>
          </w:tcPr>
          <w:p>
            <w:pPr>
              <w:jc w:val="center"/>
            </w:pPr>
            <w:r>
              <w:rPr>
                <w:b w:val="false"/>
                <w:bCs w:val="false"/>
                <w:sz w:val="17"/>
                <w:szCs w:val="17"/>
              </w:rPr>
              <w:t xml:space="preserve">Weak data + weak GBP can paradoxically lift multinationals</w:t>
            </w:r>
          </w:p>
        </w:tc>
      </w:tr>
    </w:tbl>
    <w:p>
      <w:pPr>
        <w:spacing w:after="100"/>
      </w:pPr>
      <w:r>
        <w:rPr>
          <w:b/>
          <w:bCs/>
          <w:color w:val="AD1457"/>
          <w:sz w:val="20"/>
          <w:szCs w:val="20"/>
        </w:rPr>
        <w:t xml:space="preserve">Highest-impact event: US CPI. </w:t>
      </w:r>
      <w:r>
        <w:rPr>
          <w:sz w:val="19"/>
          <w:szCs w:val="19"/>
        </w:rPr>
        <w:t xml:space="preserve">A hot surprise would revive Fed-hawkish pricing, likely triggering a broad equity risk-off that overrides the FTSE's domestic bullish structure; a soft print clears the path toward the 10,935 record.</w:t>
      </w:r>
    </w:p>
    <w:p>
      <w:pPr>
        <w:spacing w:after="120" w:before="240"/>
      </w:pPr>
      <w:r>
        <w:rPr>
          <w:b/>
          <w:bCs/>
          <w:color w:val="1F3864"/>
          <w:sz w:val="26"/>
          <w:szCs w:val="26"/>
        </w:rPr>
        <w:t xml:space="preserve">14 · Macro Context</w:t>
      </w:r>
    </w:p>
    <w:p>
      <w:pPr>
        <w:pStyle w:val="ListParagraph"/>
        <w:numPr>
          <w:ilvl w:val="0"/>
          <w:numId w:val="1"/>
        </w:numPr>
        <w:spacing w:after="60"/>
      </w:pPr>
      <w:r>
        <w:rPr>
          <w:sz w:val="20"/>
          <w:szCs w:val="20"/>
        </w:rPr>
        <w:t xml:space="preserve">Rates / policy: BoE base rate 3.75%, UK CPI easing to ~2.8%; a soft-payrolls-driven repricing lower in global rate expectations is equity-supportive. Cross-ref §10 S&amp;P 500 read (risk-factor beta).</w:t>
      </w:r>
    </w:p>
    <w:p>
      <w:pPr>
        <w:pStyle w:val="ListParagraph"/>
        <w:numPr>
          <w:ilvl w:val="0"/>
          <w:numId w:val="1"/>
        </w:numPr>
        <w:spacing w:after="60"/>
      </w:pPr>
      <w:r>
        <w:rPr>
          <w:sz w:val="20"/>
          <w:szCs w:val="20"/>
        </w:rPr>
        <w:t xml:space="preserve">Inflation: UK disinflation (2.8% vs prior 3.3%) is price-supportive for equities via a lower discount rate; the swing risk is the upcoming US CPI (§13d).</w:t>
      </w:r>
    </w:p>
    <w:p>
      <w:pPr>
        <w:pStyle w:val="ListParagraph"/>
        <w:numPr>
          <w:ilvl w:val="0"/>
          <w:numId w:val="1"/>
        </w:numPr>
        <w:spacing w:after="60"/>
      </w:pPr>
      <w:r>
        <w:rPr>
          <w:sz w:val="20"/>
          <w:szCs w:val="20"/>
        </w:rPr>
        <w:t xml:space="preserve">Safe-haven / real yields: gold elevated but volatile; not a primary FTSE driver this window — neutral.</w:t>
      </w:r>
    </w:p>
    <w:p>
      <w:pPr>
        <w:pStyle w:val="ListParagraph"/>
        <w:numPr>
          <w:ilvl w:val="0"/>
          <w:numId w:val="1"/>
        </w:numPr>
        <w:spacing w:after="60"/>
      </w:pPr>
      <w:r>
        <w:rPr>
          <w:sz w:val="20"/>
          <w:szCs w:val="20"/>
        </w:rPr>
        <w:t xml:space="preserve">Liquidity / FX: USDX flat-to-soft (§10); sterling softness is the supportive channel for FTSE multinationals.</w:t>
      </w:r>
    </w:p>
    <w:p>
      <w:pPr>
        <w:pStyle w:val="ListParagraph"/>
        <w:numPr>
          <w:ilvl w:val="0"/>
          <w:numId w:val="1"/>
        </w:numPr>
        <w:spacing w:after="60"/>
      </w:pPr>
      <w:r>
        <w:rPr>
          <w:sz w:val="20"/>
          <w:szCs w:val="20"/>
        </w:rPr>
        <w:t xml:space="preserve">Energy: steady oil underpins the SHEL/BP energy weight — mildly supportive.</w:t>
      </w:r>
    </w:p>
    <w:p>
      <w:pPr>
        <w:pStyle w:val="ListParagraph"/>
        <w:numPr>
          <w:ilvl w:val="0"/>
          <w:numId w:val="1"/>
        </w:numPr>
        <w:spacing w:after="60"/>
      </w:pPr>
      <w:r>
        <w:rPr>
          <w:sz w:val="20"/>
          <w:szCs w:val="20"/>
        </w:rPr>
        <w:t xml:space="preserve">Positioning: index sits just below a record with overbought short-term momentum (RSI2 ~100); crowded-long risk into resistance is the positioning caution.</w:t>
      </w:r>
    </w:p>
    <w:p>
      <w:pPr>
        <w:spacing w:after="100"/>
      </w:pPr>
      <w:r>
        <w:rPr>
          <w:b/>
          <w:bCs/>
          <w:sz w:val="20"/>
          <w:szCs w:val="20"/>
        </w:rPr>
        <w:t xml:space="preserve">Watch item: </w:t>
      </w:r>
      <w:r>
        <w:rPr>
          <w:color w:val="AD1457"/>
          <w:sz w:val="19"/>
          <w:szCs w:val="19"/>
        </w:rPr>
        <w:t xml:space="preserve">US CPI (§13d) is the macro variable most able to flip the cross-asset read from mixed to contradicting — a hawkish surprise is the directional risk.</w:t>
      </w:r>
    </w:p>
    <w:p>
      <w:pPr>
        <w:spacing w:after="120" w:before="240"/>
      </w:pPr>
      <w:r>
        <w:rPr>
          <w:b/>
          <w:bCs/>
          <w:color w:val="1F3864"/>
          <w:sz w:val="26"/>
          <w:szCs w:val="26"/>
        </w:rPr>
        <w:t xml:space="preserve">15 · Bull / Bear Balance</w:t>
      </w:r>
    </w:p>
    <w:tbl>
      <w:tblPr>
        <w:tblW w:type="dxa" w:w="9360"/>
        <w:tblBorders>
          <w:top w:val="single" w:color="C0C7D0" w:sz="2"/>
          <w:left w:val="single" w:color="C0C7D0" w:sz="2"/>
          <w:bottom w:val="single" w:color="C0C7D0" w:sz="2"/>
          <w:right w:val="single" w:color="C0C7D0" w:sz="2"/>
          <w:insideH w:val="single" w:color="C0C7D0" w:sz="2"/>
          <w:insideV w:val="single" w:color="C0C7D0" w:sz="2"/>
        </w:tblBorders>
      </w:tblPr>
      <w:tblGrid>
        <w:gridCol w:w="4680"/>
        <w:gridCol w:w="4680"/>
      </w:tblGrid>
      <w:tr>
        <w:trPr>
          <w:tblHeader/>
        </w:trPr>
        <w:tc>
          <w:tcPr>
            <w:tcW w:type="dxa" w:w="4680"/>
            <w:shd w:fill="1F3864" w:color="auto" w:val="clear"/>
            <w:tcMar>
              <w:top w:type="dxa" w:w="40"/>
              <w:left w:type="dxa" w:w="70"/>
              <w:bottom w:type="dxa" w:w="40"/>
              <w:right w:type="dxa" w:w="70"/>
            </w:tcMar>
          </w:tcPr>
          <w:p>
            <w:pPr>
              <w:jc w:val="center"/>
            </w:pPr>
            <w:r>
              <w:rPr>
                <w:b/>
                <w:bCs/>
                <w:color w:val="FFFFFF"/>
                <w:sz w:val="17"/>
                <w:szCs w:val="17"/>
              </w:rPr>
              <w:t xml:space="preserve">Upside (bull)</w:t>
            </w:r>
          </w:p>
        </w:tc>
        <w:tc>
          <w:tcPr>
            <w:tcW w:type="dxa" w:w="4680"/>
            <w:shd w:fill="1F3864" w:color="auto" w:val="clear"/>
            <w:tcMar>
              <w:top w:type="dxa" w:w="40"/>
              <w:left w:type="dxa" w:w="70"/>
              <w:bottom w:type="dxa" w:w="40"/>
              <w:right w:type="dxa" w:w="70"/>
            </w:tcMar>
          </w:tcPr>
          <w:p>
            <w:pPr>
              <w:jc w:val="center"/>
            </w:pPr>
            <w:r>
              <w:rPr>
                <w:b/>
                <w:bCs/>
                <w:color w:val="FFFFFF"/>
                <w:sz w:val="17"/>
                <w:szCs w:val="17"/>
              </w:rPr>
              <w:t xml:space="preserve">Downside (bear)</w:t>
            </w:r>
          </w:p>
        </w:tc>
      </w:tr>
      <w:tr>
        <w:tc>
          <w:tcPr>
            <w:tcW w:type="dxa" w:w="4680"/>
            <w:tcMar>
              <w:top w:type="dxa" w:w="40"/>
              <w:left w:type="dxa" w:w="70"/>
              <w:bottom w:type="dxa" w:w="40"/>
              <w:right w:type="dxa" w:w="70"/>
            </w:tcMar>
          </w:tcPr>
          <w:p>
            <w:pPr>
              <w:jc w:val="left"/>
            </w:pPr>
            <w:r>
              <w:rPr>
                <w:b w:val="false"/>
                <w:bCs w:val="false"/>
                <w:sz w:val="17"/>
                <w:szCs w:val="17"/>
              </w:rPr>
              <w:t xml:space="preserve">Trending-bullish regime; five higher closes into record territory</w:t>
            </w:r>
          </w:p>
        </w:tc>
        <w:tc>
          <w:tcPr>
            <w:tcW w:type="dxa" w:w="4680"/>
            <w:tcMar>
              <w:top w:type="dxa" w:w="40"/>
              <w:left w:type="dxa" w:w="70"/>
              <w:bottom w:type="dxa" w:w="40"/>
              <w:right w:type="dxa" w:w="70"/>
            </w:tcMar>
          </w:tcPr>
          <w:p>
            <w:pPr>
              <w:jc w:val="center"/>
            </w:pPr>
            <w:r>
              <w:rPr>
                <w:b w:val="false"/>
                <w:bCs w:val="false"/>
                <w:sz w:val="17"/>
                <w:szCs w:val="17"/>
              </w:rPr>
              <w:t xml:space="preserve">US tech-led S&amp;P 500 sell-off (§10) spilling into European risk</w:t>
            </w:r>
          </w:p>
        </w:tc>
      </w:tr>
      <w:tr>
        <w:tc>
          <w:tcPr>
            <w:tcW w:type="dxa" w:w="4680"/>
            <w:shd w:fill="F2F4F8" w:color="auto" w:val="clear"/>
            <w:tcMar>
              <w:top w:type="dxa" w:w="40"/>
              <w:left w:type="dxa" w:w="70"/>
              <w:bottom w:type="dxa" w:w="40"/>
              <w:right w:type="dxa" w:w="70"/>
            </w:tcMar>
          </w:tcPr>
          <w:p>
            <w:pPr>
              <w:jc w:val="left"/>
            </w:pPr>
            <w:r>
              <w:rPr>
                <w:b w:val="false"/>
                <w:bCs w:val="false"/>
                <w:sz w:val="17"/>
                <w:szCs w:val="17"/>
              </w:rPr>
              <w:t xml:space="preserve">Defensive + energy leadership and broad European bid (STOXX +0.82%)</w:t>
            </w:r>
          </w:p>
        </w:tc>
        <w:tc>
          <w:tcPr>
            <w:tcW w:type="dxa" w:w="4680"/>
            <w:shd w:fill="F2F4F8" w:color="auto" w:val="clear"/>
            <w:tcMar>
              <w:top w:type="dxa" w:w="40"/>
              <w:left w:type="dxa" w:w="70"/>
              <w:bottom w:type="dxa" w:w="40"/>
              <w:right w:type="dxa" w:w="70"/>
            </w:tcMar>
          </w:tcPr>
          <w:p>
            <w:pPr>
              <w:jc w:val="center"/>
            </w:pPr>
            <w:r>
              <w:rPr>
                <w:b w:val="false"/>
                <w:bCs w:val="false"/>
                <w:sz w:val="17"/>
                <w:szCs w:val="17"/>
              </w:rPr>
              <w:t xml:space="preserve">Overbought RSI2 (~100) into 10,701/10,935 resistance — chase risk</w:t>
            </w:r>
          </w:p>
        </w:tc>
      </w:tr>
      <w:tr>
        <w:tc>
          <w:tcPr>
            <w:tcW w:type="dxa" w:w="4680"/>
            <w:tcMar>
              <w:top w:type="dxa" w:w="40"/>
              <w:left w:type="dxa" w:w="70"/>
              <w:bottom w:type="dxa" w:w="40"/>
              <w:right w:type="dxa" w:w="70"/>
            </w:tcMar>
          </w:tcPr>
          <w:p>
            <w:pPr>
              <w:jc w:val="left"/>
            </w:pPr>
            <w:r>
              <w:rPr>
                <w:b w:val="false"/>
                <w:bCs w:val="false"/>
                <w:sz w:val="17"/>
                <w:szCs w:val="17"/>
              </w:rPr>
              <w:t xml:space="preserve">Soft payrolls / easing rates supportive of valuations</w:t>
            </w:r>
          </w:p>
        </w:tc>
        <w:tc>
          <w:tcPr>
            <w:tcW w:type="dxa" w:w="4680"/>
            <w:tcMar>
              <w:top w:type="dxa" w:w="40"/>
              <w:left w:type="dxa" w:w="70"/>
              <w:bottom w:type="dxa" w:w="40"/>
              <w:right w:type="dxa" w:w="70"/>
            </w:tcMar>
          </w:tcPr>
          <w:p>
            <w:pPr>
              <w:jc w:val="center"/>
            </w:pPr>
            <w:r>
              <w:rPr>
                <w:b w:val="false"/>
                <w:bCs w:val="false"/>
                <w:sz w:val="17"/>
                <w:szCs w:val="17"/>
              </w:rPr>
              <w:t xml:space="preserve">Hot US CPI (§13d) reviving hawkish pricing and risk-off</w:t>
            </w:r>
          </w:p>
        </w:tc>
      </w:tr>
      <w:tr>
        <w:tc>
          <w:tcPr>
            <w:tcW w:type="dxa" w:w="4680"/>
            <w:shd w:fill="F2F4F8" w:color="auto" w:val="clear"/>
            <w:tcMar>
              <w:top w:type="dxa" w:w="40"/>
              <w:left w:type="dxa" w:w="70"/>
              <w:bottom w:type="dxa" w:w="40"/>
              <w:right w:type="dxa" w:w="70"/>
            </w:tcMar>
          </w:tcPr>
          <w:p>
            <w:pPr>
              <w:jc w:val="left"/>
            </w:pPr>
            <w:r>
              <w:rPr>
                <w:b w:val="false"/>
                <w:bCs w:val="false"/>
                <w:sz w:val="17"/>
                <w:szCs w:val="17"/>
              </w:rPr>
              <w:t xml:space="preserve">Weaker sterling flattering ~80% overseas revenue</w:t>
            </w:r>
          </w:p>
        </w:tc>
        <w:tc>
          <w:tcPr>
            <w:tcW w:type="dxa" w:w="4680"/>
            <w:shd w:fill="F2F4F8" w:color="auto" w:val="clear"/>
            <w:tcMar>
              <w:top w:type="dxa" w:w="40"/>
              <w:left w:type="dxa" w:w="70"/>
              <w:bottom w:type="dxa" w:w="40"/>
              <w:right w:type="dxa" w:w="70"/>
            </w:tcMar>
          </w:tcPr>
          <w:p>
            <w:pPr>
              <w:jc w:val="center"/>
            </w:pPr>
            <w:r>
              <w:rPr>
                <w:b w:val="false"/>
                <w:bCs w:val="false"/>
                <w:sz w:val="17"/>
                <w:szCs w:val="17"/>
              </w:rPr>
              <w:t xml:space="preserve">UK PMI contraction signalling domestic-economy softness</w:t>
            </w:r>
          </w:p>
        </w:tc>
      </w:tr>
      <w:tr>
        <w:tc>
          <w:tcPr>
            <w:tcW w:type="dxa" w:w="4680"/>
            <w:tcMar>
              <w:top w:type="dxa" w:w="40"/>
              <w:left w:type="dxa" w:w="70"/>
              <w:bottom w:type="dxa" w:w="40"/>
              <w:right w:type="dxa" w:w="70"/>
            </w:tcMar>
          </w:tcPr>
          <w:p>
            <w:pPr>
              <w:jc w:val="left"/>
            </w:pPr>
            <w:r>
              <w:rPr>
                <w:b w:val="false"/>
                <w:bCs w:val="false"/>
                <w:sz w:val="17"/>
                <w:szCs w:val="17"/>
              </w:rPr>
              <w:t xml:space="preserve">Price above daily pivot (§11), bullish posture</w:t>
            </w:r>
          </w:p>
        </w:tc>
        <w:tc>
          <w:tcPr>
            <w:tcW w:type="dxa" w:w="4680"/>
            <w:tcMar>
              <w:top w:type="dxa" w:w="40"/>
              <w:left w:type="dxa" w:w="70"/>
              <w:bottom w:type="dxa" w:w="40"/>
              <w:right w:type="dxa" w:w="70"/>
            </w:tcMar>
          </w:tcPr>
          <w:p>
            <w:pPr>
              <w:jc w:val="center"/>
            </w:pPr>
            <w:r>
              <w:rPr>
                <w:b w:val="false"/>
                <w:bCs w:val="false"/>
                <w:sz w:val="17"/>
                <w:szCs w:val="17"/>
              </w:rPr>
              <w:t xml:space="preserve">Miners a persistent heavyweight drag on breadth</w:t>
            </w:r>
          </w:p>
        </w:tc>
      </w:tr>
    </w:tbl>
    <w:p>
      <w:pPr>
        <w:spacing w:after="120" w:before="240"/>
      </w:pPr>
      <w:r>
        <w:rPr>
          <w:b/>
          <w:bCs/>
          <w:color w:val="1F3864"/>
          <w:sz w:val="26"/>
          <w:szCs w:val="26"/>
        </w:rPr>
        <w:t xml:space="preserve">16 · Forward View</w:t>
      </w:r>
    </w:p>
    <w:p>
      <w:pPr>
        <w:spacing w:after="100"/>
      </w:pPr>
      <w:r>
        <w:rPr>
          <w:sz w:val="20"/>
          <w:szCs w:val="20"/>
        </w:rPr>
        <w:t xml:space="preserve">Base case (next 5 sessions): continued bullish drift with the index probing the 10,701 window high and the 10,935 February record, provided US risk-off does not deepen. Expected trading range 10,600–10,850, biased to the upside. This view respects the §9 trending-bullish regime. The one contradicting input carried forward is the S&amp;P 500 sell-off (§10) and the US CPI risk (§13d): a hot CPI or a broadening US rout is the base-case invalidation. Preferred posture is buy-the-dip toward the rising pivot rather than chasing overbought strength into resistance.</w:t>
      </w:r>
    </w:p>
    <w:p>
      <w:pPr>
        <w:spacing w:after="100"/>
      </w:pPr>
      <w:r>
        <w:rPr>
          <w:b/>
          <w:bCs/>
          <w:sz w:val="20"/>
          <w:szCs w:val="20"/>
        </w:rPr>
        <w:t xml:space="preserve">Invalidation: </w:t>
      </w:r>
      <w:r>
        <w:rPr>
          <w:sz w:val="19"/>
          <w:szCs w:val="19"/>
        </w:rPr>
        <w:t xml:space="preserve">a daily close back below the pivot / S1 zone (≈10,662 → 10,622) breaks the near-term bullish structure and shifts the base case to range/pullback.</w:t>
      </w:r>
    </w:p>
    <w:p>
      <w:pPr>
        <w:spacing w:after="120" w:before="240"/>
      </w:pPr>
      <w:r>
        <w:rPr>
          <w:b/>
          <w:bCs/>
          <w:color w:val="1F3864"/>
          <w:sz w:val="26"/>
          <w:szCs w:val="26"/>
        </w:rPr>
        <w:t xml:space="preserve">17 · Forecast (one sentence)</w:t>
      </w:r>
    </w:p>
    <w:p>
      <w:pPr>
        <w:spacing w:after="100"/>
      </w:pPr>
      <w:r>
        <w:rPr>
          <w:b/>
          <w:bCs/>
          <w:sz w:val="22"/>
          <w:szCs w:val="22"/>
        </w:rPr>
        <w:t xml:space="preserve">The FTSE 100 is likely to extend its bullish continuation toward the 10,701 window high and the 10,935 record over the coming sessions, contingent on US inflation data and the tech-led risk-off not deepening.</w:t>
      </w:r>
    </w:p>
    <w:p>
      <w:pPr>
        <w:spacing w:after="120" w:before="240"/>
      </w:pPr>
      <w:r>
        <w:rPr>
          <w:b/>
          <w:bCs/>
          <w:color w:val="1F3864"/>
          <w:sz w:val="26"/>
          <w:szCs w:val="26"/>
        </w:rPr>
        <w:t xml:space="preserve">18 · Final Analyst Judgement</w:t>
      </w:r>
    </w:p>
    <w:p>
      <w:pPr>
        <w:spacing w:after="100"/>
      </w:pPr>
      <w:r>
        <w:rPr>
          <w:b/>
          <w:bCs/>
          <w:sz w:val="20"/>
          <w:szCs w:val="20"/>
        </w:rPr>
        <w:t xml:space="preserve">Consensus price: </w:t>
      </w:r>
      <w:r>
        <w:rPr>
          <w:sz w:val="19"/>
          <w:szCs w:val="19"/>
        </w:rPr>
        <w:t xml:space="preserve">10,679 (3-Jul close), marked ~10,720–10,730 into 7-Jul. Confidence: Medium. Tone: Bullish.</w:t>
      </w:r>
    </w:p>
    <w:p>
      <w:pPr>
        <w:pStyle w:val="ListParagraph"/>
        <w:numPr>
          <w:ilvl w:val="0"/>
          <w:numId w:val="1"/>
        </w:numPr>
        <w:spacing w:after="60"/>
      </w:pPr>
      <w:r>
        <w:rPr>
          <w:sz w:val="20"/>
          <w:szCs w:val="20"/>
        </w:rPr>
        <w:t xml:space="preserve">Reason 1 — a clean trending-bullish tape: five higher closes, near-maximal Kaufman efficiency, price above the daily pivot.</w:t>
      </w:r>
    </w:p>
    <w:p>
      <w:pPr>
        <w:pStyle w:val="ListParagraph"/>
        <w:numPr>
          <w:ilvl w:val="0"/>
          <w:numId w:val="1"/>
        </w:numPr>
        <w:spacing w:after="60"/>
      </w:pPr>
      <w:r>
        <w:rPr>
          <w:sz w:val="20"/>
          <w:szCs w:val="20"/>
        </w:rPr>
        <w:t xml:space="preserve">Reason 2 — supportive macro/sector mix: soft payrolls, easing UK inflation, weaker sterling, and defensive/energy leadership.</w:t>
      </w:r>
    </w:p>
    <w:p>
      <w:pPr>
        <w:pStyle w:val="ListParagraph"/>
        <w:numPr>
          <w:ilvl w:val="0"/>
          <w:numId w:val="1"/>
        </w:numPr>
        <w:spacing w:after="60"/>
      </w:pPr>
      <w:r>
        <w:rPr>
          <w:sz w:val="20"/>
          <w:szCs w:val="20"/>
        </w:rPr>
        <w:t xml:space="preserve">Reason 3 — broad European bid (EURO STOXX +0.82%) corroborating the advance.</w:t>
      </w:r>
    </w:p>
    <w:p>
      <w:pPr>
        <w:spacing w:after="100"/>
      </w:pPr>
      <w:r>
        <w:rPr>
          <w:b/>
          <w:bCs/>
          <w:sz w:val="20"/>
          <w:szCs w:val="20"/>
        </w:rPr>
        <w:t xml:space="preserve">Single watch item: </w:t>
      </w:r>
      <w:r>
        <w:rPr>
          <w:color w:val="AD1457"/>
          <w:sz w:val="19"/>
          <w:szCs w:val="19"/>
        </w:rPr>
        <w:t xml:space="preserve">US CPI and any deepening of the US tech sell-off (§13d) — the primary threat to the bullish base case.</w:t>
      </w:r>
    </w:p>
    <w:p>
      <w:pPr>
        <w:spacing w:after="120" w:before="240"/>
      </w:pPr>
      <w:r>
        <w:rPr>
          <w:b/>
          <w:bCs/>
          <w:color w:val="1F3864"/>
          <w:sz w:val="26"/>
          <w:szCs w:val="26"/>
        </w:rPr>
        <w:t xml:space="preserve">19 · Source Discipline Note</w:t>
      </w:r>
    </w:p>
    <w:p>
      <w:pPr>
        <w:pStyle w:val="ListParagraph"/>
        <w:numPr>
          <w:ilvl w:val="0"/>
          <w:numId w:val="1"/>
        </w:numPr>
        <w:spacing w:after="60"/>
      </w:pPr>
      <w:r>
        <w:rPr>
          <w:sz w:val="20"/>
          <w:szCs w:val="20"/>
        </w:rPr>
        <w:t xml:space="preserve">Live vs indicative: the 3-Jul FTSE close (10,679.03) is fully corroborated (Investing.com × Yahoo, Δ0.00). The 6-Jul forward anchor (~10,720–10,730) is indicative (two live CFD-derived/cash marks within tolerance) and is not a settled price.</w:t>
      </w:r>
    </w:p>
    <w:p>
      <w:pPr>
        <w:pStyle w:val="ListParagraph"/>
        <w:numPr>
          <w:ilvl w:val="0"/>
          <w:numId w:val="1"/>
        </w:numPr>
        <w:spacing w:after="60"/>
      </w:pPr>
      <w:r>
        <w:rPr>
          <w:sz w:val="20"/>
          <w:szCs w:val="20"/>
        </w:rPr>
        <w:t xml:space="preserve">Data gaps: fully corroborated dual-source intraday High/Low for 29 Jun–1 Jul could not be obtained from free-tier sources; those OHLC fields are marked SINGLE-SOURCE INDICATIVE in §6 and were NOT used as definitive settlement values.</w:t>
      </w:r>
    </w:p>
    <w:p>
      <w:pPr>
        <w:pStyle w:val="ListParagraph"/>
        <w:numPr>
          <w:ilvl w:val="0"/>
          <w:numId w:val="1"/>
        </w:numPr>
        <w:spacing w:after="60"/>
      </w:pPr>
      <w:r>
        <w:rPr>
          <w:sz w:val="20"/>
          <w:szCs w:val="20"/>
        </w:rPr>
        <w:t xml:space="preserve">Pivot corroboration: daily pivots derive from the corroborated 3-Jul H/L/C and are treated as usable. Weekly and monthly prior-period H/L/C remain single-source indicative → weekly/monthly pivot levels carry the indicative flag and are not used for hard limit-order placement.</w:t>
      </w:r>
    </w:p>
    <w:p>
      <w:pPr>
        <w:pStyle w:val="ListParagraph"/>
        <w:numPr>
          <w:ilvl w:val="0"/>
          <w:numId w:val="1"/>
        </w:numPr>
        <w:spacing w:after="60"/>
      </w:pPr>
      <w:r>
        <w:rPr>
          <w:sz w:val="20"/>
          <w:szCs w:val="20"/>
        </w:rPr>
        <w:t xml:space="preserve">Per user instruction for this run, corroboration was applied leniently so that strategy recommendations are produced despite the intraday-source gap; the gap is disclosed rather than hidden.</w:t>
      </w:r>
    </w:p>
    <w:p>
      <w:pPr>
        <w:pStyle w:val="ListParagraph"/>
        <w:numPr>
          <w:ilvl w:val="0"/>
          <w:numId w:val="1"/>
        </w:numPr>
        <w:spacing w:after="60"/>
      </w:pPr>
      <w:r>
        <w:rPr>
          <w:sz w:val="20"/>
          <w:szCs w:val="20"/>
        </w:rPr>
        <w:t xml:space="preserve">EURO STOXX 50: 3-Jul close (6,412.68) corroborated; prior sessions indicative.</w:t>
      </w:r>
    </w:p>
    <w:p>
      <w:pPr>
        <w:spacing w:after="120" w:before="240"/>
      </w:pPr>
      <w:r>
        <w:rPr>
          <w:b/>
          <w:bCs/>
          <w:color w:val="1F3864"/>
          <w:sz w:val="26"/>
          <w:szCs w:val="26"/>
        </w:rPr>
        <w:t xml:space="preserve">20 · Agent Log</w:t>
      </w:r>
    </w:p>
    <w:p>
      <w:pPr>
        <w:pStyle w:val="ListParagraph"/>
        <w:numPr>
          <w:ilvl w:val="0"/>
          <w:numId w:val="1"/>
        </w:numPr>
        <w:spacing w:after="60"/>
      </w:pPr>
      <w:r>
        <w:rPr>
          <w:sz w:val="20"/>
          <w:szCs w:val="20"/>
        </w:rPr>
        <w:t xml:space="preserve">Sources attempted (OHLC): Stooq (network-blocked in environment), Investing.com (fetched), Yahoo Finance (fetched), Trading Economics (fetched, CFD-derived), Sharecast/Fidelity (fetched), TradingView (search snippet). Corroboration achieved on 3-Jul FTSE close: Investing.com × Yahoo, delta 0.00 pts, tolerance ±0.10.</w:t>
      </w:r>
    </w:p>
    <w:p>
      <w:pPr>
        <w:pStyle w:val="ListParagraph"/>
        <w:numPr>
          <w:ilvl w:val="0"/>
          <w:numId w:val="1"/>
        </w:numPr>
        <w:spacing w:after="60"/>
      </w:pPr>
      <w:r>
        <w:rPr>
          <w:sz w:val="20"/>
          <w:szCs w:val="20"/>
        </w:rPr>
        <w:t xml:space="preserve">Single-source fields: 29 Jun–1 Jul FTSE High/Low/Open; EURO STOXX 1–2 Jul closes — logged and flagged indicative.</w:t>
      </w:r>
    </w:p>
    <w:p>
      <w:pPr>
        <w:pStyle w:val="ListParagraph"/>
        <w:numPr>
          <w:ilvl w:val="0"/>
          <w:numId w:val="1"/>
        </w:numPr>
        <w:spacing w:after="60"/>
      </w:pPr>
      <w:r>
        <w:rPr>
          <w:sz w:val="20"/>
          <w:szCs w:val="20"/>
        </w:rPr>
        <w:t xml:space="preserve">Sentiment derivation: 6 articles, each with ≤15-word derivation quote; aggregate Predominantly Bullish, tilt +0.30 (media-weighted, flagged not high-conviction).</w:t>
      </w:r>
    </w:p>
    <w:p>
      <w:pPr>
        <w:pStyle w:val="ListParagraph"/>
        <w:numPr>
          <w:ilvl w:val="0"/>
          <w:numId w:val="1"/>
        </w:numPr>
        <w:spacing w:after="60"/>
      </w:pPr>
      <w:r>
        <w:rPr>
          <w:sz w:val="20"/>
          <w:szCs w:val="20"/>
        </w:rPr>
        <w:t xml:space="preserve">Strategy trace: direction score +0.74 (LONG). Contributions — short-term technical +0.25, medium-term regime +0.20, Kaufman +0.15, VOLator +0.05, sentiment +0.045, cross-asset +0.045. Weights basis: defaults (v2.1 baseline). No tuning applied.</w:t>
      </w:r>
    </w:p>
    <w:p>
      <w:pPr>
        <w:pStyle w:val="ListParagraph"/>
        <w:numPr>
          <w:ilvl w:val="0"/>
          <w:numId w:val="1"/>
        </w:numPr>
        <w:spacing w:after="60"/>
      </w:pPr>
      <w:r>
        <w:rPr>
          <w:sz w:val="20"/>
          <w:szCs w:val="20"/>
        </w:rPr>
        <w:t xml:space="preserve">Overrides: the daily-open anchor value was overridden for this run per user instruction; entry timing set to the market open of the 7-Jul session. Report date set to 7 July 2026.</w:t>
      </w:r>
    </w:p>
    <w:p>
      <w:pPr>
        <w:pStyle w:val="ListParagraph"/>
        <w:numPr>
          <w:ilvl w:val="0"/>
          <w:numId w:val="1"/>
        </w:numPr>
        <w:spacing w:after="60"/>
      </w:pPr>
      <w:r>
        <w:rPr>
          <w:sz w:val="20"/>
          <w:szCs w:val="20"/>
        </w:rPr>
        <w:t xml:space="preserve">Regime label: TREND_UP (Step-4 bullish × KER trending-up × VOLator slope ≥ 0). Cross-asset aggregate: MIXED. Backtest reconstructed over 5 prior sessions with no forward leakage.</w:t>
      </w:r>
    </w:p>
    <w:p>
      <w:pPr>
        <w:pStyle w:val="ListParagraph"/>
        <w:numPr>
          <w:ilvl w:val="0"/>
          <w:numId w:val="1"/>
        </w:numPr>
        <w:spacing w:after="60"/>
      </w:pPr>
      <w:r>
        <w:rPr>
          <w:sz w:val="20"/>
          <w:szCs w:val="20"/>
        </w:rPr>
        <w:t xml:space="preserve">Anomaly: RSI2 pegged ~100 due to monotonic rising closes in the validated set — authentic momentum, flagged as overbought. Timestamp: 6 Jul 2026, Europe/London.</w:t>
      </w:r>
    </w:p>
    <w:p>
      <w:pPr>
        <w:spacing w:after="120" w:before="240"/>
      </w:pPr>
      <w:r>
        <w:rPr>
          <w:b/>
          <w:bCs/>
          <w:color w:val="AD1457"/>
          <w:sz w:val="26"/>
          <w:szCs w:val="26"/>
        </w:rPr>
        <w:t xml:space="preserve">21 · Strategy Recommendations</w:t>
      </w:r>
    </w:p>
    <w:p>
      <w:pPr>
        <w:spacing w:after="100"/>
      </w:pPr>
      <w:r>
        <w:rPr>
          <w:b/>
          <w:bCs/>
          <w:sz w:val="20"/>
          <w:szCs w:val="20"/>
        </w:rPr>
        <w:t xml:space="preserve">21a · Directional Conviction. </w:t>
      </w:r>
      <w:r>
        <w:rPr>
          <w:sz w:val="19"/>
          <w:szCs w:val="19"/>
        </w:rPr>
        <w:t xml:space="preserve">LONG, score +0.74 (well above the conviction threshold). Three highest-weighted contributors: short-term technical bias (§8) +0.25, medium-term regime (§9) +0.20, Kaufman trend (§9) +0.15. Sentiment (§13b) +0.045 and cross-asset (§10) +0.045 add mildly. </w:t>
      </w:r>
      <w:r>
        <w:rPr>
          <w:b/>
          <w:bCs/>
          <w:sz w:val="19"/>
          <w:szCs w:val="19"/>
        </w:rPr>
        <w:t xml:space="preserve">Conflict flag: </w:t>
      </w:r>
      <w:r>
        <w:rPr>
          <w:sz w:val="19"/>
          <w:szCs w:val="19"/>
        </w:rPr>
        <w:t xml:space="preserve">none against §17 (both bullish); the standing caveat is the MIXED cross-asset read (S&amp;P 500 contradiction). Weights basis: defaults.</w:t>
      </w:r>
    </w:p>
    <w:p>
      <w:pPr>
        <w:spacing w:after="100"/>
      </w:pPr>
      <w:r>
        <w:rPr>
          <w:b/>
          <w:bCs/>
          <w:sz w:val="20"/>
          <w:szCs w:val="20"/>
        </w:rPr>
        <w:t xml:space="preserve">21b · Trade Cards</w:t>
      </w:r>
    </w:p>
    <w:p>
      <w:pPr>
        <w:spacing w:after="100"/>
      </w:pPr>
      <w:r>
        <w:rPr>
          <w:b/>
          <w:bCs/>
          <w:color w:val="AD1457"/>
          <w:sz w:val="20"/>
          <w:szCs w:val="20"/>
        </w:rPr>
        <w:t xml:space="preserve">Trade 1 — Daily Directional (LONG — TREND_UP regime)</w:t>
      </w:r>
    </w:p>
    <w:tbl>
      <w:tblPr>
        <w:tblW w:type="dxa" w:w="9360"/>
        <w:tblBorders>
          <w:top w:val="single" w:color="C0C7D0" w:sz="2"/>
          <w:left w:val="single" w:color="C0C7D0" w:sz="2"/>
          <w:bottom w:val="single" w:color="C0C7D0" w:sz="2"/>
          <w:right w:val="single" w:color="C0C7D0" w:sz="2"/>
          <w:insideH w:val="single" w:color="C0C7D0" w:sz="2"/>
          <w:insideV w:val="single" w:color="C0C7D0" w:sz="2"/>
        </w:tblBorders>
      </w:tblPr>
      <w:tblGrid>
        <w:gridCol w:w="2100"/>
        <w:gridCol w:w="7260"/>
      </w:tblGrid>
      <w:tr>
        <w:trPr>
          <w:tblHeader/>
        </w:trPr>
        <w:tc>
          <w:tcPr>
            <w:tcW w:type="dxa" w:w="2100"/>
            <w:shd w:fill="1F3864" w:color="auto" w:val="clear"/>
            <w:tcMar>
              <w:top w:type="dxa" w:w="40"/>
              <w:left w:type="dxa" w:w="70"/>
              <w:bottom w:type="dxa" w:w="40"/>
              <w:right w:type="dxa" w:w="70"/>
            </w:tcMar>
          </w:tcPr>
          <w:p>
            <w:pPr>
              <w:jc w:val="center"/>
            </w:pPr>
            <w:r>
              <w:rPr>
                <w:b/>
                <w:bCs/>
                <w:color w:val="FFFFFF"/>
                <w:sz w:val="17"/>
                <w:szCs w:val="17"/>
              </w:rPr>
              <w:t xml:space="preserve">Field</w:t>
            </w:r>
          </w:p>
        </w:tc>
        <w:tc>
          <w:tcPr>
            <w:tcW w:type="dxa" w:w="7260"/>
            <w:shd w:fill="1F3864" w:color="auto" w:val="clear"/>
            <w:tcMar>
              <w:top w:type="dxa" w:w="40"/>
              <w:left w:type="dxa" w:w="70"/>
              <w:bottom w:type="dxa" w:w="40"/>
              <w:right w:type="dxa" w:w="70"/>
            </w:tcMar>
          </w:tcPr>
          <w:p>
            <w:pPr>
              <w:jc w:val="center"/>
            </w:pPr>
            <w:r>
              <w:rPr>
                <w:b/>
                <w:bCs/>
                <w:color w:val="FFFFFF"/>
                <w:sz w:val="17"/>
                <w:szCs w:val="17"/>
              </w:rPr>
              <w:t xml:space="preserve">Value (price · points)</w:t>
            </w:r>
          </w:p>
        </w:tc>
      </w:tr>
      <w:tr>
        <w:tc>
          <w:tcPr>
            <w:tcW w:type="dxa" w:w="2100"/>
            <w:tcMar>
              <w:top w:type="dxa" w:w="40"/>
              <w:left w:type="dxa" w:w="70"/>
              <w:bottom w:type="dxa" w:w="40"/>
              <w:right w:type="dxa" w:w="70"/>
            </w:tcMar>
          </w:tcPr>
          <w:p>
            <w:pPr>
              <w:jc w:val="left"/>
            </w:pPr>
            <w:r>
              <w:rPr>
                <w:b w:val="false"/>
                <w:bCs w:val="false"/>
                <w:sz w:val="17"/>
                <w:szCs w:val="17"/>
              </w:rPr>
              <w:t xml:space="preserve">Direction</w:t>
            </w:r>
          </w:p>
        </w:tc>
        <w:tc>
          <w:tcPr>
            <w:tcW w:type="dxa" w:w="7260"/>
            <w:tcMar>
              <w:top w:type="dxa" w:w="40"/>
              <w:left w:type="dxa" w:w="70"/>
              <w:bottom w:type="dxa" w:w="40"/>
              <w:right w:type="dxa" w:w="70"/>
            </w:tcMar>
          </w:tcPr>
          <w:p>
            <w:pPr>
              <w:jc w:val="center"/>
            </w:pPr>
            <w:r>
              <w:rPr>
                <w:b w:val="false"/>
                <w:bCs w:val="false"/>
                <w:sz w:val="17"/>
                <w:szCs w:val="17"/>
              </w:rPr>
              <w:t xml:space="preserve">LONG — TREND_UP regime, score +0.74</w:t>
            </w:r>
          </w:p>
        </w:tc>
      </w:tr>
      <w:tr>
        <w:tc>
          <w:tcPr>
            <w:tcW w:type="dxa" w:w="2100"/>
            <w:shd w:fill="F2F4F8" w:color="auto" w:val="clear"/>
            <w:tcMar>
              <w:top w:type="dxa" w:w="40"/>
              <w:left w:type="dxa" w:w="70"/>
              <w:bottom w:type="dxa" w:w="40"/>
              <w:right w:type="dxa" w:w="70"/>
            </w:tcMar>
          </w:tcPr>
          <w:p>
            <w:pPr>
              <w:jc w:val="left"/>
            </w:pPr>
            <w:r>
              <w:rPr>
                <w:b w:val="false"/>
                <w:bCs w:val="false"/>
                <w:sz w:val="17"/>
                <w:szCs w:val="17"/>
              </w:rPr>
              <w:t xml:space="preserve">Entry</w:t>
            </w:r>
          </w:p>
        </w:tc>
        <w:tc>
          <w:tcPr>
            <w:tcW w:type="dxa" w:w="7260"/>
            <w:shd w:fill="F2F4F8" w:color="auto" w:val="clear"/>
            <w:tcMar>
              <w:top w:type="dxa" w:w="40"/>
              <w:left w:type="dxa" w:w="70"/>
              <w:bottom w:type="dxa" w:w="40"/>
              <w:right w:type="dxa" w:w="70"/>
            </w:tcMar>
          </w:tcPr>
          <w:p>
            <w:pPr>
              <w:jc w:val="center"/>
            </w:pPr>
            <w:r>
              <w:rPr>
                <w:b w:val="false"/>
                <w:bCs w:val="false"/>
                <w:sz w:val="17"/>
                <w:szCs w:val="17"/>
              </w:rPr>
              <w:t xml:space="preserve">Market at the 7-Jul session open (anchor overridden to market-open per this run) ≈ 10,720</w:t>
            </w:r>
          </w:p>
        </w:tc>
      </w:tr>
      <w:tr>
        <w:tc>
          <w:tcPr>
            <w:tcW w:type="dxa" w:w="2100"/>
            <w:tcMar>
              <w:top w:type="dxa" w:w="40"/>
              <w:left w:type="dxa" w:w="70"/>
              <w:bottom w:type="dxa" w:w="40"/>
              <w:right w:type="dxa" w:w="70"/>
            </w:tcMar>
          </w:tcPr>
          <w:p>
            <w:pPr>
              <w:jc w:val="left"/>
            </w:pPr>
            <w:r>
              <w:rPr>
                <w:b w:val="false"/>
                <w:bCs w:val="false"/>
                <w:sz w:val="17"/>
                <w:szCs w:val="17"/>
              </w:rPr>
              <w:t xml:space="preserve">Stop loss</w:t>
            </w:r>
          </w:p>
        </w:tc>
        <w:tc>
          <w:tcPr>
            <w:tcW w:type="dxa" w:w="7260"/>
            <w:tcMar>
              <w:top w:type="dxa" w:w="40"/>
              <w:left w:type="dxa" w:w="70"/>
              <w:bottom w:type="dxa" w:w="40"/>
              <w:right w:type="dxa" w:w="70"/>
            </w:tcMar>
          </w:tcPr>
          <w:p>
            <w:pPr>
              <w:jc w:val="center"/>
            </w:pPr>
            <w:r>
              <w:rPr>
                <w:b w:val="false"/>
                <w:bCs w:val="false"/>
                <w:sz w:val="17"/>
                <w:szCs w:val="17"/>
              </w:rPr>
              <w:t xml:space="preserve">10,604 — 116 points below entry; anchor = 3-Jul swing low / below daily P</w:t>
            </w:r>
          </w:p>
        </w:tc>
      </w:tr>
      <w:tr>
        <w:tc>
          <w:tcPr>
            <w:tcW w:type="dxa" w:w="2100"/>
            <w:shd w:fill="F2F4F8" w:color="auto" w:val="clear"/>
            <w:tcMar>
              <w:top w:type="dxa" w:w="40"/>
              <w:left w:type="dxa" w:w="70"/>
              <w:bottom w:type="dxa" w:w="40"/>
              <w:right w:type="dxa" w:w="70"/>
            </w:tcMar>
          </w:tcPr>
          <w:p>
            <w:pPr>
              <w:jc w:val="left"/>
            </w:pPr>
            <w:r>
              <w:rPr>
                <w:b w:val="false"/>
                <w:bCs w:val="false"/>
                <w:sz w:val="17"/>
                <w:szCs w:val="17"/>
              </w:rPr>
              <w:t xml:space="preserve">Risk (R)</w:t>
            </w:r>
          </w:p>
        </w:tc>
        <w:tc>
          <w:tcPr>
            <w:tcW w:type="dxa" w:w="7260"/>
            <w:shd w:fill="F2F4F8" w:color="auto" w:val="clear"/>
            <w:tcMar>
              <w:top w:type="dxa" w:w="40"/>
              <w:left w:type="dxa" w:w="70"/>
              <w:bottom w:type="dxa" w:w="40"/>
              <w:right w:type="dxa" w:w="70"/>
            </w:tcMar>
          </w:tcPr>
          <w:p>
            <w:pPr>
              <w:jc w:val="center"/>
            </w:pPr>
            <w:r>
              <w:rPr>
                <w:b w:val="false"/>
                <w:bCs w:val="false"/>
                <w:sz w:val="17"/>
                <w:szCs w:val="17"/>
              </w:rPr>
              <w:t xml:space="preserve">116 points (10,720 → 10,604)</w:t>
            </w:r>
          </w:p>
        </w:tc>
      </w:tr>
      <w:tr>
        <w:tc>
          <w:tcPr>
            <w:tcW w:type="dxa" w:w="2100"/>
            <w:tcMar>
              <w:top w:type="dxa" w:w="40"/>
              <w:left w:type="dxa" w:w="70"/>
              <w:bottom w:type="dxa" w:w="40"/>
              <w:right w:type="dxa" w:w="70"/>
            </w:tcMar>
          </w:tcPr>
          <w:p>
            <w:pPr>
              <w:jc w:val="left"/>
            </w:pPr>
            <w:r>
              <w:rPr>
                <w:b w:val="false"/>
                <w:bCs w:val="false"/>
                <w:sz w:val="17"/>
                <w:szCs w:val="17"/>
              </w:rPr>
              <w:t xml:space="preserve">TP1 (Unit 1)</w:t>
            </w:r>
          </w:p>
        </w:tc>
        <w:tc>
          <w:tcPr>
            <w:tcW w:type="dxa" w:w="7260"/>
            <w:tcMar>
              <w:top w:type="dxa" w:w="40"/>
              <w:left w:type="dxa" w:w="70"/>
              <w:bottom w:type="dxa" w:w="40"/>
              <w:right w:type="dxa" w:w="70"/>
            </w:tcMar>
          </w:tcPr>
          <w:p>
            <w:pPr>
              <w:jc w:val="center"/>
            </w:pPr>
            <w:r>
              <w:rPr>
                <w:b w:val="false"/>
                <w:bCs w:val="false"/>
                <w:sz w:val="17"/>
                <w:szCs w:val="17"/>
              </w:rPr>
              <w:t xml:space="preserve">+1R = 10,836 (+116 pts)</w:t>
            </w:r>
          </w:p>
        </w:tc>
      </w:tr>
      <w:tr>
        <w:tc>
          <w:tcPr>
            <w:tcW w:type="dxa" w:w="2100"/>
            <w:shd w:fill="F2F4F8" w:color="auto" w:val="clear"/>
            <w:tcMar>
              <w:top w:type="dxa" w:w="40"/>
              <w:left w:type="dxa" w:w="70"/>
              <w:bottom w:type="dxa" w:w="40"/>
              <w:right w:type="dxa" w:w="70"/>
            </w:tcMar>
          </w:tcPr>
          <w:p>
            <w:pPr>
              <w:jc w:val="left"/>
            </w:pPr>
            <w:r>
              <w:rPr>
                <w:b w:val="false"/>
                <w:bCs w:val="false"/>
                <w:sz w:val="17"/>
                <w:szCs w:val="17"/>
              </w:rPr>
              <w:t xml:space="preserve">TP2 (Unit 2)</w:t>
            </w:r>
          </w:p>
        </w:tc>
        <w:tc>
          <w:tcPr>
            <w:tcW w:type="dxa" w:w="7260"/>
            <w:shd w:fill="F2F4F8" w:color="auto" w:val="clear"/>
            <w:tcMar>
              <w:top w:type="dxa" w:w="40"/>
              <w:left w:type="dxa" w:w="70"/>
              <w:bottom w:type="dxa" w:w="40"/>
              <w:right w:type="dxa" w:w="70"/>
            </w:tcMar>
          </w:tcPr>
          <w:p>
            <w:pPr>
              <w:jc w:val="center"/>
            </w:pPr>
            <w:r>
              <w:rPr>
                <w:b w:val="false"/>
                <w:bCs w:val="false"/>
                <w:sz w:val="17"/>
                <w:szCs w:val="17"/>
              </w:rPr>
              <w:t xml:space="preserve">+2R = 10,952 (+232 pts) — just beyond the 10,935 record</w:t>
            </w:r>
          </w:p>
        </w:tc>
      </w:tr>
      <w:tr>
        <w:tc>
          <w:tcPr>
            <w:tcW w:type="dxa" w:w="2100"/>
            <w:tcMar>
              <w:top w:type="dxa" w:w="40"/>
              <w:left w:type="dxa" w:w="70"/>
              <w:bottom w:type="dxa" w:w="40"/>
              <w:right w:type="dxa" w:w="70"/>
            </w:tcMar>
          </w:tcPr>
          <w:p>
            <w:pPr>
              <w:jc w:val="left"/>
            </w:pPr>
            <w:r>
              <w:rPr>
                <w:b w:val="false"/>
                <w:bCs w:val="false"/>
                <w:sz w:val="17"/>
                <w:szCs w:val="17"/>
              </w:rPr>
              <w:t xml:space="preserve">TP3 (runner)</w:t>
            </w:r>
          </w:p>
        </w:tc>
        <w:tc>
          <w:tcPr>
            <w:tcW w:type="dxa" w:w="7260"/>
            <w:tcMar>
              <w:top w:type="dxa" w:w="40"/>
              <w:left w:type="dxa" w:w="70"/>
              <w:bottom w:type="dxa" w:w="40"/>
              <w:right w:type="dxa" w:w="70"/>
            </w:tcMar>
          </w:tcPr>
          <w:p>
            <w:pPr>
              <w:jc w:val="center"/>
            </w:pPr>
            <w:r>
              <w:rPr>
                <w:b w:val="false"/>
                <w:bCs w:val="false"/>
                <w:sz w:val="17"/>
                <w:szCs w:val="17"/>
              </w:rPr>
              <w:t xml:space="preserve">time-stop at session close + 3×ATR cap (ATR≈90 → ~10,990 cap); trail on new highs</w:t>
            </w:r>
          </w:p>
        </w:tc>
      </w:tr>
      <w:tr>
        <w:tc>
          <w:tcPr>
            <w:tcW w:type="dxa" w:w="2100"/>
            <w:shd w:fill="F2F4F8" w:color="auto" w:val="clear"/>
            <w:tcMar>
              <w:top w:type="dxa" w:w="40"/>
              <w:left w:type="dxa" w:w="70"/>
              <w:bottom w:type="dxa" w:w="40"/>
              <w:right w:type="dxa" w:w="70"/>
            </w:tcMar>
          </w:tcPr>
          <w:p>
            <w:pPr>
              <w:jc w:val="left"/>
            </w:pPr>
            <w:r>
              <w:rPr>
                <w:b w:val="false"/>
                <w:bCs w:val="false"/>
                <w:sz w:val="17"/>
                <w:szCs w:val="17"/>
              </w:rPr>
              <w:t xml:space="preserve">Tranche mgmt</w:t>
            </w:r>
          </w:p>
        </w:tc>
        <w:tc>
          <w:tcPr>
            <w:tcW w:type="dxa" w:w="7260"/>
            <w:shd w:fill="F2F4F8" w:color="auto" w:val="clear"/>
            <w:tcMar>
              <w:top w:type="dxa" w:w="40"/>
              <w:left w:type="dxa" w:w="70"/>
              <w:bottom w:type="dxa" w:w="40"/>
              <w:right w:type="dxa" w:w="70"/>
            </w:tcMar>
          </w:tcPr>
          <w:p>
            <w:pPr>
              <w:jc w:val="center"/>
            </w:pPr>
            <w:r>
              <w:rPr>
                <w:b w:val="false"/>
                <w:bCs w:val="false"/>
                <w:sz w:val="17"/>
                <w:szCs w:val="17"/>
              </w:rPr>
              <w:t xml:space="preserve">3 equal units; U1 exits TP1; U2 exits TP2; on U2 fill, U3 stop → entry +0.2R (≈10,743)</w:t>
            </w:r>
          </w:p>
        </w:tc>
      </w:tr>
      <w:tr>
        <w:tc>
          <w:tcPr>
            <w:tcW w:type="dxa" w:w="2100"/>
            <w:tcMar>
              <w:top w:type="dxa" w:w="40"/>
              <w:left w:type="dxa" w:w="70"/>
              <w:bottom w:type="dxa" w:w="40"/>
              <w:right w:type="dxa" w:w="70"/>
            </w:tcMar>
          </w:tcPr>
          <w:p>
            <w:pPr>
              <w:jc w:val="left"/>
            </w:pPr>
            <w:r>
              <w:rPr>
                <w:b w:val="false"/>
                <w:bCs w:val="false"/>
                <w:sz w:val="17"/>
                <w:szCs w:val="17"/>
              </w:rPr>
              <w:t xml:space="preserve">Confluences</w:t>
            </w:r>
          </w:p>
        </w:tc>
        <w:tc>
          <w:tcPr>
            <w:tcW w:type="dxa" w:w="7260"/>
            <w:tcMar>
              <w:top w:type="dxa" w:w="40"/>
              <w:left w:type="dxa" w:w="70"/>
              <w:bottom w:type="dxa" w:w="40"/>
              <w:right w:type="dxa" w:w="70"/>
            </w:tcMar>
          </w:tcPr>
          <w:p>
            <w:pPr>
              <w:jc w:val="center"/>
            </w:pPr>
            <w:r>
              <w:rPr>
                <w:b w:val="false"/>
                <w:bCs w:val="false"/>
                <w:sz w:val="17"/>
                <w:szCs w:val="17"/>
              </w:rPr>
              <w:t xml:space="preserve">Entry near R1 (10,719); TP2 at the record 10,935 (strong resistance confluence); stop at 3-Jul low</w:t>
            </w:r>
          </w:p>
        </w:tc>
      </w:tr>
      <w:tr>
        <w:tc>
          <w:tcPr>
            <w:tcW w:type="dxa" w:w="2100"/>
            <w:shd w:fill="F2F4F8" w:color="auto" w:val="clear"/>
            <w:tcMar>
              <w:top w:type="dxa" w:w="40"/>
              <w:left w:type="dxa" w:w="70"/>
              <w:bottom w:type="dxa" w:w="40"/>
              <w:right w:type="dxa" w:w="70"/>
            </w:tcMar>
          </w:tcPr>
          <w:p>
            <w:pPr>
              <w:jc w:val="left"/>
            </w:pPr>
            <w:r>
              <w:rPr>
                <w:b w:val="false"/>
                <w:bCs w:val="false"/>
                <w:sz w:val="17"/>
                <w:szCs w:val="17"/>
              </w:rPr>
              <w:t xml:space="preserve">Thesis invalidation</w:t>
            </w:r>
          </w:p>
        </w:tc>
        <w:tc>
          <w:tcPr>
            <w:tcW w:type="dxa" w:w="7260"/>
            <w:shd w:fill="F2F4F8" w:color="auto" w:val="clear"/>
            <w:tcMar>
              <w:top w:type="dxa" w:w="40"/>
              <w:left w:type="dxa" w:w="70"/>
              <w:bottom w:type="dxa" w:w="40"/>
              <w:right w:type="dxa" w:w="70"/>
            </w:tcMar>
          </w:tcPr>
          <w:p>
            <w:pPr>
              <w:jc w:val="center"/>
            </w:pPr>
            <w:r>
              <w:rPr>
                <w:b w:val="false"/>
                <w:bCs w:val="false"/>
                <w:sz w:val="17"/>
                <w:szCs w:val="17"/>
              </w:rPr>
              <w:t xml:space="preserve">Daily close back below P (10,662) → bullish narrative broken (distinct from stop)</w:t>
            </w:r>
          </w:p>
        </w:tc>
      </w:tr>
      <w:tr>
        <w:tc>
          <w:tcPr>
            <w:tcW w:type="dxa" w:w="2100"/>
            <w:tcMar>
              <w:top w:type="dxa" w:w="40"/>
              <w:left w:type="dxa" w:w="70"/>
              <w:bottom w:type="dxa" w:w="40"/>
              <w:right w:type="dxa" w:w="70"/>
            </w:tcMar>
          </w:tcPr>
          <w:p>
            <w:pPr>
              <w:jc w:val="left"/>
            </w:pPr>
            <w:r>
              <w:rPr>
                <w:b w:val="false"/>
                <w:bCs w:val="false"/>
                <w:sz w:val="17"/>
                <w:szCs w:val="17"/>
              </w:rPr>
              <w:t xml:space="preserve">Caveats</w:t>
            </w:r>
          </w:p>
        </w:tc>
        <w:tc>
          <w:tcPr>
            <w:tcW w:type="dxa" w:w="7260"/>
            <w:tcMar>
              <w:top w:type="dxa" w:w="40"/>
              <w:left w:type="dxa" w:w="70"/>
              <w:bottom w:type="dxa" w:w="40"/>
              <w:right w:type="dxa" w:w="70"/>
            </w:tcMar>
          </w:tcPr>
          <w:p>
            <w:pPr>
              <w:jc w:val="center"/>
            </w:pPr>
            <w:r>
              <w:rPr>
                <w:b w:val="false"/>
                <w:bCs w:val="false"/>
                <w:sz w:val="17"/>
                <w:szCs w:val="17"/>
              </w:rPr>
              <w:t xml:space="preserve">Overbought RSI2 (~100) chase-risk; holding period collides with US CPI (§13d); cross-asset MIXED</w:t>
            </w:r>
          </w:p>
        </w:tc>
      </w:tr>
    </w:tbl>
    <w:p>
      <w:pPr>
        <w:spacing w:after="100"/>
      </w:pPr>
      <w:r>
        <w:rPr>
          <w:b/>
          <w:bCs/>
          <w:color w:val="AD1457"/>
          <w:sz w:val="20"/>
          <w:szCs w:val="20"/>
        </w:rPr>
        <w:t xml:space="preserve">Trade 2 — Pivot (regime-aware, TREND_UP → buy-the-dip to support pivots)</w:t>
      </w:r>
    </w:p>
    <w:tbl>
      <w:tblPr>
        <w:tblW w:type="dxa" w:w="9360"/>
        <w:tblBorders>
          <w:top w:val="single" w:color="C0C7D0" w:sz="2"/>
          <w:left w:val="single" w:color="C0C7D0" w:sz="2"/>
          <w:bottom w:val="single" w:color="C0C7D0" w:sz="2"/>
          <w:right w:val="single" w:color="C0C7D0" w:sz="2"/>
          <w:insideH w:val="single" w:color="C0C7D0" w:sz="2"/>
          <w:insideV w:val="single" w:color="C0C7D0" w:sz="2"/>
        </w:tblBorders>
      </w:tblPr>
      <w:tblGrid>
        <w:gridCol w:w="2100"/>
        <w:gridCol w:w="7260"/>
      </w:tblGrid>
      <w:tr>
        <w:trPr>
          <w:tblHeader/>
        </w:trPr>
        <w:tc>
          <w:tcPr>
            <w:tcW w:type="dxa" w:w="2100"/>
            <w:shd w:fill="1F3864" w:color="auto" w:val="clear"/>
            <w:tcMar>
              <w:top w:type="dxa" w:w="40"/>
              <w:left w:type="dxa" w:w="70"/>
              <w:bottom w:type="dxa" w:w="40"/>
              <w:right w:type="dxa" w:w="70"/>
            </w:tcMar>
          </w:tcPr>
          <w:p>
            <w:pPr>
              <w:jc w:val="center"/>
            </w:pPr>
            <w:r>
              <w:rPr>
                <w:b/>
                <w:bCs/>
                <w:color w:val="FFFFFF"/>
                <w:sz w:val="17"/>
                <w:szCs w:val="17"/>
              </w:rPr>
              <w:t xml:space="preserve">Field</w:t>
            </w:r>
          </w:p>
        </w:tc>
        <w:tc>
          <w:tcPr>
            <w:tcW w:type="dxa" w:w="7260"/>
            <w:shd w:fill="1F3864" w:color="auto" w:val="clear"/>
            <w:tcMar>
              <w:top w:type="dxa" w:w="40"/>
              <w:left w:type="dxa" w:w="70"/>
              <w:bottom w:type="dxa" w:w="40"/>
              <w:right w:type="dxa" w:w="70"/>
            </w:tcMar>
          </w:tcPr>
          <w:p>
            <w:pPr>
              <w:jc w:val="center"/>
            </w:pPr>
            <w:r>
              <w:rPr>
                <w:b/>
                <w:bCs/>
                <w:color w:val="FFFFFF"/>
                <w:sz w:val="17"/>
                <w:szCs w:val="17"/>
              </w:rPr>
              <w:t xml:space="preserve">Value (price · points)</w:t>
            </w:r>
          </w:p>
        </w:tc>
      </w:tr>
      <w:tr>
        <w:tc>
          <w:tcPr>
            <w:tcW w:type="dxa" w:w="2100"/>
            <w:tcMar>
              <w:top w:type="dxa" w:w="40"/>
              <w:left w:type="dxa" w:w="70"/>
              <w:bottom w:type="dxa" w:w="40"/>
              <w:right w:type="dxa" w:w="70"/>
            </w:tcMar>
          </w:tcPr>
          <w:p>
            <w:pPr>
              <w:jc w:val="left"/>
            </w:pPr>
            <w:r>
              <w:rPr>
                <w:b w:val="false"/>
                <w:bCs w:val="false"/>
                <w:sz w:val="17"/>
                <w:szCs w:val="17"/>
              </w:rPr>
              <w:t xml:space="preserve">Direction</w:t>
            </w:r>
          </w:p>
        </w:tc>
        <w:tc>
          <w:tcPr>
            <w:tcW w:type="dxa" w:w="7260"/>
            <w:tcMar>
              <w:top w:type="dxa" w:w="40"/>
              <w:left w:type="dxa" w:w="70"/>
              <w:bottom w:type="dxa" w:w="40"/>
              <w:right w:type="dxa" w:w="70"/>
            </w:tcMar>
          </w:tcPr>
          <w:p>
            <w:pPr>
              <w:jc w:val="center"/>
            </w:pPr>
            <w:r>
              <w:rPr>
                <w:b w:val="false"/>
                <w:bCs w:val="false"/>
                <w:sz w:val="17"/>
                <w:szCs w:val="17"/>
              </w:rPr>
              <w:t xml:space="preserve">LONG — trend pullback to pivot support</w:t>
            </w:r>
          </w:p>
        </w:tc>
      </w:tr>
      <w:tr>
        <w:tc>
          <w:tcPr>
            <w:tcW w:type="dxa" w:w="2100"/>
            <w:shd w:fill="F2F4F8" w:color="auto" w:val="clear"/>
            <w:tcMar>
              <w:top w:type="dxa" w:w="40"/>
              <w:left w:type="dxa" w:w="70"/>
              <w:bottom w:type="dxa" w:w="40"/>
              <w:right w:type="dxa" w:w="70"/>
            </w:tcMar>
          </w:tcPr>
          <w:p>
            <w:pPr>
              <w:jc w:val="left"/>
            </w:pPr>
            <w:r>
              <w:rPr>
                <w:b w:val="false"/>
                <w:bCs w:val="false"/>
                <w:sz w:val="17"/>
                <w:szCs w:val="17"/>
              </w:rPr>
              <w:t xml:space="preserve">Entry</w:t>
            </w:r>
          </w:p>
        </w:tc>
        <w:tc>
          <w:tcPr>
            <w:tcW w:type="dxa" w:w="7260"/>
            <w:shd w:fill="F2F4F8" w:color="auto" w:val="clear"/>
            <w:tcMar>
              <w:top w:type="dxa" w:w="40"/>
              <w:left w:type="dxa" w:w="70"/>
              <w:bottom w:type="dxa" w:w="40"/>
              <w:right w:type="dxa" w:w="70"/>
            </w:tcMar>
          </w:tcPr>
          <w:p>
            <w:pPr>
              <w:jc w:val="center"/>
            </w:pPr>
            <w:r>
              <w:rPr>
                <w:b w:val="false"/>
                <w:bCs w:val="false"/>
                <w:sz w:val="17"/>
                <w:szCs w:val="17"/>
              </w:rPr>
              <w:t xml:space="preserve">Buy limit at S1 = 10,622 (pullback into demand)</w:t>
            </w:r>
          </w:p>
        </w:tc>
      </w:tr>
      <w:tr>
        <w:tc>
          <w:tcPr>
            <w:tcW w:type="dxa" w:w="2100"/>
            <w:tcMar>
              <w:top w:type="dxa" w:w="40"/>
              <w:left w:type="dxa" w:w="70"/>
              <w:bottom w:type="dxa" w:w="40"/>
              <w:right w:type="dxa" w:w="70"/>
            </w:tcMar>
          </w:tcPr>
          <w:p>
            <w:pPr>
              <w:jc w:val="left"/>
            </w:pPr>
            <w:r>
              <w:rPr>
                <w:b w:val="false"/>
                <w:bCs w:val="false"/>
                <w:sz w:val="17"/>
                <w:szCs w:val="17"/>
              </w:rPr>
              <w:t xml:space="preserve">Stop loss</w:t>
            </w:r>
          </w:p>
        </w:tc>
        <w:tc>
          <w:tcPr>
            <w:tcW w:type="dxa" w:w="7260"/>
            <w:tcMar>
              <w:top w:type="dxa" w:w="40"/>
              <w:left w:type="dxa" w:w="70"/>
              <w:bottom w:type="dxa" w:w="40"/>
              <w:right w:type="dxa" w:w="70"/>
            </w:tcMar>
          </w:tcPr>
          <w:p>
            <w:pPr>
              <w:jc w:val="center"/>
            </w:pPr>
            <w:r>
              <w:rPr>
                <w:b w:val="false"/>
                <w:bCs w:val="false"/>
                <w:sz w:val="17"/>
                <w:szCs w:val="17"/>
              </w:rPr>
              <w:t xml:space="preserve">10,564 — 58 points below entry; anchor = daily S2</w:t>
            </w:r>
          </w:p>
        </w:tc>
      </w:tr>
      <w:tr>
        <w:tc>
          <w:tcPr>
            <w:tcW w:type="dxa" w:w="2100"/>
            <w:shd w:fill="F2F4F8" w:color="auto" w:val="clear"/>
            <w:tcMar>
              <w:top w:type="dxa" w:w="40"/>
              <w:left w:type="dxa" w:w="70"/>
              <w:bottom w:type="dxa" w:w="40"/>
              <w:right w:type="dxa" w:w="70"/>
            </w:tcMar>
          </w:tcPr>
          <w:p>
            <w:pPr>
              <w:jc w:val="left"/>
            </w:pPr>
            <w:r>
              <w:rPr>
                <w:b w:val="false"/>
                <w:bCs w:val="false"/>
                <w:sz w:val="17"/>
                <w:szCs w:val="17"/>
              </w:rPr>
              <w:t xml:space="preserve">Risk (R)</w:t>
            </w:r>
          </w:p>
        </w:tc>
        <w:tc>
          <w:tcPr>
            <w:tcW w:type="dxa" w:w="7260"/>
            <w:shd w:fill="F2F4F8" w:color="auto" w:val="clear"/>
            <w:tcMar>
              <w:top w:type="dxa" w:w="40"/>
              <w:left w:type="dxa" w:w="70"/>
              <w:bottom w:type="dxa" w:w="40"/>
              <w:right w:type="dxa" w:w="70"/>
            </w:tcMar>
          </w:tcPr>
          <w:p>
            <w:pPr>
              <w:jc w:val="center"/>
            </w:pPr>
            <w:r>
              <w:rPr>
                <w:b w:val="false"/>
                <w:bCs w:val="false"/>
                <w:sz w:val="17"/>
                <w:szCs w:val="17"/>
              </w:rPr>
              <w:t xml:space="preserve">58 points (10,622 → 10,564)</w:t>
            </w:r>
          </w:p>
        </w:tc>
      </w:tr>
      <w:tr>
        <w:tc>
          <w:tcPr>
            <w:tcW w:type="dxa" w:w="2100"/>
            <w:tcMar>
              <w:top w:type="dxa" w:w="40"/>
              <w:left w:type="dxa" w:w="70"/>
              <w:bottom w:type="dxa" w:w="40"/>
              <w:right w:type="dxa" w:w="70"/>
            </w:tcMar>
          </w:tcPr>
          <w:p>
            <w:pPr>
              <w:jc w:val="left"/>
            </w:pPr>
            <w:r>
              <w:rPr>
                <w:b w:val="false"/>
                <w:bCs w:val="false"/>
                <w:sz w:val="17"/>
                <w:szCs w:val="17"/>
              </w:rPr>
              <w:t xml:space="preserve">TP1 (Unit 1)</w:t>
            </w:r>
          </w:p>
        </w:tc>
        <w:tc>
          <w:tcPr>
            <w:tcW w:type="dxa" w:w="7260"/>
            <w:tcMar>
              <w:top w:type="dxa" w:w="40"/>
              <w:left w:type="dxa" w:w="70"/>
              <w:bottom w:type="dxa" w:w="40"/>
              <w:right w:type="dxa" w:w="70"/>
            </w:tcMar>
          </w:tcPr>
          <w:p>
            <w:pPr>
              <w:jc w:val="center"/>
            </w:pPr>
            <w:r>
              <w:rPr>
                <w:b w:val="false"/>
                <w:bCs w:val="false"/>
                <w:sz w:val="17"/>
                <w:szCs w:val="17"/>
              </w:rPr>
              <w:t xml:space="preserve">P = 10,662 (+40 pts, ~0.7R)</w:t>
            </w:r>
          </w:p>
        </w:tc>
      </w:tr>
      <w:tr>
        <w:tc>
          <w:tcPr>
            <w:tcW w:type="dxa" w:w="2100"/>
            <w:shd w:fill="F2F4F8" w:color="auto" w:val="clear"/>
            <w:tcMar>
              <w:top w:type="dxa" w:w="40"/>
              <w:left w:type="dxa" w:w="70"/>
              <w:bottom w:type="dxa" w:w="40"/>
              <w:right w:type="dxa" w:w="70"/>
            </w:tcMar>
          </w:tcPr>
          <w:p>
            <w:pPr>
              <w:jc w:val="left"/>
            </w:pPr>
            <w:r>
              <w:rPr>
                <w:b w:val="false"/>
                <w:bCs w:val="false"/>
                <w:sz w:val="17"/>
                <w:szCs w:val="17"/>
              </w:rPr>
              <w:t xml:space="preserve">TP2 (Unit 2)</w:t>
            </w:r>
          </w:p>
        </w:tc>
        <w:tc>
          <w:tcPr>
            <w:tcW w:type="dxa" w:w="7260"/>
            <w:shd w:fill="F2F4F8" w:color="auto" w:val="clear"/>
            <w:tcMar>
              <w:top w:type="dxa" w:w="40"/>
              <w:left w:type="dxa" w:w="70"/>
              <w:bottom w:type="dxa" w:w="40"/>
              <w:right w:type="dxa" w:w="70"/>
            </w:tcMar>
          </w:tcPr>
          <w:p>
            <w:pPr>
              <w:jc w:val="center"/>
            </w:pPr>
            <w:r>
              <w:rPr>
                <w:b w:val="false"/>
                <w:bCs w:val="false"/>
                <w:sz w:val="17"/>
                <w:szCs w:val="17"/>
              </w:rPr>
              <w:t xml:space="preserve">R1 = 10,719 (+97 pts, ~1.7R)</w:t>
            </w:r>
          </w:p>
        </w:tc>
      </w:tr>
      <w:tr>
        <w:tc>
          <w:tcPr>
            <w:tcW w:type="dxa" w:w="2100"/>
            <w:tcMar>
              <w:top w:type="dxa" w:w="40"/>
              <w:left w:type="dxa" w:w="70"/>
              <w:bottom w:type="dxa" w:w="40"/>
              <w:right w:type="dxa" w:w="70"/>
            </w:tcMar>
          </w:tcPr>
          <w:p>
            <w:pPr>
              <w:jc w:val="left"/>
            </w:pPr>
            <w:r>
              <w:rPr>
                <w:b w:val="false"/>
                <w:bCs w:val="false"/>
                <w:sz w:val="17"/>
                <w:szCs w:val="17"/>
              </w:rPr>
              <w:t xml:space="preserve">TP3 (runner)</w:t>
            </w:r>
          </w:p>
        </w:tc>
        <w:tc>
          <w:tcPr>
            <w:tcW w:type="dxa" w:w="7260"/>
            <w:tcMar>
              <w:top w:type="dxa" w:w="40"/>
              <w:left w:type="dxa" w:w="70"/>
              <w:bottom w:type="dxa" w:w="40"/>
              <w:right w:type="dxa" w:w="70"/>
            </w:tcMar>
          </w:tcPr>
          <w:p>
            <w:pPr>
              <w:jc w:val="center"/>
            </w:pPr>
            <w:r>
              <w:rPr>
                <w:b w:val="false"/>
                <w:bCs w:val="false"/>
                <w:sz w:val="17"/>
                <w:szCs w:val="17"/>
              </w:rPr>
              <w:t xml:space="preserve">R2 = 10,759 then toward record; runner exit at pivot P re-cross rule</w:t>
            </w:r>
          </w:p>
        </w:tc>
      </w:tr>
      <w:tr>
        <w:tc>
          <w:tcPr>
            <w:tcW w:type="dxa" w:w="2100"/>
            <w:shd w:fill="F2F4F8" w:color="auto" w:val="clear"/>
            <w:tcMar>
              <w:top w:type="dxa" w:w="40"/>
              <w:left w:type="dxa" w:w="70"/>
              <w:bottom w:type="dxa" w:w="40"/>
              <w:right w:type="dxa" w:w="70"/>
            </w:tcMar>
          </w:tcPr>
          <w:p>
            <w:pPr>
              <w:jc w:val="left"/>
            </w:pPr>
            <w:r>
              <w:rPr>
                <w:b w:val="false"/>
                <w:bCs w:val="false"/>
                <w:sz w:val="17"/>
                <w:szCs w:val="17"/>
              </w:rPr>
              <w:t xml:space="preserve">Tranche mgmt</w:t>
            </w:r>
          </w:p>
        </w:tc>
        <w:tc>
          <w:tcPr>
            <w:tcW w:type="dxa" w:w="7260"/>
            <w:shd w:fill="F2F4F8" w:color="auto" w:val="clear"/>
            <w:tcMar>
              <w:top w:type="dxa" w:w="40"/>
              <w:left w:type="dxa" w:w="70"/>
              <w:bottom w:type="dxa" w:w="40"/>
              <w:right w:type="dxa" w:w="70"/>
            </w:tcMar>
          </w:tcPr>
          <w:p>
            <w:pPr>
              <w:jc w:val="center"/>
            </w:pPr>
            <w:r>
              <w:rPr>
                <w:b w:val="false"/>
                <w:bCs w:val="false"/>
                <w:sz w:val="17"/>
                <w:szCs w:val="17"/>
              </w:rPr>
              <w:t xml:space="preserve">3 equal units; standard BE+0.2R on U2 fill (U3 stop → 10,634)</w:t>
            </w:r>
          </w:p>
        </w:tc>
      </w:tr>
      <w:tr>
        <w:tc>
          <w:tcPr>
            <w:tcW w:type="dxa" w:w="2100"/>
            <w:tcMar>
              <w:top w:type="dxa" w:w="40"/>
              <w:left w:type="dxa" w:w="70"/>
              <w:bottom w:type="dxa" w:w="40"/>
              <w:right w:type="dxa" w:w="70"/>
            </w:tcMar>
          </w:tcPr>
          <w:p>
            <w:pPr>
              <w:jc w:val="left"/>
            </w:pPr>
            <w:r>
              <w:rPr>
                <w:b w:val="false"/>
                <w:bCs w:val="false"/>
                <w:sz w:val="17"/>
                <w:szCs w:val="17"/>
              </w:rPr>
              <w:t xml:space="preserve">Confluences</w:t>
            </w:r>
          </w:p>
        </w:tc>
        <w:tc>
          <w:tcPr>
            <w:tcW w:type="dxa" w:w="7260"/>
            <w:tcMar>
              <w:top w:type="dxa" w:w="40"/>
              <w:left w:type="dxa" w:w="70"/>
              <w:bottom w:type="dxa" w:w="40"/>
              <w:right w:type="dxa" w:w="70"/>
            </w:tcMar>
          </w:tcPr>
          <w:p>
            <w:pPr>
              <w:jc w:val="center"/>
            </w:pPr>
            <w:r>
              <w:rPr>
                <w:b w:val="false"/>
                <w:bCs w:val="false"/>
                <w:sz w:val="17"/>
                <w:szCs w:val="17"/>
              </w:rPr>
              <w:t xml:space="preserve">Entry at daily S1 (corroborated); stop at S2; targets at P/R1/R2</w:t>
            </w:r>
          </w:p>
        </w:tc>
      </w:tr>
      <w:tr>
        <w:tc>
          <w:tcPr>
            <w:tcW w:type="dxa" w:w="2100"/>
            <w:shd w:fill="F2F4F8" w:color="auto" w:val="clear"/>
            <w:tcMar>
              <w:top w:type="dxa" w:w="40"/>
              <w:left w:type="dxa" w:w="70"/>
              <w:bottom w:type="dxa" w:w="40"/>
              <w:right w:type="dxa" w:w="70"/>
            </w:tcMar>
          </w:tcPr>
          <w:p>
            <w:pPr>
              <w:jc w:val="left"/>
            </w:pPr>
            <w:r>
              <w:rPr>
                <w:b w:val="false"/>
                <w:bCs w:val="false"/>
                <w:sz w:val="17"/>
                <w:szCs w:val="17"/>
              </w:rPr>
              <w:t xml:space="preserve">Thesis invalidation</w:t>
            </w:r>
          </w:p>
        </w:tc>
        <w:tc>
          <w:tcPr>
            <w:tcW w:type="dxa" w:w="7260"/>
            <w:shd w:fill="F2F4F8" w:color="auto" w:val="clear"/>
            <w:tcMar>
              <w:top w:type="dxa" w:w="40"/>
              <w:left w:type="dxa" w:w="70"/>
              <w:bottom w:type="dxa" w:w="40"/>
              <w:right w:type="dxa" w:w="70"/>
            </w:tcMar>
          </w:tcPr>
          <w:p>
            <w:pPr>
              <w:jc w:val="center"/>
            </w:pPr>
            <w:r>
              <w:rPr>
                <w:b w:val="false"/>
                <w:bCs w:val="false"/>
                <w:sz w:val="17"/>
                <w:szCs w:val="17"/>
              </w:rPr>
              <w:t xml:space="preserve">Close below S2 (10,564) → range/downside shift</w:t>
            </w:r>
          </w:p>
        </w:tc>
      </w:tr>
      <w:tr>
        <w:tc>
          <w:tcPr>
            <w:tcW w:type="dxa" w:w="2100"/>
            <w:tcMar>
              <w:top w:type="dxa" w:w="40"/>
              <w:left w:type="dxa" w:w="70"/>
              <w:bottom w:type="dxa" w:w="40"/>
              <w:right w:type="dxa" w:w="70"/>
            </w:tcMar>
          </w:tcPr>
          <w:p>
            <w:pPr>
              <w:jc w:val="left"/>
            </w:pPr>
            <w:r>
              <w:rPr>
                <w:b w:val="false"/>
                <w:bCs w:val="false"/>
                <w:sz w:val="17"/>
                <w:szCs w:val="17"/>
              </w:rPr>
              <w:t xml:space="preserve">Caveats</w:t>
            </w:r>
          </w:p>
        </w:tc>
        <w:tc>
          <w:tcPr>
            <w:tcW w:type="dxa" w:w="7260"/>
            <w:tcMar>
              <w:top w:type="dxa" w:w="40"/>
              <w:left w:type="dxa" w:w="70"/>
              <w:bottom w:type="dxa" w:w="40"/>
              <w:right w:type="dxa" w:w="70"/>
            </w:tcMar>
          </w:tcPr>
          <w:p>
            <w:pPr>
              <w:jc w:val="center"/>
            </w:pPr>
            <w:r>
              <w:rPr>
                <w:b w:val="false"/>
                <w:bCs w:val="false"/>
                <w:sz w:val="17"/>
                <w:szCs w:val="17"/>
              </w:rPr>
              <w:t xml:space="preserve">Daily pivots corroborated; weekly/monthly pivots single-source indicative (not used for entry)</w:t>
            </w:r>
          </w:p>
        </w:tc>
      </w:tr>
    </w:tbl>
    <w:p>
      <w:pPr>
        <w:spacing w:after="100"/>
      </w:pPr>
      <w:r>
        <w:rPr>
          <w:b/>
          <w:bCs/>
          <w:color w:val="AD1457"/>
          <w:sz w:val="20"/>
          <w:szCs w:val="20"/>
        </w:rPr>
        <w:t xml:space="preserve">Trade 3A — Momentum-Pullback (TREND_UP variant)</w:t>
      </w:r>
    </w:p>
    <w:tbl>
      <w:tblPr>
        <w:tblW w:type="dxa" w:w="9360"/>
        <w:tblBorders>
          <w:top w:val="single" w:color="C0C7D0" w:sz="2"/>
          <w:left w:val="single" w:color="C0C7D0" w:sz="2"/>
          <w:bottom w:val="single" w:color="C0C7D0" w:sz="2"/>
          <w:right w:val="single" w:color="C0C7D0" w:sz="2"/>
          <w:insideH w:val="single" w:color="C0C7D0" w:sz="2"/>
          <w:insideV w:val="single" w:color="C0C7D0" w:sz="2"/>
        </w:tblBorders>
      </w:tblPr>
      <w:tblGrid>
        <w:gridCol w:w="2100"/>
        <w:gridCol w:w="7260"/>
      </w:tblGrid>
      <w:tr>
        <w:trPr>
          <w:tblHeader/>
        </w:trPr>
        <w:tc>
          <w:tcPr>
            <w:tcW w:type="dxa" w:w="2100"/>
            <w:shd w:fill="1F3864" w:color="auto" w:val="clear"/>
            <w:tcMar>
              <w:top w:type="dxa" w:w="40"/>
              <w:left w:type="dxa" w:w="70"/>
              <w:bottom w:type="dxa" w:w="40"/>
              <w:right w:type="dxa" w:w="70"/>
            </w:tcMar>
          </w:tcPr>
          <w:p>
            <w:pPr>
              <w:jc w:val="center"/>
            </w:pPr>
            <w:r>
              <w:rPr>
                <w:b/>
                <w:bCs/>
                <w:color w:val="FFFFFF"/>
                <w:sz w:val="17"/>
                <w:szCs w:val="17"/>
              </w:rPr>
              <w:t xml:space="preserve">Field</w:t>
            </w:r>
          </w:p>
        </w:tc>
        <w:tc>
          <w:tcPr>
            <w:tcW w:type="dxa" w:w="7260"/>
            <w:shd w:fill="1F3864" w:color="auto" w:val="clear"/>
            <w:tcMar>
              <w:top w:type="dxa" w:w="40"/>
              <w:left w:type="dxa" w:w="70"/>
              <w:bottom w:type="dxa" w:w="40"/>
              <w:right w:type="dxa" w:w="70"/>
            </w:tcMar>
          </w:tcPr>
          <w:p>
            <w:pPr>
              <w:jc w:val="center"/>
            </w:pPr>
            <w:r>
              <w:rPr>
                <w:b/>
                <w:bCs/>
                <w:color w:val="FFFFFF"/>
                <w:sz w:val="17"/>
                <w:szCs w:val="17"/>
              </w:rPr>
              <w:t xml:space="preserve">Value (price · points)</w:t>
            </w:r>
          </w:p>
        </w:tc>
      </w:tr>
      <w:tr>
        <w:tc>
          <w:tcPr>
            <w:tcW w:type="dxa" w:w="2100"/>
            <w:tcMar>
              <w:top w:type="dxa" w:w="40"/>
              <w:left w:type="dxa" w:w="70"/>
              <w:bottom w:type="dxa" w:w="40"/>
              <w:right w:type="dxa" w:w="70"/>
            </w:tcMar>
          </w:tcPr>
          <w:p>
            <w:pPr>
              <w:jc w:val="left"/>
            </w:pPr>
            <w:r>
              <w:rPr>
                <w:b w:val="false"/>
                <w:bCs w:val="false"/>
                <w:sz w:val="17"/>
                <w:szCs w:val="17"/>
              </w:rPr>
              <w:t xml:space="preserve">Direction</w:t>
            </w:r>
          </w:p>
        </w:tc>
        <w:tc>
          <w:tcPr>
            <w:tcW w:type="dxa" w:w="7260"/>
            <w:tcMar>
              <w:top w:type="dxa" w:w="40"/>
              <w:left w:type="dxa" w:w="70"/>
              <w:bottom w:type="dxa" w:w="40"/>
              <w:right w:type="dxa" w:w="70"/>
            </w:tcMar>
          </w:tcPr>
          <w:p>
            <w:pPr>
              <w:jc w:val="center"/>
            </w:pPr>
            <w:r>
              <w:rPr>
                <w:b w:val="false"/>
                <w:bCs w:val="false"/>
                <w:sz w:val="17"/>
                <w:szCs w:val="17"/>
              </w:rPr>
              <w:t xml:space="preserve">LONG — momentum pullback into the rising trend</w:t>
            </w:r>
          </w:p>
        </w:tc>
      </w:tr>
      <w:tr>
        <w:tc>
          <w:tcPr>
            <w:tcW w:type="dxa" w:w="2100"/>
            <w:shd w:fill="F2F4F8" w:color="auto" w:val="clear"/>
            <w:tcMar>
              <w:top w:type="dxa" w:w="40"/>
              <w:left w:type="dxa" w:w="70"/>
              <w:bottom w:type="dxa" w:w="40"/>
              <w:right w:type="dxa" w:w="70"/>
            </w:tcMar>
          </w:tcPr>
          <w:p>
            <w:pPr>
              <w:jc w:val="left"/>
            </w:pPr>
            <w:r>
              <w:rPr>
                <w:b w:val="false"/>
                <w:bCs w:val="false"/>
                <w:sz w:val="17"/>
                <w:szCs w:val="17"/>
              </w:rPr>
              <w:t xml:space="preserve">Entry</w:t>
            </w:r>
          </w:p>
        </w:tc>
        <w:tc>
          <w:tcPr>
            <w:tcW w:type="dxa" w:w="7260"/>
            <w:shd w:fill="F2F4F8" w:color="auto" w:val="clear"/>
            <w:tcMar>
              <w:top w:type="dxa" w:w="40"/>
              <w:left w:type="dxa" w:w="70"/>
              <w:bottom w:type="dxa" w:w="40"/>
              <w:right w:type="dxa" w:w="70"/>
            </w:tcMar>
          </w:tcPr>
          <w:p>
            <w:pPr>
              <w:jc w:val="center"/>
            </w:pPr>
            <w:r>
              <w:rPr>
                <w:b w:val="false"/>
                <w:bCs w:val="false"/>
                <w:sz w:val="17"/>
                <w:szCs w:val="17"/>
              </w:rPr>
              <w:t xml:space="preserve">Buy limit at the 38.2% retrace of the 2–3-Jul up-leg ≈ 10,664 (near P)</w:t>
            </w:r>
          </w:p>
        </w:tc>
      </w:tr>
      <w:tr>
        <w:tc>
          <w:tcPr>
            <w:tcW w:type="dxa" w:w="2100"/>
            <w:tcMar>
              <w:top w:type="dxa" w:w="40"/>
              <w:left w:type="dxa" w:w="70"/>
              <w:bottom w:type="dxa" w:w="40"/>
              <w:right w:type="dxa" w:w="70"/>
            </w:tcMar>
          </w:tcPr>
          <w:p>
            <w:pPr>
              <w:jc w:val="left"/>
            </w:pPr>
            <w:r>
              <w:rPr>
                <w:b w:val="false"/>
                <w:bCs w:val="false"/>
                <w:sz w:val="17"/>
                <w:szCs w:val="17"/>
              </w:rPr>
              <w:t xml:space="preserve">Stop loss</w:t>
            </w:r>
          </w:p>
        </w:tc>
        <w:tc>
          <w:tcPr>
            <w:tcW w:type="dxa" w:w="7260"/>
            <w:tcMar>
              <w:top w:type="dxa" w:w="40"/>
              <w:left w:type="dxa" w:w="70"/>
              <w:bottom w:type="dxa" w:w="40"/>
              <w:right w:type="dxa" w:w="70"/>
            </w:tcMar>
          </w:tcPr>
          <w:p>
            <w:pPr>
              <w:jc w:val="center"/>
            </w:pPr>
            <w:r>
              <w:rPr>
                <w:b w:val="false"/>
                <w:bCs w:val="false"/>
                <w:sz w:val="17"/>
                <w:szCs w:val="17"/>
              </w:rPr>
              <w:t xml:space="preserve">10,604 — 60 points below entry; anchor = 3-Jul swing low</w:t>
            </w:r>
          </w:p>
        </w:tc>
      </w:tr>
      <w:tr>
        <w:tc>
          <w:tcPr>
            <w:tcW w:type="dxa" w:w="2100"/>
            <w:shd w:fill="F2F4F8" w:color="auto" w:val="clear"/>
            <w:tcMar>
              <w:top w:type="dxa" w:w="40"/>
              <w:left w:type="dxa" w:w="70"/>
              <w:bottom w:type="dxa" w:w="40"/>
              <w:right w:type="dxa" w:w="70"/>
            </w:tcMar>
          </w:tcPr>
          <w:p>
            <w:pPr>
              <w:jc w:val="left"/>
            </w:pPr>
            <w:r>
              <w:rPr>
                <w:b w:val="false"/>
                <w:bCs w:val="false"/>
                <w:sz w:val="17"/>
                <w:szCs w:val="17"/>
              </w:rPr>
              <w:t xml:space="preserve">Risk (R)</w:t>
            </w:r>
          </w:p>
        </w:tc>
        <w:tc>
          <w:tcPr>
            <w:tcW w:type="dxa" w:w="7260"/>
            <w:shd w:fill="F2F4F8" w:color="auto" w:val="clear"/>
            <w:tcMar>
              <w:top w:type="dxa" w:w="40"/>
              <w:left w:type="dxa" w:w="70"/>
              <w:bottom w:type="dxa" w:w="40"/>
              <w:right w:type="dxa" w:w="70"/>
            </w:tcMar>
          </w:tcPr>
          <w:p>
            <w:pPr>
              <w:jc w:val="center"/>
            </w:pPr>
            <w:r>
              <w:rPr>
                <w:b w:val="false"/>
                <w:bCs w:val="false"/>
                <w:sz w:val="17"/>
                <w:szCs w:val="17"/>
              </w:rPr>
              <w:t xml:space="preserve">60 points (10,664 → 10,604)</w:t>
            </w:r>
          </w:p>
        </w:tc>
      </w:tr>
      <w:tr>
        <w:tc>
          <w:tcPr>
            <w:tcW w:type="dxa" w:w="2100"/>
            <w:tcMar>
              <w:top w:type="dxa" w:w="40"/>
              <w:left w:type="dxa" w:w="70"/>
              <w:bottom w:type="dxa" w:w="40"/>
              <w:right w:type="dxa" w:w="70"/>
            </w:tcMar>
          </w:tcPr>
          <w:p>
            <w:pPr>
              <w:jc w:val="left"/>
            </w:pPr>
            <w:r>
              <w:rPr>
                <w:b w:val="false"/>
                <w:bCs w:val="false"/>
                <w:sz w:val="17"/>
                <w:szCs w:val="17"/>
              </w:rPr>
              <w:t xml:space="preserve">TP1 (Unit 1)</w:t>
            </w:r>
          </w:p>
        </w:tc>
        <w:tc>
          <w:tcPr>
            <w:tcW w:type="dxa" w:w="7260"/>
            <w:tcMar>
              <w:top w:type="dxa" w:w="40"/>
              <w:left w:type="dxa" w:w="70"/>
              <w:bottom w:type="dxa" w:w="40"/>
              <w:right w:type="dxa" w:w="70"/>
            </w:tcMar>
          </w:tcPr>
          <w:p>
            <w:pPr>
              <w:jc w:val="center"/>
            </w:pPr>
            <w:r>
              <w:rPr>
                <w:b w:val="false"/>
                <w:bCs w:val="false"/>
                <w:sz w:val="17"/>
                <w:szCs w:val="17"/>
              </w:rPr>
              <w:t xml:space="preserve">38.2% target / +1R = 10,724</w:t>
            </w:r>
          </w:p>
        </w:tc>
      </w:tr>
      <w:tr>
        <w:tc>
          <w:tcPr>
            <w:tcW w:type="dxa" w:w="2100"/>
            <w:shd w:fill="F2F4F8" w:color="auto" w:val="clear"/>
            <w:tcMar>
              <w:top w:type="dxa" w:w="40"/>
              <w:left w:type="dxa" w:w="70"/>
              <w:bottom w:type="dxa" w:w="40"/>
              <w:right w:type="dxa" w:w="70"/>
            </w:tcMar>
          </w:tcPr>
          <w:p>
            <w:pPr>
              <w:jc w:val="left"/>
            </w:pPr>
            <w:r>
              <w:rPr>
                <w:b w:val="false"/>
                <w:bCs w:val="false"/>
                <w:sz w:val="17"/>
                <w:szCs w:val="17"/>
              </w:rPr>
              <w:t xml:space="preserve">TP2 (Unit 2)</w:t>
            </w:r>
          </w:p>
        </w:tc>
        <w:tc>
          <w:tcPr>
            <w:tcW w:type="dxa" w:w="7260"/>
            <w:shd w:fill="F2F4F8" w:color="auto" w:val="clear"/>
            <w:tcMar>
              <w:top w:type="dxa" w:w="40"/>
              <w:left w:type="dxa" w:w="70"/>
              <w:bottom w:type="dxa" w:w="40"/>
              <w:right w:type="dxa" w:w="70"/>
            </w:tcMar>
          </w:tcPr>
          <w:p>
            <w:pPr>
              <w:jc w:val="center"/>
            </w:pPr>
            <w:r>
              <w:rPr>
                <w:b w:val="false"/>
                <w:bCs w:val="false"/>
                <w:sz w:val="17"/>
                <w:szCs w:val="17"/>
              </w:rPr>
              <w:t xml:space="preserve">window high 10,701→ range mid / +2R = 10,784</w:t>
            </w:r>
          </w:p>
        </w:tc>
      </w:tr>
      <w:tr>
        <w:tc>
          <w:tcPr>
            <w:tcW w:type="dxa" w:w="2100"/>
            <w:tcMar>
              <w:top w:type="dxa" w:w="40"/>
              <w:left w:type="dxa" w:w="70"/>
              <w:bottom w:type="dxa" w:w="40"/>
              <w:right w:type="dxa" w:w="70"/>
            </w:tcMar>
          </w:tcPr>
          <w:p>
            <w:pPr>
              <w:jc w:val="left"/>
            </w:pPr>
            <w:r>
              <w:rPr>
                <w:b w:val="false"/>
                <w:bCs w:val="false"/>
                <w:sz w:val="17"/>
                <w:szCs w:val="17"/>
              </w:rPr>
              <w:t xml:space="preserve">TP3 (runner)</w:t>
            </w:r>
          </w:p>
        </w:tc>
        <w:tc>
          <w:tcPr>
            <w:tcW w:type="dxa" w:w="7260"/>
            <w:tcMar>
              <w:top w:type="dxa" w:w="40"/>
              <w:left w:type="dxa" w:w="70"/>
              <w:bottom w:type="dxa" w:w="40"/>
              <w:right w:type="dxa" w:w="70"/>
            </w:tcMar>
          </w:tcPr>
          <w:p>
            <w:pPr>
              <w:jc w:val="center"/>
            </w:pPr>
            <w:r>
              <w:rPr>
                <w:b w:val="false"/>
                <w:bCs w:val="false"/>
                <w:sz w:val="17"/>
                <w:szCs w:val="17"/>
              </w:rPr>
              <w:t xml:space="preserve">100%+ extension toward the 10,935 record; SL → halfway entry↔0% anchor on extension break</w:t>
            </w:r>
          </w:p>
        </w:tc>
      </w:tr>
      <w:tr>
        <w:tc>
          <w:tcPr>
            <w:tcW w:type="dxa" w:w="2100"/>
            <w:shd w:fill="F2F4F8" w:color="auto" w:val="clear"/>
            <w:tcMar>
              <w:top w:type="dxa" w:w="40"/>
              <w:left w:type="dxa" w:w="70"/>
              <w:bottom w:type="dxa" w:w="40"/>
              <w:right w:type="dxa" w:w="70"/>
            </w:tcMar>
          </w:tcPr>
          <w:p>
            <w:pPr>
              <w:jc w:val="left"/>
            </w:pPr>
            <w:r>
              <w:rPr>
                <w:b w:val="false"/>
                <w:bCs w:val="false"/>
                <w:sz w:val="17"/>
                <w:szCs w:val="17"/>
              </w:rPr>
              <w:t xml:space="preserve">Tranche mgmt</w:t>
            </w:r>
          </w:p>
        </w:tc>
        <w:tc>
          <w:tcPr>
            <w:tcW w:type="dxa" w:w="7260"/>
            <w:shd w:fill="F2F4F8" w:color="auto" w:val="clear"/>
            <w:tcMar>
              <w:top w:type="dxa" w:w="40"/>
              <w:left w:type="dxa" w:w="70"/>
              <w:bottom w:type="dxa" w:w="40"/>
              <w:right w:type="dxa" w:w="70"/>
            </w:tcMar>
          </w:tcPr>
          <w:p>
            <w:pPr>
              <w:jc w:val="center"/>
            </w:pPr>
            <w:r>
              <w:rPr>
                <w:b w:val="false"/>
                <w:bCs w:val="false"/>
                <w:sz w:val="17"/>
                <w:szCs w:val="17"/>
              </w:rPr>
              <w:t xml:space="preserve">3 equal units; structural runner override on 100%-extension break</w:t>
            </w:r>
          </w:p>
        </w:tc>
      </w:tr>
      <w:tr>
        <w:tc>
          <w:tcPr>
            <w:tcW w:type="dxa" w:w="2100"/>
            <w:tcMar>
              <w:top w:type="dxa" w:w="40"/>
              <w:left w:type="dxa" w:w="70"/>
              <w:bottom w:type="dxa" w:w="40"/>
              <w:right w:type="dxa" w:w="70"/>
            </w:tcMar>
          </w:tcPr>
          <w:p>
            <w:pPr>
              <w:jc w:val="left"/>
            </w:pPr>
            <w:r>
              <w:rPr>
                <w:b w:val="false"/>
                <w:bCs w:val="false"/>
                <w:sz w:val="17"/>
                <w:szCs w:val="17"/>
              </w:rPr>
              <w:t xml:space="preserve">Confluences</w:t>
            </w:r>
          </w:p>
        </w:tc>
        <w:tc>
          <w:tcPr>
            <w:tcW w:type="dxa" w:w="7260"/>
            <w:tcMar>
              <w:top w:type="dxa" w:w="40"/>
              <w:left w:type="dxa" w:w="70"/>
              <w:bottom w:type="dxa" w:w="40"/>
              <w:right w:type="dxa" w:w="70"/>
            </w:tcMar>
          </w:tcPr>
          <w:p>
            <w:pPr>
              <w:jc w:val="center"/>
            </w:pPr>
            <w:r>
              <w:rPr>
                <w:b w:val="false"/>
                <w:bCs w:val="false"/>
                <w:sz w:val="17"/>
                <w:szCs w:val="17"/>
              </w:rPr>
              <w:t xml:space="preserve">Entry at 38.2% fib + daily P confluence (strong); stop at swing low</w:t>
            </w:r>
          </w:p>
        </w:tc>
      </w:tr>
      <w:tr>
        <w:tc>
          <w:tcPr>
            <w:tcW w:type="dxa" w:w="2100"/>
            <w:shd w:fill="F2F4F8" w:color="auto" w:val="clear"/>
            <w:tcMar>
              <w:top w:type="dxa" w:w="40"/>
              <w:left w:type="dxa" w:w="70"/>
              <w:bottom w:type="dxa" w:w="40"/>
              <w:right w:type="dxa" w:w="70"/>
            </w:tcMar>
          </w:tcPr>
          <w:p>
            <w:pPr>
              <w:jc w:val="left"/>
            </w:pPr>
            <w:r>
              <w:rPr>
                <w:b w:val="false"/>
                <w:bCs w:val="false"/>
                <w:sz w:val="17"/>
                <w:szCs w:val="17"/>
              </w:rPr>
              <w:t xml:space="preserve">Thesis invalidation</w:t>
            </w:r>
          </w:p>
        </w:tc>
        <w:tc>
          <w:tcPr>
            <w:tcW w:type="dxa" w:w="7260"/>
            <w:shd w:fill="F2F4F8" w:color="auto" w:val="clear"/>
            <w:tcMar>
              <w:top w:type="dxa" w:w="40"/>
              <w:left w:type="dxa" w:w="70"/>
              <w:bottom w:type="dxa" w:w="40"/>
              <w:right w:type="dxa" w:w="70"/>
            </w:tcMar>
          </w:tcPr>
          <w:p>
            <w:pPr>
              <w:jc w:val="center"/>
            </w:pPr>
            <w:r>
              <w:rPr>
                <w:b w:val="false"/>
                <w:bCs w:val="false"/>
                <w:sz w:val="17"/>
                <w:szCs w:val="17"/>
              </w:rPr>
              <w:t xml:space="preserve">Close below the 3-Jul low (10,604) breaks the momentum-pullback thesis</w:t>
            </w:r>
          </w:p>
        </w:tc>
      </w:tr>
      <w:tr>
        <w:tc>
          <w:tcPr>
            <w:tcW w:type="dxa" w:w="2100"/>
            <w:tcMar>
              <w:top w:type="dxa" w:w="40"/>
              <w:left w:type="dxa" w:w="70"/>
              <w:bottom w:type="dxa" w:w="40"/>
              <w:right w:type="dxa" w:w="70"/>
            </w:tcMar>
          </w:tcPr>
          <w:p>
            <w:pPr>
              <w:jc w:val="left"/>
            </w:pPr>
            <w:r>
              <w:rPr>
                <w:b w:val="false"/>
                <w:bCs w:val="false"/>
                <w:sz w:val="17"/>
                <w:szCs w:val="17"/>
              </w:rPr>
              <w:t xml:space="preserve">Caveats</w:t>
            </w:r>
          </w:p>
        </w:tc>
        <w:tc>
          <w:tcPr>
            <w:tcW w:type="dxa" w:w="7260"/>
            <w:tcMar>
              <w:top w:type="dxa" w:w="40"/>
              <w:left w:type="dxa" w:w="70"/>
              <w:bottom w:type="dxa" w:w="40"/>
              <w:right w:type="dxa" w:w="70"/>
            </w:tcMar>
          </w:tcPr>
          <w:p>
            <w:pPr>
              <w:jc w:val="center"/>
            </w:pPr>
            <w:r>
              <w:rPr>
                <w:b w:val="false"/>
                <w:bCs w:val="false"/>
                <w:sz w:val="17"/>
                <w:szCs w:val="17"/>
              </w:rPr>
              <w:t xml:space="preserve">Fib swing magnitude near 2×ATR threshold; adaptive lookback applied; cross-asset MIXED</w:t>
            </w:r>
          </w:p>
        </w:tc>
      </w:tr>
    </w:tbl>
    <w:p>
      <w:pPr>
        <w:spacing w:after="100"/>
      </w:pPr>
      <w:r>
        <w:rPr>
          <w:b/>
          <w:bCs/>
          <w:sz w:val="20"/>
          <w:szCs w:val="20"/>
        </w:rPr>
        <w:t xml:space="preserve">21c · 5-Session No-Leakage Backtest</w:t>
      </w:r>
    </w:p>
    <w:tbl>
      <w:tblPr>
        <w:tblW w:type="dxa" w:w="9358"/>
        <w:tblBorders>
          <w:top w:val="single" w:color="C0C7D0" w:sz="2"/>
          <w:left w:val="single" w:color="C0C7D0" w:sz="2"/>
          <w:bottom w:val="single" w:color="C0C7D0" w:sz="2"/>
          <w:right w:val="single" w:color="C0C7D0" w:sz="2"/>
          <w:insideH w:val="single" w:color="C0C7D0" w:sz="2"/>
          <w:insideV w:val="single" w:color="C0C7D0" w:sz="2"/>
        </w:tblBorders>
      </w:tblPr>
      <w:tblGrid>
        <w:gridCol w:w="1650"/>
        <w:gridCol w:w="1900"/>
        <w:gridCol w:w="700"/>
        <w:gridCol w:w="750"/>
        <w:gridCol w:w="1900"/>
        <w:gridCol w:w="1650"/>
        <w:gridCol w:w="808"/>
      </w:tblGrid>
      <w:tr>
        <w:trPr>
          <w:tblHeader/>
        </w:trPr>
        <w:tc>
          <w:tcPr>
            <w:tcW w:type="dxa" w:w="1650"/>
            <w:shd w:fill="1F3864" w:color="auto" w:val="clear"/>
            <w:tcMar>
              <w:top w:type="dxa" w:w="40"/>
              <w:left w:type="dxa" w:w="70"/>
              <w:bottom w:type="dxa" w:w="40"/>
              <w:right w:type="dxa" w:w="70"/>
            </w:tcMar>
          </w:tcPr>
          <w:p>
            <w:pPr>
              <w:jc w:val="center"/>
            </w:pPr>
            <w:r>
              <w:rPr>
                <w:b/>
                <w:bCs/>
                <w:color w:val="FFFFFF"/>
                <w:sz w:val="17"/>
                <w:szCs w:val="17"/>
              </w:rPr>
              <w:t xml:space="preserve">Date (t−N)</w:t>
            </w:r>
          </w:p>
        </w:tc>
        <w:tc>
          <w:tcPr>
            <w:tcW w:type="dxa" w:w="1900"/>
            <w:shd w:fill="1F3864" w:color="auto" w:val="clear"/>
            <w:tcMar>
              <w:top w:type="dxa" w:w="40"/>
              <w:left w:type="dxa" w:w="70"/>
              <w:bottom w:type="dxa" w:w="40"/>
              <w:right w:type="dxa" w:w="70"/>
            </w:tcMar>
          </w:tcPr>
          <w:p>
            <w:pPr>
              <w:jc w:val="center"/>
            </w:pPr>
            <w:r>
              <w:rPr>
                <w:b/>
                <w:bCs/>
                <w:color w:val="FFFFFF"/>
                <w:sz w:val="17"/>
                <w:szCs w:val="17"/>
              </w:rPr>
              <w:t xml:space="preserve">Strategy</w:t>
            </w:r>
          </w:p>
        </w:tc>
        <w:tc>
          <w:tcPr>
            <w:tcW w:type="dxa" w:w="700"/>
            <w:shd w:fill="1F3864" w:color="auto" w:val="clear"/>
            <w:tcMar>
              <w:top w:type="dxa" w:w="40"/>
              <w:left w:type="dxa" w:w="70"/>
              <w:bottom w:type="dxa" w:w="40"/>
              <w:right w:type="dxa" w:w="70"/>
            </w:tcMar>
          </w:tcPr>
          <w:p>
            <w:pPr>
              <w:jc w:val="center"/>
            </w:pPr>
            <w:r>
              <w:rPr>
                <w:b/>
                <w:bCs/>
                <w:color w:val="FFFFFF"/>
                <w:sz w:val="17"/>
                <w:szCs w:val="17"/>
              </w:rPr>
              <w:t xml:space="preserve">Dir.</w:t>
            </w:r>
          </w:p>
        </w:tc>
        <w:tc>
          <w:tcPr>
            <w:tcW w:type="dxa" w:w="750"/>
            <w:shd w:fill="1F3864" w:color="auto" w:val="clear"/>
            <w:tcMar>
              <w:top w:type="dxa" w:w="40"/>
              <w:left w:type="dxa" w:w="70"/>
              <w:bottom w:type="dxa" w:w="40"/>
              <w:right w:type="dxa" w:w="70"/>
            </w:tcMar>
          </w:tcPr>
          <w:p>
            <w:pPr>
              <w:jc w:val="center"/>
            </w:pPr>
            <w:r>
              <w:rPr>
                <w:b/>
                <w:bCs/>
                <w:color w:val="FFFFFF"/>
                <w:sz w:val="17"/>
                <w:szCs w:val="17"/>
              </w:rPr>
              <w:t xml:space="preserve">Trig.</w:t>
            </w:r>
          </w:p>
        </w:tc>
        <w:tc>
          <w:tcPr>
            <w:tcW w:type="dxa" w:w="1900"/>
            <w:shd w:fill="1F3864" w:color="auto" w:val="clear"/>
            <w:tcMar>
              <w:top w:type="dxa" w:w="40"/>
              <w:left w:type="dxa" w:w="70"/>
              <w:bottom w:type="dxa" w:w="40"/>
              <w:right w:type="dxa" w:w="70"/>
            </w:tcMar>
          </w:tcPr>
          <w:p>
            <w:pPr>
              <w:jc w:val="center"/>
            </w:pPr>
            <w:r>
              <w:rPr>
                <w:b/>
                <w:bCs/>
                <w:color w:val="FFFFFF"/>
                <w:sz w:val="17"/>
                <w:szCs w:val="17"/>
              </w:rPr>
              <w:t xml:space="preserve">Entry→Exit</w:t>
            </w:r>
          </w:p>
        </w:tc>
        <w:tc>
          <w:tcPr>
            <w:tcW w:type="dxa" w:w="1650"/>
            <w:shd w:fill="1F3864" w:color="auto" w:val="clear"/>
            <w:tcMar>
              <w:top w:type="dxa" w:w="40"/>
              <w:left w:type="dxa" w:w="70"/>
              <w:bottom w:type="dxa" w:w="40"/>
              <w:right w:type="dxa" w:w="70"/>
            </w:tcMar>
          </w:tcPr>
          <w:p>
            <w:pPr>
              <w:jc w:val="center"/>
            </w:pPr>
            <w:r>
              <w:rPr>
                <w:b/>
                <w:bCs/>
                <w:color w:val="FFFFFF"/>
                <w:sz w:val="17"/>
                <w:szCs w:val="17"/>
              </w:rPr>
              <w:t xml:space="preserve">Outcome (R)</w:t>
            </w:r>
          </w:p>
        </w:tc>
        <w:tc>
          <w:tcPr>
            <w:tcW w:type="dxa" w:w="808"/>
            <w:shd w:fill="1F3864" w:color="auto" w:val="clear"/>
            <w:tcMar>
              <w:top w:type="dxa" w:w="40"/>
              <w:left w:type="dxa" w:w="70"/>
              <w:bottom w:type="dxa" w:w="40"/>
              <w:right w:type="dxa" w:w="70"/>
            </w:tcMar>
          </w:tcPr>
          <w:p>
            <w:pPr>
              <w:jc w:val="center"/>
            </w:pPr>
            <w:r>
              <w:rPr>
                <w:b/>
                <w:bCs/>
                <w:color w:val="FFFFFF"/>
                <w:sz w:val="17"/>
                <w:szCs w:val="17"/>
              </w:rPr>
              <w:t xml:space="preserve">Days</w:t>
            </w:r>
          </w:p>
        </w:tc>
      </w:tr>
      <w:tr>
        <w:tc>
          <w:tcPr>
            <w:tcW w:type="dxa" w:w="1650"/>
            <w:tcMar>
              <w:top w:type="dxa" w:w="40"/>
              <w:left w:type="dxa" w:w="70"/>
              <w:bottom w:type="dxa" w:w="40"/>
              <w:right w:type="dxa" w:w="70"/>
            </w:tcMar>
          </w:tcPr>
          <w:p>
            <w:pPr>
              <w:jc w:val="left"/>
            </w:pPr>
            <w:r>
              <w:rPr>
                <w:b w:val="false"/>
                <w:bCs w:val="false"/>
                <w:sz w:val="17"/>
                <w:szCs w:val="17"/>
              </w:rPr>
              <w:t xml:space="preserve">Mon 29 Jun (t−5)</w:t>
            </w:r>
          </w:p>
        </w:tc>
        <w:tc>
          <w:tcPr>
            <w:tcW w:type="dxa" w:w="1900"/>
            <w:tcMar>
              <w:top w:type="dxa" w:w="40"/>
              <w:left w:type="dxa" w:w="70"/>
              <w:bottom w:type="dxa" w:w="40"/>
              <w:right w:type="dxa" w:w="70"/>
            </w:tcMar>
          </w:tcPr>
          <w:p>
            <w:pPr>
              <w:jc w:val="center"/>
            </w:pPr>
            <w:r>
              <w:rPr>
                <w:b w:val="false"/>
                <w:bCs w:val="false"/>
                <w:sz w:val="17"/>
                <w:szCs w:val="17"/>
              </w:rPr>
              <w:t xml:space="preserve">Trade 1</w:t>
            </w:r>
          </w:p>
        </w:tc>
        <w:tc>
          <w:tcPr>
            <w:tcW w:type="dxa" w:w="700"/>
            <w:tcMar>
              <w:top w:type="dxa" w:w="40"/>
              <w:left w:type="dxa" w:w="70"/>
              <w:bottom w:type="dxa" w:w="40"/>
              <w:right w:type="dxa" w:w="70"/>
            </w:tcMar>
          </w:tcPr>
          <w:p>
            <w:pPr>
              <w:jc w:val="center"/>
            </w:pPr>
            <w:r>
              <w:rPr>
                <w:b w:val="false"/>
                <w:bCs w:val="false"/>
                <w:sz w:val="17"/>
                <w:szCs w:val="17"/>
              </w:rPr>
              <w:t xml:space="preserve">LONG</w:t>
            </w:r>
          </w:p>
        </w:tc>
        <w:tc>
          <w:tcPr>
            <w:tcW w:type="dxa" w:w="750"/>
            <w:tcMar>
              <w:top w:type="dxa" w:w="40"/>
              <w:left w:type="dxa" w:w="70"/>
              <w:bottom w:type="dxa" w:w="40"/>
              <w:right w:type="dxa" w:w="70"/>
            </w:tcMar>
          </w:tcPr>
          <w:p>
            <w:pPr>
              <w:jc w:val="center"/>
            </w:pPr>
            <w:r>
              <w:rPr>
                <w:b w:val="false"/>
                <w:bCs w:val="false"/>
                <w:sz w:val="17"/>
                <w:szCs w:val="17"/>
              </w:rPr>
              <w:t xml:space="preserve">YES</w:t>
            </w:r>
          </w:p>
        </w:tc>
        <w:tc>
          <w:tcPr>
            <w:tcW w:type="dxa" w:w="1900"/>
            <w:tcMar>
              <w:top w:type="dxa" w:w="40"/>
              <w:left w:type="dxa" w:w="70"/>
              <w:bottom w:type="dxa" w:w="40"/>
              <w:right w:type="dxa" w:w="70"/>
            </w:tcMar>
          </w:tcPr>
          <w:p>
            <w:pPr>
              <w:jc w:val="center"/>
            </w:pPr>
            <w:r>
              <w:rPr>
                <w:b w:val="false"/>
                <w:bCs w:val="false"/>
                <w:sz w:val="17"/>
                <w:szCs w:val="17"/>
              </w:rPr>
              <w:t xml:space="preserve">10,484→10,537</w:t>
            </w:r>
          </w:p>
        </w:tc>
        <w:tc>
          <w:tcPr>
            <w:tcW w:type="dxa" w:w="1650"/>
            <w:tcMar>
              <w:top w:type="dxa" w:w="40"/>
              <w:left w:type="dxa" w:w="70"/>
              <w:bottom w:type="dxa" w:w="40"/>
              <w:right w:type="dxa" w:w="70"/>
            </w:tcMar>
          </w:tcPr>
          <w:p>
            <w:pPr>
              <w:jc w:val="center"/>
            </w:pPr>
            <w:r>
              <w:rPr>
                <w:b w:val="false"/>
                <w:bCs w:val="false"/>
                <w:sz w:val="17"/>
                <w:szCs w:val="17"/>
              </w:rPr>
              <w:t xml:space="preserve">+0.6R (open→close up)</w:t>
            </w:r>
          </w:p>
        </w:tc>
        <w:tc>
          <w:tcPr>
            <w:tcW w:type="dxa" w:w="808"/>
            <w:tcMar>
              <w:top w:type="dxa" w:w="40"/>
              <w:left w:type="dxa" w:w="70"/>
              <w:bottom w:type="dxa" w:w="40"/>
              <w:right w:type="dxa" w:w="70"/>
            </w:tcMar>
          </w:tcPr>
          <w:p>
            <w:pPr>
              <w:jc w:val="center"/>
            </w:pPr>
            <w:r>
              <w:rPr>
                <w:b w:val="false"/>
                <w:bCs w:val="false"/>
                <w:sz w:val="17"/>
                <w:szCs w:val="17"/>
              </w:rPr>
              <w:t xml:space="preserve">1</w:t>
            </w:r>
          </w:p>
        </w:tc>
      </w:tr>
      <w:tr>
        <w:tc>
          <w:tcPr>
            <w:tcW w:type="dxa" w:w="1650"/>
            <w:shd w:fill="F2F4F8" w:color="auto" w:val="clear"/>
            <w:tcMar>
              <w:top w:type="dxa" w:w="40"/>
              <w:left w:type="dxa" w:w="70"/>
              <w:bottom w:type="dxa" w:w="40"/>
              <w:right w:type="dxa" w:w="70"/>
            </w:tcMar>
          </w:tcPr>
          <w:p>
            <w:pPr>
              <w:jc w:val="left"/>
            </w:pPr>
            <w:r>
              <w:rPr>
                <w:b w:val="false"/>
                <w:bCs w:val="false"/>
                <w:sz w:val="17"/>
                <w:szCs w:val="17"/>
              </w:rPr>
              <w:t xml:space="preserve">Tue 30 Jun (t−4)</w:t>
            </w:r>
          </w:p>
        </w:tc>
        <w:tc>
          <w:tcPr>
            <w:tcW w:type="dxa" w:w="1900"/>
            <w:shd w:fill="F2F4F8" w:color="auto" w:val="clear"/>
            <w:tcMar>
              <w:top w:type="dxa" w:w="40"/>
              <w:left w:type="dxa" w:w="70"/>
              <w:bottom w:type="dxa" w:w="40"/>
              <w:right w:type="dxa" w:w="70"/>
            </w:tcMar>
          </w:tcPr>
          <w:p>
            <w:pPr>
              <w:jc w:val="center"/>
            </w:pPr>
            <w:r>
              <w:rPr>
                <w:b w:val="false"/>
                <w:bCs w:val="false"/>
                <w:sz w:val="17"/>
                <w:szCs w:val="17"/>
              </w:rPr>
              <w:t xml:space="preserve">Trade 1</w:t>
            </w:r>
          </w:p>
        </w:tc>
        <w:tc>
          <w:tcPr>
            <w:tcW w:type="dxa" w:w="700"/>
            <w:shd w:fill="F2F4F8" w:color="auto" w:val="clear"/>
            <w:tcMar>
              <w:top w:type="dxa" w:w="40"/>
              <w:left w:type="dxa" w:w="70"/>
              <w:bottom w:type="dxa" w:w="40"/>
              <w:right w:type="dxa" w:w="70"/>
            </w:tcMar>
          </w:tcPr>
          <w:p>
            <w:pPr>
              <w:jc w:val="center"/>
            </w:pPr>
            <w:r>
              <w:rPr>
                <w:b w:val="false"/>
                <w:bCs w:val="false"/>
                <w:sz w:val="17"/>
                <w:szCs w:val="17"/>
              </w:rPr>
              <w:t xml:space="preserve">LONG</w:t>
            </w:r>
          </w:p>
        </w:tc>
        <w:tc>
          <w:tcPr>
            <w:tcW w:type="dxa" w:w="750"/>
            <w:shd w:fill="F2F4F8" w:color="auto" w:val="clear"/>
            <w:tcMar>
              <w:top w:type="dxa" w:w="40"/>
              <w:left w:type="dxa" w:w="70"/>
              <w:bottom w:type="dxa" w:w="40"/>
              <w:right w:type="dxa" w:w="70"/>
            </w:tcMar>
          </w:tcPr>
          <w:p>
            <w:pPr>
              <w:jc w:val="center"/>
            </w:pPr>
            <w:r>
              <w:rPr>
                <w:b w:val="false"/>
                <w:bCs w:val="false"/>
                <w:sz w:val="17"/>
                <w:szCs w:val="17"/>
              </w:rPr>
              <w:t xml:space="preserve">YES</w:t>
            </w:r>
          </w:p>
        </w:tc>
        <w:tc>
          <w:tcPr>
            <w:tcW w:type="dxa" w:w="1900"/>
            <w:shd w:fill="F2F4F8" w:color="auto" w:val="clear"/>
            <w:tcMar>
              <w:top w:type="dxa" w:w="40"/>
              <w:left w:type="dxa" w:w="70"/>
              <w:bottom w:type="dxa" w:w="40"/>
              <w:right w:type="dxa" w:w="70"/>
            </w:tcMar>
          </w:tcPr>
          <w:p>
            <w:pPr>
              <w:jc w:val="center"/>
            </w:pPr>
            <w:r>
              <w:rPr>
                <w:b w:val="false"/>
                <w:bCs w:val="false"/>
                <w:sz w:val="17"/>
                <w:szCs w:val="17"/>
              </w:rPr>
              <w:t xml:space="preserve">10,537→10,548</w:t>
            </w:r>
          </w:p>
        </w:tc>
        <w:tc>
          <w:tcPr>
            <w:tcW w:type="dxa" w:w="1650"/>
            <w:shd w:fill="F2F4F8" w:color="auto" w:val="clear"/>
            <w:tcMar>
              <w:top w:type="dxa" w:w="40"/>
              <w:left w:type="dxa" w:w="70"/>
              <w:bottom w:type="dxa" w:w="40"/>
              <w:right w:type="dxa" w:w="70"/>
            </w:tcMar>
          </w:tcPr>
          <w:p>
            <w:pPr>
              <w:jc w:val="center"/>
            </w:pPr>
            <w:r>
              <w:rPr>
                <w:b w:val="false"/>
                <w:bCs w:val="false"/>
                <w:sz w:val="17"/>
                <w:szCs w:val="17"/>
              </w:rPr>
              <w:t xml:space="preserve">+0.1R (doji, small)</w:t>
            </w:r>
          </w:p>
        </w:tc>
        <w:tc>
          <w:tcPr>
            <w:tcW w:type="dxa" w:w="808"/>
            <w:shd w:fill="F2F4F8" w:color="auto" w:val="clear"/>
            <w:tcMar>
              <w:top w:type="dxa" w:w="40"/>
              <w:left w:type="dxa" w:w="70"/>
              <w:bottom w:type="dxa" w:w="40"/>
              <w:right w:type="dxa" w:w="70"/>
            </w:tcMar>
          </w:tcPr>
          <w:p>
            <w:pPr>
              <w:jc w:val="center"/>
            </w:pPr>
            <w:r>
              <w:rPr>
                <w:b w:val="false"/>
                <w:bCs w:val="false"/>
                <w:sz w:val="17"/>
                <w:szCs w:val="17"/>
              </w:rPr>
              <w:t xml:space="preserve">1</w:t>
            </w:r>
          </w:p>
        </w:tc>
      </w:tr>
      <w:tr>
        <w:tc>
          <w:tcPr>
            <w:tcW w:type="dxa" w:w="1650"/>
            <w:tcMar>
              <w:top w:type="dxa" w:w="40"/>
              <w:left w:type="dxa" w:w="70"/>
              <w:bottom w:type="dxa" w:w="40"/>
              <w:right w:type="dxa" w:w="70"/>
            </w:tcMar>
          </w:tcPr>
          <w:p>
            <w:pPr>
              <w:jc w:val="left"/>
            </w:pPr>
            <w:r>
              <w:rPr>
                <w:b w:val="false"/>
                <w:bCs w:val="false"/>
                <w:sz w:val="17"/>
                <w:szCs w:val="17"/>
              </w:rPr>
              <w:t xml:space="preserve">Wed 01 Jul (t−3)</w:t>
            </w:r>
          </w:p>
        </w:tc>
        <w:tc>
          <w:tcPr>
            <w:tcW w:type="dxa" w:w="1900"/>
            <w:tcMar>
              <w:top w:type="dxa" w:w="40"/>
              <w:left w:type="dxa" w:w="70"/>
              <w:bottom w:type="dxa" w:w="40"/>
              <w:right w:type="dxa" w:w="70"/>
            </w:tcMar>
          </w:tcPr>
          <w:p>
            <w:pPr>
              <w:jc w:val="center"/>
            </w:pPr>
            <w:r>
              <w:rPr>
                <w:b w:val="false"/>
                <w:bCs w:val="false"/>
                <w:sz w:val="17"/>
                <w:szCs w:val="17"/>
              </w:rPr>
              <w:t xml:space="preserve">Trade 1</w:t>
            </w:r>
          </w:p>
        </w:tc>
        <w:tc>
          <w:tcPr>
            <w:tcW w:type="dxa" w:w="700"/>
            <w:tcMar>
              <w:top w:type="dxa" w:w="40"/>
              <w:left w:type="dxa" w:w="70"/>
              <w:bottom w:type="dxa" w:w="40"/>
              <w:right w:type="dxa" w:w="70"/>
            </w:tcMar>
          </w:tcPr>
          <w:p>
            <w:pPr>
              <w:jc w:val="center"/>
            </w:pPr>
            <w:r>
              <w:rPr>
                <w:b w:val="false"/>
                <w:bCs w:val="false"/>
                <w:sz w:val="17"/>
                <w:szCs w:val="17"/>
              </w:rPr>
              <w:t xml:space="preserve">LONG</w:t>
            </w:r>
          </w:p>
        </w:tc>
        <w:tc>
          <w:tcPr>
            <w:tcW w:type="dxa" w:w="750"/>
            <w:tcMar>
              <w:top w:type="dxa" w:w="40"/>
              <w:left w:type="dxa" w:w="70"/>
              <w:bottom w:type="dxa" w:w="40"/>
              <w:right w:type="dxa" w:w="70"/>
            </w:tcMar>
          </w:tcPr>
          <w:p>
            <w:pPr>
              <w:jc w:val="center"/>
            </w:pPr>
            <w:r>
              <w:rPr>
                <w:b w:val="false"/>
                <w:bCs w:val="false"/>
                <w:sz w:val="17"/>
                <w:szCs w:val="17"/>
              </w:rPr>
              <w:t xml:space="preserve">YES</w:t>
            </w:r>
          </w:p>
        </w:tc>
        <w:tc>
          <w:tcPr>
            <w:tcW w:type="dxa" w:w="1900"/>
            <w:tcMar>
              <w:top w:type="dxa" w:w="40"/>
              <w:left w:type="dxa" w:w="70"/>
              <w:bottom w:type="dxa" w:w="40"/>
              <w:right w:type="dxa" w:w="70"/>
            </w:tcMar>
          </w:tcPr>
          <w:p>
            <w:pPr>
              <w:jc w:val="center"/>
            </w:pPr>
            <w:r>
              <w:rPr>
                <w:b w:val="false"/>
                <w:bCs w:val="false"/>
                <w:sz w:val="17"/>
                <w:szCs w:val="17"/>
              </w:rPr>
              <w:t xml:space="preserve">10,548→10,598</w:t>
            </w:r>
          </w:p>
        </w:tc>
        <w:tc>
          <w:tcPr>
            <w:tcW w:type="dxa" w:w="1650"/>
            <w:tcMar>
              <w:top w:type="dxa" w:w="40"/>
              <w:left w:type="dxa" w:w="70"/>
              <w:bottom w:type="dxa" w:w="40"/>
              <w:right w:type="dxa" w:w="70"/>
            </w:tcMar>
          </w:tcPr>
          <w:p>
            <w:pPr>
              <w:jc w:val="center"/>
            </w:pPr>
            <w:r>
              <w:rPr>
                <w:b w:val="false"/>
                <w:bCs w:val="false"/>
                <w:sz w:val="17"/>
                <w:szCs w:val="17"/>
              </w:rPr>
              <w:t xml:space="preserve">+0.7R</w:t>
            </w:r>
          </w:p>
        </w:tc>
        <w:tc>
          <w:tcPr>
            <w:tcW w:type="dxa" w:w="808"/>
            <w:tcMar>
              <w:top w:type="dxa" w:w="40"/>
              <w:left w:type="dxa" w:w="70"/>
              <w:bottom w:type="dxa" w:w="40"/>
              <w:right w:type="dxa" w:w="70"/>
            </w:tcMar>
          </w:tcPr>
          <w:p>
            <w:pPr>
              <w:jc w:val="center"/>
            </w:pPr>
            <w:r>
              <w:rPr>
                <w:b w:val="false"/>
                <w:bCs w:val="false"/>
                <w:sz w:val="17"/>
                <w:szCs w:val="17"/>
              </w:rPr>
              <w:t xml:space="preserve">1</w:t>
            </w:r>
          </w:p>
        </w:tc>
      </w:tr>
      <w:tr>
        <w:tc>
          <w:tcPr>
            <w:tcW w:type="dxa" w:w="1650"/>
            <w:shd w:fill="F2F4F8" w:color="auto" w:val="clear"/>
            <w:tcMar>
              <w:top w:type="dxa" w:w="40"/>
              <w:left w:type="dxa" w:w="70"/>
              <w:bottom w:type="dxa" w:w="40"/>
              <w:right w:type="dxa" w:w="70"/>
            </w:tcMar>
          </w:tcPr>
          <w:p>
            <w:pPr>
              <w:jc w:val="left"/>
            </w:pPr>
            <w:r>
              <w:rPr>
                <w:b w:val="false"/>
                <w:bCs w:val="false"/>
                <w:sz w:val="17"/>
                <w:szCs w:val="17"/>
              </w:rPr>
              <w:t xml:space="preserve">Thu 02 Jul (t−2)</w:t>
            </w:r>
          </w:p>
        </w:tc>
        <w:tc>
          <w:tcPr>
            <w:tcW w:type="dxa" w:w="1900"/>
            <w:shd w:fill="F2F4F8" w:color="auto" w:val="clear"/>
            <w:tcMar>
              <w:top w:type="dxa" w:w="40"/>
              <w:left w:type="dxa" w:w="70"/>
              <w:bottom w:type="dxa" w:w="40"/>
              <w:right w:type="dxa" w:w="70"/>
            </w:tcMar>
          </w:tcPr>
          <w:p>
            <w:pPr>
              <w:jc w:val="center"/>
            </w:pPr>
            <w:r>
              <w:rPr>
                <w:b w:val="false"/>
                <w:bCs w:val="false"/>
                <w:sz w:val="17"/>
                <w:szCs w:val="17"/>
              </w:rPr>
              <w:t xml:space="preserve">Trade 1</w:t>
            </w:r>
          </w:p>
        </w:tc>
        <w:tc>
          <w:tcPr>
            <w:tcW w:type="dxa" w:w="700"/>
            <w:shd w:fill="F2F4F8" w:color="auto" w:val="clear"/>
            <w:tcMar>
              <w:top w:type="dxa" w:w="40"/>
              <w:left w:type="dxa" w:w="70"/>
              <w:bottom w:type="dxa" w:w="40"/>
              <w:right w:type="dxa" w:w="70"/>
            </w:tcMar>
          </w:tcPr>
          <w:p>
            <w:pPr>
              <w:jc w:val="center"/>
            </w:pPr>
            <w:r>
              <w:rPr>
                <w:b w:val="false"/>
                <w:bCs w:val="false"/>
                <w:sz w:val="17"/>
                <w:szCs w:val="17"/>
              </w:rPr>
              <w:t xml:space="preserve">LONG</w:t>
            </w:r>
          </w:p>
        </w:tc>
        <w:tc>
          <w:tcPr>
            <w:tcW w:type="dxa" w:w="750"/>
            <w:shd w:fill="F2F4F8" w:color="auto" w:val="clear"/>
            <w:tcMar>
              <w:top w:type="dxa" w:w="40"/>
              <w:left w:type="dxa" w:w="70"/>
              <w:bottom w:type="dxa" w:w="40"/>
              <w:right w:type="dxa" w:w="70"/>
            </w:tcMar>
          </w:tcPr>
          <w:p>
            <w:pPr>
              <w:jc w:val="center"/>
            </w:pPr>
            <w:r>
              <w:rPr>
                <w:b w:val="false"/>
                <w:bCs w:val="false"/>
                <w:sz w:val="17"/>
                <w:szCs w:val="17"/>
              </w:rPr>
              <w:t xml:space="preserve">YES</w:t>
            </w:r>
          </w:p>
        </w:tc>
        <w:tc>
          <w:tcPr>
            <w:tcW w:type="dxa" w:w="1900"/>
            <w:shd w:fill="F2F4F8" w:color="auto" w:val="clear"/>
            <w:tcMar>
              <w:top w:type="dxa" w:w="40"/>
              <w:left w:type="dxa" w:w="70"/>
              <w:bottom w:type="dxa" w:w="40"/>
              <w:right w:type="dxa" w:w="70"/>
            </w:tcMar>
          </w:tcPr>
          <w:p>
            <w:pPr>
              <w:jc w:val="center"/>
            </w:pPr>
            <w:r>
              <w:rPr>
                <w:b w:val="false"/>
                <w:bCs w:val="false"/>
                <w:sz w:val="17"/>
                <w:szCs w:val="17"/>
              </w:rPr>
              <w:t xml:space="preserve">10,600→10,658</w:t>
            </w:r>
          </w:p>
        </w:tc>
        <w:tc>
          <w:tcPr>
            <w:tcW w:type="dxa" w:w="1650"/>
            <w:shd w:fill="F2F4F8" w:color="auto" w:val="clear"/>
            <w:tcMar>
              <w:top w:type="dxa" w:w="40"/>
              <w:left w:type="dxa" w:w="70"/>
              <w:bottom w:type="dxa" w:w="40"/>
              <w:right w:type="dxa" w:w="70"/>
            </w:tcMar>
          </w:tcPr>
          <w:p>
            <w:pPr>
              <w:jc w:val="center"/>
            </w:pPr>
            <w:r>
              <w:rPr>
                <w:b w:val="false"/>
                <w:bCs w:val="false"/>
                <w:sz w:val="17"/>
                <w:szCs w:val="17"/>
              </w:rPr>
              <w:t xml:space="preserve">+1.0R (TP1 hit)</w:t>
            </w:r>
          </w:p>
        </w:tc>
        <w:tc>
          <w:tcPr>
            <w:tcW w:type="dxa" w:w="808"/>
            <w:shd w:fill="F2F4F8" w:color="auto" w:val="clear"/>
            <w:tcMar>
              <w:top w:type="dxa" w:w="40"/>
              <w:left w:type="dxa" w:w="70"/>
              <w:bottom w:type="dxa" w:w="40"/>
              <w:right w:type="dxa" w:w="70"/>
            </w:tcMar>
          </w:tcPr>
          <w:p>
            <w:pPr>
              <w:jc w:val="center"/>
            </w:pPr>
            <w:r>
              <w:rPr>
                <w:b w:val="false"/>
                <w:bCs w:val="false"/>
                <w:sz w:val="17"/>
                <w:szCs w:val="17"/>
              </w:rPr>
              <w:t xml:space="preserve">1</w:t>
            </w:r>
          </w:p>
        </w:tc>
      </w:tr>
      <w:tr>
        <w:tc>
          <w:tcPr>
            <w:tcW w:type="dxa" w:w="1650"/>
            <w:tcMar>
              <w:top w:type="dxa" w:w="40"/>
              <w:left w:type="dxa" w:w="70"/>
              <w:bottom w:type="dxa" w:w="40"/>
              <w:right w:type="dxa" w:w="70"/>
            </w:tcMar>
          </w:tcPr>
          <w:p>
            <w:pPr>
              <w:jc w:val="left"/>
            </w:pPr>
            <w:r>
              <w:rPr>
                <w:b w:val="false"/>
                <w:bCs w:val="false"/>
                <w:sz w:val="17"/>
                <w:szCs w:val="17"/>
              </w:rPr>
              <w:t xml:space="preserve">Fri 03 Jul (t−1)</w:t>
            </w:r>
          </w:p>
        </w:tc>
        <w:tc>
          <w:tcPr>
            <w:tcW w:type="dxa" w:w="1900"/>
            <w:tcMar>
              <w:top w:type="dxa" w:w="40"/>
              <w:left w:type="dxa" w:w="70"/>
              <w:bottom w:type="dxa" w:w="40"/>
              <w:right w:type="dxa" w:w="70"/>
            </w:tcMar>
          </w:tcPr>
          <w:p>
            <w:pPr>
              <w:jc w:val="center"/>
            </w:pPr>
            <w:r>
              <w:rPr>
                <w:b w:val="false"/>
                <w:bCs w:val="false"/>
                <w:sz w:val="17"/>
                <w:szCs w:val="17"/>
              </w:rPr>
              <w:t xml:space="preserve">Trade 1</w:t>
            </w:r>
          </w:p>
        </w:tc>
        <w:tc>
          <w:tcPr>
            <w:tcW w:type="dxa" w:w="700"/>
            <w:tcMar>
              <w:top w:type="dxa" w:w="40"/>
              <w:left w:type="dxa" w:w="70"/>
              <w:bottom w:type="dxa" w:w="40"/>
              <w:right w:type="dxa" w:w="70"/>
            </w:tcMar>
          </w:tcPr>
          <w:p>
            <w:pPr>
              <w:jc w:val="center"/>
            </w:pPr>
            <w:r>
              <w:rPr>
                <w:b w:val="false"/>
                <w:bCs w:val="false"/>
                <w:sz w:val="17"/>
                <w:szCs w:val="17"/>
              </w:rPr>
              <w:t xml:space="preserve">LONG</w:t>
            </w:r>
          </w:p>
        </w:tc>
        <w:tc>
          <w:tcPr>
            <w:tcW w:type="dxa" w:w="750"/>
            <w:tcMar>
              <w:top w:type="dxa" w:w="40"/>
              <w:left w:type="dxa" w:w="70"/>
              <w:bottom w:type="dxa" w:w="40"/>
              <w:right w:type="dxa" w:w="70"/>
            </w:tcMar>
          </w:tcPr>
          <w:p>
            <w:pPr>
              <w:jc w:val="center"/>
            </w:pPr>
            <w:r>
              <w:rPr>
                <w:b w:val="false"/>
                <w:bCs w:val="false"/>
                <w:sz w:val="17"/>
                <w:szCs w:val="17"/>
              </w:rPr>
              <w:t xml:space="preserve">YES</w:t>
            </w:r>
          </w:p>
        </w:tc>
        <w:tc>
          <w:tcPr>
            <w:tcW w:type="dxa" w:w="1900"/>
            <w:tcMar>
              <w:top w:type="dxa" w:w="40"/>
              <w:left w:type="dxa" w:w="70"/>
              <w:bottom w:type="dxa" w:w="40"/>
              <w:right w:type="dxa" w:w="70"/>
            </w:tcMar>
          </w:tcPr>
          <w:p>
            <w:pPr>
              <w:jc w:val="center"/>
            </w:pPr>
            <w:r>
              <w:rPr>
                <w:b w:val="false"/>
                <w:bCs w:val="false"/>
                <w:sz w:val="17"/>
                <w:szCs w:val="17"/>
              </w:rPr>
              <w:t xml:space="preserve">10,653→10,679</w:t>
            </w:r>
          </w:p>
        </w:tc>
        <w:tc>
          <w:tcPr>
            <w:tcW w:type="dxa" w:w="1650"/>
            <w:tcMar>
              <w:top w:type="dxa" w:w="40"/>
              <w:left w:type="dxa" w:w="70"/>
              <w:bottom w:type="dxa" w:w="40"/>
              <w:right w:type="dxa" w:w="70"/>
            </w:tcMar>
          </w:tcPr>
          <w:p>
            <w:pPr>
              <w:jc w:val="center"/>
            </w:pPr>
            <w:r>
              <w:rPr>
                <w:b w:val="false"/>
                <w:bCs w:val="false"/>
                <w:sz w:val="17"/>
                <w:szCs w:val="17"/>
              </w:rPr>
              <w:t xml:space="preserve">+0.4R</w:t>
            </w:r>
          </w:p>
        </w:tc>
        <w:tc>
          <w:tcPr>
            <w:tcW w:type="dxa" w:w="808"/>
            <w:tcMar>
              <w:top w:type="dxa" w:w="40"/>
              <w:left w:type="dxa" w:w="70"/>
              <w:bottom w:type="dxa" w:w="40"/>
              <w:right w:type="dxa" w:w="70"/>
            </w:tcMar>
          </w:tcPr>
          <w:p>
            <w:pPr>
              <w:jc w:val="center"/>
            </w:pPr>
            <w:r>
              <w:rPr>
                <w:b w:val="false"/>
                <w:bCs w:val="false"/>
                <w:sz w:val="17"/>
                <w:szCs w:val="17"/>
              </w:rPr>
              <w:t xml:space="preserve">1</w:t>
            </w:r>
          </w:p>
        </w:tc>
      </w:tr>
      <w:tr>
        <w:tc>
          <w:tcPr>
            <w:tcW w:type="dxa" w:w="1650"/>
            <w:shd w:fill="F2F4F8" w:color="auto" w:val="clear"/>
            <w:tcMar>
              <w:top w:type="dxa" w:w="40"/>
              <w:left w:type="dxa" w:w="70"/>
              <w:bottom w:type="dxa" w:w="40"/>
              <w:right w:type="dxa" w:w="70"/>
            </w:tcMar>
          </w:tcPr>
          <w:p>
            <w:pPr>
              <w:jc w:val="left"/>
            </w:pPr>
            <w:r>
              <w:rPr>
                <w:b w:val="false"/>
                <w:bCs w:val="false"/>
                <w:sz w:val="17"/>
                <w:szCs w:val="17"/>
              </w:rPr>
              <w:t xml:space="preserve">Mon 29–Fri 03</w:t>
            </w:r>
          </w:p>
        </w:tc>
        <w:tc>
          <w:tcPr>
            <w:tcW w:type="dxa" w:w="1900"/>
            <w:shd w:fill="F2F4F8" w:color="auto" w:val="clear"/>
            <w:tcMar>
              <w:top w:type="dxa" w:w="40"/>
              <w:left w:type="dxa" w:w="70"/>
              <w:bottom w:type="dxa" w:w="40"/>
              <w:right w:type="dxa" w:w="70"/>
            </w:tcMar>
          </w:tcPr>
          <w:p>
            <w:pPr>
              <w:jc w:val="center"/>
            </w:pPr>
            <w:r>
              <w:rPr>
                <w:b w:val="false"/>
                <w:bCs w:val="false"/>
                <w:sz w:val="17"/>
                <w:szCs w:val="17"/>
              </w:rPr>
              <w:t xml:space="preserve">Trade 2 (pivot dip)</w:t>
            </w:r>
          </w:p>
        </w:tc>
        <w:tc>
          <w:tcPr>
            <w:tcW w:type="dxa" w:w="700"/>
            <w:shd w:fill="F2F4F8" w:color="auto" w:val="clear"/>
            <w:tcMar>
              <w:top w:type="dxa" w:w="40"/>
              <w:left w:type="dxa" w:w="70"/>
              <w:bottom w:type="dxa" w:w="40"/>
              <w:right w:type="dxa" w:w="70"/>
            </w:tcMar>
          </w:tcPr>
          <w:p>
            <w:pPr>
              <w:jc w:val="center"/>
            </w:pPr>
            <w:r>
              <w:rPr>
                <w:b w:val="false"/>
                <w:bCs w:val="false"/>
                <w:sz w:val="17"/>
                <w:szCs w:val="17"/>
              </w:rPr>
              <w:t xml:space="preserve">LONG</w:t>
            </w:r>
          </w:p>
        </w:tc>
        <w:tc>
          <w:tcPr>
            <w:tcW w:type="dxa" w:w="750"/>
            <w:shd w:fill="F2F4F8" w:color="auto" w:val="clear"/>
            <w:tcMar>
              <w:top w:type="dxa" w:w="40"/>
              <w:left w:type="dxa" w:w="70"/>
              <w:bottom w:type="dxa" w:w="40"/>
              <w:right w:type="dxa" w:w="70"/>
            </w:tcMar>
          </w:tcPr>
          <w:p>
            <w:pPr>
              <w:jc w:val="center"/>
            </w:pPr>
            <w:r>
              <w:rPr>
                <w:b w:val="false"/>
                <w:bCs w:val="false"/>
                <w:sz w:val="17"/>
                <w:szCs w:val="17"/>
              </w:rPr>
              <w:t xml:space="preserve">NO</w:t>
            </w:r>
          </w:p>
        </w:tc>
        <w:tc>
          <w:tcPr>
            <w:tcW w:type="dxa" w:w="1900"/>
            <w:shd w:fill="F2F4F8" w:color="auto" w:val="clear"/>
            <w:tcMar>
              <w:top w:type="dxa" w:w="40"/>
              <w:left w:type="dxa" w:w="70"/>
              <w:bottom w:type="dxa" w:w="40"/>
              <w:right w:type="dxa" w:w="70"/>
            </w:tcMar>
          </w:tcPr>
          <w:p>
            <w:pPr>
              <w:jc w:val="center"/>
            </w:pPr>
            <w:r>
              <w:rPr>
                <w:b w:val="false"/>
                <w:bCs w:val="false"/>
                <w:sz w:val="17"/>
                <w:szCs w:val="17"/>
              </w:rPr>
              <w:t xml:space="preserve">no S1 tag in trend</w:t>
            </w:r>
          </w:p>
        </w:tc>
        <w:tc>
          <w:tcPr>
            <w:tcW w:type="dxa" w:w="1650"/>
            <w:shd w:fill="F2F4F8" w:color="auto" w:val="clear"/>
            <w:tcMar>
              <w:top w:type="dxa" w:w="40"/>
              <w:left w:type="dxa" w:w="70"/>
              <w:bottom w:type="dxa" w:w="40"/>
              <w:right w:type="dxa" w:w="70"/>
            </w:tcMar>
          </w:tcPr>
          <w:p>
            <w:pPr>
              <w:jc w:val="center"/>
            </w:pPr>
            <w:r>
              <w:rPr>
                <w:b w:val="false"/>
                <w:bCs w:val="false"/>
                <w:sz w:val="17"/>
                <w:szCs w:val="17"/>
              </w:rPr>
              <w:t xml:space="preserve">— (limits not filled)</w:t>
            </w:r>
          </w:p>
        </w:tc>
        <w:tc>
          <w:tcPr>
            <w:tcW w:type="dxa" w:w="808"/>
            <w:shd w:fill="F2F4F8" w:color="auto" w:val="clear"/>
            <w:tcMar>
              <w:top w:type="dxa" w:w="40"/>
              <w:left w:type="dxa" w:w="70"/>
              <w:bottom w:type="dxa" w:w="40"/>
              <w:right w:type="dxa" w:w="70"/>
            </w:tcMar>
          </w:tcPr>
          <w:p>
            <w:pPr>
              <w:jc w:val="center"/>
            </w:pPr>
            <w:r>
              <w:rPr>
                <w:b w:val="false"/>
                <w:bCs w:val="false"/>
                <w:sz w:val="17"/>
                <w:szCs w:val="17"/>
              </w:rPr>
              <w:t xml:space="preserve">—</w:t>
            </w:r>
          </w:p>
        </w:tc>
      </w:tr>
      <w:tr>
        <w:tc>
          <w:tcPr>
            <w:tcW w:type="dxa" w:w="1650"/>
            <w:tcMar>
              <w:top w:type="dxa" w:w="40"/>
              <w:left w:type="dxa" w:w="70"/>
              <w:bottom w:type="dxa" w:w="40"/>
              <w:right w:type="dxa" w:w="70"/>
            </w:tcMar>
          </w:tcPr>
          <w:p>
            <w:pPr>
              <w:jc w:val="left"/>
            </w:pPr>
            <w:r>
              <w:rPr>
                <w:b w:val="false"/>
                <w:bCs w:val="false"/>
                <w:sz w:val="17"/>
                <w:szCs w:val="17"/>
              </w:rPr>
              <w:t xml:space="preserve">Wed–Fri</w:t>
            </w:r>
          </w:p>
        </w:tc>
        <w:tc>
          <w:tcPr>
            <w:tcW w:type="dxa" w:w="1900"/>
            <w:tcMar>
              <w:top w:type="dxa" w:w="40"/>
              <w:left w:type="dxa" w:w="70"/>
              <w:bottom w:type="dxa" w:w="40"/>
              <w:right w:type="dxa" w:w="70"/>
            </w:tcMar>
          </w:tcPr>
          <w:p>
            <w:pPr>
              <w:jc w:val="center"/>
            </w:pPr>
            <w:r>
              <w:rPr>
                <w:b w:val="false"/>
                <w:bCs w:val="false"/>
                <w:sz w:val="17"/>
                <w:szCs w:val="17"/>
              </w:rPr>
              <w:t xml:space="preserve">Trade 3A (mom-pullback)</w:t>
            </w:r>
          </w:p>
        </w:tc>
        <w:tc>
          <w:tcPr>
            <w:tcW w:type="dxa" w:w="700"/>
            <w:tcMar>
              <w:top w:type="dxa" w:w="40"/>
              <w:left w:type="dxa" w:w="70"/>
              <w:bottom w:type="dxa" w:w="40"/>
              <w:right w:type="dxa" w:w="70"/>
            </w:tcMar>
          </w:tcPr>
          <w:p>
            <w:pPr>
              <w:jc w:val="center"/>
            </w:pPr>
            <w:r>
              <w:rPr>
                <w:b w:val="false"/>
                <w:bCs w:val="false"/>
                <w:sz w:val="17"/>
                <w:szCs w:val="17"/>
              </w:rPr>
              <w:t xml:space="preserve">LONG</w:t>
            </w:r>
          </w:p>
        </w:tc>
        <w:tc>
          <w:tcPr>
            <w:tcW w:type="dxa" w:w="750"/>
            <w:tcMar>
              <w:top w:type="dxa" w:w="40"/>
              <w:left w:type="dxa" w:w="70"/>
              <w:bottom w:type="dxa" w:w="40"/>
              <w:right w:type="dxa" w:w="70"/>
            </w:tcMar>
          </w:tcPr>
          <w:p>
            <w:pPr>
              <w:jc w:val="center"/>
            </w:pPr>
            <w:r>
              <w:rPr>
                <w:b w:val="false"/>
                <w:bCs w:val="false"/>
                <w:sz w:val="17"/>
                <w:szCs w:val="17"/>
              </w:rPr>
              <w:t xml:space="preserve">PARTIAL</w:t>
            </w:r>
          </w:p>
        </w:tc>
        <w:tc>
          <w:tcPr>
            <w:tcW w:type="dxa" w:w="1900"/>
            <w:tcMar>
              <w:top w:type="dxa" w:w="40"/>
              <w:left w:type="dxa" w:w="70"/>
              <w:bottom w:type="dxa" w:w="40"/>
              <w:right w:type="dxa" w:w="70"/>
            </w:tcMar>
          </w:tcPr>
          <w:p>
            <w:pPr>
              <w:jc w:val="center"/>
            </w:pPr>
            <w:r>
              <w:rPr>
                <w:b w:val="false"/>
                <w:bCs w:val="false"/>
                <w:sz w:val="17"/>
                <w:szCs w:val="17"/>
              </w:rPr>
              <w:t xml:space="preserve">10,590→10,658</w:t>
            </w:r>
          </w:p>
        </w:tc>
        <w:tc>
          <w:tcPr>
            <w:tcW w:type="dxa" w:w="1650"/>
            <w:tcMar>
              <w:top w:type="dxa" w:w="40"/>
              <w:left w:type="dxa" w:w="70"/>
              <w:bottom w:type="dxa" w:w="40"/>
              <w:right w:type="dxa" w:w="70"/>
            </w:tcMar>
          </w:tcPr>
          <w:p>
            <w:pPr>
              <w:jc w:val="center"/>
            </w:pPr>
            <w:r>
              <w:rPr>
                <w:b w:val="false"/>
                <w:bCs w:val="false"/>
                <w:sz w:val="17"/>
                <w:szCs w:val="17"/>
              </w:rPr>
              <w:t xml:space="preserve">+0.9R (one fill)</w:t>
            </w:r>
          </w:p>
        </w:tc>
        <w:tc>
          <w:tcPr>
            <w:tcW w:type="dxa" w:w="808"/>
            <w:tcMar>
              <w:top w:type="dxa" w:w="40"/>
              <w:left w:type="dxa" w:w="70"/>
              <w:bottom w:type="dxa" w:w="40"/>
              <w:right w:type="dxa" w:w="70"/>
            </w:tcMar>
          </w:tcPr>
          <w:p>
            <w:pPr>
              <w:jc w:val="center"/>
            </w:pPr>
            <w:r>
              <w:rPr>
                <w:b w:val="false"/>
                <w:bCs w:val="false"/>
                <w:sz w:val="17"/>
                <w:szCs w:val="17"/>
              </w:rPr>
              <w:t xml:space="preserve">1</w:t>
            </w:r>
          </w:p>
        </w:tc>
      </w:tr>
    </w:tbl>
    <w:p>
      <w:pPr>
        <w:spacing w:after="100"/>
      </w:pPr>
      <w:r>
        <w:rPr>
          <w:b/>
          <w:bCs/>
          <w:sz w:val="20"/>
          <w:szCs w:val="20"/>
        </w:rPr>
        <w:t xml:space="preserve">21d · What Is Working. </w:t>
      </w:r>
      <w:r>
        <w:rPr>
          <w:sz w:val="19"/>
          <w:szCs w:val="19"/>
        </w:rPr>
        <w:t xml:space="preserve">Trade 1 over the last 5 sessions: triggered 5/5, mean R ≈ +0.56, TP1/TP2/TP3 hit rates ≈ 20% / 0% / 0% (mostly small intraday gains in a low-pullback grind). Trade 2 (pivot): triggered 0/1 — trend never pulled back to S1, so limits went unfilled. Trade 3A: triggered ~1/1 partial, mean R ≈ +0.9. Strongest performer: Trade 3A (highest mean R, closed). Weakest: Trade 2 — insufficient triggers to rank. </w:t>
      </w:r>
      <w:r>
        <w:rPr>
          <w:i/>
          <w:iCs/>
          <w:sz w:val="18"/>
          <w:szCs w:val="18"/>
        </w:rPr>
        <w:t xml:space="preserve">Five-session windows are too small to support statistical claims. The backtest cannot model intraday tick-level fills, slippage, or commission. Treat as a directional sanity-check, not a strategy-validation framework.</w:t>
      </w:r>
    </w:p>
    <w:p>
      <w:pPr>
        <w:pBdr>
          <w:bottom w:val="single" w:color="1F3864" w:sz="6"/>
        </w:pBdr>
        <w:spacing w:after="120" w:before="60"/>
      </w:pPr>
      <w:r>
        <w:t xml:space="preserve"/>
      </w:r>
    </w:p>
    <w:p>
      <w:pPr>
        <w:spacing w:after="100"/>
        <w:jc w:val="center"/>
      </w:pPr>
      <w:r>
        <w:rPr>
          <w:i/>
          <w:iCs/>
          <w:color w:val="555555"/>
          <w:sz w:val="16"/>
          <w:szCs w:val="16"/>
        </w:rPr>
        <w:t xml:space="preserve">FTSE 100 Daily Report │ 7 July 2026 │ Senior European Equity Strategist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FTSE 100 Report — Daily 7 July 2026</dc:title>
  <dc:creator>Senior European Equity Strategist</dc:creator>
  <cp:lastModifiedBy>Un-named</cp:lastModifiedBy>
  <cp:revision>1</cp:revision>
  <dcterms:created xsi:type="dcterms:W3CDTF">2026-07-06T21:47:18.154Z</dcterms:created>
  <dcterms:modified xsi:type="dcterms:W3CDTF">2026-07-06T21:47:18.154Z</dcterms:modified>
</cp:coreProperties>
</file>

<file path=docProps/custom.xml><?xml version="1.0" encoding="utf-8"?>
<Properties xmlns="http://schemas.openxmlformats.org/officeDocument/2006/custom-properties" xmlns:vt="http://schemas.openxmlformats.org/officeDocument/2006/docPropsVTypes"/>
</file>