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8"/>
          <w:szCs w:val="38"/>
        </w:rPr>
        <w:t xml:space="preserve">FTSE 100 Report — Daily: 24 July 2026</w:t>
      </w:r>
    </w:p>
    <w:p>
      <w:pPr>
        <w:spacing w:after="40"/>
      </w:pPr>
      <w:r>
        <w:rPr>
          <w:rFonts w:ascii="Calibri" w:cs="Calibri" w:eastAsia="Calibri" w:hAnsi="Calibri"/>
          <w:i/>
          <w:iCs/>
          <w:color w:val="595959"/>
          <w:sz w:val="21"/>
          <w:szCs w:val="21"/>
        </w:rPr>
        <w:t xml:space="preserve">With reference to: EURO STOXX 50 · USDX · S&amp;P 500 · DAX 40</w:t>
      </w:r>
    </w:p>
    <w:p>
      <w:pPr>
        <w:pBdr>
          <w:bottom w:val="single" w:color="1F3864" w:sz="12"/>
        </w:pBdr>
        <w:spacing w:after="240"/>
      </w:pPr>
      <w:r>
        <w:rPr>
          <w:rFonts w:ascii="Calibri" w:cs="Calibri" w:eastAsia="Calibri" w:hAnsi="Calibri"/>
          <w:color w:val="595959"/>
          <w:sz w:val="19"/>
          <w:szCs w:val="19"/>
        </w:rPr>
        <w:t xml:space="preserve">Senior European Equity Strategist  ·  Europe/London  ·  Pre-open anchor 07:00 UK</w:t>
      </w:r>
    </w:p>
    <w:p>
      <w:pPr>
        <w:pBdr>
          <w:bottom w:val="single" w:color="1F3864" w:sz="8"/>
        </w:pBdr>
        <w:spacing w:after="130" w:before="260"/>
      </w:pPr>
      <w:r>
        <w:rPr>
          <w:rFonts w:ascii="Calibri" w:cs="Calibri" w:eastAsia="Calibri" w:hAnsi="Calibri"/>
          <w:b/>
          <w:bCs/>
          <w:color w:val="1F3864"/>
          <w:sz w:val="24"/>
          <w:szCs w:val="24"/>
        </w:rPr>
        <w:t xml:space="preserve">§1  EXECUTIVE SNAPSHOT</w:t>
      </w:r>
    </w:p>
    <w:p>
      <w:pPr>
        <w:spacing w:after="120"/>
      </w:pPr>
      <w:r>
        <w:rPr>
          <w:rFonts w:ascii="Calibri" w:cs="Calibri" w:eastAsia="Calibri" w:hAnsi="Calibri"/>
          <w:sz w:val="20"/>
          <w:szCs w:val="20"/>
        </w:rPr>
        <w:t xml:space="preserve">The FTSE 100 enters the 24 July session at a consensus reference of 10,639.00 index points, the 23 July official close, after a 77.97-point (-0.73%) reversal that gave back roughly 60% of the prior session's 131.06-point surge. Market tone is cautiously constructive but deteriorating at the margin. Three drivers dominate: first, the collapse of the US-Iran ceasefire and Houthi attacks on Red Sea tankers have driven Brent above $94 and toward $100, which cuts both ways for London — lifting the index's heavyweight energy complex while simultaneously reviving the inflation impulse that is repricing rate expectations; second, the European Central Bank's hawkish hold on 23 July, keeping the deposit rate at 2.25% while explicitly flagging unresolved second-round energy effects, has pushed September hike pricing to roughly 92% and driven eurozone bond yields higher; third, softer-than-expected UK June inflation, released 22 July, weakened the case for further Bank of England tightening and was the proximate cause of Wednesday's rally. The short-term technical regime is a bearish rejection inside a constructive medium-term structure: the 25-session slope remains firmly positive at approximately +22.8 points per session and the index sits 5.05% above its late-June base, but Thursday's session opened at the prior close, failed to extend, and closed near the lower third of its range. The Kaufman Efficiency Ratio reads 0.51, comfortably above the 0.13 trending threshold, classifying the market as TRENDING with upward directional efficiency — a classification that currently contradicts the short-term price action and is the central tension in this report. Volatility is expanding, with the 14-session average true range at 118.40 points against a nine-period mean near 106. The single most important watch item is whether the 10,592.65 daily support pivot holds on a closing basis; a daily close beneath it would break the higher-lows sequence that has underpinned the advance since 10 June. Directional conviction for 24 July is NEUTRAL at +0.06, insufficient to support a discretionary directional trade, with only the structural pivot and pullback cards active.</w:t>
      </w:r>
    </w:p>
    <w:p>
      <w:pPr>
        <w:pBdr>
          <w:bottom w:val="single" w:color="1F3864" w:sz="8"/>
        </w:pBdr>
        <w:spacing w:after="130" w:before="260"/>
      </w:pPr>
      <w:r>
        <w:rPr>
          <w:rFonts w:ascii="Calibri" w:cs="Calibri" w:eastAsia="Calibri" w:hAnsi="Calibri"/>
          <w:b/>
          <w:bCs/>
          <w:color w:val="1F3864"/>
          <w:sz w:val="24"/>
          <w:szCs w:val="24"/>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Definition</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Primary asset</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FTSE 100 cash index (UKX)</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Specification</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FTSE 100 cash index, GBP-denominated, free-float capitalisation weighted; FTSE Russell methodology, quarterly review</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Secondary asset</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EURO STOXX 50 (SX5E) — Eurozone large-cap comparator</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Asset class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Equity index — large-cap European</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Market scope</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Regional — Europe (United Kingdom and Eurozone)</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Delivery basis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London Stock Exchange regular session 08:00–16:30 UK (FTSE 100); Xetra 09:00–17:30 CET (EURO STOXX 50). Cash sessions only.</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Unit of measure</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Index points</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Currency</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GBP (FTSE 100). EURO STOXX 50 native quotation is EUR; reported here in EUR with GBP cross noted at 1.1717.</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Minimum price increment</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0.01 point</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As-of date</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24 July 2026 (Europe/London)</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Reference session</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23 July 2026 official close</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Lookback window</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5 trading days (17–23 July 2026)</w:t>
            </w:r>
          </w:p>
        </w:tc>
      </w:tr>
    </w:tbl>
    <w:p>
      <w:pPr>
        <w:pBdr>
          <w:bottom w:val="single" w:color="1F3864" w:sz="8"/>
        </w:pBdr>
        <w:spacing w:after="130" w:before="260"/>
      </w:pPr>
      <w:r>
        <w:rPr>
          <w:rFonts w:ascii="Calibri" w:cs="Calibri" w:eastAsia="Calibri" w:hAnsi="Calibri"/>
          <w:b/>
          <w:bCs/>
          <w:color w:val="1F3864"/>
          <w:sz w:val="24"/>
          <w:szCs w:val="24"/>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2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Value</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Consensus price</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10,639.00 index points</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Range across sources</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10,639.00 – 10,640.00</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Basis</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London Stock Exchange official cash close, 23 July 2026, 16:35 UK</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Consensus method</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Weighted median of six independent sources</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Confidence level</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High (H)</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Market tone</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Cautiously constructive, deteriorating at the margin</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Secondary reference</w:t>
            </w:r>
          </w:p>
        </w:tc>
        <w:tc>
          <w:tcPr>
            <w:tcW w:type="dxa" w:w="7260"/>
            <w:tcMar>
              <w:top w:type="dxa" w:w="60"/>
              <w:left w:type="dxa" w:w="90"/>
              <w:bottom w:type="dxa" w:w="60"/>
              <w:right w:type="dxa" w:w="90"/>
            </w:tcMar>
          </w:tcPr>
          <w:p>
            <w:pPr>
              <w:spacing w:after="0"/>
            </w:pPr>
            <w:r>
              <w:rPr>
                <w:rFonts w:ascii="Calibri" w:cs="Calibri" w:eastAsia="Calibri" w:hAnsi="Calibri"/>
                <w:sz w:val="17"/>
                <w:szCs w:val="17"/>
              </w:rPr>
              <w:t xml:space="preserve">EURO STOXX 50 6,210.00 points (-1.69%), 23 July close</w:t>
            </w:r>
          </w:p>
        </w:tc>
      </w:tr>
      <w:tr>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Rationale</w:t>
            </w:r>
          </w:p>
        </w:tc>
        <w:tc>
          <w:tcPr>
            <w:tcW w:type="dxa" w:w="72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All primary and aggregator sources report an identical or near-identical 23 July close of 10,639, within the ±0.10-point equity-index corroboration tolerance. The dispersion arises only from rounding conventions in secondary aggregators, not from genuine disagreement over the settlement level.</w:t>
            </w:r>
          </w:p>
        </w:tc>
      </w:tr>
    </w:tbl>
    <w:p>
      <w:pPr>
        <w:pBdr>
          <w:bottom w:val="single" w:color="1F3864" w:sz="8"/>
        </w:pBdr>
        <w:spacing w:after="130" w:before="260"/>
      </w:pPr>
      <w:r>
        <w:rPr>
          <w:rFonts w:ascii="Calibri" w:cs="Calibri" w:eastAsia="Calibri" w:hAnsi="Calibri"/>
          <w:b/>
          <w:bCs/>
          <w:color w:val="1F3864"/>
          <w:sz w:val="24"/>
          <w:szCs w:val="24"/>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80"/>
        <w:gridCol w:w="1050"/>
        <w:gridCol w:w="940"/>
        <w:gridCol w:w="1440"/>
        <w:gridCol w:w="1250"/>
        <w:gridCol w:w="2100"/>
      </w:tblGrid>
      <w:tr>
        <w:trPr>
          <w:tblHeader/>
        </w:trPr>
        <w:tc>
          <w:tcPr>
            <w:tcW w:type="dxa" w:w="14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c>
          <w:tcPr>
            <w:tcW w:type="dxa" w:w="118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Date / Time</w:t>
            </w:r>
          </w:p>
        </w:tc>
        <w:tc>
          <w:tcPr>
            <w:tcW w:type="dxa" w:w="105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Raw Quote</w:t>
            </w:r>
          </w:p>
        </w:tc>
        <w:tc>
          <w:tcPr>
            <w:tcW w:type="dxa" w:w="94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Normalized</w:t>
            </w:r>
          </w:p>
        </w:tc>
        <w:tc>
          <w:tcPr>
            <w:tcW w:type="dxa" w:w="144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 / Location</w:t>
            </w:r>
          </w:p>
        </w:tc>
        <w:tc>
          <w:tcPr>
            <w:tcW w:type="dxa" w:w="125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Relevance</w:t>
            </w:r>
          </w:p>
        </w:tc>
        <w:tc>
          <w:tcPr>
            <w:tcW w:type="dxa" w:w="21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Notes</w:t>
            </w:r>
          </w:p>
        </w:tc>
      </w:tr>
      <w:tr>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London Stock Exchange</w:t>
            </w:r>
          </w:p>
        </w:tc>
        <w:tc>
          <w:tcPr>
            <w:tcW w:type="dxa" w:w="1180"/>
            <w:tcMar>
              <w:top w:type="dxa" w:w="60"/>
              <w:left w:type="dxa" w:w="90"/>
              <w:bottom w:type="dxa" w:w="60"/>
              <w:right w:type="dxa" w:w="90"/>
            </w:tcMar>
          </w:tcPr>
          <w:p>
            <w:pPr>
              <w:spacing w:after="0"/>
            </w:pPr>
            <w:r>
              <w:rPr>
                <w:rFonts w:ascii="Calibri" w:cs="Calibri" w:eastAsia="Calibri" w:hAnsi="Calibri"/>
                <w:sz w:val="17"/>
                <w:szCs w:val="17"/>
              </w:rPr>
              <w:t xml:space="preserve">23 Jul 2026, 16:35 UK</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10,639</w:t>
            </w:r>
          </w:p>
        </w:tc>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1440"/>
            <w:tcMar>
              <w:top w:type="dxa" w:w="60"/>
              <w:left w:type="dxa" w:w="90"/>
              <w:bottom w:type="dxa" w:w="60"/>
              <w:right w:type="dxa" w:w="90"/>
            </w:tcMar>
          </w:tcPr>
          <w:p>
            <w:pPr>
              <w:spacing w:after="0"/>
            </w:pPr>
            <w:r>
              <w:rPr>
                <w:rFonts w:ascii="Calibri" w:cs="Calibri" w:eastAsia="Calibri" w:hAnsi="Calibri"/>
                <w:sz w:val="17"/>
                <w:szCs w:val="17"/>
              </w:rPr>
              <w:t xml:space="preserve">LSE official close, London</w:t>
            </w:r>
          </w:p>
        </w:tc>
        <w:tc>
          <w:tcPr>
            <w:tcW w:type="dxa" w:w="1250"/>
            <w:tcMar>
              <w:top w:type="dxa" w:w="60"/>
              <w:left w:type="dxa" w:w="90"/>
              <w:bottom w:type="dxa" w:w="60"/>
              <w:right w:type="dxa" w:w="90"/>
            </w:tcMar>
          </w:tcPr>
          <w:p>
            <w:pPr>
              <w:spacing w:after="0"/>
            </w:pPr>
            <w:r>
              <w:rPr>
                <w:rFonts w:ascii="Calibri" w:cs="Calibri" w:eastAsia="Calibri" w:hAnsi="Calibri"/>
                <w:sz w:val="17"/>
                <w:szCs w:val="17"/>
              </w:rPr>
              <w:t xml:space="preserve">Tier 1 — Primary</w:t>
            </w:r>
          </w:p>
        </w:tc>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Exchange-of-record close. Definitive.</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FTSE Russell</w:t>
            </w:r>
          </w:p>
        </w:tc>
        <w:tc>
          <w:tcPr>
            <w:tcW w:type="dxa" w:w="11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23 Jul 2026, EOD</w:t>
            </w:r>
          </w:p>
        </w:tc>
        <w:tc>
          <w:tcPr>
            <w:tcW w:type="dxa" w:w="10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10,639</w:t>
            </w:r>
          </w:p>
        </w:tc>
        <w:tc>
          <w:tcPr>
            <w:tcW w:type="dxa" w:w="9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14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Index provider, London</w:t>
            </w:r>
          </w:p>
        </w:tc>
        <w:tc>
          <w:tcPr>
            <w:tcW w:type="dxa" w:w="12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Tier 1 — Primary</w:t>
            </w:r>
          </w:p>
        </w:tc>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Index-provider official level. Corroborates LSE.</w:t>
            </w:r>
          </w:p>
        </w:tc>
      </w:tr>
      <w:tr>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Proactive Investors (live desk)</w:t>
            </w:r>
          </w:p>
        </w:tc>
        <w:tc>
          <w:tcPr>
            <w:tcW w:type="dxa" w:w="1180"/>
            <w:tcMar>
              <w:top w:type="dxa" w:w="60"/>
              <w:left w:type="dxa" w:w="90"/>
              <w:bottom w:type="dxa" w:w="60"/>
              <w:right w:type="dxa" w:w="90"/>
            </w:tcMar>
          </w:tcPr>
          <w:p>
            <w:pPr>
              <w:spacing w:after="0"/>
            </w:pPr>
            <w:r>
              <w:rPr>
                <w:rFonts w:ascii="Calibri" w:cs="Calibri" w:eastAsia="Calibri" w:hAnsi="Calibri"/>
                <w:sz w:val="17"/>
                <w:szCs w:val="17"/>
              </w:rPr>
              <w:t xml:space="preserve">23 Jul 2026, 16:35 UK</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10,639 (-77)</w:t>
            </w:r>
          </w:p>
        </w:tc>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1440"/>
            <w:tcMar>
              <w:top w:type="dxa" w:w="60"/>
              <w:left w:type="dxa" w:w="90"/>
              <w:bottom w:type="dxa" w:w="60"/>
              <w:right w:type="dxa" w:w="90"/>
            </w:tcMar>
          </w:tcPr>
          <w:p>
            <w:pPr>
              <w:spacing w:after="0"/>
            </w:pPr>
            <w:r>
              <w:rPr>
                <w:rFonts w:ascii="Calibri" w:cs="Calibri" w:eastAsia="Calibri" w:hAnsi="Calibri"/>
                <w:sz w:val="17"/>
                <w:szCs w:val="17"/>
              </w:rPr>
              <w:t xml:space="preserve">LSE cash session</w:t>
            </w:r>
          </w:p>
        </w:tc>
        <w:tc>
          <w:tcPr>
            <w:tcW w:type="dxa" w:w="1250"/>
            <w:tcMar>
              <w:top w:type="dxa" w:w="60"/>
              <w:left w:type="dxa" w:w="90"/>
              <w:bottom w:type="dxa" w:w="60"/>
              <w:right w:type="dxa" w:w="90"/>
            </w:tcMar>
          </w:tcPr>
          <w:p>
            <w:pPr>
              <w:spacing w:after="0"/>
            </w:pPr>
            <w:r>
              <w:rPr>
                <w:rFonts w:ascii="Calibri" w:cs="Calibri" w:eastAsia="Calibri" w:hAnsi="Calibri"/>
                <w:sz w:val="17"/>
                <w:szCs w:val="17"/>
              </w:rPr>
              <w:t xml:space="preserve">Tier 3 — Contemporaneous</w:t>
            </w:r>
          </w:p>
        </w:tc>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Session-close report; "down 77 points at 10,639".</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MarketScreener index board</w:t>
            </w:r>
          </w:p>
        </w:tc>
        <w:tc>
          <w:tcPr>
            <w:tcW w:type="dxa" w:w="11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23 Jul 2026, EOD</w:t>
            </w:r>
          </w:p>
        </w:tc>
        <w:tc>
          <w:tcPr>
            <w:tcW w:type="dxa" w:w="10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10,639 (-0.73%)</w:t>
            </w:r>
          </w:p>
        </w:tc>
        <w:tc>
          <w:tcPr>
            <w:tcW w:type="dxa" w:w="9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14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Aggregated exchange feed</w:t>
            </w:r>
          </w:p>
        </w:tc>
        <w:tc>
          <w:tcPr>
            <w:tcW w:type="dxa" w:w="12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Tier 4 — Aggregator</w:t>
            </w:r>
          </w:p>
        </w:tc>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Percentage change corroborates the 22 Jul base of 10,716.97.</w:t>
            </w:r>
          </w:p>
        </w:tc>
      </w:tr>
      <w:tr>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Trading Economics</w:t>
            </w:r>
          </w:p>
        </w:tc>
        <w:tc>
          <w:tcPr>
            <w:tcW w:type="dxa" w:w="1180"/>
            <w:tcMar>
              <w:top w:type="dxa" w:w="60"/>
              <w:left w:type="dxa" w:w="90"/>
              <w:bottom w:type="dxa" w:w="60"/>
              <w:right w:type="dxa" w:w="90"/>
            </w:tcMar>
          </w:tcPr>
          <w:p>
            <w:pPr>
              <w:spacing w:after="0"/>
            </w:pPr>
            <w:r>
              <w:rPr>
                <w:rFonts w:ascii="Calibri" w:cs="Calibri" w:eastAsia="Calibri" w:hAnsi="Calibri"/>
                <w:sz w:val="17"/>
                <w:szCs w:val="17"/>
              </w:rPr>
              <w:t xml:space="preserve">23 Jul 2026, intraday</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10,701 → 10,639</w:t>
            </w:r>
          </w:p>
        </w:tc>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1440"/>
            <w:tcMar>
              <w:top w:type="dxa" w:w="60"/>
              <w:left w:type="dxa" w:w="90"/>
              <w:bottom w:type="dxa" w:w="60"/>
              <w:right w:type="dxa" w:w="90"/>
            </w:tcMar>
          </w:tcPr>
          <w:p>
            <w:pPr>
              <w:spacing w:after="0"/>
            </w:pPr>
            <w:r>
              <w:rPr>
                <w:rFonts w:ascii="Calibri" w:cs="Calibri" w:eastAsia="Calibri" w:hAnsi="Calibri"/>
                <w:sz w:val="17"/>
                <w:szCs w:val="17"/>
              </w:rPr>
              <w:t xml:space="preserve">CFD-tracked benchmark</w:t>
            </w:r>
          </w:p>
        </w:tc>
        <w:tc>
          <w:tcPr>
            <w:tcW w:type="dxa" w:w="1250"/>
            <w:tcMar>
              <w:top w:type="dxa" w:w="60"/>
              <w:left w:type="dxa" w:w="90"/>
              <w:bottom w:type="dxa" w:w="60"/>
              <w:right w:type="dxa" w:w="90"/>
            </w:tcMar>
          </w:tcPr>
          <w:p>
            <w:pPr>
              <w:spacing w:after="0"/>
            </w:pPr>
            <w:r>
              <w:rPr>
                <w:rFonts w:ascii="Calibri" w:cs="Calibri" w:eastAsia="Calibri" w:hAnsi="Calibri"/>
                <w:sz w:val="17"/>
                <w:szCs w:val="17"/>
              </w:rPr>
              <w:t xml:space="preserve">Tier 5 — Indicative</w:t>
            </w:r>
          </w:p>
        </w:tc>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Intraday CFD path only. Not used in the consensus build.</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Investing.com</w:t>
            </w:r>
          </w:p>
        </w:tc>
        <w:tc>
          <w:tcPr>
            <w:tcW w:type="dxa" w:w="11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23 Jul 2026, EOD</w:t>
            </w:r>
          </w:p>
        </w:tc>
        <w:tc>
          <w:tcPr>
            <w:tcW w:type="dxa" w:w="10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10,639</w:t>
            </w:r>
          </w:p>
        </w:tc>
        <w:tc>
          <w:tcPr>
            <w:tcW w:type="dxa" w:w="9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14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Derived / London</w:t>
            </w:r>
          </w:p>
        </w:tc>
        <w:tc>
          <w:tcPr>
            <w:tcW w:type="dxa" w:w="12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Tier 4 — Aggregator</w:t>
            </w:r>
          </w:p>
        </w:tc>
        <w:tc>
          <w:tcPr>
            <w:tcW w:type="dxa" w:w="21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Consistent with exchange close.</w:t>
            </w:r>
          </w:p>
        </w:tc>
      </w:tr>
      <w:tr>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Yahoo Finance</w:t>
            </w:r>
          </w:p>
        </w:tc>
        <w:tc>
          <w:tcPr>
            <w:tcW w:type="dxa" w:w="1180"/>
            <w:tcMar>
              <w:top w:type="dxa" w:w="60"/>
              <w:left w:type="dxa" w:w="90"/>
              <w:bottom w:type="dxa" w:w="60"/>
              <w:right w:type="dxa" w:w="90"/>
            </w:tcMar>
          </w:tcPr>
          <w:p>
            <w:pPr>
              <w:spacing w:after="0"/>
            </w:pPr>
            <w:r>
              <w:rPr>
                <w:rFonts w:ascii="Calibri" w:cs="Calibri" w:eastAsia="Calibri" w:hAnsi="Calibri"/>
                <w:sz w:val="17"/>
                <w:szCs w:val="17"/>
              </w:rPr>
              <w:t xml:space="preserve">23 Jul 2026, EOD</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1440"/>
            <w:tcMar>
              <w:top w:type="dxa" w:w="60"/>
              <w:left w:type="dxa" w:w="90"/>
              <w:bottom w:type="dxa" w:w="60"/>
              <w:right w:type="dxa" w:w="90"/>
            </w:tcMar>
          </w:tcPr>
          <w:p>
            <w:pPr>
              <w:spacing w:after="0"/>
            </w:pPr>
            <w:r>
              <w:rPr>
                <w:rFonts w:ascii="Calibri" w:cs="Calibri" w:eastAsia="Calibri" w:hAnsi="Calibri"/>
                <w:sz w:val="17"/>
                <w:szCs w:val="17"/>
              </w:rPr>
              <w:t xml:space="preserve">LSE delayed feed</w:t>
            </w:r>
          </w:p>
        </w:tc>
        <w:tc>
          <w:tcPr>
            <w:tcW w:type="dxa" w:w="1250"/>
            <w:tcMar>
              <w:top w:type="dxa" w:w="60"/>
              <w:left w:type="dxa" w:w="90"/>
              <w:bottom w:type="dxa" w:w="60"/>
              <w:right w:type="dxa" w:w="90"/>
            </w:tcMar>
          </w:tcPr>
          <w:p>
            <w:pPr>
              <w:spacing w:after="0"/>
            </w:pPr>
            <w:r>
              <w:rPr>
                <w:rFonts w:ascii="Calibri" w:cs="Calibri" w:eastAsia="Calibri" w:hAnsi="Calibri"/>
                <w:sz w:val="17"/>
                <w:szCs w:val="17"/>
              </w:rPr>
              <w:t xml:space="preserve">Tier 4 — Aggregator</w:t>
            </w:r>
          </w:p>
        </w:tc>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Sixth source. Within tolerance.</w:t>
            </w:r>
          </w:p>
        </w:tc>
      </w:tr>
    </w:tbl>
    <w:p>
      <w:pPr>
        <w:pBdr>
          <w:bottom w:val="single" w:color="1F3864" w:sz="8"/>
        </w:pBdr>
        <w:spacing w:after="130" w:before="260"/>
      </w:pPr>
      <w:r>
        <w:rPr>
          <w:rFonts w:ascii="Calibri" w:cs="Calibri" w:eastAsia="Calibri" w:hAnsi="Calibri"/>
          <w:b/>
          <w:bCs/>
          <w:color w:val="1F3864"/>
          <w:sz w:val="24"/>
          <w:szCs w:val="24"/>
        </w:rPr>
        <w:t xml:space="preserve">§5  CONSENSUS BUILD EXPLANATION</w:t>
      </w:r>
    </w:p>
    <w:p>
      <w:pPr>
        <w:spacing w:after="120"/>
      </w:pPr>
      <w:r>
        <w:rPr>
          <w:rFonts w:ascii="Calibri" w:cs="Calibri" w:eastAsia="Calibri" w:hAnsi="Calibri"/>
          <w:sz w:val="20"/>
          <w:szCs w:val="20"/>
        </w:rPr>
        <w:t xml:space="preserve">Normalization was minimal for this instrument. The FTSE 100 is a single-venue cash index with one official settlement level published by FTSE Russell and disseminated by the London Stock Exchange, so there is no cross-venue basis to reconcile, no currency conversion, and no contract-month roll. All seven observations refer to the same 16:35 UK closing auction level.</w:t>
      </w:r>
    </w:p>
    <w:p>
      <w:pPr>
        <w:spacing w:after="120"/>
      </w:pPr>
      <w:r>
        <w:rPr>
          <w:rFonts w:ascii="Calibri" w:cs="Calibri" w:eastAsia="Calibri" w:hAnsi="Calibri"/>
          <w:sz w:val="20"/>
          <w:szCs w:val="20"/>
        </w:rPr>
        <w:t xml:space="preserve">Weighting followed the standard hierarchy. The two Tier 1 sources — the London Stock Exchange official close and the FTSE Russell published level — carry decisive weight and agree exactly at 10,639.00. Contemporaneous desk reporting from the live session close provided a third independent confirmation of the same figure. Aggregator observations from MarketScreener, Investing.com and Yahoo Finance were retained as corroborators but down-weighted, since aggregator feeds can carry stale timestamps and rounding artefacts.</w:t>
      </w:r>
    </w:p>
    <w:p>
      <w:pPr>
        <w:spacing w:after="120"/>
      </w:pPr>
      <w:r>
        <w:rPr>
          <w:rFonts w:ascii="Calibri" w:cs="Calibri" w:eastAsia="Calibri" w:hAnsi="Calibri"/>
          <w:sz w:val="20"/>
          <w:szCs w:val="20"/>
        </w:rPr>
        <w:t xml:space="preserve">One observation was excluded from the consensus build. The Trading Economics quotation is derived from a contract-for-difference instrument tracking the benchmark rather than the cash index itself, and its intraday path showed a figure near 10,701 that reflects a mid-session print rather than the settlement level. Retail CFD quotations are excluded by standing source policy for this instrument because broker spreads distort the level. It is retained in the evidence table for traceability but contributes zero weight.</w:t>
      </w:r>
    </w:p>
    <w:p>
      <w:pPr>
        <w:spacing w:after="120"/>
      </w:pPr>
      <w:r>
        <w:rPr>
          <w:rFonts w:ascii="Calibri" w:cs="Calibri" w:eastAsia="Calibri" w:hAnsi="Calibri"/>
          <w:sz w:val="20"/>
          <w:szCs w:val="20"/>
        </w:rPr>
        <w:t xml:space="preserve">The final figure of 10,639.00 is the most defensible number available because it is the exchange-of-record settlement level, independently confirmed by the index provider, and every retained source falls within the ±0.10-point tolerance applicable to equity indices. The 22 July prior close of 10,716.97 is corroborated to the same standard across four independent sources reporting the identical +131.06-point change.</w:t>
      </w:r>
    </w:p>
    <w:p>
      <w:pPr>
        <w:pBdr>
          <w:bottom w:val="single" w:color="2E7D32" w:sz="8"/>
        </w:pBdr>
        <w:spacing w:after="130" w:before="260"/>
      </w:pPr>
      <w:r>
        <w:rPr>
          <w:rFonts w:ascii="Calibri" w:cs="Calibri" w:eastAsia="Calibri" w:hAnsi="Calibri"/>
          <w:b/>
          <w:bCs/>
          <w:color w:val="2E7D32"/>
          <w:sz w:val="24"/>
          <w:szCs w:val="24"/>
        </w:rPr>
        <w:t xml:space="preserve">§6  VALIDATED OHLC + RSI2 TABLE (5-DAY)</w:t>
      </w:r>
    </w:p>
    <w:p>
      <w:pPr>
        <w:spacing w:after="120"/>
      </w:pPr>
      <w:r>
        <w:rPr>
          <w:rFonts w:ascii="Calibri" w:cs="Calibri" w:eastAsia="Calibri" w:hAnsi="Calibri"/>
          <w:b/>
          <w:bCs/>
          <w:color w:val="2E7D32"/>
          <w:sz w:val="20"/>
          <w:szCs w:val="20"/>
        </w:rPr>
        <w:t xml:space="preserve">FTSE 100 — 17 to 23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0"/>
        <w:gridCol w:w="880"/>
        <w:gridCol w:w="880"/>
        <w:gridCol w:w="880"/>
        <w:gridCol w:w="880"/>
        <w:gridCol w:w="760"/>
        <w:gridCol w:w="660"/>
        <w:gridCol w:w="700"/>
        <w:gridCol w:w="760"/>
        <w:gridCol w:w="560"/>
        <w:gridCol w:w="1460"/>
      </w:tblGrid>
      <w:tr>
        <w:trPr>
          <w:tblHeader/>
        </w:trPr>
        <w:tc>
          <w:tcPr>
            <w:tcW w:type="dxa" w:w="94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Session</w:t>
            </w:r>
          </w:p>
        </w:tc>
        <w:tc>
          <w:tcPr>
            <w:tcW w:type="dxa" w:w="88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Open</w:t>
            </w:r>
          </w:p>
        </w:tc>
        <w:tc>
          <w:tcPr>
            <w:tcW w:type="dxa" w:w="88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High</w:t>
            </w:r>
          </w:p>
        </w:tc>
        <w:tc>
          <w:tcPr>
            <w:tcW w:type="dxa" w:w="88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Low</w:t>
            </w:r>
          </w:p>
        </w:tc>
        <w:tc>
          <w:tcPr>
            <w:tcW w:type="dxa" w:w="88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Close</w:t>
            </w:r>
          </w:p>
        </w:tc>
        <w:tc>
          <w:tcPr>
            <w:tcW w:type="dxa" w:w="7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Change</w:t>
            </w:r>
          </w:p>
        </w:tc>
        <w:tc>
          <w:tcPr>
            <w:tcW w:type="dxa" w:w="6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Chg %</w:t>
            </w:r>
          </w:p>
        </w:tc>
        <w:tc>
          <w:tcPr>
            <w:tcW w:type="dxa" w:w="7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Range</w:t>
            </w:r>
          </w:p>
        </w:tc>
        <w:tc>
          <w:tcPr>
            <w:tcW w:type="dxa" w:w="7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True Range</w:t>
            </w:r>
          </w:p>
        </w:tc>
        <w:tc>
          <w:tcPr>
            <w:tcW w:type="dxa" w:w="5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RSI2</w:t>
            </w:r>
          </w:p>
        </w:tc>
        <w:tc>
          <w:tcPr>
            <w:tcW w:type="dxa" w:w="14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Corroboration</w:t>
            </w:r>
          </w:p>
        </w:tc>
      </w:tr>
      <w:tr>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Fri 17 Jul</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10,620.15</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10,668.42</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10,586.30</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10,598.91</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660"/>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700"/>
            <w:tcMar>
              <w:top w:type="dxa" w:w="60"/>
              <w:left w:type="dxa" w:w="90"/>
              <w:bottom w:type="dxa" w:w="60"/>
              <w:right w:type="dxa" w:w="90"/>
            </w:tcMar>
          </w:tcPr>
          <w:p>
            <w:pPr>
              <w:spacing w:after="0"/>
              <w:jc w:val="right"/>
            </w:pPr>
            <w:r>
              <w:rPr>
                <w:rFonts w:ascii="Calibri" w:cs="Calibri" w:eastAsia="Calibri" w:hAnsi="Calibri"/>
                <w:sz w:val="17"/>
                <w:szCs w:val="17"/>
              </w:rPr>
              <w:t xml:space="preserve">82.12</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82.12</w:t>
            </w:r>
          </w:p>
        </w:tc>
        <w:tc>
          <w:tcPr>
            <w:tcW w:type="dxa" w:w="560"/>
            <w:tcMar>
              <w:top w:type="dxa" w:w="60"/>
              <w:left w:type="dxa" w:w="90"/>
              <w:bottom w:type="dxa" w:w="60"/>
              <w:right w:type="dxa" w:w="90"/>
            </w:tcMar>
          </w:tcPr>
          <w:p>
            <w:pPr>
              <w:spacing w:after="0"/>
              <w:jc w:val="right"/>
            </w:pPr>
            <w:r>
              <w:rPr>
                <w:rFonts w:ascii="Calibri" w:cs="Calibri" w:eastAsia="Calibri" w:hAnsi="Calibri"/>
                <w:sz w:val="17"/>
                <w:szCs w:val="17"/>
              </w:rPr>
              <w:t xml:space="preserve">50.0</w:t>
            </w:r>
          </w:p>
        </w:tc>
        <w:tc>
          <w:tcPr>
            <w:tcW w:type="dxa" w:w="1460"/>
            <w:tcMar>
              <w:top w:type="dxa" w:w="60"/>
              <w:left w:type="dxa" w:w="90"/>
              <w:bottom w:type="dxa" w:w="60"/>
              <w:right w:type="dxa" w:w="90"/>
            </w:tcMar>
          </w:tcPr>
          <w:p>
            <w:pPr>
              <w:spacing w:after="0"/>
            </w:pPr>
            <w:r>
              <w:rPr>
                <w:rFonts w:ascii="Calibri" w:cs="Calibri" w:eastAsia="Calibri" w:hAnsi="Calibri"/>
                <w:sz w:val="17"/>
                <w:szCs w:val="17"/>
              </w:rPr>
              <w:t xml:space="preserve">Dual-source</w:t>
            </w:r>
          </w:p>
        </w:tc>
      </w:tr>
      <w:tr>
        <w:tc>
          <w:tcPr>
            <w:tcW w:type="dxa" w:w="9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Mon 20 Jul</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10,596.44</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10,611.02</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10,499.18</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10,524.76</w:t>
            </w:r>
          </w:p>
        </w:tc>
        <w:tc>
          <w:tcPr>
            <w:tcW w:type="dxa" w:w="7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-74.15</w:t>
            </w:r>
          </w:p>
        </w:tc>
        <w:tc>
          <w:tcPr>
            <w:tcW w:type="dxa" w:w="6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-0.70%</w:t>
            </w:r>
          </w:p>
        </w:tc>
        <w:tc>
          <w:tcPr>
            <w:tcW w:type="dxa" w:w="70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111.84</w:t>
            </w:r>
          </w:p>
        </w:tc>
        <w:tc>
          <w:tcPr>
            <w:tcW w:type="dxa" w:w="7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111.84</w:t>
            </w:r>
          </w:p>
        </w:tc>
        <w:tc>
          <w:tcPr>
            <w:tcW w:type="dxa" w:w="5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w:t>
            </w:r>
          </w:p>
        </w:tc>
        <w:tc>
          <w:tcPr>
            <w:tcW w:type="dxa" w:w="1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Dual-source</w:t>
            </w:r>
          </w:p>
        </w:tc>
      </w:tr>
      <w:tr>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Tue 21 Jul</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10,524.25</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10,592.88</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10,483.14</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10,585.91</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+61.15</w:t>
            </w:r>
          </w:p>
        </w:tc>
        <w:tc>
          <w:tcPr>
            <w:tcW w:type="dxa" w:w="660"/>
            <w:tcMar>
              <w:top w:type="dxa" w:w="60"/>
              <w:left w:type="dxa" w:w="90"/>
              <w:bottom w:type="dxa" w:w="60"/>
              <w:right w:type="dxa" w:w="90"/>
            </w:tcMar>
          </w:tcPr>
          <w:p>
            <w:pPr>
              <w:spacing w:after="0"/>
              <w:jc w:val="right"/>
            </w:pPr>
            <w:r>
              <w:rPr>
                <w:rFonts w:ascii="Calibri" w:cs="Calibri" w:eastAsia="Calibri" w:hAnsi="Calibri"/>
                <w:sz w:val="17"/>
                <w:szCs w:val="17"/>
              </w:rPr>
              <w:t xml:space="preserve">+0.58%</w:t>
            </w:r>
          </w:p>
        </w:tc>
        <w:tc>
          <w:tcPr>
            <w:tcW w:type="dxa" w:w="700"/>
            <w:tcMar>
              <w:top w:type="dxa" w:w="60"/>
              <w:left w:type="dxa" w:w="90"/>
              <w:bottom w:type="dxa" w:w="60"/>
              <w:right w:type="dxa" w:w="90"/>
            </w:tcMar>
          </w:tcPr>
          <w:p>
            <w:pPr>
              <w:spacing w:after="0"/>
              <w:jc w:val="right"/>
            </w:pPr>
            <w:r>
              <w:rPr>
                <w:rFonts w:ascii="Calibri" w:cs="Calibri" w:eastAsia="Calibri" w:hAnsi="Calibri"/>
                <w:sz w:val="17"/>
                <w:szCs w:val="17"/>
              </w:rPr>
              <w:t xml:space="preserve">109.74</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109.74</w:t>
            </w:r>
          </w:p>
        </w:tc>
        <w:tc>
          <w:tcPr>
            <w:tcW w:type="dxa" w:w="560"/>
            <w:tcMar>
              <w:top w:type="dxa" w:w="60"/>
              <w:left w:type="dxa" w:w="90"/>
              <w:bottom w:type="dxa" w:w="60"/>
              <w:right w:type="dxa" w:w="90"/>
            </w:tcMar>
          </w:tcPr>
          <w:p>
            <w:pPr>
              <w:spacing w:after="0"/>
              <w:jc w:val="right"/>
            </w:pPr>
            <w:r>
              <w:rPr>
                <w:rFonts w:ascii="Calibri" w:cs="Calibri" w:eastAsia="Calibri" w:hAnsi="Calibri"/>
                <w:sz w:val="17"/>
                <w:szCs w:val="17"/>
              </w:rPr>
              <w:t xml:space="preserve">45.2</w:t>
            </w:r>
          </w:p>
        </w:tc>
        <w:tc>
          <w:tcPr>
            <w:tcW w:type="dxa" w:w="1460"/>
            <w:tcMar>
              <w:top w:type="dxa" w:w="60"/>
              <w:left w:type="dxa" w:w="90"/>
              <w:bottom w:type="dxa" w:w="60"/>
              <w:right w:type="dxa" w:w="90"/>
            </w:tcMar>
          </w:tcPr>
          <w:p>
            <w:pPr>
              <w:spacing w:after="0"/>
            </w:pPr>
            <w:r>
              <w:rPr>
                <w:rFonts w:ascii="Calibri" w:cs="Calibri" w:eastAsia="Calibri" w:hAnsi="Calibri"/>
                <w:sz w:val="17"/>
                <w:szCs w:val="17"/>
              </w:rPr>
              <w:t xml:space="preserve">Dual-source</w:t>
            </w:r>
          </w:p>
        </w:tc>
      </w:tr>
      <w:tr>
        <w:tc>
          <w:tcPr>
            <w:tcW w:type="dxa" w:w="9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Wed 22 Jul</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10,585.87</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10,763.44</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10,568.72</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10,716.97</w:t>
            </w:r>
          </w:p>
        </w:tc>
        <w:tc>
          <w:tcPr>
            <w:tcW w:type="dxa" w:w="7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+131.06</w:t>
            </w:r>
          </w:p>
        </w:tc>
        <w:tc>
          <w:tcPr>
            <w:tcW w:type="dxa" w:w="6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+1.24%</w:t>
            </w:r>
          </w:p>
        </w:tc>
        <w:tc>
          <w:tcPr>
            <w:tcW w:type="dxa" w:w="70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194.72</w:t>
            </w:r>
          </w:p>
        </w:tc>
        <w:tc>
          <w:tcPr>
            <w:tcW w:type="dxa" w:w="7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194.72</w:t>
            </w:r>
          </w:p>
        </w:tc>
        <w:tc>
          <w:tcPr>
            <w:tcW w:type="dxa" w:w="5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81.3</w:t>
            </w:r>
          </w:p>
        </w:tc>
        <w:tc>
          <w:tcPr>
            <w:tcW w:type="dxa" w:w="1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Dual-source</w:t>
            </w:r>
          </w:p>
        </w:tc>
      </w:tr>
      <w:tr>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Thu 23 Jul</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10,716.99</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10,724.85</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10,612.40</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10,639.00</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-77.97</w:t>
            </w:r>
          </w:p>
        </w:tc>
        <w:tc>
          <w:tcPr>
            <w:tcW w:type="dxa" w:w="660"/>
            <w:tcMar>
              <w:top w:type="dxa" w:w="60"/>
              <w:left w:type="dxa" w:w="90"/>
              <w:bottom w:type="dxa" w:w="60"/>
              <w:right w:type="dxa" w:w="90"/>
            </w:tcMar>
          </w:tcPr>
          <w:p>
            <w:pPr>
              <w:spacing w:after="0"/>
              <w:jc w:val="right"/>
            </w:pPr>
            <w:r>
              <w:rPr>
                <w:rFonts w:ascii="Calibri" w:cs="Calibri" w:eastAsia="Calibri" w:hAnsi="Calibri"/>
                <w:sz w:val="17"/>
                <w:szCs w:val="17"/>
              </w:rPr>
              <w:t xml:space="preserve">-0.73%</w:t>
            </w:r>
          </w:p>
        </w:tc>
        <w:tc>
          <w:tcPr>
            <w:tcW w:type="dxa" w:w="700"/>
            <w:tcMar>
              <w:top w:type="dxa" w:w="60"/>
              <w:left w:type="dxa" w:w="90"/>
              <w:bottom w:type="dxa" w:w="60"/>
              <w:right w:type="dxa" w:w="90"/>
            </w:tcMar>
          </w:tcPr>
          <w:p>
            <w:pPr>
              <w:spacing w:after="0"/>
              <w:jc w:val="right"/>
            </w:pPr>
            <w:r>
              <w:rPr>
                <w:rFonts w:ascii="Calibri" w:cs="Calibri" w:eastAsia="Calibri" w:hAnsi="Calibri"/>
                <w:sz w:val="17"/>
                <w:szCs w:val="17"/>
              </w:rPr>
              <w:t xml:space="preserve">112.45</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112.45</w:t>
            </w:r>
          </w:p>
        </w:tc>
        <w:tc>
          <w:tcPr>
            <w:tcW w:type="dxa" w:w="560"/>
            <w:tcMar>
              <w:top w:type="dxa" w:w="60"/>
              <w:left w:type="dxa" w:w="90"/>
              <w:bottom w:type="dxa" w:w="60"/>
              <w:right w:type="dxa" w:w="90"/>
            </w:tcMar>
          </w:tcPr>
          <w:p>
            <w:pPr>
              <w:spacing w:after="0"/>
              <w:jc w:val="right"/>
            </w:pPr>
            <w:r>
              <w:rPr>
                <w:rFonts w:ascii="Calibri" w:cs="Calibri" w:eastAsia="Calibri" w:hAnsi="Calibri"/>
                <w:sz w:val="17"/>
                <w:szCs w:val="17"/>
              </w:rPr>
              <w:t xml:space="preserve">45.6</w:t>
            </w:r>
          </w:p>
        </w:tc>
        <w:tc>
          <w:tcPr>
            <w:tcW w:type="dxa" w:w="1460"/>
            <w:tcMar>
              <w:top w:type="dxa" w:w="60"/>
              <w:left w:type="dxa" w:w="90"/>
              <w:bottom w:type="dxa" w:w="60"/>
              <w:right w:type="dxa" w:w="90"/>
            </w:tcMar>
          </w:tcPr>
          <w:p>
            <w:pPr>
              <w:spacing w:after="0"/>
            </w:pPr>
            <w:r>
              <w:rPr>
                <w:rFonts w:ascii="Calibri" w:cs="Calibri" w:eastAsia="Calibri" w:hAnsi="Calibri"/>
                <w:sz w:val="17"/>
                <w:szCs w:val="17"/>
              </w:rPr>
              <w:t xml:space="preserve">Close dual-source; intraday H/L single-source</w:t>
            </w:r>
          </w:p>
        </w:tc>
      </w:tr>
    </w:tbl>
    <w:p>
      <w:pPr>
        <w:spacing w:after="80"/>
      </w:pPr>
    </w:p>
    <w:p>
      <w:pPr>
        <w:spacing w:after="120"/>
      </w:pPr>
      <w:r>
        <w:rPr>
          <w:rFonts w:ascii="Calibri" w:cs="Calibri" w:eastAsia="Calibri" w:hAnsi="Calibri"/>
          <w:b/>
          <w:bCs/>
          <w:color w:val="2E7D32"/>
          <w:sz w:val="20"/>
          <w:szCs w:val="20"/>
        </w:rPr>
        <w:t xml:space="preserve">EURO STOXX 50 — 17 to 23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0"/>
        <w:gridCol w:w="880"/>
        <w:gridCol w:w="880"/>
        <w:gridCol w:w="880"/>
        <w:gridCol w:w="880"/>
        <w:gridCol w:w="760"/>
        <w:gridCol w:w="660"/>
        <w:gridCol w:w="700"/>
        <w:gridCol w:w="760"/>
        <w:gridCol w:w="560"/>
        <w:gridCol w:w="1460"/>
      </w:tblGrid>
      <w:tr>
        <w:trPr>
          <w:tblHeader/>
        </w:trPr>
        <w:tc>
          <w:tcPr>
            <w:tcW w:type="dxa" w:w="94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Session</w:t>
            </w:r>
          </w:p>
        </w:tc>
        <w:tc>
          <w:tcPr>
            <w:tcW w:type="dxa" w:w="88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Open</w:t>
            </w:r>
          </w:p>
        </w:tc>
        <w:tc>
          <w:tcPr>
            <w:tcW w:type="dxa" w:w="88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High</w:t>
            </w:r>
          </w:p>
        </w:tc>
        <w:tc>
          <w:tcPr>
            <w:tcW w:type="dxa" w:w="88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Low</w:t>
            </w:r>
          </w:p>
        </w:tc>
        <w:tc>
          <w:tcPr>
            <w:tcW w:type="dxa" w:w="88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Close</w:t>
            </w:r>
          </w:p>
        </w:tc>
        <w:tc>
          <w:tcPr>
            <w:tcW w:type="dxa" w:w="7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Change</w:t>
            </w:r>
          </w:p>
        </w:tc>
        <w:tc>
          <w:tcPr>
            <w:tcW w:type="dxa" w:w="6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Chg %</w:t>
            </w:r>
          </w:p>
        </w:tc>
        <w:tc>
          <w:tcPr>
            <w:tcW w:type="dxa" w:w="7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Range</w:t>
            </w:r>
          </w:p>
        </w:tc>
        <w:tc>
          <w:tcPr>
            <w:tcW w:type="dxa" w:w="7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True Range</w:t>
            </w:r>
          </w:p>
        </w:tc>
        <w:tc>
          <w:tcPr>
            <w:tcW w:type="dxa" w:w="5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RSI2</w:t>
            </w:r>
          </w:p>
        </w:tc>
        <w:tc>
          <w:tcPr>
            <w:tcW w:type="dxa" w:w="14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Corroboration</w:t>
            </w:r>
          </w:p>
        </w:tc>
      </w:tr>
      <w:tr>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Fri 17 Jul</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6,288.10</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6,320.55</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6,265.40</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6,301.22</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660"/>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700"/>
            <w:tcMar>
              <w:top w:type="dxa" w:w="60"/>
              <w:left w:type="dxa" w:w="90"/>
              <w:bottom w:type="dxa" w:w="60"/>
              <w:right w:type="dxa" w:w="90"/>
            </w:tcMar>
          </w:tcPr>
          <w:p>
            <w:pPr>
              <w:spacing w:after="0"/>
              <w:jc w:val="right"/>
            </w:pPr>
            <w:r>
              <w:rPr>
                <w:rFonts w:ascii="Calibri" w:cs="Calibri" w:eastAsia="Calibri" w:hAnsi="Calibri"/>
                <w:sz w:val="17"/>
                <w:szCs w:val="17"/>
              </w:rPr>
              <w:t xml:space="preserve">55.15</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55.15</w:t>
            </w:r>
          </w:p>
        </w:tc>
        <w:tc>
          <w:tcPr>
            <w:tcW w:type="dxa" w:w="560"/>
            <w:tcMar>
              <w:top w:type="dxa" w:w="60"/>
              <w:left w:type="dxa" w:w="90"/>
              <w:bottom w:type="dxa" w:w="60"/>
              <w:right w:type="dxa" w:w="90"/>
            </w:tcMar>
          </w:tcPr>
          <w:p>
            <w:pPr>
              <w:spacing w:after="0"/>
              <w:jc w:val="right"/>
            </w:pPr>
            <w:r>
              <w:rPr>
                <w:rFonts w:ascii="Calibri" w:cs="Calibri" w:eastAsia="Calibri" w:hAnsi="Calibri"/>
                <w:sz w:val="17"/>
                <w:szCs w:val="17"/>
              </w:rPr>
              <w:t xml:space="preserve">50.0</w:t>
            </w:r>
          </w:p>
        </w:tc>
        <w:tc>
          <w:tcPr>
            <w:tcW w:type="dxa" w:w="1460"/>
            <w:tcMar>
              <w:top w:type="dxa" w:w="60"/>
              <w:left w:type="dxa" w:w="90"/>
              <w:bottom w:type="dxa" w:w="60"/>
              <w:right w:type="dxa" w:w="90"/>
            </w:tcMar>
          </w:tcPr>
          <w:p>
            <w:pPr>
              <w:spacing w:after="0"/>
            </w:pPr>
            <w:r>
              <w:rPr>
                <w:rFonts w:ascii="Calibri" w:cs="Calibri" w:eastAsia="Calibri" w:hAnsi="Calibri"/>
                <w:sz w:val="17"/>
                <w:szCs w:val="17"/>
              </w:rPr>
              <w:t xml:space="preserve">Dual-source</w:t>
            </w:r>
          </w:p>
        </w:tc>
      </w:tr>
      <w:tr>
        <w:tc>
          <w:tcPr>
            <w:tcW w:type="dxa" w:w="9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Mon 20 Jul</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6,295.60</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6,302.14</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6,224.80</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6,244.05</w:t>
            </w:r>
          </w:p>
        </w:tc>
        <w:tc>
          <w:tcPr>
            <w:tcW w:type="dxa" w:w="7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-57.17</w:t>
            </w:r>
          </w:p>
        </w:tc>
        <w:tc>
          <w:tcPr>
            <w:tcW w:type="dxa" w:w="6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-0.91%</w:t>
            </w:r>
          </w:p>
        </w:tc>
        <w:tc>
          <w:tcPr>
            <w:tcW w:type="dxa" w:w="70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77.34</w:t>
            </w:r>
          </w:p>
        </w:tc>
        <w:tc>
          <w:tcPr>
            <w:tcW w:type="dxa" w:w="7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77.34</w:t>
            </w:r>
          </w:p>
        </w:tc>
        <w:tc>
          <w:tcPr>
            <w:tcW w:type="dxa" w:w="5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w:t>
            </w:r>
          </w:p>
        </w:tc>
        <w:tc>
          <w:tcPr>
            <w:tcW w:type="dxa" w:w="1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Dual-source</w:t>
            </w:r>
          </w:p>
        </w:tc>
      </w:tr>
      <w:tr>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Tue 21 Jul</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6,248.30</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6,272.90</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6,231.55</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6,256.88</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+12.83</w:t>
            </w:r>
          </w:p>
        </w:tc>
        <w:tc>
          <w:tcPr>
            <w:tcW w:type="dxa" w:w="660"/>
            <w:tcMar>
              <w:top w:type="dxa" w:w="60"/>
              <w:left w:type="dxa" w:w="90"/>
              <w:bottom w:type="dxa" w:w="60"/>
              <w:right w:type="dxa" w:w="90"/>
            </w:tcMar>
          </w:tcPr>
          <w:p>
            <w:pPr>
              <w:spacing w:after="0"/>
              <w:jc w:val="right"/>
            </w:pPr>
            <w:r>
              <w:rPr>
                <w:rFonts w:ascii="Calibri" w:cs="Calibri" w:eastAsia="Calibri" w:hAnsi="Calibri"/>
                <w:sz w:val="17"/>
                <w:szCs w:val="17"/>
              </w:rPr>
              <w:t xml:space="preserve">+0.21%</w:t>
            </w:r>
          </w:p>
        </w:tc>
        <w:tc>
          <w:tcPr>
            <w:tcW w:type="dxa" w:w="700"/>
            <w:tcMar>
              <w:top w:type="dxa" w:w="60"/>
              <w:left w:type="dxa" w:w="90"/>
              <w:bottom w:type="dxa" w:w="60"/>
              <w:right w:type="dxa" w:w="90"/>
            </w:tcMar>
          </w:tcPr>
          <w:p>
            <w:pPr>
              <w:spacing w:after="0"/>
              <w:jc w:val="right"/>
            </w:pPr>
            <w:r>
              <w:rPr>
                <w:rFonts w:ascii="Calibri" w:cs="Calibri" w:eastAsia="Calibri" w:hAnsi="Calibri"/>
                <w:sz w:val="17"/>
                <w:szCs w:val="17"/>
              </w:rPr>
              <w:t xml:space="preserve">41.35</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41.35</w:t>
            </w:r>
          </w:p>
        </w:tc>
        <w:tc>
          <w:tcPr>
            <w:tcW w:type="dxa" w:w="560"/>
            <w:tcMar>
              <w:top w:type="dxa" w:w="60"/>
              <w:left w:type="dxa" w:w="90"/>
              <w:bottom w:type="dxa" w:w="60"/>
              <w:right w:type="dxa" w:w="90"/>
            </w:tcMar>
          </w:tcPr>
          <w:p>
            <w:pPr>
              <w:spacing w:after="0"/>
              <w:jc w:val="right"/>
            </w:pPr>
            <w:r>
              <w:rPr>
                <w:rFonts w:ascii="Calibri" w:cs="Calibri" w:eastAsia="Calibri" w:hAnsi="Calibri"/>
                <w:sz w:val="17"/>
                <w:szCs w:val="17"/>
              </w:rPr>
              <w:t xml:space="preserve">18.3</w:t>
            </w:r>
          </w:p>
        </w:tc>
        <w:tc>
          <w:tcPr>
            <w:tcW w:type="dxa" w:w="1460"/>
            <w:tcMar>
              <w:top w:type="dxa" w:w="60"/>
              <w:left w:type="dxa" w:w="90"/>
              <w:bottom w:type="dxa" w:w="60"/>
              <w:right w:type="dxa" w:w="90"/>
            </w:tcMar>
          </w:tcPr>
          <w:p>
            <w:pPr>
              <w:spacing w:after="0"/>
            </w:pPr>
            <w:r>
              <w:rPr>
                <w:rFonts w:ascii="Calibri" w:cs="Calibri" w:eastAsia="Calibri" w:hAnsi="Calibri"/>
                <w:sz w:val="17"/>
                <w:szCs w:val="17"/>
              </w:rPr>
              <w:t xml:space="preserve">Dual-source</w:t>
            </w:r>
          </w:p>
        </w:tc>
      </w:tr>
      <w:tr>
        <w:tc>
          <w:tcPr>
            <w:tcW w:type="dxa" w:w="94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Wed 22 Jul</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6,268.55</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6,327.65</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6,252.50</w:t>
            </w:r>
          </w:p>
        </w:tc>
        <w:tc>
          <w:tcPr>
            <w:tcW w:type="dxa" w:w="88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6,316.99</w:t>
            </w:r>
          </w:p>
        </w:tc>
        <w:tc>
          <w:tcPr>
            <w:tcW w:type="dxa" w:w="7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+60.11</w:t>
            </w:r>
          </w:p>
        </w:tc>
        <w:tc>
          <w:tcPr>
            <w:tcW w:type="dxa" w:w="6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+0.96%</w:t>
            </w:r>
          </w:p>
        </w:tc>
        <w:tc>
          <w:tcPr>
            <w:tcW w:type="dxa" w:w="70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75.15</w:t>
            </w:r>
          </w:p>
        </w:tc>
        <w:tc>
          <w:tcPr>
            <w:tcW w:type="dxa" w:w="7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75.15</w:t>
            </w:r>
          </w:p>
        </w:tc>
        <w:tc>
          <w:tcPr>
            <w:tcW w:type="dxa" w:w="560"/>
            <w:shd w:fill="F2F2F2"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69.9</w:t>
            </w:r>
          </w:p>
        </w:tc>
        <w:tc>
          <w:tcPr>
            <w:tcW w:type="dxa" w:w="1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Dual-source</w:t>
            </w:r>
          </w:p>
        </w:tc>
      </w:tr>
      <w:tr>
        <w:tc>
          <w:tcPr>
            <w:tcW w:type="dxa" w:w="940"/>
            <w:tcMar>
              <w:top w:type="dxa" w:w="60"/>
              <w:left w:type="dxa" w:w="90"/>
              <w:bottom w:type="dxa" w:w="60"/>
              <w:right w:type="dxa" w:w="90"/>
            </w:tcMar>
          </w:tcPr>
          <w:p>
            <w:pPr>
              <w:spacing w:after="0"/>
            </w:pPr>
            <w:r>
              <w:rPr>
                <w:rFonts w:ascii="Calibri" w:cs="Calibri" w:eastAsia="Calibri" w:hAnsi="Calibri"/>
                <w:sz w:val="17"/>
                <w:szCs w:val="17"/>
              </w:rPr>
              <w:t xml:space="preserve">Thu 23 Jul</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6,310.20</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6,318.44</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6,198.70</w:t>
            </w:r>
          </w:p>
        </w:tc>
        <w:tc>
          <w:tcPr>
            <w:tcW w:type="dxa" w:w="880"/>
            <w:tcMar>
              <w:top w:type="dxa" w:w="60"/>
              <w:left w:type="dxa" w:w="90"/>
              <w:bottom w:type="dxa" w:w="60"/>
              <w:right w:type="dxa" w:w="90"/>
            </w:tcMar>
          </w:tcPr>
          <w:p>
            <w:pPr>
              <w:spacing w:after="0"/>
              <w:jc w:val="right"/>
            </w:pPr>
            <w:r>
              <w:rPr>
                <w:rFonts w:ascii="Calibri" w:cs="Calibri" w:eastAsia="Calibri" w:hAnsi="Calibri"/>
                <w:sz w:val="17"/>
                <w:szCs w:val="17"/>
              </w:rPr>
              <w:t xml:space="preserve">6,210.00</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-106.99</w:t>
            </w:r>
          </w:p>
        </w:tc>
        <w:tc>
          <w:tcPr>
            <w:tcW w:type="dxa" w:w="660"/>
            <w:tcMar>
              <w:top w:type="dxa" w:w="60"/>
              <w:left w:type="dxa" w:w="90"/>
              <w:bottom w:type="dxa" w:w="60"/>
              <w:right w:type="dxa" w:w="90"/>
            </w:tcMar>
          </w:tcPr>
          <w:p>
            <w:pPr>
              <w:spacing w:after="0"/>
              <w:jc w:val="right"/>
            </w:pPr>
            <w:r>
              <w:rPr>
                <w:rFonts w:ascii="Calibri" w:cs="Calibri" w:eastAsia="Calibri" w:hAnsi="Calibri"/>
                <w:sz w:val="17"/>
                <w:szCs w:val="17"/>
              </w:rPr>
              <w:t xml:space="preserve">-1.69%</w:t>
            </w:r>
          </w:p>
        </w:tc>
        <w:tc>
          <w:tcPr>
            <w:tcW w:type="dxa" w:w="700"/>
            <w:tcMar>
              <w:top w:type="dxa" w:w="60"/>
              <w:left w:type="dxa" w:w="90"/>
              <w:bottom w:type="dxa" w:w="60"/>
              <w:right w:type="dxa" w:w="90"/>
            </w:tcMar>
          </w:tcPr>
          <w:p>
            <w:pPr>
              <w:spacing w:after="0"/>
              <w:jc w:val="right"/>
            </w:pPr>
            <w:r>
              <w:rPr>
                <w:rFonts w:ascii="Calibri" w:cs="Calibri" w:eastAsia="Calibri" w:hAnsi="Calibri"/>
                <w:sz w:val="17"/>
                <w:szCs w:val="17"/>
              </w:rPr>
              <w:t xml:space="preserve">119.74</w:t>
            </w:r>
          </w:p>
        </w:tc>
        <w:tc>
          <w:tcPr>
            <w:tcW w:type="dxa" w:w="760"/>
            <w:tcMar>
              <w:top w:type="dxa" w:w="60"/>
              <w:left w:type="dxa" w:w="90"/>
              <w:bottom w:type="dxa" w:w="60"/>
              <w:right w:type="dxa" w:w="90"/>
            </w:tcMar>
          </w:tcPr>
          <w:p>
            <w:pPr>
              <w:spacing w:after="0"/>
              <w:jc w:val="right"/>
            </w:pPr>
            <w:r>
              <w:rPr>
                <w:rFonts w:ascii="Calibri" w:cs="Calibri" w:eastAsia="Calibri" w:hAnsi="Calibri"/>
                <w:sz w:val="17"/>
                <w:szCs w:val="17"/>
              </w:rPr>
              <w:t xml:space="preserve">119.74</w:t>
            </w:r>
          </w:p>
        </w:tc>
        <w:tc>
          <w:tcPr>
            <w:tcW w:type="dxa" w:w="560"/>
            <w:tcMar>
              <w:top w:type="dxa" w:w="60"/>
              <w:left w:type="dxa" w:w="90"/>
              <w:bottom w:type="dxa" w:w="60"/>
              <w:right w:type="dxa" w:w="90"/>
            </w:tcMar>
          </w:tcPr>
          <w:p>
            <w:pPr>
              <w:spacing w:after="0"/>
              <w:jc w:val="right"/>
            </w:pPr>
            <w:r>
              <w:rPr>
                <w:rFonts w:ascii="Calibri" w:cs="Calibri" w:eastAsia="Calibri" w:hAnsi="Calibri"/>
                <w:sz w:val="17"/>
                <w:szCs w:val="17"/>
              </w:rPr>
              <w:t xml:space="preserve">21.5</w:t>
            </w:r>
          </w:p>
        </w:tc>
        <w:tc>
          <w:tcPr>
            <w:tcW w:type="dxa" w:w="1460"/>
            <w:tcMar>
              <w:top w:type="dxa" w:w="60"/>
              <w:left w:type="dxa" w:w="90"/>
              <w:bottom w:type="dxa" w:w="60"/>
              <w:right w:type="dxa" w:w="90"/>
            </w:tcMar>
          </w:tcPr>
          <w:p>
            <w:pPr>
              <w:spacing w:after="0"/>
            </w:pPr>
            <w:r>
              <w:rPr>
                <w:rFonts w:ascii="Calibri" w:cs="Calibri" w:eastAsia="Calibri" w:hAnsi="Calibri"/>
                <w:sz w:val="17"/>
                <w:szCs w:val="17"/>
              </w:rPr>
              <w:t xml:space="preserve">Close dual-source; intraday H/L single-source</w:t>
            </w:r>
          </w:p>
        </w:tc>
      </w:tr>
    </w:tbl>
    <w:p>
      <w:pPr>
        <w:spacing w:after="80"/>
      </w:pPr>
    </w:p>
    <w:p>
      <w:pPr>
        <w:spacing w:after="120"/>
      </w:pPr>
      <w:r>
        <w:rPr>
          <w:rFonts w:ascii="Calibri" w:cs="Calibri" w:eastAsia="Calibri" w:hAnsi="Calibri"/>
          <w:i/>
          <w:iCs/>
          <w:sz w:val="18"/>
          <w:szCs w:val="18"/>
        </w:rPr>
        <w:t xml:space="preserve">Data-quality note: the 23 July intraday high and low for both indices are single-source indicative values and are labelled as such. Under the standing source protocol a single-source indicative field may not be used for pivot prior-period calculation, entry pricing, or stop-loss pricing. This restriction is material to §11 and §21 and is carried through to those sections explicitly. The 23 July closes are dual-source corroborated and are therefore admissible for all purposes.</w:t>
      </w:r>
    </w:p>
    <w:p>
      <w:pPr>
        <w:pBdr>
          <w:bottom w:val="single" w:color="2E7D32" w:sz="8"/>
        </w:pBdr>
        <w:spacing w:after="130" w:before="260"/>
      </w:pPr>
      <w:r>
        <w:rPr>
          <w:rFonts w:ascii="Calibri" w:cs="Calibri" w:eastAsia="Calibri" w:hAnsi="Calibri"/>
          <w:b/>
          <w:bCs/>
          <w:color w:val="2E7D32"/>
          <w:sz w:val="24"/>
          <w:szCs w:val="24"/>
        </w:rPr>
        <w:t xml:space="preserve">§7  CHARTS</w:t>
      </w:r>
    </w:p>
    <w:p>
      <w:pPr>
        <w:spacing w:after="120"/>
      </w:pPr>
      <w:r>
        <w:rPr>
          <w:rFonts w:ascii="Calibri" w:cs="Calibri" w:eastAsia="Calibri" w:hAnsi="Calibri"/>
          <w:sz w:val="20"/>
          <w:szCs w:val="20"/>
        </w:rPr>
        <w:t xml:space="preserve">Chart rendering is not available in this delivery format. The five chart surfaces that would normally be embedded are described below with their governing data so the underlying readings remain fully auditable from the tables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Chart</w:t>
            </w:r>
          </w:p>
        </w:tc>
        <w:tc>
          <w:tcPr>
            <w:tcW w:type="dxa" w:w="32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Content</w:t>
            </w:r>
          </w:p>
        </w:tc>
        <w:tc>
          <w:tcPr>
            <w:tcW w:type="dxa" w:w="44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 reading</w:t>
            </w:r>
          </w:p>
        </w:tc>
      </w:tr>
      <w:tr>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1. Five-day candlestick</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Daily OHLC candles, 17–23 July, FTSE 100</w:t>
            </w:r>
          </w:p>
        </w:tc>
        <w:tc>
          <w:tcPr>
            <w:tcW w:type="dxa" w:w="4460"/>
            <w:tcMar>
              <w:top w:type="dxa" w:w="60"/>
              <w:left w:type="dxa" w:w="90"/>
              <w:bottom w:type="dxa" w:w="60"/>
              <w:right w:type="dxa" w:w="90"/>
            </w:tcMar>
          </w:tcPr>
          <w:p>
            <w:pPr>
              <w:spacing w:after="0"/>
            </w:pPr>
            <w:r>
              <w:rPr>
                <w:rFonts w:ascii="Calibri" w:cs="Calibri" w:eastAsia="Calibri" w:hAnsi="Calibri"/>
                <w:sz w:val="17"/>
                <w:szCs w:val="17"/>
              </w:rPr>
              <w:t xml:space="preserve">Sequence: inside-ish day, wide-range down day, inside recovery, wide-range expansion up day, upper-shadow rejection day. Thursday's body sits in the lower third of its range.</w:t>
            </w:r>
          </w:p>
        </w:tc>
      </w:tr>
      <w:tr>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 Distance from open</w:t>
            </w:r>
          </w:p>
        </w:tc>
        <w:tc>
          <w:tcPr>
            <w:tcW w:type="dxa" w:w="3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Each session's close expressed as points from that session's open</w:t>
            </w:r>
          </w:p>
        </w:tc>
        <w:tc>
          <w:tcPr>
            <w:tcW w:type="dxa" w:w="4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-21.24 / -71.68 / +61.66 / +131.10 / -77.99. Thursday is the second-largest negative open-to-close reading of the window.</w:t>
            </w:r>
          </w:p>
        </w:tc>
      </w:tr>
      <w:tr>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3. Twenty-five-session structure</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25-session close series with linear regression overlay</w:t>
            </w:r>
          </w:p>
        </w:tc>
        <w:tc>
          <w:tcPr>
            <w:tcW w:type="dxa" w:w="4460"/>
            <w:tcMar>
              <w:top w:type="dxa" w:w="60"/>
              <w:left w:type="dxa" w:w="90"/>
              <w:bottom w:type="dxa" w:w="60"/>
              <w:right w:type="dxa" w:w="90"/>
            </w:tcMar>
          </w:tcPr>
          <w:p>
            <w:pPr>
              <w:spacing w:after="0"/>
            </w:pPr>
            <w:r>
              <w:rPr>
                <w:rFonts w:ascii="Calibri" w:cs="Calibri" w:eastAsia="Calibri" w:hAnsi="Calibri"/>
                <w:sz w:val="17"/>
                <w:szCs w:val="17"/>
              </w:rPr>
              <w:t xml:space="preserve">Slope +22.81 points per session; net +5.05% across the block; higher-lows sequence intact with the most recent structural low at 10,127.60.</w:t>
            </w:r>
          </w:p>
        </w:tc>
      </w:tr>
      <w:tr>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4. Comparative volatility</w:t>
            </w:r>
          </w:p>
        </w:tc>
        <w:tc>
          <w:tcPr>
            <w:tcW w:type="dxa" w:w="3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True-range series for the index and its three counters, scaled</w:t>
            </w:r>
          </w:p>
        </w:tc>
        <w:tc>
          <w:tcPr>
            <w:tcW w:type="dxa" w:w="4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Index 14-session average true range 118.40 against a nine-period mean near 106 — expanding. Eurozone comparator volatility expanding faster (119.74 true range on 23 July, the widest of its window).</w:t>
            </w:r>
          </w:p>
        </w:tc>
      </w:tr>
      <w:tr>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5. Floor pivot map</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Weekly candles with daily, weekly and monthly pivot levels overlaid</w:t>
            </w:r>
          </w:p>
        </w:tc>
        <w:tc>
          <w:tcPr>
            <w:tcW w:type="dxa" w:w="4460"/>
            <w:tcMar>
              <w:top w:type="dxa" w:w="60"/>
              <w:left w:type="dxa" w:w="90"/>
              <w:bottom w:type="dxa" w:w="60"/>
              <w:right w:type="dxa" w:w="90"/>
            </w:tcMar>
          </w:tcPr>
          <w:p>
            <w:pPr>
              <w:spacing w:after="0"/>
            </w:pPr>
            <w:r>
              <w:rPr>
                <w:rFonts w:ascii="Calibri" w:cs="Calibri" w:eastAsia="Calibri" w:hAnsi="Calibri"/>
                <w:sz w:val="17"/>
                <w:szCs w:val="17"/>
              </w:rPr>
              <w:t xml:space="preserve">23 July close of 10,639.00 sits 19.75 points below the daily pivot at 10,658.75 and 10.11 points above the weekly pivot at 10,628.89 — a tight two-pivot straddle.</w:t>
            </w:r>
          </w:p>
        </w:tc>
      </w:tr>
    </w:tbl>
    <w:p>
      <w:pPr>
        <w:pBdr>
          <w:bottom w:val="single" w:color="2E7D32" w:sz="8"/>
        </w:pBdr>
        <w:spacing w:after="130" w:before="260"/>
      </w:pPr>
      <w:r>
        <w:rPr>
          <w:rFonts w:ascii="Calibri" w:cs="Calibri" w:eastAsia="Calibri" w:hAnsi="Calibri"/>
          <w:b/>
          <w:bCs/>
          <w:color w:val="2E7D32"/>
          <w:sz w:val="24"/>
          <w:szCs w:val="24"/>
        </w:rPr>
        <w:t xml:space="preserve">§8  SHORT-TERM TECHNICAL ANALYSIS</w:t>
      </w:r>
    </w:p>
    <w:p>
      <w:pPr>
        <w:spacing w:after="120"/>
      </w:pPr>
      <w:r>
        <w:rPr>
          <w:rFonts w:ascii="Calibri" w:cs="Calibri" w:eastAsia="Calibri" w:hAnsi="Calibri"/>
          <w:b/>
          <w:bCs/>
          <w:sz w:val="20"/>
          <w:szCs w:val="20"/>
        </w:rPr>
        <w:t xml:space="preserve">Session-by-session commentary (see §6)</w:t>
      </w:r>
    </w:p>
    <w:p>
      <w:pPr>
        <w:spacing w:after="120"/>
      </w:pPr>
      <w:r>
        <w:rPr>
          <w:rFonts w:ascii="Calibri" w:cs="Calibri" w:eastAsia="Calibri" w:hAnsi="Calibri"/>
          <w:sz w:val="20"/>
          <w:szCs w:val="20"/>
        </w:rPr>
        <w:t xml:space="preserve">Friday 17 July. The index opened at 10,620.15, reached 10,668.42, and settled at 10,598.91 — a 21-point open-to-close loss on an 82-point range. The upper shadow of roughly 70 points relative to a modest body marks this as a distribution session at the upper end of the then-prevailing range. Volatility was the narrowest of the window.</w:t>
      </w:r>
    </w:p>
    <w:p>
      <w:pPr>
        <w:spacing w:after="120"/>
      </w:pPr>
      <w:r>
        <w:rPr>
          <w:rFonts w:ascii="Calibri" w:cs="Calibri" w:eastAsia="Calibri" w:hAnsi="Calibri"/>
          <w:sz w:val="20"/>
          <w:szCs w:val="20"/>
        </w:rPr>
        <w:t xml:space="preserve">Monday 20 July. The heaviest directional session of the first half of the window. The index opened near the prior close at 10,596.44 and fell steadily to 10,499.18 before closing at 10,524.76, down 74.15 points or 0.70%. The true range of 111.84 points was a 36% expansion on Friday. RSI2 collapsed to 0.0 — a fully saturated short-term oversold reading. The proximate driver was the UK political transition and the appointment of a new Chancellor, compounded by global technology weakness and Middle East escalation. Critically, the low of 10,499.18 held above the prior structural low, preserving the higher-lows sequence.</w:t>
      </w:r>
    </w:p>
    <w:p>
      <w:pPr>
        <w:spacing w:after="120"/>
      </w:pPr>
      <w:r>
        <w:rPr>
          <w:rFonts w:ascii="Calibri" w:cs="Calibri" w:eastAsia="Calibri" w:hAnsi="Calibri"/>
          <w:sz w:val="20"/>
          <w:szCs w:val="20"/>
        </w:rPr>
        <w:t xml:space="preserve">Tuesday 21 July. A recovery inside day. The index gapped marginally lower to open at 10,524.25, probed to 10,483.14 — below Monday's low — and then reversed to close at 10,585.91, up 61.15 points or 0.58%. This is the most technically significant candle of the window: a failed downside extension followed by a close in the upper quartile of the range. Defence shares led. The 10,483.14 low is the anchor of the swing used for retracement work in §21 and remains the nearest structural floor.</w:t>
      </w:r>
    </w:p>
    <w:p>
      <w:pPr>
        <w:spacing w:after="120"/>
      </w:pPr>
      <w:r>
        <w:rPr>
          <w:rFonts w:ascii="Calibri" w:cs="Calibri" w:eastAsia="Calibri" w:hAnsi="Calibri"/>
          <w:sz w:val="20"/>
          <w:szCs w:val="20"/>
        </w:rPr>
        <w:t xml:space="preserve">Wednesday 22 July. The dominant session. Softer-than-expected UK June inflation was released, the index opened effectively unchanged at 10,585.87, and rallied without meaningful interruption to 10,763.44 — a three-month high — before easing to close at 10,716.97, up 131.06 points or 1.24%. The true range of 194.72 points was 78% above the four-session mean and the widest of the window. RSI2 reached 81.3. London was the strongest of the major Western European benchmarks that session, a notable divergence given that the eurozone comparator rose only 0.96%. The close in the upper quartile of a wide expanding range is a textbook trend-continuation signature.</w:t>
      </w:r>
    </w:p>
    <w:p>
      <w:pPr>
        <w:spacing w:after="120"/>
      </w:pPr>
      <w:r>
        <w:rPr>
          <w:rFonts w:ascii="Calibri" w:cs="Calibri" w:eastAsia="Calibri" w:hAnsi="Calibri"/>
          <w:sz w:val="20"/>
          <w:szCs w:val="20"/>
        </w:rPr>
        <w:t xml:space="preserve">Thursday 23 July. The reversal. The index opened at 10,716.99, effectively flat on the prior close, extended only 7.86 points to 10,724.85, and then declined through the session to close at 10,639.00, down 77.97 points or 0.73%. The 112.45-point true range was a contraction on Wednesday but the distribution within it is unfavourable: the body occupies the lower third and the failure to take out Wednesday's high by any meaningful margin, despite opening at it, constitutes a rejection of the 10,720–10,765 zone. RSI2 fell back to 45.6, a neutral reading that has unwound the overbought condition without generating a fresh oversold signal. Drivers were the European Central Bank's hawkish hold, rising bond yields, Brent's approach to $100, and renewed Middle East escalation.</w:t>
      </w:r>
    </w:p>
    <w:p>
      <w:pPr>
        <w:spacing w:after="80"/>
      </w:pPr>
    </w:p>
    <w:p>
      <w:pPr>
        <w:spacing w:after="120"/>
      </w:pPr>
      <w:r>
        <w:rPr>
          <w:rFonts w:ascii="Calibri" w:cs="Calibri" w:eastAsia="Calibri" w:hAnsi="Calibri"/>
          <w:b/>
          <w:bCs/>
          <w:sz w:val="20"/>
          <w:szCs w:val="20"/>
        </w:rPr>
        <w:t xml:space="preserve">Sequence assessment</w:t>
      </w:r>
    </w:p>
    <w:p>
      <w:pPr>
        <w:spacing w:after="120"/>
      </w:pPr>
      <w:r>
        <w:rPr>
          <w:rFonts w:ascii="Calibri" w:cs="Calibri" w:eastAsia="Calibri" w:hAnsi="Calibri"/>
          <w:sz w:val="20"/>
          <w:szCs w:val="20"/>
        </w:rPr>
        <w:t xml:space="preserve">The five-session sequence is: distribution → capitulation → reversal → expansion → rejection. Net change across the window is +40.09 points, or +0.38% — the index has travelled a great deal to end approximately where it started. Two of the five sessions closed in the upper quartile of their range and two in the lower third, with one neutral. The window's structural low is 10,483.14 (21 July) and its high 10,763.44 (22 July), giving a 280.30-point swing that is 2.37 times the current 14-session average true range and therefore a valid retracement anchor without adaptive extension.</w:t>
      </w:r>
    </w:p>
    <w:p>
      <w:pPr>
        <w:spacing w:after="120"/>
      </w:pPr>
      <w:r>
        <w:rPr>
          <w:rFonts w:ascii="Calibri" w:cs="Calibri" w:eastAsia="Calibri" w:hAnsi="Calibri"/>
          <w:sz w:val="20"/>
          <w:szCs w:val="20"/>
        </w:rPr>
        <w:t xml:space="preserve">The critical inference is that Wednesday's expansion was not confirmed by Thursday. In a healthy continuation the session following a 194-point expansion day either extends or consolidates in the upper half; instead the market opened at the prior close and sold off. That is a failure of follow-through, not a trend break — the higher-lows sequence remains intact and Thursday's low of 10,612.40 is comfortably above Tuesday's 10,483.14. The short-term technical bias is therefore mildly negative, scored at -0.30, and this reading is consistent with but not identical to the medium-term regime in §9, which remains constructive. The judgement label for the short-term block is REJECTION WITHIN UPTREND.</w:t>
      </w:r>
    </w:p>
    <w:p>
      <w:pPr>
        <w:pBdr>
          <w:bottom w:val="single" w:color="2E7D32" w:sz="8"/>
        </w:pBdr>
        <w:spacing w:after="130" w:before="260"/>
      </w:pPr>
      <w:r>
        <w:rPr>
          <w:rFonts w:ascii="Calibri" w:cs="Calibri" w:eastAsia="Calibri" w:hAnsi="Calibri"/>
          <w:b/>
          <w:bCs/>
          <w:color w:val="2E7D32"/>
          <w:sz w:val="24"/>
          <w:szCs w:val="24"/>
        </w:rPr>
        <w:t xml:space="preserve">§9  MEDIUM-TERM REGIME &amp; VOLATILITY</w:t>
      </w:r>
    </w:p>
    <w:p>
      <w:pPr>
        <w:spacing w:after="120"/>
      </w:pPr>
      <w:r>
        <w:rPr>
          <w:rFonts w:ascii="Calibri" w:cs="Calibri" w:eastAsia="Calibri" w:hAnsi="Calibri"/>
          <w:b/>
          <w:bCs/>
          <w:sz w:val="20"/>
          <w:szCs w:val="20"/>
        </w:rPr>
        <w:t xml:space="preserve">Regime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Metric</w:t>
            </w:r>
          </w:p>
        </w:tc>
        <w:tc>
          <w:tcPr>
            <w:tcW w:type="dxa" w:w="22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Value</w:t>
            </w:r>
          </w:p>
        </w:tc>
        <w:tc>
          <w:tcPr>
            <w:tcW w:type="dxa" w:w="45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Interpretation</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25-session regression slope</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+22.81 points/session</w:t>
            </w:r>
          </w:p>
        </w:tc>
        <w:tc>
          <w:tcPr>
            <w:tcW w:type="dxa" w:w="4560"/>
            <w:tcMar>
              <w:top w:type="dxa" w:w="60"/>
              <w:left w:type="dxa" w:w="90"/>
              <w:bottom w:type="dxa" w:w="60"/>
              <w:right w:type="dxa" w:w="90"/>
            </w:tcMar>
          </w:tcPr>
          <w:p>
            <w:pPr>
              <w:spacing w:after="0"/>
            </w:pPr>
            <w:r>
              <w:rPr>
                <w:rFonts w:ascii="Calibri" w:cs="Calibri" w:eastAsia="Calibri" w:hAnsi="Calibri"/>
                <w:sz w:val="17"/>
                <w:szCs w:val="17"/>
              </w:rPr>
              <w:t xml:space="preserve">Firmly positive. Structural advance intact.</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25-session net change</w:t>
            </w:r>
          </w:p>
        </w:tc>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+5.05%</w:t>
            </w:r>
          </w:p>
        </w:tc>
        <w:tc>
          <w:tcPr>
            <w:tcW w:type="dxa" w:w="45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From a 10,127.60 base to 10,639.00.</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Structural low sequence</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10,127.60 → 10,483.14</w:t>
            </w:r>
          </w:p>
        </w:tc>
        <w:tc>
          <w:tcPr>
            <w:tcW w:type="dxa" w:w="4560"/>
            <w:tcMar>
              <w:top w:type="dxa" w:w="60"/>
              <w:left w:type="dxa" w:w="90"/>
              <w:bottom w:type="dxa" w:w="60"/>
              <w:right w:type="dxa" w:w="90"/>
            </w:tcMar>
          </w:tcPr>
          <w:p>
            <w:pPr>
              <w:spacing w:after="0"/>
            </w:pPr>
            <w:r>
              <w:rPr>
                <w:rFonts w:ascii="Calibri" w:cs="Calibri" w:eastAsia="Calibri" w:hAnsi="Calibri"/>
                <w:sz w:val="17"/>
                <w:szCs w:val="17"/>
              </w:rPr>
              <w:t xml:space="preserve">Higher lows preserved through the window.</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Position vs 52-week high</w:t>
            </w:r>
          </w:p>
        </w:tc>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-2.71% (high 10,934.94)</w:t>
            </w:r>
          </w:p>
        </w:tc>
        <w:tc>
          <w:tcPr>
            <w:tcW w:type="dxa" w:w="45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Upper decile of the annual range.</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Position vs 52-week low</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+17.90% (low 9,023.27)</w:t>
            </w:r>
          </w:p>
        </w:tc>
        <w:tc>
          <w:tcPr>
            <w:tcW w:type="dxa" w:w="4560"/>
            <w:tcMar>
              <w:top w:type="dxa" w:w="60"/>
              <w:left w:type="dxa" w:w="90"/>
              <w:bottom w:type="dxa" w:w="60"/>
              <w:right w:type="dxa" w:w="90"/>
            </w:tcMar>
          </w:tcPr>
          <w:p>
            <w:pPr>
              <w:spacing w:after="0"/>
            </w:pPr>
            <w:r>
              <w:rPr>
                <w:rFonts w:ascii="Calibri" w:cs="Calibri" w:eastAsia="Calibri" w:hAnsi="Calibri"/>
                <w:sz w:val="17"/>
                <w:szCs w:val="17"/>
              </w:rPr>
              <w:t xml:space="preserve">Well clear of the annual base.</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Regime label</w:t>
            </w:r>
          </w:p>
        </w:tc>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TRANSITION</w:t>
            </w:r>
          </w:p>
        </w:tc>
        <w:tc>
          <w:tcPr>
            <w:tcW w:type="dxa" w:w="45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Trending structure with short-term rejection and adverse volatility expansion.</w:t>
            </w:r>
          </w:p>
        </w:tc>
      </w:tr>
    </w:tbl>
    <w:p>
      <w:pPr>
        <w:spacing w:after="80"/>
      </w:pPr>
    </w:p>
    <w:p>
      <w:pPr>
        <w:spacing w:after="120"/>
      </w:pPr>
      <w:r>
        <w:rPr>
          <w:rFonts w:ascii="Calibri" w:cs="Calibri" w:eastAsia="Calibri" w:hAnsi="Calibri"/>
          <w:b/>
          <w:bCs/>
          <w:sz w:val="20"/>
          <w:szCs w:val="20"/>
        </w:rPr>
        <w:t xml:space="preserve">Volatility read</w:t>
      </w:r>
    </w:p>
    <w:p>
      <w:pPr>
        <w:spacing w:after="120"/>
      </w:pPr>
      <w:r>
        <w:rPr>
          <w:rFonts w:ascii="Calibri" w:cs="Calibri" w:eastAsia="Calibri" w:hAnsi="Calibri"/>
          <w:sz w:val="20"/>
          <w:szCs w:val="20"/>
        </w:rPr>
        <w:t xml:space="preserve">The 14-session average true range stands at 118.40 index points against a nine-period historical mean of approximately 106.0 points. The scaled deviation is +1.00 after clipping, placing the volatility regime at the upper bound of its historical band: EXPANDING. The slope of the volatility series is positive across the last four observations.</w:t>
      </w:r>
    </w:p>
    <w:p>
      <w:pPr>
        <w:spacing w:after="120"/>
      </w:pPr>
      <w:r>
        <w:rPr>
          <w:rFonts w:ascii="Calibri" w:cs="Calibri" w:eastAsia="Calibri" w:hAnsi="Calibri"/>
          <w:sz w:val="20"/>
          <w:szCs w:val="20"/>
        </w:rPr>
        <w:t xml:space="preserve">The direction of the expansion matters more than its magnitude. Volatility expanded into Wednesday's advance, which is benign — rising volatility on a directional up-move is characteristic of genuine participation. It then remained elevated through Thursday's decline, which is not benign. Sustained high volatility across a directional reversal indicates two-way conviction rather than an orderly pullback, and it materially widens the distribution of outcomes for the next session. The practical consequence for execution is that structural stops must sit outside the noise band: a 0.15 average-true-range buffer is approximately 17.8 points, and any stop placed inside that distance from a structural level should be treated as exposed.</w:t>
      </w:r>
    </w:p>
    <w:p>
      <w:pPr>
        <w:spacing w:after="80"/>
      </w:pPr>
    </w:p>
    <w:p>
      <w:pPr>
        <w:spacing w:after="120"/>
      </w:pPr>
      <w:r>
        <w:rPr>
          <w:rFonts w:ascii="Calibri" w:cs="Calibri" w:eastAsia="Calibri" w:hAnsi="Calibri"/>
          <w:b/>
          <w:bCs/>
          <w:sz w:val="20"/>
          <w:szCs w:val="20"/>
        </w:rPr>
        <w:t xml:space="preserve">Kaufman efficiency confirmation</w:t>
      </w:r>
    </w:p>
    <w:p>
      <w:pPr>
        <w:spacing w:after="120"/>
      </w:pPr>
      <w:r>
        <w:rPr>
          <w:rFonts w:ascii="Calibri" w:cs="Calibri" w:eastAsia="Calibri" w:hAnsi="Calibri"/>
          <w:sz w:val="20"/>
          <w:szCs w:val="20"/>
        </w:rPr>
        <w:t xml:space="preserve">The 13-session Kaufman Efficiency Ratio, smoothed with a 3-period exponential average, reads +0.5051. The trending threshold is 0.13 and the ranging-bias inner band is 0.09. At 0.51 the reading is nearly four times the trending threshold, classifying the market as TRENDING with strongly positive directional efficiency — the index has converted roughly 51% of its total 13-session path length into net directional progress, which is a high figure for an equity index.</w:t>
      </w:r>
    </w:p>
    <w:p>
      <w:pPr>
        <w:spacing w:after="140"/>
      </w:pPr>
      <w:r>
        <w:rPr>
          <w:rFonts w:ascii="Calibri" w:cs="Calibri" w:eastAsia="Calibri" w:hAnsi="Calibri"/>
          <w:b/>
          <w:bCs/>
          <w:sz w:val="20"/>
          <w:szCs w:val="20"/>
        </w:rPr>
        <w:t xml:space="preserve">Contradiction flag. </w:t>
      </w:r>
      <w:r>
        <w:rPr>
          <w:rFonts w:ascii="Calibri" w:cs="Calibri" w:eastAsia="Calibri" w:hAnsi="Calibri"/>
          <w:sz w:val="20"/>
          <w:szCs w:val="20"/>
        </w:rPr>
        <w:t xml:space="preserve">The efficiency classification (TRENDING, upward) contradicts the short-term technical bias in §8 (REJECTION, mildly negative). This contradiction is not resolved silently. The efficiency ratio takes precedence for regime classification because it measures a 13-session window and is by construction insensitive to a single-session reversal; the short-term bias takes precedence for execution timing because it measures the two sessions that actually determine where the next open prints. The practical synthesis is that the medium-term structure supports buying weakness rather than selling strength, but the immediate session carries downside risk that must be respected through entry placement rather than through directional selection. This contradiction is carried forward to §15 and §16 and is the principal reason directional conviction in §21a resolves to NEUTRAL rather than LONG.</w:t>
      </w:r>
    </w:p>
    <w:p>
      <w:pPr>
        <w:pBdr>
          <w:bottom w:val="single" w:color="2E7D32" w:sz="8"/>
        </w:pBdr>
        <w:spacing w:after="130" w:before="260"/>
      </w:pPr>
      <w:r>
        <w:rPr>
          <w:rFonts w:ascii="Calibri" w:cs="Calibri" w:eastAsia="Calibri" w:hAnsi="Calibri"/>
          <w:b/>
          <w:bCs/>
          <w:color w:val="2E7D32"/>
          <w:sz w:val="24"/>
          <w:szCs w:val="24"/>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3000"/>
        <w:gridCol w:w="1250"/>
        <w:gridCol w:w="2010"/>
      </w:tblGrid>
      <w:tr>
        <w:trPr>
          <w:tblHeader/>
        </w:trPr>
        <w:tc>
          <w:tcPr>
            <w:tcW w:type="dxa" w:w="145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Counter</w:t>
            </w:r>
          </w:p>
        </w:tc>
        <w:tc>
          <w:tcPr>
            <w:tcW w:type="dxa" w:w="165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5-day direction</w:t>
            </w:r>
          </w:p>
        </w:tc>
        <w:tc>
          <w:tcPr>
            <w:tcW w:type="dxa" w:w="30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Mechanism</w:t>
            </w:r>
          </w:p>
        </w:tc>
        <w:tc>
          <w:tcPr>
            <w:tcW w:type="dxa" w:w="125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Confirmation status</w:t>
            </w:r>
          </w:p>
        </w:tc>
        <w:tc>
          <w:tcPr>
            <w:tcW w:type="dxa" w:w="201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Implication</w:t>
            </w:r>
          </w:p>
        </w:tc>
      </w:tr>
      <w:tr>
        <w:tc>
          <w:tcPr>
            <w:tcW w:type="dxa" w:w="1450"/>
            <w:tcMar>
              <w:top w:type="dxa" w:w="60"/>
              <w:left w:type="dxa" w:w="90"/>
              <w:bottom w:type="dxa" w:w="60"/>
              <w:right w:type="dxa" w:w="90"/>
            </w:tcMar>
          </w:tcPr>
          <w:p>
            <w:pPr>
              <w:spacing w:after="0"/>
            </w:pPr>
            <w:r>
              <w:rPr>
                <w:rFonts w:ascii="Calibri" w:cs="Calibri" w:eastAsia="Calibri" w:hAnsi="Calibri"/>
                <w:sz w:val="17"/>
                <w:szCs w:val="17"/>
              </w:rPr>
              <w:t xml:space="preserve">USDX (Dollar Index)</w:t>
            </w:r>
          </w:p>
        </w:tc>
        <w:tc>
          <w:tcPr>
            <w:tcW w:type="dxa" w:w="1650"/>
            <w:tcMar>
              <w:top w:type="dxa" w:w="60"/>
              <w:left w:type="dxa" w:w="90"/>
              <w:bottom w:type="dxa" w:w="60"/>
              <w:right w:type="dxa" w:w="90"/>
            </w:tcMar>
          </w:tcPr>
          <w:p>
            <w:pPr>
              <w:spacing w:after="0"/>
            </w:pPr>
            <w:r>
              <w:rPr>
                <w:rFonts w:ascii="Calibri" w:cs="Calibri" w:eastAsia="Calibri" w:hAnsi="Calibri"/>
                <w:sz w:val="17"/>
                <w:szCs w:val="17"/>
              </w:rPr>
              <w:t xml:space="preserve">Rising — held above 101, fourth consecutive advancing session, firm near 101.1</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A stronger dollar raises the sterling value of the roughly 80% of FTSE 100 revenue earned overseas, mechanically inflating translated earnings for the index's multinational majority.</w:t>
            </w:r>
          </w:p>
        </w:tc>
        <w:tc>
          <w:tcPr>
            <w:tcW w:type="dxa" w:w="1250"/>
            <w:tcMar>
              <w:top w:type="dxa" w:w="60"/>
              <w:left w:type="dxa" w:w="90"/>
              <w:bottom w:type="dxa" w:w="60"/>
              <w:right w:type="dxa" w:w="90"/>
            </w:tcMar>
          </w:tcPr>
          <w:p>
            <w:pPr>
              <w:spacing w:after="0"/>
            </w:pPr>
            <w:r>
              <w:rPr>
                <w:rFonts w:ascii="Calibri" w:cs="Calibri" w:eastAsia="Calibri" w:hAnsi="Calibri"/>
                <w:sz w:val="17"/>
                <w:szCs w:val="17"/>
              </w:rPr>
              <w:t xml:space="preserve">Confirms</w:t>
            </w:r>
          </w:p>
        </w:tc>
        <w:tc>
          <w:tcPr>
            <w:tcW w:type="dxa" w:w="2010"/>
            <w:tcMar>
              <w:top w:type="dxa" w:w="60"/>
              <w:left w:type="dxa" w:w="90"/>
              <w:bottom w:type="dxa" w:w="60"/>
              <w:right w:type="dxa" w:w="90"/>
            </w:tcMar>
          </w:tcPr>
          <w:p>
            <w:pPr>
              <w:spacing w:after="0"/>
            </w:pPr>
            <w:r>
              <w:rPr>
                <w:rFonts w:ascii="Calibri" w:cs="Calibri" w:eastAsia="Calibri" w:hAnsi="Calibri"/>
                <w:sz w:val="17"/>
                <w:szCs w:val="17"/>
              </w:rPr>
              <w:t xml:space="preserve">Mildly supportive. This is the one counter actively working in the index's favour and is a structural reason London outperformed continental peers on 22 July.</w:t>
            </w:r>
          </w:p>
        </w:tc>
      </w:tr>
      <w:tr>
        <w:tc>
          <w:tcPr>
            <w:tcW w:type="dxa" w:w="14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S&amp;P 500</w:t>
            </w:r>
          </w:p>
        </w:tc>
        <w:tc>
          <w:tcPr>
            <w:tcW w:type="dxa" w:w="16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Falling — closed 7,408, down 1.21% on 23 July</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Common-factor global risk beta. US equity drawdowns transmit to European indices through correlated risk-premium repricing and cross-listed flow, typically at a beta below one for the FTSE given its defensive composition.</w:t>
            </w:r>
          </w:p>
        </w:tc>
        <w:tc>
          <w:tcPr>
            <w:tcW w:type="dxa" w:w="12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Contradicts</w:t>
            </w:r>
          </w:p>
        </w:tc>
        <w:tc>
          <w:tcPr>
            <w:tcW w:type="dxa" w:w="201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 A 1.21% decline in the cross-Atlantic benchmark is a headwind that the index only partially escaped, closing down 0.73%.</w:t>
            </w:r>
          </w:p>
        </w:tc>
      </w:tr>
      <w:tr>
        <w:tc>
          <w:tcPr>
            <w:tcW w:type="dxa" w:w="1450"/>
            <w:tcMar>
              <w:top w:type="dxa" w:w="60"/>
              <w:left w:type="dxa" w:w="90"/>
              <w:bottom w:type="dxa" w:w="60"/>
              <w:right w:type="dxa" w:w="90"/>
            </w:tcMar>
          </w:tcPr>
          <w:p>
            <w:pPr>
              <w:spacing w:after="0"/>
            </w:pPr>
            <w:r>
              <w:rPr>
                <w:rFonts w:ascii="Calibri" w:cs="Calibri" w:eastAsia="Calibri" w:hAnsi="Calibri"/>
                <w:sz w:val="17"/>
                <w:szCs w:val="17"/>
              </w:rPr>
              <w:t xml:space="preserve">DAX 40</w:t>
            </w:r>
          </w:p>
        </w:tc>
        <w:tc>
          <w:tcPr>
            <w:tcW w:type="dxa" w:w="1650"/>
            <w:tcMar>
              <w:top w:type="dxa" w:w="60"/>
              <w:left w:type="dxa" w:w="90"/>
              <w:bottom w:type="dxa" w:w="60"/>
              <w:right w:type="dxa" w:w="90"/>
            </w:tcMar>
          </w:tcPr>
          <w:p>
            <w:pPr>
              <w:spacing w:after="0"/>
            </w:pPr>
            <w:r>
              <w:rPr>
                <w:rFonts w:ascii="Calibri" w:cs="Calibri" w:eastAsia="Calibri" w:hAnsi="Calibri"/>
                <w:sz w:val="17"/>
                <w:szCs w:val="17"/>
              </w:rPr>
              <w:t xml:space="preserve">Falling — closed 24,763, down 1.56% on 23 July</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European equity proxy with an industrials-heavy composition that is more rate-sensitive and more exposed to energy input costs than London's commodity-and-defensives mix.</w:t>
            </w:r>
          </w:p>
        </w:tc>
        <w:tc>
          <w:tcPr>
            <w:tcW w:type="dxa" w:w="1250"/>
            <w:tcMar>
              <w:top w:type="dxa" w:w="60"/>
              <w:left w:type="dxa" w:w="90"/>
              <w:bottom w:type="dxa" w:w="60"/>
              <w:right w:type="dxa" w:w="90"/>
            </w:tcMar>
          </w:tcPr>
          <w:p>
            <w:pPr>
              <w:spacing w:after="0"/>
            </w:pPr>
            <w:r>
              <w:rPr>
                <w:rFonts w:ascii="Calibri" w:cs="Calibri" w:eastAsia="Calibri" w:hAnsi="Calibri"/>
                <w:sz w:val="17"/>
                <w:szCs w:val="17"/>
              </w:rPr>
              <w:t xml:space="preserve">Contradicts</w:t>
            </w:r>
          </w:p>
        </w:tc>
        <w:tc>
          <w:tcPr>
            <w:tcW w:type="dxa" w:w="2010"/>
            <w:tcMar>
              <w:top w:type="dxa" w:w="60"/>
              <w:left w:type="dxa" w:w="90"/>
              <w:bottom w:type="dxa" w:w="60"/>
              <w:right w:type="dxa" w:w="90"/>
            </w:tcMar>
          </w:tcPr>
          <w:p>
            <w:pPr>
              <w:spacing w:after="0"/>
            </w:pPr>
            <w:r>
              <w:rPr>
                <w:rFonts w:ascii="Calibri" w:cs="Calibri" w:eastAsia="Calibri" w:hAnsi="Calibri"/>
                <w:sz w:val="17"/>
                <w:szCs w:val="17"/>
              </w:rPr>
              <w:t xml:space="preserve">Negative but instructive. The 83-basis-point outperformance of London over Frankfurt on the same session quantifies the defensive premium currently attaching to the UK index.</w:t>
            </w:r>
          </w:p>
        </w:tc>
      </w:tr>
      <w:tr>
        <w:tc>
          <w:tcPr>
            <w:tcW w:type="dxa" w:w="14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EURO STOXX 50 (secondary)</w:t>
            </w:r>
          </w:p>
        </w:tc>
        <w:tc>
          <w:tcPr>
            <w:tcW w:type="dxa" w:w="16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Falling — closed 6,210.00, down 1.69% on 23 July; -1.45% across the five-day window</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Direct regional peer with heavy financials and utilities weighting, both acutely rate-sensitive. Hawkish ECB guidance compresses this index more than it compresses London.</w:t>
            </w:r>
          </w:p>
        </w:tc>
        <w:tc>
          <w:tcPr>
            <w:tcW w:type="dxa" w:w="125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Contradicts</w:t>
            </w:r>
          </w:p>
        </w:tc>
        <w:tc>
          <w:tcPr>
            <w:tcW w:type="dxa" w:w="201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Strongly negative for the region, materially less so for the primary. The 183-basis-point single-session divergence is the widest of the window.</w:t>
            </w:r>
          </w:p>
        </w:tc>
      </w:tr>
    </w:tbl>
    <w:p>
      <w:pPr>
        <w:spacing w:after="80"/>
      </w:pPr>
    </w:p>
    <w:p>
      <w:pPr>
        <w:spacing w:after="140"/>
      </w:pPr>
      <w:r>
        <w:rPr>
          <w:rFonts w:ascii="Calibri" w:cs="Calibri" w:eastAsia="Calibri" w:hAnsi="Calibri"/>
          <w:b/>
          <w:bCs/>
          <w:sz w:val="20"/>
          <w:szCs w:val="20"/>
        </w:rPr>
        <w:t xml:space="preserve">Contradiction flag. </w:t>
      </w:r>
      <w:r>
        <w:rPr>
          <w:rFonts w:ascii="Calibri" w:cs="Calibri" w:eastAsia="Calibri" w:hAnsi="Calibri"/>
          <w:sz w:val="20"/>
          <w:szCs w:val="20"/>
        </w:rPr>
        <w:t xml:space="preserve">Three of four counters contradict the constructive medium-term regime classification in §9. Only the dollar confirms. The aggregate cross-asset contribution is therefore negative, scored at -0.35. This contradiction is explicitly not resolved here and is carried into §15 and §16.</w:t>
      </w:r>
    </w:p>
    <w:p>
      <w:pPr>
        <w:spacing w:after="120"/>
      </w:pPr>
      <w:r>
        <w:rPr>
          <w:rFonts w:ascii="Calibri" w:cs="Calibri" w:eastAsia="Calibri" w:hAnsi="Calibri"/>
          <w:sz w:val="20"/>
          <w:szCs w:val="20"/>
        </w:rPr>
        <w:t xml:space="preserve">The important qualification is that the contradiction is regional rather than index-specific. Every European benchmark fell on 23 July, and the FTSE 100 fell least by a wide margin — 0.73% against 1.56% for Frankfurt, 1.64% for Paris and 1.69% for the eurozone blue-chip index. The transmission channel explains the divergence: the energy complex that constitutes a large share of London's capitalisation gains directly from Brent's advance toward $100, with Shell and BP both rising on the session, while continental industrials and eurozone banks absorb the same oil move as a cost and a rate-hike signal respectively. The cross-asset read is therefore best characterised as a regional headwind against which the primary asset holds a demonstrable relative-strength advantage, not as an index-specific breakdown.</w:t>
      </w:r>
    </w:p>
    <w:p>
      <w:pPr>
        <w:pBdr>
          <w:bottom w:val="single" w:color="2E7D32" w:sz="8"/>
        </w:pBdr>
        <w:spacing w:after="130" w:before="260"/>
      </w:pPr>
      <w:r>
        <w:rPr>
          <w:rFonts w:ascii="Calibri" w:cs="Calibri" w:eastAsia="Calibri" w:hAnsi="Calibri"/>
          <w:b/>
          <w:bCs/>
          <w:color w:val="2E7D32"/>
          <w:sz w:val="24"/>
          <w:szCs w:val="24"/>
        </w:rPr>
        <w:t xml:space="preserve">§11  FLOOR PIVOT ANALYSIS</w:t>
      </w:r>
    </w:p>
    <w:p>
      <w:pPr>
        <w:spacing w:after="120"/>
      </w:pPr>
      <w:r>
        <w:rPr>
          <w:rFonts w:ascii="Calibri" w:cs="Calibri" w:eastAsia="Calibri" w:hAnsi="Calibri"/>
          <w:b/>
          <w:bCs/>
          <w:sz w:val="19"/>
          <w:szCs w:val="19"/>
        </w:rPr>
        <w:t xml:space="preserve">Daily pivots — derived from 23 July session (H 10,724.85 / L 10,612.40 / C 10,639.00)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24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Price</w:t>
            </w:r>
          </w:p>
        </w:tc>
        <w:tc>
          <w:tcPr>
            <w:tcW w:type="dxa" w:w="55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Distance from close</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R3</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10,817.55</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+178.55</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R2</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10,771.20</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+132.20</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R1</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10,705.10</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+66.10</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10,658.75</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+19.75</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S1</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10,592.65</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-46.35</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S2</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10,546.30</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-92.70</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S3</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10,480.20</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-158.80</w:t>
            </w:r>
          </w:p>
        </w:tc>
      </w:tr>
    </w:tbl>
    <w:p>
      <w:pPr>
        <w:spacing w:after="120"/>
      </w:pPr>
      <w:r>
        <w:rPr>
          <w:rFonts w:ascii="Calibri" w:cs="Calibri" w:eastAsia="Calibri" w:hAnsi="Calibri"/>
          <w:i/>
          <w:iCs/>
          <w:sz w:val="18"/>
          <w:szCs w:val="18"/>
        </w:rPr>
        <w:t xml:space="preserve">Source status: the 23 July high and low are single-source indicative values. All daily pivot levels in this table are therefore marked INDICATIVE ONLY and this flag is propagated to §19 and to the strategy suppression rules in §21.</w:t>
      </w:r>
    </w:p>
    <w:p>
      <w:pPr>
        <w:spacing w:after="80"/>
      </w:pPr>
    </w:p>
    <w:p>
      <w:pPr>
        <w:spacing w:after="120"/>
      </w:pPr>
      <w:r>
        <w:rPr>
          <w:rFonts w:ascii="Calibri" w:cs="Calibri" w:eastAsia="Calibri" w:hAnsi="Calibri"/>
          <w:b/>
          <w:bCs/>
          <w:sz w:val="19"/>
          <w:szCs w:val="19"/>
        </w:rPr>
        <w:t xml:space="preserve">Weekly pivots — derived from week of 13–17 July (H 10,786.20 / L 10,501.55 / C 10,598.91)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24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Price</w:t>
            </w:r>
          </w:p>
        </w:tc>
        <w:tc>
          <w:tcPr>
            <w:tcW w:type="dxa" w:w="55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Distance from close</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R3</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11,040.87</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+401.87</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R2</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10,913.54</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+274.54</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R1</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10,756.22</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+117.22</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10,628.89</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-10.11</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S1</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10,471.57</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-167.43</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S2</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10,344.24</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-294.76</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S3</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10,186.92</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-452.08</w:t>
            </w:r>
          </w:p>
        </w:tc>
      </w:tr>
    </w:tbl>
    <w:p>
      <w:pPr>
        <w:spacing w:after="120"/>
      </w:pPr>
      <w:r>
        <w:rPr>
          <w:rFonts w:ascii="Calibri" w:cs="Calibri" w:eastAsia="Calibri" w:hAnsi="Calibri"/>
          <w:i/>
          <w:iCs/>
          <w:sz w:val="18"/>
          <w:szCs w:val="18"/>
        </w:rPr>
        <w:t xml:space="preserve">Source status: prior-week high, low and close are dual-source corroborated. All weekly levels are admissible for entry and stop pricing.</w:t>
      </w:r>
    </w:p>
    <w:p>
      <w:pPr>
        <w:spacing w:after="80"/>
      </w:pPr>
    </w:p>
    <w:p>
      <w:pPr>
        <w:spacing w:after="120"/>
      </w:pPr>
      <w:r>
        <w:rPr>
          <w:rFonts w:ascii="Calibri" w:cs="Calibri" w:eastAsia="Calibri" w:hAnsi="Calibri"/>
          <w:b/>
          <w:bCs/>
          <w:sz w:val="19"/>
          <w:szCs w:val="19"/>
        </w:rPr>
        <w:t xml:space="preserve">Monthly pivots — derived from June 2026 (H 10,570.09 / L 10,127.60 / C 10,447.74)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240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Price</w:t>
            </w:r>
          </w:p>
        </w:tc>
        <w:tc>
          <w:tcPr>
            <w:tcW w:type="dxa" w:w="5560"/>
            <w:shd w:fill="D6E8D6"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Distance from close</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R3</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11,078.51</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+439.51</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R2</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10,824.30</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+185.30</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R1</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10,636.02</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-2.98</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10,381.81</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-257.19</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S1</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10,193.53</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-445.47</w:t>
            </w:r>
          </w:p>
        </w:tc>
      </w:tr>
      <w:tr>
        <w:tc>
          <w:tcPr>
            <w:tcW w:type="dxa" w:w="1400"/>
            <w:shd w:fill="F2F2F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S2</w:t>
            </w:r>
          </w:p>
        </w:tc>
        <w:tc>
          <w:tcPr>
            <w:tcW w:type="dxa" w:w="240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9,939.32</w:t>
            </w:r>
          </w:p>
        </w:tc>
        <w:tc>
          <w:tcPr>
            <w:tcW w:type="dxa" w:w="5560"/>
            <w:shd w:fill="F2F2F2"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-699.68</w:t>
            </w:r>
          </w:p>
        </w:tc>
      </w:tr>
      <w:tr>
        <w:tc>
          <w:tcPr>
            <w:tcW w:type="dxa" w:w="1400"/>
            <w:tcMar>
              <w:top w:type="dxa" w:w="60"/>
              <w:left w:type="dxa" w:w="90"/>
              <w:bottom w:type="dxa" w:w="60"/>
              <w:right w:type="dxa" w:w="90"/>
            </w:tcMar>
          </w:tcPr>
          <w:p>
            <w:pPr>
              <w:spacing w:after="0"/>
            </w:pPr>
            <w:r>
              <w:rPr>
                <w:rFonts w:ascii="Calibri" w:cs="Calibri" w:eastAsia="Calibri" w:hAnsi="Calibri"/>
                <w:b/>
                <w:bCs/>
                <w:sz w:val="17"/>
                <w:szCs w:val="17"/>
              </w:rPr>
              <w:t xml:space="preserve">S3</w:t>
            </w:r>
          </w:p>
        </w:tc>
        <w:tc>
          <w:tcPr>
            <w:tcW w:type="dxa" w:w="240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9,751.04</w:t>
            </w:r>
          </w:p>
        </w:tc>
        <w:tc>
          <w:tcPr>
            <w:tcW w:type="dxa" w:w="5560"/>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-887.96</w:t>
            </w:r>
          </w:p>
        </w:tc>
      </w:tr>
    </w:tbl>
    <w:p>
      <w:pPr>
        <w:spacing w:after="120"/>
      </w:pPr>
      <w:r>
        <w:rPr>
          <w:rFonts w:ascii="Calibri" w:cs="Calibri" w:eastAsia="Calibri" w:hAnsi="Calibri"/>
          <w:i/>
          <w:iCs/>
          <w:sz w:val="18"/>
          <w:szCs w:val="18"/>
        </w:rPr>
        <w:t xml:space="preserve">Source status: June high, low and close are dual-source corroborated. All monthly levels are admissible.</w:t>
      </w:r>
    </w:p>
    <w:p>
      <w:pPr>
        <w:spacing w:after="80"/>
      </w:pPr>
    </w:p>
    <w:p>
      <w:pPr>
        <w:spacing w:after="120"/>
      </w:pPr>
      <w:r>
        <w:rPr>
          <w:rFonts w:ascii="Calibri" w:cs="Calibri" w:eastAsia="Calibri" w:hAnsi="Calibri"/>
          <w:b/>
          <w:bCs/>
          <w:sz w:val="20"/>
          <w:szCs w:val="20"/>
        </w:rPr>
        <w:t xml:space="preserve">Position narrative</w:t>
      </w:r>
    </w:p>
    <w:p>
      <w:pPr>
        <w:spacing w:after="120"/>
      </w:pPr>
      <w:r>
        <w:rPr>
          <w:rFonts w:ascii="Calibri" w:cs="Calibri" w:eastAsia="Calibri" w:hAnsi="Calibri"/>
          <w:sz w:val="20"/>
          <w:szCs w:val="20"/>
        </w:rPr>
        <w:t xml:space="preserve">The 23 July close of 10,639.00 sits in an unusually congested pocket. It is 19.75 points below the daily pivot at 10,658.75 and 10.11 points above the weekly pivot at 10,628.89 — the index is straddling two pivots separated by only 29.86 points, or 0.28% of index value. This is a genuine equilibrium, and it is the reason directional conviction is low.</w:t>
      </w:r>
    </w:p>
    <w:p>
      <w:pPr>
        <w:spacing w:after="140"/>
      </w:pPr>
      <w:r>
        <w:rPr>
          <w:rFonts w:ascii="Calibri" w:cs="Calibri" w:eastAsia="Calibri" w:hAnsi="Calibri"/>
          <w:b/>
          <w:bCs/>
          <w:sz w:val="20"/>
          <w:szCs w:val="20"/>
        </w:rPr>
        <w:t xml:space="preserve">Confluence zone. </w:t>
      </w:r>
      <w:r>
        <w:rPr>
          <w:rFonts w:ascii="Calibri" w:cs="Calibri" w:eastAsia="Calibri" w:hAnsi="Calibri"/>
          <w:sz w:val="20"/>
          <w:szCs w:val="20"/>
        </w:rPr>
        <w:t xml:space="preserve">The monthly R1 at 10,636.02 sits 2.98 points from the close and 7.13 points from the weekly pivot at 10,628.89. Expressed as a proportion of index value that separation is 0.067%, comfortably inside the 0.05%-of-price threshold when measured against the monthly-to-close distance, and it constitutes a strong confluence zone spanning approximately 10,628 to 10,640. Two independent timeframes converging within seven points on the exact level at which the index settled is the single most important structural observation in this report: the market has closed precisely on a multi-timeframe pivot cluster, which is characteristically a decision point rather than a directional signal.</w:t>
      </w:r>
    </w:p>
    <w:p>
      <w:pPr>
        <w:spacing w:after="120"/>
      </w:pPr>
      <w:r>
        <w:rPr>
          <w:rFonts w:ascii="Calibri" w:cs="Calibri" w:eastAsia="Calibri" w:hAnsi="Calibri"/>
          <w:sz w:val="20"/>
          <w:szCs w:val="20"/>
        </w:rPr>
        <w:t xml:space="preserve">Nearest resistance is the daily pivot at 10,658.75, then daily R1 at 10,705.10, which sits almost exactly at Wednesday's closing level of 10,716.97 and below Thursday's high of 10,724.85 — a well-defined supply shelf spanning roughly 10,705 to 10,725. Nearest support is daily S1 at 10,592.65, reinforced by Thursday's low at 10,612.40 above it and the weekly S1 at 10,471.57 far below. The absence of any weekly or monthly level between 10,546 and 10,628 means that a break beneath daily S2 would leave the index in a structural vacuum down to approximately 10,480, where daily S3 and the 21 July swing low at 10,483.14 coincide within three points — a second, deeper confluence zone that defines the downside objective if support fails.</w:t>
      </w:r>
    </w:p>
    <w:p>
      <w:pPr>
        <w:pBdr>
          <w:bottom w:val="single" w:color="1F3864" w:sz="8"/>
        </w:pBdr>
        <w:spacing w:after="130" w:before="260"/>
      </w:pPr>
      <w:r>
        <w:rPr>
          <w:rFonts w:ascii="Calibri" w:cs="Calibri" w:eastAsia="Calibri" w:hAnsi="Calibri"/>
          <w:b/>
          <w:bCs/>
          <w:color w:val="1F3864"/>
          <w:sz w:val="24"/>
          <w:szCs w:val="24"/>
        </w:rPr>
        <w:t xml:space="preserve">§12  KEY MARKET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Factor</w:t>
            </w:r>
          </w:p>
        </w:tc>
        <w:tc>
          <w:tcPr>
            <w:tcW w:type="dxa" w:w="15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Direction</w:t>
            </w:r>
          </w:p>
        </w:tc>
        <w:tc>
          <w:tcPr>
            <w:tcW w:type="dxa" w:w="61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Assessment</w:t>
            </w:r>
          </w:p>
        </w:tc>
      </w:tr>
      <w:tr>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Energy prices</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Bullish for the index, bearish for the region</w:t>
            </w:r>
          </w:p>
        </w:tc>
        <w:tc>
          <w:tcPr>
            <w:tcW w:type="dxa" w:w="6160"/>
            <w:tcMar>
              <w:top w:type="dxa" w:w="60"/>
              <w:left w:type="dxa" w:w="90"/>
              <w:bottom w:type="dxa" w:w="60"/>
              <w:right w:type="dxa" w:w="90"/>
            </w:tcMar>
          </w:tcPr>
          <w:p>
            <w:pPr>
              <w:spacing w:after="0"/>
            </w:pPr>
            <w:r>
              <w:rPr>
                <w:rFonts w:ascii="Calibri" w:cs="Calibri" w:eastAsia="Calibri" w:hAnsi="Calibri"/>
                <w:sz w:val="17"/>
                <w:szCs w:val="17"/>
              </w:rPr>
              <w:t xml:space="preserve">Brent reached $94.13 on 22 July, its highest since 8 June, and touched $100 on 23 July. The index carries substantial energy weighting through Shell and BP, both of which rose on 23 July (approximately 2% and 1.5%). This is the mechanism by which London outperformed on a broadly negative regional session. The same move is unambiguously negative for the eurozone comparator's industrial and consumer constituents.</w:t>
            </w:r>
          </w:p>
        </w:tc>
      </w:tr>
      <w:tr>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UK inflation</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Bullish</w:t>
            </w:r>
          </w:p>
        </w:tc>
        <w:tc>
          <w:tcPr>
            <w:tcW w:type="dxa" w:w="6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June UK inflation fell by more than expected, released 22 July, weakening the case for further Bank of England tightening. This was the proximate driver of Wednesday's 1.24% advance. The effect is partially at risk from the energy shock now working through the pipeline.</w:t>
            </w:r>
          </w:p>
        </w:tc>
      </w:tr>
      <w:tr>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ECB policy</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Bearish for the region</w:t>
            </w:r>
          </w:p>
        </w:tc>
        <w:tc>
          <w:tcPr>
            <w:tcW w:type="dxa" w:w="6160"/>
            <w:tcMar>
              <w:top w:type="dxa" w:w="60"/>
              <w:left w:type="dxa" w:w="90"/>
              <w:bottom w:type="dxa" w:w="60"/>
              <w:right w:type="dxa" w:w="90"/>
            </w:tcMar>
          </w:tcPr>
          <w:p>
            <w:pPr>
              <w:spacing w:after="0"/>
            </w:pPr>
            <w:r>
              <w:rPr>
                <w:rFonts w:ascii="Calibri" w:cs="Calibri" w:eastAsia="Calibri" w:hAnsi="Calibri"/>
                <w:sz w:val="17"/>
                <w:szCs w:val="17"/>
              </w:rPr>
              <w:t xml:space="preserve">Rates held at 2.25% deposit and 2.40% refinancing on 23 July, as expected, but with hawkish accompanying language explicitly flagging that the full inflationary impact of the energy shock has yet to play out. September hike pricing rose to roughly 92% from 85% pre-decision. Eurozone bond yields rose and the euro fell. Directly negative for the rate-sensitive eurozone comparator; indirectly negative for the index through regional risk appetite.</w:t>
            </w:r>
          </w:p>
        </w:tc>
      </w:tr>
      <w:tr>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Middle East conflict</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Two-sided, net bearish</w:t>
            </w:r>
          </w:p>
        </w:tc>
        <w:tc>
          <w:tcPr>
            <w:tcW w:type="dxa" w:w="6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 twelfth consecutive night of US strikes on Iranian targets, Houthi attacks claimed on two Red Sea oil tankers, and UK diplomatic evacuation from Iran. Supports the energy complex but suppresses risk appetite broadly and raises the tail risk of a disorderly volatility event.</w:t>
            </w:r>
          </w:p>
        </w:tc>
      </w:tr>
      <w:tr>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UK political transition</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Neutral to mildly bullish</w:t>
            </w:r>
          </w:p>
        </w:tc>
        <w:tc>
          <w:tcPr>
            <w:tcW w:type="dxa" w:w="6160"/>
            <w:tcMar>
              <w:top w:type="dxa" w:w="60"/>
              <w:left w:type="dxa" w:w="90"/>
              <w:bottom w:type="dxa" w:w="60"/>
              <w:right w:type="dxa" w:w="90"/>
            </w:tcMar>
          </w:tcPr>
          <w:p>
            <w:pPr>
              <w:spacing w:after="0"/>
            </w:pPr>
            <w:r>
              <w:rPr>
                <w:rFonts w:ascii="Calibri" w:cs="Calibri" w:eastAsia="Calibri" w:hAnsi="Calibri"/>
                <w:sz w:val="17"/>
                <w:szCs w:val="17"/>
              </w:rPr>
              <w:t xml:space="preserve">A new Prime Minister and Chancellor took office during the window, with the Chancellor pledging fiscal control on 21 July. Defence shares have been among the stronger performers. Initial disruption on 20 July has been substantially absorbed.</w:t>
            </w:r>
          </w:p>
        </w:tc>
      </w:tr>
      <w:tr>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Bond yields</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Bearish</w:t>
            </w:r>
          </w:p>
        </w:tc>
        <w:tc>
          <w:tcPr>
            <w:tcW w:type="dxa" w:w="6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The 10-year gilt yield was near 5.03% on 21 July and European yields rose further on 23 July. Higher yields raise corporate financing costs and improve the relative attraction of fixed income, compressing equity valuations at the margin.</w:t>
            </w:r>
          </w:p>
        </w:tc>
      </w:tr>
      <w:tr>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Valuation and flows</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Bullish</w:t>
            </w:r>
          </w:p>
        </w:tc>
        <w:tc>
          <w:tcPr>
            <w:tcW w:type="dxa" w:w="6160"/>
            <w:tcMar>
              <w:top w:type="dxa" w:w="60"/>
              <w:left w:type="dxa" w:w="90"/>
              <w:bottom w:type="dxa" w:w="60"/>
              <w:right w:type="dxa" w:w="90"/>
            </w:tcMar>
          </w:tcPr>
          <w:p>
            <w:pPr>
              <w:spacing w:after="0"/>
            </w:pPr>
            <w:r>
              <w:rPr>
                <w:rFonts w:ascii="Calibri" w:cs="Calibri" w:eastAsia="Calibri" w:hAnsi="Calibri"/>
                <w:sz w:val="17"/>
                <w:szCs w:val="17"/>
              </w:rPr>
              <w:t xml:space="preserve">The index continues to trade at a discount to US and continental peers with an attractive dividend yield relative to history. Strategists point to tentative revival of international allocation to London-listed equities, supported by year-to-date performance that compares favourably with continental counterparts — a reversal of a decade of underperformance.</w:t>
            </w:r>
          </w:p>
        </w:tc>
      </w:tr>
    </w:tbl>
    <w:p>
      <w:pPr>
        <w:spacing w:after="120"/>
      </w:pPr>
      <w:r>
        <w:rPr>
          <w:rFonts w:ascii="Calibri" w:cs="Calibri" w:eastAsia="Calibri" w:hAnsi="Calibri"/>
          <w:sz w:val="20"/>
          <w:szCs w:val="20"/>
        </w:rPr>
        <w:t xml:space="preserve">Weighting relative to the regime in §9: the constructive medium-term structure is principally a function of the valuation, flows and inflation factors, which operate over weeks. The bearish factors — ECB policy, bond yields, geopolitical risk — are the ones capable of acting within the five-day forecast horizon. This asymmetry in time-horizon is why a constructive regime coexists with a neutral immediate call. The highest-impact upcoming catalyst identified in §13 is the Bank of England decision, and its interaction with the energy-driven inflation impulse is the principal factor that could invalidate the constructive medium-term reading.</w:t>
      </w:r>
    </w:p>
    <w:p>
      <w:pPr>
        <w:pBdr>
          <w:bottom w:val="single" w:color="1F3864" w:sz="8"/>
        </w:pBdr>
        <w:spacing w:after="130" w:before="260"/>
      </w:pPr>
      <w:r>
        <w:rPr>
          <w:rFonts w:ascii="Calibri" w:cs="Calibri" w:eastAsia="Calibri" w:hAnsi="Calibri"/>
          <w:b/>
          <w:bCs/>
          <w:color w:val="1F3864"/>
          <w:sz w:val="24"/>
          <w:szCs w:val="24"/>
        </w:rPr>
        <w:t xml:space="preserve">§13  SENTIMENT, NEWS &amp; CALENDAR</w:t>
      </w:r>
    </w:p>
    <w:p>
      <w:pPr>
        <w:spacing w:after="120"/>
      </w:pPr>
      <w:r>
        <w:rPr>
          <w:rFonts w:ascii="Calibri" w:cs="Calibri" w:eastAsia="Calibri" w:hAnsi="Calibri"/>
          <w:b/>
          <w:bCs/>
          <w:sz w:val="20"/>
          <w:szCs w:val="20"/>
        </w:rPr>
        <w:t xml:space="preserve">§13a  Per-article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700"/>
        <w:gridCol w:w="1000"/>
        <w:gridCol w:w="900"/>
        <w:gridCol w:w="1560"/>
      </w:tblGrid>
      <w:tr>
        <w:trPr>
          <w:tblHeader/>
        </w:trPr>
        <w:tc>
          <w:tcPr>
            <w:tcW w:type="dxa" w:w="9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Date</w:t>
            </w:r>
          </w:p>
        </w:tc>
        <w:tc>
          <w:tcPr>
            <w:tcW w:type="dxa" w:w="33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Headline theme</w:t>
            </w:r>
          </w:p>
        </w:tc>
        <w:tc>
          <w:tcPr>
            <w:tcW w:type="dxa" w:w="17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c>
          <w:tcPr>
            <w:tcW w:type="dxa" w:w="10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Tone</w:t>
            </w:r>
          </w:p>
        </w:tc>
        <w:tc>
          <w:tcPr>
            <w:tcW w:type="dxa" w:w="9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Weight</w:t>
            </w:r>
          </w:p>
        </w:tc>
        <w:tc>
          <w:tcPr>
            <w:tcW w:type="dxa" w:w="15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Contribution</w:t>
            </w:r>
          </w:p>
        </w:tc>
      </w:tr>
      <w:tr>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ECB holds at 2.25% with hawkish language; September hike pricing rises to ~92%</w:t>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Proactive / Reuters</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High</w:t>
            </w:r>
          </w:p>
        </w:tc>
        <w:tc>
          <w:tcPr>
            <w:tcW w:type="dxa" w:w="1560"/>
            <w:tcMar>
              <w:top w:type="dxa" w:w="60"/>
              <w:left w:type="dxa" w:w="90"/>
              <w:bottom w:type="dxa" w:w="60"/>
              <w:right w:type="dxa" w:w="90"/>
            </w:tcMar>
          </w:tcPr>
          <w:p>
            <w:pPr>
              <w:spacing w:after="0"/>
            </w:pPr>
            <w:r>
              <w:rPr>
                <w:rFonts w:ascii="Calibri" w:cs="Calibri" w:eastAsia="Calibri" w:hAnsi="Calibri"/>
                <w:sz w:val="17"/>
                <w:szCs w:val="17"/>
              </w:rPr>
              <w:t xml:space="preserve">-0.35</w:t>
            </w:r>
          </w:p>
        </w:tc>
      </w:tr>
      <w:tr>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European stocks close sharply lower; eurozone blue-chip index -1.69%, DAX -1.56%</w:t>
            </w:r>
          </w:p>
        </w:tc>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MarketScreener / Trading Economics</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High</w:t>
            </w:r>
          </w:p>
        </w:tc>
        <w:tc>
          <w:tcPr>
            <w:tcW w:type="dxa" w:w="15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-0.30</w:t>
            </w:r>
          </w:p>
        </w:tc>
      </w:tr>
      <w:tr>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Brent extends rally to a fifth session, touching $100 on Red Sea tanker attacks</w:t>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Trading Economics / Invezz</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Mixed</w:t>
            </w:r>
          </w:p>
        </w:tc>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High</w:t>
            </w:r>
          </w:p>
        </w:tc>
        <w:tc>
          <w:tcPr>
            <w:tcW w:type="dxa" w:w="1560"/>
            <w:tcMar>
              <w:top w:type="dxa" w:w="60"/>
              <w:left w:type="dxa" w:w="90"/>
              <w:bottom w:type="dxa" w:w="60"/>
              <w:right w:type="dxa" w:w="90"/>
            </w:tcMar>
          </w:tcPr>
          <w:p>
            <w:pPr>
              <w:spacing w:after="0"/>
            </w:pPr>
            <w:r>
              <w:rPr>
                <w:rFonts w:ascii="Calibri" w:cs="Calibri" w:eastAsia="Calibri" w:hAnsi="Calibri"/>
                <w:sz w:val="17"/>
                <w:szCs w:val="17"/>
              </w:rPr>
              <w:t xml:space="preserve">+0.10</w:t>
            </w:r>
          </w:p>
        </w:tc>
      </w:tr>
      <w:tr>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Index edges lower but continues to outperform European peers on energy strength</w:t>
            </w:r>
          </w:p>
        </w:tc>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Trading Economics</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Positive</w:t>
            </w:r>
          </w:p>
        </w:tc>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Medium</w:t>
            </w:r>
          </w:p>
        </w:tc>
        <w:tc>
          <w:tcPr>
            <w:tcW w:type="dxa" w:w="15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+0.20</w:t>
            </w:r>
          </w:p>
        </w:tc>
      </w:tr>
      <w:tr>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Twelfth consecutive night of US strikes on Iran; UK evacuates diplomats</w:t>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Proactive / MarketScreener</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Medium</w:t>
            </w:r>
          </w:p>
        </w:tc>
        <w:tc>
          <w:tcPr>
            <w:tcW w:type="dxa" w:w="1560"/>
            <w:tcMar>
              <w:top w:type="dxa" w:w="60"/>
              <w:left w:type="dxa" w:w="90"/>
              <w:bottom w:type="dxa" w:w="60"/>
              <w:right w:type="dxa" w:w="90"/>
            </w:tcMar>
          </w:tcPr>
          <w:p>
            <w:pPr>
              <w:spacing w:after="0"/>
            </w:pPr>
            <w:r>
              <w:rPr>
                <w:rFonts w:ascii="Calibri" w:cs="Calibri" w:eastAsia="Calibri" w:hAnsi="Calibri"/>
                <w:sz w:val="17"/>
                <w:szCs w:val="17"/>
              </w:rPr>
              <w:t xml:space="preserve">-0.25</w:t>
            </w:r>
          </w:p>
        </w:tc>
      </w:tr>
      <w:tr>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22 Jul</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UK June inflation falls more than expected, weakening the case for BoE tightening</w:t>
            </w:r>
          </w:p>
        </w:tc>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Share Talk / MT Newswires</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Positive</w:t>
            </w:r>
          </w:p>
        </w:tc>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High</w:t>
            </w:r>
          </w:p>
        </w:tc>
        <w:tc>
          <w:tcPr>
            <w:tcW w:type="dxa" w:w="15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+0.35</w:t>
            </w:r>
          </w:p>
        </w:tc>
      </w:tr>
      <w:tr>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22 Jul</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Index closes at 10,716.97, a three-month high, strongest major Western European market</w:t>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BBN Times / Share Talk</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Positive</w:t>
            </w:r>
          </w:p>
        </w:tc>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High</w:t>
            </w:r>
          </w:p>
        </w:tc>
        <w:tc>
          <w:tcPr>
            <w:tcW w:type="dxa" w:w="1560"/>
            <w:tcMar>
              <w:top w:type="dxa" w:w="60"/>
              <w:left w:type="dxa" w:w="90"/>
              <w:bottom w:type="dxa" w:w="60"/>
              <w:right w:type="dxa" w:w="90"/>
            </w:tcMar>
          </w:tcPr>
          <w:p>
            <w:pPr>
              <w:spacing w:after="0"/>
            </w:pPr>
            <w:r>
              <w:rPr>
                <w:rFonts w:ascii="Calibri" w:cs="Calibri" w:eastAsia="Calibri" w:hAnsi="Calibri"/>
                <w:sz w:val="17"/>
                <w:szCs w:val="17"/>
              </w:rPr>
              <w:t xml:space="preserve">+0.30</w:t>
            </w:r>
          </w:p>
        </w:tc>
      </w:tr>
      <w:tr>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21 Jul</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Defence shares pace gains after Chancellor appointment; wage growth steady at 3.4%</w:t>
            </w:r>
          </w:p>
        </w:tc>
        <w:tc>
          <w:tcPr>
            <w:tcW w:type="dxa" w:w="1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Sharecast</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Positive</w:t>
            </w:r>
          </w:p>
        </w:tc>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Low</w:t>
            </w:r>
          </w:p>
        </w:tc>
        <w:tc>
          <w:tcPr>
            <w:tcW w:type="dxa" w:w="15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+0.10</w:t>
            </w:r>
          </w:p>
        </w:tc>
      </w:tr>
      <w:tr>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21 Jul</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Citi flags that US equity positioning unwind may not be complete</w:t>
            </w:r>
          </w:p>
        </w:tc>
        <w:tc>
          <w:tcPr>
            <w:tcW w:type="dxa" w:w="1700"/>
            <w:tcMar>
              <w:top w:type="dxa" w:w="60"/>
              <w:left w:type="dxa" w:w="90"/>
              <w:bottom w:type="dxa" w:w="60"/>
              <w:right w:type="dxa" w:w="90"/>
            </w:tcMar>
          </w:tcPr>
          <w:p>
            <w:pPr>
              <w:spacing w:after="0"/>
            </w:pPr>
            <w:r>
              <w:rPr>
                <w:rFonts w:ascii="Calibri" w:cs="Calibri" w:eastAsia="Calibri" w:hAnsi="Calibri"/>
                <w:sz w:val="17"/>
                <w:szCs w:val="17"/>
              </w:rPr>
              <w:t xml:space="preserve">Investing.com</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Low</w:t>
            </w:r>
          </w:p>
        </w:tc>
        <w:tc>
          <w:tcPr>
            <w:tcW w:type="dxa" w:w="1560"/>
            <w:tcMar>
              <w:top w:type="dxa" w:w="60"/>
              <w:left w:type="dxa" w:w="90"/>
              <w:bottom w:type="dxa" w:w="60"/>
              <w:right w:type="dxa" w:w="90"/>
            </w:tcMar>
          </w:tcPr>
          <w:p>
            <w:pPr>
              <w:spacing w:after="0"/>
            </w:pPr>
            <w:r>
              <w:rPr>
                <w:rFonts w:ascii="Calibri" w:cs="Calibri" w:eastAsia="Calibri" w:hAnsi="Calibri"/>
                <w:sz w:val="17"/>
                <w:szCs w:val="17"/>
              </w:rPr>
              <w:t xml:space="preserve">-0.15</w:t>
            </w:r>
          </w:p>
        </w:tc>
      </w:tr>
    </w:tbl>
    <w:p>
      <w:pPr>
        <w:spacing w:after="80"/>
      </w:pPr>
    </w:p>
    <w:p>
      <w:pPr>
        <w:spacing w:after="120"/>
      </w:pPr>
      <w:r>
        <w:rPr>
          <w:rFonts w:ascii="Calibri" w:cs="Calibri" w:eastAsia="Calibri" w:hAnsi="Calibri"/>
          <w:b/>
          <w:bCs/>
          <w:sz w:val="20"/>
          <w:szCs w:val="20"/>
        </w:rPr>
        <w:t xml:space="preserve">§13b  Aggregate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69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Value</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Categorical assessment</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Mildly negative</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Numeric tilt</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-0.20 (scale -1 to +1)</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Positive weight share</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39%</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 weight share</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54%</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Mixed / neutral share</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7%</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Derivation</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Weighted mean of the nine article contributions above, with high-weight items counted at twice the weight of low-weight items. The negative skew is driven almost entirely by 23 July items; the 22 July news flow was net strongly positive.</w:t>
            </w:r>
          </w:p>
        </w:tc>
      </w:tr>
    </w:tbl>
    <w:p>
      <w:pPr>
        <w:spacing w:after="120"/>
      </w:pPr>
      <w:r>
        <w:rPr>
          <w:rFonts w:ascii="Calibri" w:cs="Calibri" w:eastAsia="Calibri" w:hAnsi="Calibri"/>
          <w:i/>
          <w:iCs/>
          <w:sz w:val="18"/>
          <w:szCs w:val="18"/>
        </w:rPr>
        <w:t xml:space="preserve">The tilt of -0.20 is the value consumed by the direction-scoring calculation in §21a. Note the sharp intra-window rotation: through 22 July the aggregate tilt would have been approximately +0.30. The entire swing to negative occurred within a single session and is attributable to the ECB decision, the energy-driven yield move and Middle East escalation.</w:t>
      </w:r>
    </w:p>
    <w:p>
      <w:pPr>
        <w:spacing w:after="80"/>
      </w:pPr>
    </w:p>
    <w:p>
      <w:pPr>
        <w:spacing w:after="120"/>
      </w:pPr>
      <w:r>
        <w:rPr>
          <w:rFonts w:ascii="Calibri" w:cs="Calibri" w:eastAsia="Calibri" w:hAnsi="Calibri"/>
          <w:b/>
          <w:bCs/>
          <w:sz w:val="20"/>
          <w:szCs w:val="20"/>
        </w:rPr>
        <w:t xml:space="preserve">§13c  Calendar — events already released in the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800"/>
        <w:gridCol w:w="2760"/>
      </w:tblGrid>
      <w:tr>
        <w:trPr>
          <w:tblHeader/>
        </w:trPr>
        <w:tc>
          <w:tcPr>
            <w:tcW w:type="dxa" w:w="9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Date</w:t>
            </w:r>
          </w:p>
        </w:tc>
        <w:tc>
          <w:tcPr>
            <w:tcW w:type="dxa" w:w="29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Event</w:t>
            </w:r>
          </w:p>
        </w:tc>
        <w:tc>
          <w:tcPr>
            <w:tcW w:type="dxa" w:w="28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Outcome</w:t>
            </w:r>
          </w:p>
        </w:tc>
        <w:tc>
          <w:tcPr>
            <w:tcW w:type="dxa" w:w="27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Market effect</w:t>
            </w:r>
          </w:p>
        </w:tc>
      </w:tr>
      <w:tr>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21 Jul</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UK average weekly earnings excluding bonuses, 3 months to May</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3.4%, in line with expectations</w:t>
            </w:r>
          </w:p>
        </w:tc>
        <w:tc>
          <w:tcPr>
            <w:tcW w:type="dxa" w:w="2760"/>
            <w:tcMar>
              <w:top w:type="dxa" w:w="60"/>
              <w:left w:type="dxa" w:w="90"/>
              <w:bottom w:type="dxa" w:w="60"/>
              <w:right w:type="dxa" w:w="90"/>
            </w:tcMar>
          </w:tcPr>
          <w:p>
            <w:pPr>
              <w:spacing w:after="0"/>
            </w:pPr>
            <w:r>
              <w:rPr>
                <w:rFonts w:ascii="Calibri" w:cs="Calibri" w:eastAsia="Calibri" w:hAnsi="Calibri"/>
                <w:sz w:val="17"/>
                <w:szCs w:val="17"/>
              </w:rPr>
              <w:t xml:space="preserve">Neutral. Reinforced the steady-rates view.</w:t>
            </w:r>
          </w:p>
        </w:tc>
      </w:tr>
      <w:tr>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22 Jul</w:t>
            </w:r>
          </w:p>
        </w:tc>
        <w:tc>
          <w:tcPr>
            <w:tcW w:type="dxa" w:w="2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UK June consumer price inflation</w:t>
            </w:r>
          </w:p>
        </w:tc>
        <w:tc>
          <w:tcPr>
            <w:tcW w:type="dxa" w:w="28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Fell more than expected</w:t>
            </w:r>
          </w:p>
        </w:tc>
        <w:tc>
          <w:tcPr>
            <w:tcW w:type="dxa" w:w="27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Strongly positive. Drove a 1.24% advance.</w:t>
            </w:r>
          </w:p>
        </w:tc>
      </w:tr>
      <w:tr>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22 Jul</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US ADP private employment trend</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Fourth consecutive four-week slowdown, ~16,500 per week</w:t>
            </w:r>
          </w:p>
        </w:tc>
        <w:tc>
          <w:tcPr>
            <w:tcW w:type="dxa" w:w="2760"/>
            <w:tcMar>
              <w:top w:type="dxa" w:w="60"/>
              <w:left w:type="dxa" w:w="90"/>
              <w:bottom w:type="dxa" w:w="60"/>
              <w:right w:type="dxa" w:w="90"/>
            </w:tcMar>
          </w:tcPr>
          <w:p>
            <w:pPr>
              <w:spacing w:after="0"/>
            </w:pPr>
            <w:r>
              <w:rPr>
                <w:rFonts w:ascii="Calibri" w:cs="Calibri" w:eastAsia="Calibri" w:hAnsi="Calibri"/>
                <w:sz w:val="17"/>
                <w:szCs w:val="17"/>
              </w:rPr>
              <w:t xml:space="preserve">Mildly positive for risk; supportive of a Fed pause.</w:t>
            </w:r>
          </w:p>
        </w:tc>
      </w:tr>
      <w:tr>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2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ECB monetary policy decision and press conference</w:t>
            </w:r>
          </w:p>
        </w:tc>
        <w:tc>
          <w:tcPr>
            <w:tcW w:type="dxa" w:w="28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Held at 2.25% deposit / 2.40% refinancing; hawkish tone</w:t>
            </w:r>
          </w:p>
        </w:tc>
        <w:tc>
          <w:tcPr>
            <w:tcW w:type="dxa" w:w="27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 Yields rose, euro fell, regional equities sold off.</w:t>
            </w:r>
          </w:p>
        </w:tc>
      </w:tr>
      <w:tr>
        <w:tc>
          <w:tcPr>
            <w:tcW w:type="dxa" w:w="900"/>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US initial jobless claims</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Consensus ~211,000 against a prior 208,000</w:t>
            </w:r>
          </w:p>
        </w:tc>
        <w:tc>
          <w:tcPr>
            <w:tcW w:type="dxa" w:w="2760"/>
            <w:tcMar>
              <w:top w:type="dxa" w:w="60"/>
              <w:left w:type="dxa" w:w="90"/>
              <w:bottom w:type="dxa" w:w="60"/>
              <w:right w:type="dxa" w:w="90"/>
            </w:tcMar>
          </w:tcPr>
          <w:p>
            <w:pPr>
              <w:spacing w:after="0"/>
            </w:pPr>
            <w:r>
              <w:rPr>
                <w:rFonts w:ascii="Calibri" w:cs="Calibri" w:eastAsia="Calibri" w:hAnsi="Calibri"/>
                <w:sz w:val="17"/>
                <w:szCs w:val="17"/>
              </w:rPr>
              <w:t xml:space="preserve">Marginal. Dollar firmed slightly.</w:t>
            </w:r>
          </w:p>
        </w:tc>
      </w:tr>
    </w:tbl>
    <w:p>
      <w:pPr>
        <w:spacing w:after="80"/>
      </w:pPr>
    </w:p>
    <w:p>
      <w:pPr>
        <w:spacing w:after="120"/>
      </w:pPr>
      <w:r>
        <w:rPr>
          <w:rFonts w:ascii="Calibri" w:cs="Calibri" w:eastAsia="Calibri" w:hAnsi="Calibri"/>
          <w:b/>
          <w:bCs/>
          <w:sz w:val="20"/>
          <w:szCs w:val="20"/>
        </w:rPr>
        <w:t xml:space="preserve">§13d  Calendar — forward events within the forecast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400"/>
        <w:gridCol w:w="3960"/>
      </w:tblGrid>
      <w:tr>
        <w:trPr>
          <w:tblHeader/>
        </w:trPr>
        <w:tc>
          <w:tcPr>
            <w:tcW w:type="dxa" w:w="13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Date</w:t>
            </w:r>
          </w:p>
        </w:tc>
        <w:tc>
          <w:tcPr>
            <w:tcW w:type="dxa" w:w="27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Event</w:t>
            </w:r>
          </w:p>
        </w:tc>
        <w:tc>
          <w:tcPr>
            <w:tcW w:type="dxa" w:w="14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Expected impact</w:t>
            </w:r>
          </w:p>
        </w:tc>
        <w:tc>
          <w:tcPr>
            <w:tcW w:type="dxa" w:w="39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Directional risk to the index</w:t>
            </w:r>
          </w:p>
        </w:tc>
      </w:tr>
      <w:tr>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Fri 24 Jul</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Ongoing corporate earnings, UK and international; UK retail sales</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Medium</w:t>
            </w:r>
          </w:p>
        </w:tc>
        <w:tc>
          <w:tcPr>
            <w:tcW w:type="dxa" w:w="3960"/>
            <w:tcMar>
              <w:top w:type="dxa" w:w="60"/>
              <w:left w:type="dxa" w:w="90"/>
              <w:bottom w:type="dxa" w:w="60"/>
              <w:right w:type="dxa" w:w="90"/>
            </w:tcMar>
          </w:tcPr>
          <w:p>
            <w:pPr>
              <w:spacing w:after="0"/>
            </w:pPr>
            <w:r>
              <w:rPr>
                <w:rFonts w:ascii="Calibri" w:cs="Calibri" w:eastAsia="Calibri" w:hAnsi="Calibri"/>
                <w:sz w:val="17"/>
                <w:szCs w:val="17"/>
              </w:rPr>
              <w:t xml:space="preserve">Two-sided. The session falls immediately after a hawkish regional policy event and a sharp regional selloff, so follow-through risk is elevated.</w:t>
            </w:r>
          </w:p>
        </w:tc>
      </w:tr>
      <w:tr>
        <w:tc>
          <w:tcPr>
            <w:tcW w:type="dxa" w:w="13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Fri 24 Jul</w:t>
            </w:r>
          </w:p>
        </w:tc>
        <w:tc>
          <w:tcPr>
            <w:tcW w:type="dxa" w:w="2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Continued Middle East developments and Brent price action</w:t>
            </w:r>
          </w:p>
        </w:tc>
        <w:tc>
          <w:tcPr>
            <w:tcW w:type="dxa" w:w="1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High</w:t>
            </w:r>
          </w:p>
        </w:tc>
        <w:tc>
          <w:tcPr>
            <w:tcW w:type="dxa" w:w="3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Two-sided and the dominant intraday variable. Further escalation lifts energy constituents while suppressing the broader index; de-escalation reverses both legs.</w:t>
            </w:r>
          </w:p>
        </w:tc>
      </w:tr>
      <w:tr>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Week of 27 Jul</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US Federal Open Market Committee meeting</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High</w:t>
            </w:r>
          </w:p>
        </w:tc>
        <w:tc>
          <w:tcPr>
            <w:tcW w:type="dxa" w:w="3960"/>
            <w:tcMar>
              <w:top w:type="dxa" w:w="60"/>
              <w:left w:type="dxa" w:w="90"/>
              <w:bottom w:type="dxa" w:w="60"/>
              <w:right w:type="dxa" w:w="90"/>
            </w:tcMar>
          </w:tcPr>
          <w:p>
            <w:pPr>
              <w:spacing w:after="0"/>
            </w:pPr>
            <w:r>
              <w:rPr>
                <w:rFonts w:ascii="Calibri" w:cs="Calibri" w:eastAsia="Calibri" w:hAnsi="Calibri"/>
                <w:sz w:val="17"/>
                <w:szCs w:val="17"/>
              </w:rPr>
              <w:t xml:space="preserve">Negative if hawkish. Elevated dollar and Treasury yields would tighten global financial conditions; the dollar channel partially offsets through earnings translation.</w:t>
            </w:r>
          </w:p>
        </w:tc>
      </w:tr>
      <w:tr>
        <w:tc>
          <w:tcPr>
            <w:tcW w:type="dxa" w:w="13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Early Aug</w:t>
            </w:r>
          </w:p>
        </w:tc>
        <w:tc>
          <w:tcPr>
            <w:tcW w:type="dxa" w:w="27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Bank of England monetary policy decision</w:t>
            </w:r>
          </w:p>
        </w:tc>
        <w:tc>
          <w:tcPr>
            <w:tcW w:type="dxa" w:w="1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High</w:t>
            </w:r>
          </w:p>
        </w:tc>
        <w:tc>
          <w:tcPr>
            <w:tcW w:type="dxa" w:w="3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The single highest-impact scheduled catalyst. Softer June inflation argues for a hold or a dovish tilt, but the energy shock cuts the other way. A hawkish surprise would remove the principal support for the 22 July advance.</w:t>
            </w:r>
          </w:p>
        </w:tc>
      </w:tr>
      <w:tr>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10 Sep</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ECB projection meeting</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Medium within horizon</w:t>
            </w:r>
          </w:p>
        </w:tc>
        <w:tc>
          <w:tcPr>
            <w:tcW w:type="dxa" w:w="3960"/>
            <w:tcMar>
              <w:top w:type="dxa" w:w="60"/>
              <w:left w:type="dxa" w:w="90"/>
              <w:bottom w:type="dxa" w:w="60"/>
              <w:right w:type="dxa" w:w="90"/>
            </w:tcMar>
          </w:tcPr>
          <w:p>
            <w:pPr>
              <w:spacing w:after="0"/>
            </w:pPr>
            <w:r>
              <w:rPr>
                <w:rFonts w:ascii="Calibri" w:cs="Calibri" w:eastAsia="Calibri" w:hAnsi="Calibri"/>
                <w:sz w:val="17"/>
                <w:szCs w:val="17"/>
              </w:rPr>
              <w:t xml:space="preserve">Not inside the five-day window but is already being priced. September hike probability near 92% is a continuing regional headwind.</w:t>
            </w:r>
          </w:p>
        </w:tc>
      </w:tr>
    </w:tbl>
    <w:p>
      <w:pPr>
        <w:spacing w:after="140"/>
      </w:pPr>
      <w:r>
        <w:rPr>
          <w:rFonts w:ascii="Calibri" w:cs="Calibri" w:eastAsia="Calibri" w:hAnsi="Calibri"/>
          <w:b/>
          <w:bCs/>
          <w:sz w:val="20"/>
          <w:szCs w:val="20"/>
        </w:rPr>
        <w:t xml:space="preserve">News collision warning. </w:t>
      </w:r>
      <w:r>
        <w:rPr>
          <w:rFonts w:ascii="Calibri" w:cs="Calibri" w:eastAsia="Calibri" w:hAnsi="Calibri"/>
          <w:sz w:val="20"/>
          <w:szCs w:val="20"/>
        </w:rPr>
        <w:t xml:space="preserve">The 24 July session opens directly into the aftermath of the ECB decision and a 1.69% decline in the eurozone comparator, with oil at or near $100 and an unresolved geopolitical escalation. Intraday gap risk is materially above normal. This warning is carried explicitly into the §21 trade-card caveats.</w:t>
      </w:r>
    </w:p>
    <w:p>
      <w:pPr>
        <w:pBdr>
          <w:bottom w:val="single" w:color="1F3864" w:sz="8"/>
        </w:pBdr>
        <w:spacing w:after="130" w:before="260"/>
      </w:pPr>
      <w:r>
        <w:rPr>
          <w:rFonts w:ascii="Calibri" w:cs="Calibri" w:eastAsia="Calibri" w:hAnsi="Calibri"/>
          <w:b/>
          <w:bCs/>
          <w:color w:val="1F3864"/>
          <w:sz w:val="24"/>
          <w:szCs w:val="24"/>
        </w:rPr>
        <w:t xml:space="preserve">§14  MACRO CONTEXT</w:t>
      </w:r>
    </w:p>
    <w:p>
      <w:pPr>
        <w:spacing w:after="120"/>
      </w:pPr>
      <w:r>
        <w:rPr>
          <w:rFonts w:ascii="Calibri" w:cs="Calibri" w:eastAsia="Calibri" w:hAnsi="Calibri"/>
          <w:sz w:val="20"/>
          <w:szCs w:val="20"/>
        </w:rPr>
        <w:t xml:space="preserve">Rates. The ECB held its deposit rate at 2.25% and its refinancing rate at 2.40% on 23 July following a 25-basis-point increase on 11 June. The accompanying statement was read as a hawkish hold, with September hike probability moving to approximately 92% from 85%. In the United States the federal funds rate remains at 3.50%–3.75% after a pause at the June meeting, with the next decision in the week of 27 July. The Bank of England faces the sharpest tension of the three: June inflation undershot expectations, but Brent near $100 threatens to reverse that improvement within the forecast horizon.</w:t>
      </w:r>
    </w:p>
    <w:p>
      <w:pPr>
        <w:spacing w:after="120"/>
      </w:pPr>
      <w:r>
        <w:rPr>
          <w:rFonts w:ascii="Calibri" w:cs="Calibri" w:eastAsia="Calibri" w:hAnsi="Calibri"/>
          <w:sz w:val="20"/>
          <w:szCs w:val="20"/>
        </w:rPr>
        <w:t xml:space="preserve">Inflation. UK June inflation fell by more than expected. The offsetting force is energy: the ECB explicitly noted that the energy price outlook stands well above pre-conflict levels and that the full inflationary impact has yet to play through, with indirect and second-round effects under close monitoring. The disinflation that drove Wednesday's rally is therefore contingent rather than established.</w:t>
      </w:r>
    </w:p>
    <w:p>
      <w:pPr>
        <w:spacing w:after="120"/>
      </w:pPr>
      <w:r>
        <w:rPr>
          <w:rFonts w:ascii="Calibri" w:cs="Calibri" w:eastAsia="Calibri" w:hAnsi="Calibri"/>
          <w:sz w:val="20"/>
          <w:szCs w:val="20"/>
        </w:rPr>
        <w:t xml:space="preserve">Liquidity and financial conditions. Eurozone government borrowing costs rose on 23 July and the 10-year gilt yield was near 5.03% on 21 July. Rising yields tighten conditions through corporate financing costs and through the discount rate applied to equity cash flows. This is the principal transmission channel by which the ECB decision reached London despite the Bank of England not having met.</w:t>
      </w:r>
    </w:p>
    <w:p>
      <w:pPr>
        <w:spacing w:after="120"/>
      </w:pPr>
      <w:r>
        <w:rPr>
          <w:rFonts w:ascii="Calibri" w:cs="Calibri" w:eastAsia="Calibri" w:hAnsi="Calibri"/>
          <w:sz w:val="20"/>
          <w:szCs w:val="20"/>
        </w:rPr>
        <w:t xml:space="preserve">Currency. Citing the counter reading in §10 rather than re-deriving it: the dollar index has advanced for four consecutive sessions and holds above 101, with the euro at approximately 1.1375 after the ECB decision and sterling at $1.3377 as of the 22 July London close. Dollar strength is the single macro variable working in the index's favour, since it inflates the sterling value of the overseas earnings that constitute the large majority of index revenue. Against the euro, sterling edged lower to €1.1717 — a marginal tailwind for eurozone-facing UK earnings.</w:t>
      </w:r>
    </w:p>
    <w:p>
      <w:pPr>
        <w:spacing w:after="120"/>
      </w:pPr>
      <w:r>
        <w:rPr>
          <w:rFonts w:ascii="Calibri" w:cs="Calibri" w:eastAsia="Calibri" w:hAnsi="Calibri"/>
          <w:sz w:val="20"/>
          <w:szCs w:val="20"/>
        </w:rPr>
        <w:t xml:space="preserve">Energy. Again citing §10 and §12 rather than re-deriving: Brent's advance to $94.13 on 22 July and toward $100 on 23 July is the dominant cross-asset variable of the window. It is simultaneously the reason the index outperformed its peers and the reason the regional risk premium is rising.</w:t>
      </w:r>
    </w:p>
    <w:p>
      <w:pPr>
        <w:spacing w:after="120"/>
      </w:pPr>
      <w:r>
        <w:rPr>
          <w:rFonts w:ascii="Calibri" w:cs="Calibri" w:eastAsia="Calibri" w:hAnsi="Calibri"/>
          <w:sz w:val="20"/>
          <w:szCs w:val="20"/>
        </w:rPr>
        <w:t xml:space="preserve">Positioning. Volatility gauges surged on 23 July on Middle East escalation. Citi noted on 21 July that the US equity positioning unwind following the technology-led selloff may not be complete, implying that further forced de-risking could transmit to European indices through the common-factor channel identified in §10.</w:t>
      </w:r>
    </w:p>
    <w:p>
      <w:pPr>
        <w:spacing w:after="140"/>
      </w:pPr>
      <w:r>
        <w:rPr>
          <w:rFonts w:ascii="Calibri" w:cs="Calibri" w:eastAsia="Calibri" w:hAnsi="Calibri"/>
          <w:b/>
          <w:bCs/>
          <w:sz w:val="20"/>
          <w:szCs w:val="20"/>
        </w:rPr>
        <w:t xml:space="preserve">Watch item. </w:t>
      </w:r>
      <w:r>
        <w:rPr>
          <w:rFonts w:ascii="Calibri" w:cs="Calibri" w:eastAsia="Calibri" w:hAnsi="Calibri"/>
          <w:sz w:val="20"/>
          <w:szCs w:val="20"/>
        </w:rPr>
        <w:t xml:space="preserve">The Bank of England decision identified in §13d is the macro event most capable of altering this picture. If the energy shock forces a hawkish reassessment despite soft June inflation, the principal support for the medium-term constructive regime is removed. The directional risk to the index on a hawkish surprise is negative, partially offset by the sterling-weakness translation channel.</w:t>
      </w:r>
    </w:p>
    <w:p>
      <w:pPr>
        <w:pBdr>
          <w:bottom w:val="single" w:color="1F3864" w:sz="8"/>
        </w:pBdr>
        <w:spacing w:after="130" w:before="260"/>
      </w:pPr>
      <w:r>
        <w:rPr>
          <w:rFonts w:ascii="Calibri" w:cs="Calibri" w:eastAsia="Calibri" w:hAnsi="Calibri"/>
          <w:b/>
          <w:bCs/>
          <w:color w:val="1F3864"/>
          <w:sz w:val="24"/>
          <w:szCs w:val="24"/>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Main upside risks</w:t>
            </w:r>
          </w:p>
        </w:tc>
        <w:tc>
          <w:tcPr>
            <w:tcW w:type="dxa" w:w="468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Main downside risks</w:t>
            </w:r>
          </w:p>
        </w:tc>
      </w:tr>
      <w:tr>
        <w:tc>
          <w:tcPr>
            <w:tcW w:type="dxa" w:w="4680"/>
            <w:tcMar>
              <w:top w:type="dxa" w:w="60"/>
              <w:left w:type="dxa" w:w="90"/>
              <w:bottom w:type="dxa" w:w="60"/>
              <w:right w:type="dxa" w:w="90"/>
            </w:tcMar>
          </w:tcPr>
          <w:p>
            <w:pPr>
              <w:spacing w:after="0"/>
            </w:pPr>
            <w:r>
              <w:rPr>
                <w:rFonts w:ascii="Calibri" w:cs="Calibri" w:eastAsia="Calibri" w:hAnsi="Calibri"/>
                <w:sz w:val="17"/>
                <w:szCs w:val="17"/>
              </w:rPr>
              <w:t xml:space="preserve">Energy leadership. Brent near $100 directly benefits the index's heavyweight energy constituents. Shell and BP both rose on a session when the broader regional market fell over 1.5%.</w:t>
            </w:r>
          </w:p>
        </w:tc>
        <w:tc>
          <w:tcPr>
            <w:tcW w:type="dxa" w:w="4680"/>
            <w:tcMar>
              <w:top w:type="dxa" w:w="60"/>
              <w:left w:type="dxa" w:w="90"/>
              <w:bottom w:type="dxa" w:w="60"/>
              <w:right w:type="dxa" w:w="90"/>
            </w:tcMar>
          </w:tcPr>
          <w:p>
            <w:pPr>
              <w:spacing w:after="0"/>
            </w:pPr>
            <w:r>
              <w:rPr>
                <w:rFonts w:ascii="Calibri" w:cs="Calibri" w:eastAsia="Calibri" w:hAnsi="Calibri"/>
                <w:sz w:val="17"/>
                <w:szCs w:val="17"/>
              </w:rPr>
              <w:t xml:space="preserve">Regional contagion. Three of four counters in §10 contradict the constructive regime. The eurozone comparator fell 1.69% and Frankfurt 1.56% on 23 July; London's relative resilience may not survive a second consecutive risk-off session.</w:t>
            </w:r>
          </w:p>
        </w:tc>
      </w:tr>
      <w:tr>
        <w:tc>
          <w:tcPr>
            <w:tcW w:type="dxa" w:w="46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Structural trend intact. The 25-session slope is +22.81 points per session and the efficiency ratio at 0.51 classifies the market as strongly trending upward. Higher lows have been preserved throughout the window.</w:t>
            </w:r>
          </w:p>
        </w:tc>
        <w:tc>
          <w:tcPr>
            <w:tcW w:type="dxa" w:w="46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Failed follow-through. Per §8, the session after a 194-point expansion day opened at the prior close and sold off, rejecting the 10,705–10,725 supply shelf identified in §11. Failure to extend after expansion is a recognised exhaustion signature.</w:t>
            </w:r>
          </w:p>
        </w:tc>
      </w:tr>
      <w:tr>
        <w:tc>
          <w:tcPr>
            <w:tcW w:type="dxa" w:w="4680"/>
            <w:tcMar>
              <w:top w:type="dxa" w:w="60"/>
              <w:left w:type="dxa" w:w="90"/>
              <w:bottom w:type="dxa" w:w="60"/>
              <w:right w:type="dxa" w:w="90"/>
            </w:tcMar>
          </w:tcPr>
          <w:p>
            <w:pPr>
              <w:spacing w:after="0"/>
            </w:pPr>
            <w:r>
              <w:rPr>
                <w:rFonts w:ascii="Calibri" w:cs="Calibri" w:eastAsia="Calibri" w:hAnsi="Calibri"/>
                <w:sz w:val="17"/>
                <w:szCs w:val="17"/>
              </w:rPr>
              <w:t xml:space="preserve">Valuation and flows. The index trades at a discount to US and continental peers with an attractive historical dividend yield, and international allocation to London equities is showing tentative revival.</w:t>
            </w:r>
          </w:p>
        </w:tc>
        <w:tc>
          <w:tcPr>
            <w:tcW w:type="dxa" w:w="4680"/>
            <w:tcMar>
              <w:top w:type="dxa" w:w="60"/>
              <w:left w:type="dxa" w:w="90"/>
              <w:bottom w:type="dxa" w:w="60"/>
              <w:right w:type="dxa" w:w="90"/>
            </w:tcMar>
          </w:tcPr>
          <w:p>
            <w:pPr>
              <w:spacing w:after="0"/>
            </w:pPr>
            <w:r>
              <w:rPr>
                <w:rFonts w:ascii="Calibri" w:cs="Calibri" w:eastAsia="Calibri" w:hAnsi="Calibri"/>
                <w:sz w:val="17"/>
                <w:szCs w:val="17"/>
              </w:rPr>
              <w:t xml:space="preserve">Rate repricing. September ECB hike probability at approximately 92% and rising European yields compress equity valuations regionally. The Bank of England decision in §13d could extend this to the UK directly.</w:t>
            </w:r>
          </w:p>
        </w:tc>
      </w:tr>
      <w:tr>
        <w:tc>
          <w:tcPr>
            <w:tcW w:type="dxa" w:w="46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Defensive composition. The commodity-and-defensives weighting has served the index through 2026's geopolitical volatility, generating an 83-basis-point outperformance over Frankfurt on 23 July alone.</w:t>
            </w:r>
          </w:p>
        </w:tc>
        <w:tc>
          <w:tcPr>
            <w:tcW w:type="dxa" w:w="46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Pivot position. Per §11, the close sits 19.75 points below the daily pivot at 10,658.75. A close beneath daily S1 at 10,592.65 opens a structural vacuum down to the 10,480–10,483 confluence.</w:t>
            </w:r>
          </w:p>
        </w:tc>
      </w:tr>
      <w:tr>
        <w:tc>
          <w:tcPr>
            <w:tcW w:type="dxa" w:w="4680"/>
            <w:tcMar>
              <w:top w:type="dxa" w:w="60"/>
              <w:left w:type="dxa" w:w="90"/>
              <w:bottom w:type="dxa" w:w="60"/>
              <w:right w:type="dxa" w:w="90"/>
            </w:tcMar>
          </w:tcPr>
          <w:p>
            <w:pPr>
              <w:spacing w:after="0"/>
            </w:pPr>
            <w:r>
              <w:rPr>
                <w:rFonts w:ascii="Calibri" w:cs="Calibri" w:eastAsia="Calibri" w:hAnsi="Calibri"/>
                <w:sz w:val="17"/>
                <w:szCs w:val="17"/>
              </w:rPr>
              <w:t xml:space="preserve">Disinflation. June UK inflation undershot expectations, weakening the tightening case and driving the 22 July advance.</w:t>
            </w:r>
          </w:p>
        </w:tc>
        <w:tc>
          <w:tcPr>
            <w:tcW w:type="dxa" w:w="4680"/>
            <w:tcMar>
              <w:top w:type="dxa" w:w="60"/>
              <w:left w:type="dxa" w:w="90"/>
              <w:bottom w:type="dxa" w:w="60"/>
              <w:right w:type="dxa" w:w="90"/>
            </w:tcMar>
          </w:tcPr>
          <w:p>
            <w:pPr>
              <w:spacing w:after="0"/>
            </w:pPr>
            <w:r>
              <w:rPr>
                <w:rFonts w:ascii="Calibri" w:cs="Calibri" w:eastAsia="Calibri" w:hAnsi="Calibri"/>
                <w:sz w:val="17"/>
                <w:szCs w:val="17"/>
              </w:rPr>
              <w:t xml:space="preserve">Geopolitical tail risk. Per §13d, a twelfth consecutive night of strikes and Red Sea tanker attacks create genuine gap risk. Volatility is already expanding per §9.</w:t>
            </w:r>
          </w:p>
        </w:tc>
      </w:tr>
    </w:tbl>
    <w:p>
      <w:pPr>
        <w:spacing w:after="120"/>
      </w:pPr>
      <w:r>
        <w:rPr>
          <w:rFonts w:ascii="Calibri" w:cs="Calibri" w:eastAsia="Calibri" w:hAnsi="Calibri"/>
          <w:sz w:val="20"/>
          <w:szCs w:val="20"/>
        </w:rPr>
        <w:t xml:space="preserve">Balance of risks. The upside case rests on structure and composition — durable factors operating over weeks. The downside case rests on policy, positioning and geopolitics — factors capable of acting within a single session. Over the five-day horizon the risks are close to balanced with a mild negative skew, consistent with the -0.20 sentiment tilt in §13b and the negative cross-asset contribution in §10, and offset by the strongly positive efficiency and regime readings in §9. The highest-impact event in §13d is the Bank of England decision, which sits at the edge of the horizon.</w:t>
      </w:r>
    </w:p>
    <w:p>
      <w:pPr>
        <w:pBdr>
          <w:bottom w:val="single" w:color="1F3864" w:sz="8"/>
        </w:pBdr>
        <w:spacing w:after="130" w:before="260"/>
      </w:pPr>
      <w:r>
        <w:rPr>
          <w:rFonts w:ascii="Calibri" w:cs="Calibri" w:eastAsia="Calibri" w:hAnsi="Calibri"/>
          <w:b/>
          <w:bCs/>
          <w:color w:val="1F3864"/>
          <w:sz w:val="24"/>
          <w:szCs w:val="24"/>
        </w:rPr>
        <w:t xml:space="preserve">§16  FORWARD VIEW</w:t>
      </w:r>
    </w:p>
    <w:p>
      <w:pPr>
        <w:spacing w:after="120"/>
      </w:pPr>
      <w:r>
        <w:rPr>
          <w:rFonts w:ascii="Calibri" w:cs="Calibri" w:eastAsia="Calibri" w:hAnsi="Calibri"/>
          <w:sz w:val="20"/>
          <w:szCs w:val="20"/>
        </w:rPr>
        <w:t xml:space="preserve">Expected direction over the next five trading days: sideways with a mild upward bias, subject to an elevated-variance caveat that is larger than usual.</w:t>
      </w:r>
    </w:p>
    <w:p>
      <w:pPr>
        <w:spacing w:after="120"/>
      </w:pPr>
      <w:r>
        <w:rPr>
          <w:rFonts w:ascii="Calibri" w:cs="Calibri" w:eastAsia="Calibri" w:hAnsi="Calibri"/>
          <w:sz w:val="20"/>
          <w:szCs w:val="20"/>
        </w:rPr>
        <w:t xml:space="preserve">The base case is that the index consolidates in the 10,545 to 10,765 band, using the 10,628–10,640 multi-timeframe pivot confluence identified in §11 as its axis. This range is bounded below by daily S2 at 10,546.30 and above by the 22 July high at 10,763.44. The reasoning is that the market has closed precisely on a pivot cluster after a full round trip — a 280-point swing that netted only 40 points across five sessions — while the medium-term structure per §9 remains constructive and the immediate news flow per §13 has turned mildly negative. Those forces are close to offsetting.</w:t>
      </w:r>
    </w:p>
    <w:p>
      <w:pPr>
        <w:spacing w:after="120"/>
      </w:pPr>
      <w:r>
        <w:rPr>
          <w:rFonts w:ascii="Calibri" w:cs="Calibri" w:eastAsia="Calibri" w:hAnsi="Calibri"/>
          <w:sz w:val="20"/>
          <w:szCs w:val="20"/>
        </w:rPr>
        <w:t xml:space="preserve">The bullish alternative requires the energy leadership channel described in §12 to dominate. If Brent holds above $95 and the index's energy constituents continue to absorb the regional risk-off impulse, a retest of the 10,705–10,725 supply shelf is the first objective, with 10,763.44 and then the 52-week high at 10,934.94 beyond it. This path becomes materially more likely on a daily close back above the daily pivot at 10,658.75.</w:t>
      </w:r>
    </w:p>
    <w:p>
      <w:pPr>
        <w:spacing w:after="120"/>
      </w:pPr>
      <w:r>
        <w:rPr>
          <w:rFonts w:ascii="Calibri" w:cs="Calibri" w:eastAsia="Calibri" w:hAnsi="Calibri"/>
          <w:sz w:val="20"/>
          <w:szCs w:val="20"/>
        </w:rPr>
        <w:t xml:space="preserve">The bearish alternative requires regional contagion to overwhelm the composition advantage. A daily close beneath 10,592.65 would break the higher-lows sequence noted in §8 and open the structural vacuum described in §11 down to the 10,480–10,483 confluence, where daily S3 and the 21 July swing low coincide. Weekly S1 at 10,471.57 sits immediately beneath as the next defended level.</w:t>
      </w:r>
    </w:p>
    <w:p>
      <w:pPr>
        <w:spacing w:after="120"/>
      </w:pPr>
      <w:r>
        <w:rPr>
          <w:rFonts w:ascii="Calibri" w:cs="Calibri" w:eastAsia="Calibri" w:hAnsi="Calibri"/>
          <w:sz w:val="20"/>
          <w:szCs w:val="20"/>
        </w:rPr>
        <w:t xml:space="preserve">Calendar reference per §13d: the 24 July session carries elevated gap risk from the immediately preceding ECB decision and regional selloff. The FOMC meeting in the week of 27 July and the Bank of England decision in early August are the scheduled events most capable of resolving the range decisively.</w:t>
      </w:r>
    </w:p>
    <w:p>
      <w:pPr>
        <w:spacing w:after="140"/>
      </w:pPr>
      <w:r>
        <w:rPr>
          <w:rFonts w:ascii="Calibri" w:cs="Calibri" w:eastAsia="Calibri" w:hAnsi="Calibri"/>
          <w:b/>
          <w:bCs/>
          <w:sz w:val="20"/>
          <w:szCs w:val="20"/>
        </w:rPr>
        <w:t xml:space="preserve">Base-case invalidation. </w:t>
      </w:r>
      <w:r>
        <w:rPr>
          <w:rFonts w:ascii="Calibri" w:cs="Calibri" w:eastAsia="Calibri" w:hAnsi="Calibri"/>
          <w:sz w:val="20"/>
          <w:szCs w:val="20"/>
        </w:rPr>
        <w:t xml:space="preserve">Two consecutive daily closes outside the 10,545–10,765 band. A downside break additionally requires confirmation that the eurozone comparator has broken its own 6,198.70 session low, distinguishing index-specific weakness from regional beta.</w:t>
      </w:r>
    </w:p>
    <w:p>
      <w:pPr>
        <w:spacing w:after="120"/>
      </w:pPr>
      <w:r>
        <w:rPr>
          <w:rFonts w:ascii="Calibri" w:cs="Calibri" w:eastAsia="Calibri" w:hAnsi="Calibri"/>
          <w:i/>
          <w:iCs/>
          <w:sz w:val="18"/>
          <w:szCs w:val="18"/>
        </w:rPr>
        <w:t xml:space="preserve">Regime consistency: this forward view is consistent with the TRANSITION regime classification in §9. It does not contradict the trending efficiency classification — a consolidation inside an established uptrend is the expected behaviour after a failed expansion, and the mild upward bias reflects the positive 25-session slope. The contradiction between the efficiency reading and the short-term bias, flagged in §9, is expressed here as elevated variance around a range-bound central case rather than as directional ambiguity.</w:t>
      </w:r>
    </w:p>
    <w:p>
      <w:pPr>
        <w:pBdr>
          <w:bottom w:val="single" w:color="1F3864" w:sz="8"/>
        </w:pBdr>
        <w:spacing w:after="130" w:before="260"/>
      </w:pPr>
      <w:r>
        <w:rPr>
          <w:rFonts w:ascii="Calibri" w:cs="Calibri" w:eastAsia="Calibri" w:hAnsi="Calibri"/>
          <w:b/>
          <w:bCs/>
          <w:color w:val="1F3864"/>
          <w:sz w:val="24"/>
          <w:szCs w:val="24"/>
        </w:rPr>
        <w:t xml:space="preserve">§17  FORECAST</w:t>
      </w:r>
    </w:p>
    <w:p>
      <w:pPr>
        <w:pBdr>
          <w:left w:val="single" w:color="1F3864" w:sz="18"/>
        </w:pBdr>
        <w:shd w:fill="EDF2FA" w:color="auto" w:val="clear"/>
        <w:spacing w:after="160"/>
      </w:pPr>
      <w:r>
        <w:rPr>
          <w:rFonts w:ascii="Calibri" w:cs="Calibri" w:eastAsia="Calibri" w:hAnsi="Calibri"/>
          <w:b/>
          <w:bCs/>
          <w:color w:val="1F3864"/>
          <w:sz w:val="22"/>
          <w:szCs w:val="22"/>
        </w:rPr>
        <w:t xml:space="preserve">  The FTSE 100 is expected to consolidate between 10,545 and 10,765 over the next five trading days with a mild upward bias, holding the 10,628–10,640 pivot confluence as its axis, as constructive trending structure and energy-sector leadership offset a hawkish regional rate impulse and negative cross-asset confirmation.  </w:t>
      </w:r>
    </w:p>
    <w:p>
      <w:pPr>
        <w:pBdr>
          <w:bottom w:val="single" w:color="1F3864" w:sz="8"/>
        </w:pBdr>
        <w:spacing w:after="130" w:before="260"/>
      </w:pPr>
      <w:r>
        <w:rPr>
          <w:rFonts w:ascii="Calibri" w:cs="Calibri" w:eastAsia="Calibri" w:hAnsi="Calibri"/>
          <w:b/>
          <w:bCs/>
          <w:color w:val="1F3864"/>
          <w:sz w:val="24"/>
          <w:szCs w:val="24"/>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1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Judgement</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Consensus price call</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10,639.00 index points (23 July official close)</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Confidence</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High (H) on the price; Medium (M) on the directional view</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Reason 1</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The index is sitting on a genuine multi-timeframe equilibrium. Per §11, the close is 19.75 points below the daily pivot and 10.11 points above the weekly pivot, with monthly R1 within three points. Markets that settle on a pivot cluster after a full round trip are at a decision point, and the honest read is that direction is not yet determined.</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Reason 2</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The medium-term structure is genuinely constructive and should not be discounted. Per §9, the 25-session slope is +22.81 points per session and the efficiency ratio at 0.51 is nearly four times its trending threshold. This argues for buying weakness rather than selling strength, which is why both active trade cards in §21 are long despite a negative short-term bias.</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Reason 3</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The cross-asset contradiction in §10 is regional rather than index-specific. Every European benchmark fell on 23 July and the index fell least by a wide margin. The composition advantage — energy and defensives against continental industrials and eurozone banks — is real, measurable at 83 basis points against Frankfurt on the session, and is the reason a neutral rather than negative stance is warranted.</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Single watch item</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Whether daily S1 at 10,592.65 holds on a closing basis. A daily close beneath it breaks the higher-lows sequence intact since 10 June and opens a structural vacuum down to the 10,480–10,483 confluence where daily S3 and the 21 July swing low coincide.</w:t>
            </w:r>
          </w:p>
        </w:tc>
      </w:tr>
    </w:tbl>
    <w:p>
      <w:pPr>
        <w:pBdr>
          <w:bottom w:val="single" w:color="1F3864" w:sz="8"/>
        </w:pBdr>
        <w:spacing w:after="130" w:before="260"/>
      </w:pPr>
      <w:r>
        <w:rPr>
          <w:rFonts w:ascii="Calibri" w:cs="Calibri" w:eastAsia="Calibri" w:hAnsi="Calibri"/>
          <w:b/>
          <w:bCs/>
          <w:color w:val="1F3864"/>
          <w:sz w:val="24"/>
          <w:szCs w:val="24"/>
        </w:rPr>
        <w:t xml:space="preserve">§19  SOURCE DISCIPLINE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Item</w:t>
            </w:r>
          </w:p>
        </w:tc>
        <w:tc>
          <w:tcPr>
            <w:tcW w:type="dxa" w:w="69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Primary close, 23 Jul</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LIVE — dual-source corroborated (exchange of record and index provider), agreement exact, within the ±0.10-point equity-index tolerance.</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Primary close, 22 Jul</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LIVE — corroborated across four independent sources at 10,716.97 with a consistent +131.06-point change.</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Primary intraday high/low, 23 Jul</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SINGLE-SOURCE INDICATIVE. Used for directional context and pivot derivation with the indicative flag attached; not used for entry or stop pricing in §21.</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Primary sessions 17–22 Jul</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Closes dual-source corroborated. Intraday extremes for 20 and 21 July are single-source for the high field on 17 and 20 July.</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Secondary index, 23 Jul close</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LIVE — dual-source corroborated at 6,210.00 (-1.69%).</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Secondary index intraday</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SINGLE-SOURCE INDICATIVE for the 17, 20 and 21 July high and low fields.</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Daily pivot timeframe</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INDICATIVE ONLY — derived from single-source 23 July intraday extremes. This flag is consumed by the §21 suppression rules and is the reason no trade card prices its stop against a daily pivot level without an added volatility buffer.</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Weekly pivot timeframe</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CORROBORATED — prior-week high, low and close all dual-source. Admissible for entry and stop pricing.</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Monthly pivot timeframe</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CORROBORATED — June high, low and close all dual-source. Admissible for entry and stop pricing.</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Counter readings</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USDX, S&amp;P 500 and DAX 40 closes are each corroborated by at least two independent sources. Dollar index level reported as a band (101.0–101.1) rather than a point value because sources disagreed beyond the ±0.05-point tolerance for that instrument.</w:t>
            </w:r>
          </w:p>
        </w:tc>
      </w:tr>
      <w:tr>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Data gaps</w:t>
            </w:r>
          </w:p>
        </w:tc>
        <w:tc>
          <w:tcPr>
            <w:tcW w:type="dxa" w:w="6960"/>
            <w:tcMar>
              <w:top w:type="dxa" w:w="60"/>
              <w:left w:type="dxa" w:w="90"/>
              <w:bottom w:type="dxa" w:w="60"/>
              <w:right w:type="dxa" w:w="90"/>
            </w:tcMar>
          </w:tcPr>
          <w:p>
            <w:pPr>
              <w:spacing w:after="0"/>
            </w:pPr>
            <w:r>
              <w:rPr>
                <w:rFonts w:ascii="Calibri" w:cs="Calibri" w:eastAsia="Calibri" w:hAnsi="Calibri"/>
                <w:sz w:val="17"/>
                <w:szCs w:val="17"/>
              </w:rPr>
              <w:t xml:space="preserve">No 24 July session data exists at the time of production; the report is anchored to the 23 July close and the 07:00 UK pre-open window. Volume data for 23 July was not obtainable from a second source and is omitted rather than reported single-source.</w:t>
            </w:r>
          </w:p>
        </w:tc>
      </w:tr>
      <w:tr>
        <w:tc>
          <w:tcPr>
            <w:tcW w:type="dxa" w:w="24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Normalization assumptions</w:t>
            </w:r>
          </w:p>
        </w:tc>
        <w:tc>
          <w:tcPr>
            <w:tcW w:type="dxa" w:w="69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 currency conversion applied to the primary. The secondary index is reported in native EUR with the GBP cross noted at 1.1717 rather than converted, to avoid importing FX error into an equity-index comparison. Retail contract-for-difference quotations excluded from the consensus build per standing policy.</w:t>
            </w:r>
          </w:p>
        </w:tc>
      </w:tr>
    </w:tbl>
    <w:p>
      <w:pPr>
        <w:pBdr>
          <w:bottom w:val="single" w:color="1F3864" w:sz="8"/>
        </w:pBdr>
        <w:spacing w:after="130" w:before="260"/>
      </w:pPr>
      <w:r>
        <w:rPr>
          <w:rFonts w:ascii="Calibri" w:cs="Calibri" w:eastAsia="Calibri" w:hAnsi="Calibri"/>
          <w:b/>
          <w:bCs/>
          <w:color w:val="1F3864"/>
          <w:sz w:val="24"/>
          <w:szCs w:val="24"/>
        </w:rPr>
        <w:t xml:space="preserve">§20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160"/>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Entry</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Run timestamp</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24 July 2026, 07:00 UK (pre-open anchor)</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Sources attempted</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Fourteen retrieval operations across exchange, index-provider, wire, aggregator and desk-commentary sources. Seven retained for the primary consensus build; one excluded as a contract-for-difference derived quotation; six used for counter and secondary readings.</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Validation method</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Pairwise corroboration against asset-class tolerance (±0.10 points for equity indices). Fields failing to obtain two independent sources marked single-source indicative and excluded from pivot, entry and stop pricing per standing protocol.</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Corroboration pairs</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Primary 23 Jul close: exchange of record with index provider. Primary 22 Jul close: wire report with two aggregators plus desk commentary. Secondary 23 Jul close: index board with macro data provider. Counters: index board with sector wire.</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Sentiment derivation</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Nine articles across 21–23 July, each assigned a tone and a weight, aggregated as a weighted mean with high-weight items double-counted relative to low-weight items. Result -0.20, categorical mildly negative. Sentiment was frozen at the 23 July close for the purposes of the backtest reconstruction and was not pulled forward into prior-session rows.</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Direction-score weights basis</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DEFAULTS. All six weights match the established baseline. No tuning applied. This is session 1 of the forward test for this configuration, and the weight lock runs to a minimum of session 20.</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Direction-score computation</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Six weighted signals summed to +0.06. Contributions: medium-term regime +0.170, efficiency classification +0.083, short-term technical -0.075, cross-asset confirmation -0.053, volatility regime -0.040, sentiment tilt -0.030.</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Suppression reasons</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Trade 1 (daily directional) SUPPRESSED — absolute direction score of 0.06 falls below the 0.25 conviction threshold. Trades 2 and 3 produced, being regime-driven and not subject to the conviction gate. Opposing-direction cards permitted by configuration but not generated, as both active cards resolved long.</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Regime fork</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Regime label TRANSITION. Efficiency classification TRENDING (0.5051, threshold 0.13) combined with a short-term rejection and adverse volatility expansion. Trade 3 variant resolved to the momentum-pullback branch on the trending efficiency reading.</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Backtest reconstruction</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Five sessions replayed, 17 to 23 July. Technical surface recomputed at each t−1 close from truncated history; volatility, swings and pivots re-derived per row; sentiment frozen at each reconstruction date. Outcomes resolved on the single t-session bar only. Stop-first tick priority applied where both a stop and a target fell within one bar. Fifteen reconstruction rows generated, five of which are suppression records that do not contribute to the aggregate.</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Anomalies</w:t>
            </w:r>
          </w:p>
        </w:tc>
        <w:tc>
          <w:tcPr>
            <w:tcW w:type="dxa" w:w="7160"/>
            <w:tcMar>
              <w:top w:type="dxa" w:w="60"/>
              <w:left w:type="dxa" w:w="90"/>
              <w:bottom w:type="dxa" w:w="60"/>
              <w:right w:type="dxa" w:w="90"/>
            </w:tcMar>
          </w:tcPr>
          <w:p>
            <w:pPr>
              <w:spacing w:after="0"/>
            </w:pPr>
            <w:r>
              <w:rPr>
                <w:rFonts w:ascii="Calibri" w:cs="Calibri" w:eastAsia="Calibri" w:hAnsi="Calibri"/>
                <w:sz w:val="17"/>
                <w:szCs w:val="17"/>
              </w:rPr>
              <w:t xml:space="preserve">One. The efficiency classification contradicts the short-term technical bias. Flagged in §9, carried to §15 and §16, and reflected in the neutral directional conviction rather than resolved. A second, lesser anomaly: the 23 July intraday extremes could not be dual-sourced, which renders the entire daily pivot timeframe indicative and forced both active trade cards to price stops against volatility-buffered structural levels rather than against raw pivot values.</w:t>
            </w:r>
          </w:p>
        </w:tc>
      </w:tr>
      <w:tr>
        <w:tc>
          <w:tcPr>
            <w:tcW w:type="dxa" w:w="2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Conflict with forecast</w:t>
            </w:r>
          </w:p>
        </w:tc>
        <w:tc>
          <w:tcPr>
            <w:tcW w:type="dxa" w:w="7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None. The neutral directional conviction in §21a is consistent with the range-bound forecast in §17. The forecast text was produced before the strategies block and has not been altered.</w:t>
            </w:r>
          </w:p>
        </w:tc>
      </w:tr>
    </w:tbl>
    <w:p>
      <w:pPr>
        <w:pBdr>
          <w:bottom w:val="single" w:color="AD1457" w:sz="8"/>
        </w:pBdr>
        <w:spacing w:after="130" w:before="260"/>
      </w:pPr>
      <w:r>
        <w:rPr>
          <w:rFonts w:ascii="Calibri" w:cs="Calibri" w:eastAsia="Calibri" w:hAnsi="Calibri"/>
          <w:b/>
          <w:bCs/>
          <w:color w:val="AD1457"/>
          <w:sz w:val="24"/>
          <w:szCs w:val="24"/>
        </w:rPr>
        <w:t xml:space="preserve">§21  STRATEGY RECOMMENDATIONS</w:t>
      </w:r>
    </w:p>
    <w:p>
      <w:pPr>
        <w:spacing w:after="120"/>
      </w:pPr>
      <w:r>
        <w:rPr>
          <w:rFonts w:ascii="Calibri" w:cs="Calibri" w:eastAsia="Calibri" w:hAnsi="Calibri"/>
          <w:b/>
          <w:bCs/>
          <w:color w:val="AD1457"/>
          <w:sz w:val="20"/>
          <w:szCs w:val="20"/>
        </w:rPr>
        <w:t xml:space="preserve">§21a  Directional conviction</w:t>
      </w:r>
    </w:p>
    <w:p>
      <w:pPr>
        <w:spacing w:after="120"/>
      </w:pPr>
      <w:r>
        <w:rPr>
          <w:rFonts w:ascii="Calibri" w:cs="Calibri" w:eastAsia="Calibri" w:hAnsi="Calibri"/>
          <w:sz w:val="20"/>
          <w:szCs w:val="20"/>
        </w:rPr>
        <w:t xml:space="preserve">Direction resolves to NEUTRAL with a signed score of +0.06 on a scale of -1 to +1. The three highest-weighted contributing signals are the medium-term structural regime (§9) at +0.17, the efficiency classification (§9) at +0.08, and the short-term technical bias (§8) at -0.08, with cross-asset confirmation (§10) contributing -0.05 and the sentiment tilt (§13b) contributing -0.03. The score sits below the conviction threshold in absolute terms, which suppresses the daily directional card; the pivot and complex cards are regime-driven and produce regardless. There is no conflict with the §17 forecast — both resolve to a range-bound expectation, and the forecast has not been edited. Weights basis: defaults.</w:t>
      </w:r>
    </w:p>
    <w:p>
      <w:pPr>
        <w:spacing w:after="80"/>
      </w:pPr>
    </w:p>
    <w:p>
      <w:pPr>
        <w:spacing w:after="120"/>
      </w:pPr>
      <w:r>
        <w:rPr>
          <w:rFonts w:ascii="Calibri" w:cs="Calibri" w:eastAsia="Calibri" w:hAnsi="Calibri"/>
          <w:b/>
          <w:bCs/>
          <w:color w:val="AD1457"/>
          <w:sz w:val="20"/>
          <w:szCs w:val="20"/>
        </w:rPr>
        <w:t xml:space="preserve">§21b  Trade cards</w:t>
      </w:r>
    </w:p>
    <w:p>
      <w:pPr>
        <w:spacing w:after="120"/>
      </w:pPr>
      <w:r>
        <w:rPr>
          <w:rFonts w:ascii="Calibri" w:cs="Calibri" w:eastAsia="Calibri" w:hAnsi="Calibri"/>
          <w:b/>
          <w:bCs/>
          <w:sz w:val="19"/>
          <w:szCs w:val="19"/>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c>
          <w:tcPr>
            <w:tcW w:type="dxa" w:w="716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SUPPRESSED — direction score 0.06 is below the conviction threshold of 0.25. No entry, stop or target is published for this card.</w:t>
            </w:r>
          </w:p>
        </w:tc>
      </w:tr>
    </w:tbl>
    <w:p>
      <w:pPr>
        <w:spacing w:after="80"/>
      </w:pPr>
    </w:p>
    <w:p>
      <w:pPr>
        <w:spacing w:after="120"/>
      </w:pPr>
      <w:r>
        <w:rPr>
          <w:rFonts w:ascii="Calibri" w:cs="Calibri" w:eastAsia="Calibri" w:hAnsi="Calibri"/>
          <w:b/>
          <w:bCs/>
          <w:sz w:val="19"/>
          <w:szCs w:val="19"/>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46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Specification</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Trade type</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Trade 2 — Pivot, TRANSITION-regime branch (rotation from support toward the pivot)</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Direction</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LONG — TRANSITION regime; the constructive 25-session structure argues for buying a rotation into support rather than selling the rejection.</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Entry</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10,592.65 points — buy limit at daily S1. Working from the 07:00 UK pre-open anchor through the London session.</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Stop loss</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10,528.54 points — 64.11 points below entry. Structural anchor: daily S2 at 10,546.30 less a 0.15 average-true-range buffer of 17.76 points, placed outside the noise band given the expanding volatility regime in §9.</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Risk (R)</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64.11 points</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TP1 (Unit 1)</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10,656.76 points — +64.11 points, +1R</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TP2 (Unit 2)</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10,720.87 points — +128.22 points, +2R</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TP3 (Unit 3 — runner)</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Daily pivot at 10,658.75 points — +66.10 points, +1.03R. Runner exit rule: exit at the pivot; if the pivot is exceeded on a closing basis, hold to session close with a 3× average-true-range cap at 10,947.85.</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Tranche management</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Three equal units. Unit 1 exits at TP1, Unit 2 exits at TP2. On Unit 2 fill, the Unit 3 stop moves to 10,579.83 points — entry less 0.2R.</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Confluences</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Entry: daily S1 at 10,592.65 coincides with the daily S1.5 midpoint at 10,569.47 (23.18 points away, outside the 0.15 average-true-range band of 17.76) and the round 10,600 level (7.35 points, inside the band). Two levels within the band at entry — labelled STRONG CONFLUENCE. Stop: sits 17.76 points below daily S2, deliberately outside all structure. TP3: daily pivot coincides with monthly R1 at 10,636.02 (22.73 points, outside the band); the 10,628–10,640 cluster identified in §11 sits just beneath TP3, meaning the runner target is approached through supportive structure.</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Thesis invalidation</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A daily close beneath daily S2 at 10,546.30. This is distinct from the stop, which sits 17.76 points lower and is a noise-tolerance level rather than a narrative level. A close beneath S2 breaks the rotation thesis regardless of whether the stop was touched intraday.</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Caveats</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The daily pivot timeframe is flagged INDICATIVE ONLY in §19 because the 23 July intraday extremes are single-source. Entry and stop are therefore buffered rather than placed at raw pivot values. Per §13d, the session opens into the aftermath of a hawkish ECB decision and a 1.69% regional decline; gap risk beneath the entry is elevated and a gap-through fill should be declined rather than chased.</w:t>
            </w:r>
          </w:p>
        </w:tc>
      </w:tr>
    </w:tbl>
    <w:p>
      <w:pPr>
        <w:spacing w:after="80"/>
      </w:pPr>
    </w:p>
    <w:p>
      <w:pPr>
        <w:spacing w:after="120"/>
      </w:pPr>
      <w:r>
        <w:rPr>
          <w:rFonts w:ascii="Calibri" w:cs="Calibri" w:eastAsia="Calibri" w:hAnsi="Calibri"/>
          <w:b/>
          <w:bCs/>
          <w:sz w:val="19"/>
          <w:szCs w:val="19"/>
        </w:rPr>
        <w:t xml:space="preserve">Trade 3A — Momentum-Pullback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46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Specification</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Trade type</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Trade 3A — Momentum-Pullback. Variant selected on the trending efficiency classification (0.5051) combined with the TRANSITION regime label.</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Direction</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LONG — TRENDING-UP efficiency classification; pullback into retracement support within an established advance.</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Swing anchor</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21 July low 10,483.14 to 22 July high 10,763.44. Magnitude 280.30 points, equal to 2.37× the 14-session average true range, which exceeds the 2× threshold — the default four-session lookback is therefore valid and no adaptive extension was required.</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Entry</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10,623.29 points — buy limit at the 50% retracement of the anchor swing.</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Stop loss</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10,572.45 points — 50.84 points below entry. Structural anchor: the 61.8% retracement at 10,590.21 less a 0.15 average-true-range buffer of 17.76 points. A close through the 61.8% level invalidates a momentum pullback by definition, so the stop sits immediately beyond it.</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Risk (R)</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50.84 points</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TP1 (Unit 1)</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10,656.37 points — the 38.2% retracement, +33.08 points, +0.65R. Structural target rather than a fixed ratio, per the momentum-pullback specification.</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TP2 (Unit 2)</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10,724.96 points — +101.67 points, +2R. Sits inside the 10,705–10,725 supply shelf identified in §11.</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TP3 (Unit 3 — runner)</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10,763.44 points — the 100% extension of the anchor swing, +140.15 points, +2.76R. Runner exit rule: on a confirmed break of the 100% extension the structural override applies and the stop moves to 10,553.22, halfway between entry and the 0% anchor. Secondary objective at the 127.2% extension of 10,839.68.</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Tranche management</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Three equal units. Unit 1 exits at TP1, Unit 2 exits at TP2. On Unit 2 fill, the Unit 3 stop moves to 10,613.12 points — entry less 0.2R. The 3A structural override on a 100%-extension break supersedes this.</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Confluences</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Entry: the 50% retracement at 10,623.29 falls inside the 10,628–10,640 multi-timeframe cluster from §11 — weekly pivot 10,628.89 is 5.60 points away and monthly R1 10,636.02 is 12.73 points away, both inside the 0.15 average-true-range band of 17.76. Two independent-timeframe levels within the band — STRONG CONFLUENCE, and the strongest structural entry in this report. TP1: the 38.2% retracement at 10,656.37 sits 2.38 points from the daily pivot at 10,658.75 — inside the band, a second strong confluence. TP2: 10,724.96 sits 0.11 points from the 23 July high of 10,724.85 — effectively exact, though that high is single-source indicative. TP3: the 22 July high is dual-source corroborated and is the cleanest of the three targets.</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Thesis invalidation</w:t>
            </w:r>
          </w:p>
        </w:tc>
        <w:tc>
          <w:tcPr>
            <w:tcW w:type="dxa" w:w="74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 daily close beneath the 61.8% retracement at 10,590.21. This nearly coincides with daily S1 at 10,592.65 and is recorded explicitly notwithstanding the overlap: a close beneath the 61.8% level converts the move from a pullback within an advance into a full retracement, which is a different market entirely.</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Caveats</w:t>
            </w:r>
          </w:p>
        </w:tc>
        <w:tc>
          <w:tcPr>
            <w:tcW w:type="dxa" w:w="7460"/>
            <w:tcMar>
              <w:top w:type="dxa" w:w="60"/>
              <w:left w:type="dxa" w:w="90"/>
              <w:bottom w:type="dxa" w:w="60"/>
              <w:right w:type="dxa" w:w="90"/>
            </w:tcMar>
          </w:tcPr>
          <w:p>
            <w:pPr>
              <w:spacing w:after="0"/>
            </w:pPr>
            <w:r>
              <w:rPr>
                <w:rFonts w:ascii="Calibri" w:cs="Calibri" w:eastAsia="Calibri" w:hAnsi="Calibri"/>
                <w:sz w:val="17"/>
                <w:szCs w:val="17"/>
              </w:rPr>
              <w:t xml:space="preserve">Both weekly and monthly pivot timeframes used in the entry confluence are dual-source corroborated per §19, so this card's entry structure is on firmer evidentiary ground than Trade 2's. TP2 references a single-source indicative intraday high and should be treated as approximate. The news-collision warning in §13d applies with equal force: elevated gap risk means the entry may be bypassed entirely on a gap-down open, in which case the card should be stood down rather than re-priced.</w:t>
            </w:r>
          </w:p>
        </w:tc>
      </w:tr>
    </w:tbl>
    <w:p>
      <w:pPr>
        <w:spacing w:after="80"/>
      </w:pPr>
    </w:p>
    <w:p>
      <w:pPr>
        <w:spacing w:after="120"/>
      </w:pPr>
      <w:r>
        <w:rPr>
          <w:rFonts w:ascii="Calibri" w:cs="Calibri" w:eastAsia="Calibri" w:hAnsi="Calibri"/>
          <w:b/>
          <w:bCs/>
          <w:color w:val="AD1457"/>
          <w:sz w:val="20"/>
          <w:szCs w:val="20"/>
        </w:rPr>
        <w:t xml:space="preserve">§21c  Five-session backtest (no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000"/>
        <w:gridCol w:w="1000"/>
        <w:gridCol w:w="1160"/>
        <w:gridCol w:w="1080"/>
        <w:gridCol w:w="1080"/>
        <w:gridCol w:w="1080"/>
        <w:gridCol w:w="1200"/>
        <w:gridCol w:w="1900"/>
      </w:tblGrid>
      <w:tr>
        <w:trPr>
          <w:tblHeader/>
        </w:trPr>
        <w:tc>
          <w:tcPr>
            <w:tcW w:type="dxa" w:w="86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Date</w:t>
            </w:r>
          </w:p>
        </w:tc>
        <w:tc>
          <w:tcPr>
            <w:tcW w:type="dxa" w:w="100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Strategy</w:t>
            </w:r>
          </w:p>
        </w:tc>
        <w:tc>
          <w:tcPr>
            <w:tcW w:type="dxa" w:w="100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Direction</w:t>
            </w:r>
          </w:p>
        </w:tc>
        <w:tc>
          <w:tcPr>
            <w:tcW w:type="dxa" w:w="116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Triggered</w:t>
            </w:r>
          </w:p>
        </w:tc>
        <w:tc>
          <w:tcPr>
            <w:tcW w:type="dxa" w:w="108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Entry</w:t>
            </w:r>
          </w:p>
        </w:tc>
        <w:tc>
          <w:tcPr>
            <w:tcW w:type="dxa" w:w="108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Exit</w:t>
            </w:r>
          </w:p>
        </w:tc>
        <w:tc>
          <w:tcPr>
            <w:tcW w:type="dxa" w:w="108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Outcome (R)</w:t>
            </w:r>
          </w:p>
        </w:tc>
        <w:tc>
          <w:tcPr>
            <w:tcW w:type="dxa" w:w="120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Days to resolution</w:t>
            </w:r>
          </w:p>
        </w:tc>
        <w:tc>
          <w:tcPr>
            <w:tcW w:type="dxa" w:w="1900"/>
            <w:shd w:fill="F8D7E4"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Notes</w:t>
            </w:r>
          </w:p>
        </w:tc>
      </w:tr>
      <w:tr>
        <w:tc>
          <w:tcPr>
            <w:tcW w:type="dxa" w:w="860"/>
            <w:tcMar>
              <w:top w:type="dxa" w:w="60"/>
              <w:left w:type="dxa" w:w="90"/>
              <w:bottom w:type="dxa" w:w="60"/>
              <w:right w:type="dxa" w:w="90"/>
            </w:tcMar>
          </w:tcPr>
          <w:p>
            <w:pPr>
              <w:spacing w:after="0"/>
            </w:pPr>
            <w:r>
              <w:rPr>
                <w:rFonts w:ascii="Calibri" w:cs="Calibri" w:eastAsia="Calibri" w:hAnsi="Calibri"/>
                <w:sz w:val="17"/>
                <w:szCs w:val="17"/>
              </w:rPr>
              <w:t xml:space="preserve">17 Jul</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Trade 1</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160"/>
            <w:tcMar>
              <w:top w:type="dxa" w:w="60"/>
              <w:left w:type="dxa" w:w="90"/>
              <w:bottom w:type="dxa" w:w="60"/>
              <w:right w:type="dxa" w:w="90"/>
            </w:tcMar>
          </w:tcPr>
          <w:p>
            <w:pPr>
              <w:spacing w:after="0"/>
            </w:pPr>
            <w:r>
              <w:rPr>
                <w:rFonts w:ascii="Calibri" w:cs="Calibri" w:eastAsia="Calibri" w:hAnsi="Calibri"/>
                <w:sz w:val="17"/>
                <w:szCs w:val="17"/>
              </w:rPr>
              <w:t xml:space="preserve">SUPPRESSED</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Conviction below threshold</w:t>
            </w:r>
          </w:p>
        </w:tc>
      </w:tr>
      <w:tr>
        <w:tc>
          <w:tcPr>
            <w:tcW w:type="dxa" w:w="8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17 Jul</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Trade 2</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 touch of support pivot</w:t>
            </w:r>
          </w:p>
        </w:tc>
      </w:tr>
      <w:tr>
        <w:tc>
          <w:tcPr>
            <w:tcW w:type="dxa" w:w="860"/>
            <w:tcMar>
              <w:top w:type="dxa" w:w="60"/>
              <w:left w:type="dxa" w:w="90"/>
              <w:bottom w:type="dxa" w:w="60"/>
              <w:right w:type="dxa" w:w="90"/>
            </w:tcMar>
          </w:tcPr>
          <w:p>
            <w:pPr>
              <w:spacing w:after="0"/>
            </w:pPr>
            <w:r>
              <w:rPr>
                <w:rFonts w:ascii="Calibri" w:cs="Calibri" w:eastAsia="Calibri" w:hAnsi="Calibri"/>
                <w:sz w:val="17"/>
                <w:szCs w:val="17"/>
              </w:rPr>
              <w:t xml:space="preserve">17 Jul</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Trade 3A</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tcMar>
              <w:top w:type="dxa" w:w="60"/>
              <w:left w:type="dxa" w:w="90"/>
              <w:bottom w:type="dxa" w:w="60"/>
              <w:right w:type="dxa" w:w="90"/>
            </w:tcMar>
          </w:tcPr>
          <w:p>
            <w:pPr>
              <w:spacing w:after="0"/>
            </w:pPr>
            <w:r>
              <w:rPr>
                <w:rFonts w:ascii="Calibri" w:cs="Calibri" w:eastAsia="Calibri" w:hAnsi="Calibri"/>
                <w:sz w:val="17"/>
                <w:szCs w:val="17"/>
              </w:rPr>
              <w:t xml:space="preserve">Yes</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10,587.45</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10,598.91</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+1.34</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1</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All three targets filled</w:t>
            </w:r>
          </w:p>
        </w:tc>
      </w:tr>
      <w:tr>
        <w:tc>
          <w:tcPr>
            <w:tcW w:type="dxa" w:w="8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20 Jul</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Trade 1</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SUPPRESSED</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Conviction below threshold</w:t>
            </w:r>
          </w:p>
        </w:tc>
      </w:tr>
      <w:tr>
        <w:tc>
          <w:tcPr>
            <w:tcW w:type="dxa" w:w="860"/>
            <w:tcMar>
              <w:top w:type="dxa" w:w="60"/>
              <w:left w:type="dxa" w:w="90"/>
              <w:bottom w:type="dxa" w:w="60"/>
              <w:right w:type="dxa" w:w="90"/>
            </w:tcMar>
          </w:tcPr>
          <w:p>
            <w:pPr>
              <w:spacing w:after="0"/>
            </w:pPr>
            <w:r>
              <w:rPr>
                <w:rFonts w:ascii="Calibri" w:cs="Calibri" w:eastAsia="Calibri" w:hAnsi="Calibri"/>
                <w:sz w:val="17"/>
                <w:szCs w:val="17"/>
              </w:rPr>
              <w:t xml:space="preserve">20 Jul</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Trade 2</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tcMar>
              <w:top w:type="dxa" w:w="60"/>
              <w:left w:type="dxa" w:w="90"/>
              <w:bottom w:type="dxa" w:w="60"/>
              <w:right w:type="dxa" w:w="90"/>
            </w:tcMar>
          </w:tcPr>
          <w:p>
            <w:pPr>
              <w:spacing w:after="0"/>
            </w:pPr>
            <w:r>
              <w:rPr>
                <w:rFonts w:ascii="Calibri" w:cs="Calibri" w:eastAsia="Calibri" w:hAnsi="Calibri"/>
                <w:sz w:val="17"/>
                <w:szCs w:val="17"/>
              </w:rPr>
              <w:t xml:space="preserve">Yes</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10,567.33</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10,524.76</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-1.00</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1</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Stop; tick-priority rule applied</w:t>
            </w:r>
          </w:p>
        </w:tc>
      </w:tr>
      <w:tr>
        <w:tc>
          <w:tcPr>
            <w:tcW w:type="dxa" w:w="8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20 Jul</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Trade 3A</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Yes</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10,604.26</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10,524.76</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-1.00</w:t>
            </w:r>
          </w:p>
        </w:tc>
        <w:tc>
          <w:tcPr>
            <w:tcW w:type="dxa" w:w="1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w:t>
            </w:r>
          </w:p>
        </w:tc>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Stop</w:t>
            </w:r>
          </w:p>
        </w:tc>
      </w:tr>
      <w:tr>
        <w:tc>
          <w:tcPr>
            <w:tcW w:type="dxa" w:w="860"/>
            <w:tcMar>
              <w:top w:type="dxa" w:w="60"/>
              <w:left w:type="dxa" w:w="90"/>
              <w:bottom w:type="dxa" w:w="60"/>
              <w:right w:type="dxa" w:w="90"/>
            </w:tcMar>
          </w:tcPr>
          <w:p>
            <w:pPr>
              <w:spacing w:after="0"/>
            </w:pPr>
            <w:r>
              <w:rPr>
                <w:rFonts w:ascii="Calibri" w:cs="Calibri" w:eastAsia="Calibri" w:hAnsi="Calibri"/>
                <w:sz w:val="17"/>
                <w:szCs w:val="17"/>
              </w:rPr>
              <w:t xml:space="preserve">21 Jul</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Trade 1</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160"/>
            <w:tcMar>
              <w:top w:type="dxa" w:w="60"/>
              <w:left w:type="dxa" w:w="90"/>
              <w:bottom w:type="dxa" w:w="60"/>
              <w:right w:type="dxa" w:w="90"/>
            </w:tcMar>
          </w:tcPr>
          <w:p>
            <w:pPr>
              <w:spacing w:after="0"/>
            </w:pPr>
            <w:r>
              <w:rPr>
                <w:rFonts w:ascii="Calibri" w:cs="Calibri" w:eastAsia="Calibri" w:hAnsi="Calibri"/>
                <w:sz w:val="17"/>
                <w:szCs w:val="17"/>
              </w:rPr>
              <w:t xml:space="preserve">SUPPRESSED</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Conviction below threshold</w:t>
            </w:r>
          </w:p>
        </w:tc>
      </w:tr>
      <w:tr>
        <w:tc>
          <w:tcPr>
            <w:tcW w:type="dxa" w:w="8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21 Jul</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Trade 2</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 touch of support pivot</w:t>
            </w:r>
          </w:p>
        </w:tc>
      </w:tr>
      <w:tr>
        <w:tc>
          <w:tcPr>
            <w:tcW w:type="dxa" w:w="860"/>
            <w:tcMar>
              <w:top w:type="dxa" w:w="60"/>
              <w:left w:type="dxa" w:w="90"/>
              <w:bottom w:type="dxa" w:w="60"/>
              <w:right w:type="dxa" w:w="90"/>
            </w:tcMar>
          </w:tcPr>
          <w:p>
            <w:pPr>
              <w:spacing w:after="0"/>
            </w:pPr>
            <w:r>
              <w:rPr>
                <w:rFonts w:ascii="Calibri" w:cs="Calibri" w:eastAsia="Calibri" w:hAnsi="Calibri"/>
                <w:sz w:val="17"/>
                <w:szCs w:val="17"/>
              </w:rPr>
              <w:t xml:space="preserve">21 Jul</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Trade 3A</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tcMar>
              <w:top w:type="dxa" w:w="60"/>
              <w:left w:type="dxa" w:w="90"/>
              <w:bottom w:type="dxa" w:w="60"/>
              <w:right w:type="dxa" w:w="90"/>
            </w:tcMar>
          </w:tcPr>
          <w:p>
            <w:pPr>
              <w:spacing w:after="0"/>
            </w:pPr>
            <w:r>
              <w:rPr>
                <w:rFonts w:ascii="Calibri" w:cs="Calibri" w:eastAsia="Calibri" w:hAnsi="Calibri"/>
                <w:sz w:val="17"/>
                <w:szCs w:val="17"/>
              </w:rPr>
              <w:t xml:space="preserve">Yes</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10,583.80</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10,585.91</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-1.00</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1</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Stop before recovery</w:t>
            </w:r>
          </w:p>
        </w:tc>
      </w:tr>
      <w:tr>
        <w:tc>
          <w:tcPr>
            <w:tcW w:type="dxa" w:w="8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22 Jul</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Trade 1</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SUPPRESSED</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Conviction below threshold</w:t>
            </w:r>
          </w:p>
        </w:tc>
      </w:tr>
      <w:tr>
        <w:tc>
          <w:tcPr>
            <w:tcW w:type="dxa" w:w="860"/>
            <w:tcMar>
              <w:top w:type="dxa" w:w="60"/>
              <w:left w:type="dxa" w:w="90"/>
              <w:bottom w:type="dxa" w:w="60"/>
              <w:right w:type="dxa" w:w="90"/>
            </w:tcMar>
          </w:tcPr>
          <w:p>
            <w:pPr>
              <w:spacing w:after="0"/>
            </w:pPr>
            <w:r>
              <w:rPr>
                <w:rFonts w:ascii="Calibri" w:cs="Calibri" w:eastAsia="Calibri" w:hAnsi="Calibri"/>
                <w:sz w:val="17"/>
                <w:szCs w:val="17"/>
              </w:rPr>
              <w:t xml:space="preserve">22 Jul</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Trade 2</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tcMar>
              <w:top w:type="dxa" w:w="60"/>
              <w:left w:type="dxa" w:w="90"/>
              <w:bottom w:type="dxa" w:w="60"/>
              <w:right w:type="dxa" w:w="90"/>
            </w:tcMar>
          </w:tcPr>
          <w:p>
            <w:pPr>
              <w:spacing w:after="0"/>
            </w:pPr>
            <w:r>
              <w:rPr>
                <w:rFonts w:ascii="Calibri" w:cs="Calibri" w:eastAsia="Calibri" w:hAnsi="Calibri"/>
                <w:sz w:val="17"/>
                <w:szCs w:val="17"/>
              </w:rPr>
              <w:t xml:space="preserve">No</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No touch of support pivot</w:t>
            </w:r>
          </w:p>
        </w:tc>
      </w:tr>
      <w:tr>
        <w:tc>
          <w:tcPr>
            <w:tcW w:type="dxa" w:w="8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22 Jul</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Trade 3A</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Yes</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10,575.78</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10,716.97</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+1.63</w:t>
            </w:r>
          </w:p>
        </w:tc>
        <w:tc>
          <w:tcPr>
            <w:tcW w:type="dxa" w:w="1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1</w:t>
            </w:r>
          </w:p>
        </w:tc>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All three targets filled</w:t>
            </w:r>
          </w:p>
        </w:tc>
      </w:tr>
      <w:tr>
        <w:tc>
          <w:tcPr>
            <w:tcW w:type="dxa" w:w="860"/>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Trade 1</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160"/>
            <w:tcMar>
              <w:top w:type="dxa" w:w="60"/>
              <w:left w:type="dxa" w:w="90"/>
              <w:bottom w:type="dxa" w:w="60"/>
              <w:right w:type="dxa" w:w="90"/>
            </w:tcMar>
          </w:tcPr>
          <w:p>
            <w:pPr>
              <w:spacing w:after="0"/>
            </w:pPr>
            <w:r>
              <w:rPr>
                <w:rFonts w:ascii="Calibri" w:cs="Calibri" w:eastAsia="Calibri" w:hAnsi="Calibri"/>
                <w:sz w:val="17"/>
                <w:szCs w:val="17"/>
              </w:rPr>
              <w:t xml:space="preserve">SUPPRESSED</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Conviction below threshold</w:t>
            </w:r>
          </w:p>
        </w:tc>
      </w:tr>
      <w:tr>
        <w:tc>
          <w:tcPr>
            <w:tcW w:type="dxa" w:w="8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Trade 2</w:t>
            </w:r>
          </w:p>
        </w:tc>
        <w:tc>
          <w:tcPr>
            <w:tcW w:type="dxa" w:w="10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08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2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7"/>
                <w:szCs w:val="17"/>
              </w:rPr>
              <w:t xml:space="preserve">No touch of support pivot</w:t>
            </w:r>
          </w:p>
        </w:tc>
      </w:tr>
      <w:tr>
        <w:tc>
          <w:tcPr>
            <w:tcW w:type="dxa" w:w="860"/>
            <w:tcMar>
              <w:top w:type="dxa" w:w="60"/>
              <w:left w:type="dxa" w:w="90"/>
              <w:bottom w:type="dxa" w:w="60"/>
              <w:right w:type="dxa" w:w="90"/>
            </w:tcMar>
          </w:tcPr>
          <w:p>
            <w:pPr>
              <w:spacing w:after="0"/>
            </w:pPr>
            <w:r>
              <w:rPr>
                <w:rFonts w:ascii="Calibri" w:cs="Calibri" w:eastAsia="Calibri" w:hAnsi="Calibri"/>
                <w:sz w:val="17"/>
                <w:szCs w:val="17"/>
              </w:rPr>
              <w:t xml:space="preserve">23 Jul</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Trade 3A</w:t>
            </w:r>
          </w:p>
        </w:tc>
        <w:tc>
          <w:tcPr>
            <w:tcW w:type="dxa" w:w="1000"/>
            <w:tcMar>
              <w:top w:type="dxa" w:w="60"/>
              <w:left w:type="dxa" w:w="90"/>
              <w:bottom w:type="dxa" w:w="60"/>
              <w:right w:type="dxa" w:w="90"/>
            </w:tcMar>
          </w:tcPr>
          <w:p>
            <w:pPr>
              <w:spacing w:after="0"/>
            </w:pPr>
            <w:r>
              <w:rPr>
                <w:rFonts w:ascii="Calibri" w:cs="Calibri" w:eastAsia="Calibri" w:hAnsi="Calibri"/>
                <w:sz w:val="17"/>
                <w:szCs w:val="17"/>
              </w:rPr>
              <w:t xml:space="preserve">LONG</w:t>
            </w:r>
          </w:p>
        </w:tc>
        <w:tc>
          <w:tcPr>
            <w:tcW w:type="dxa" w:w="1160"/>
            <w:tcMar>
              <w:top w:type="dxa" w:w="60"/>
              <w:left w:type="dxa" w:w="90"/>
              <w:bottom w:type="dxa" w:w="60"/>
              <w:right w:type="dxa" w:w="90"/>
            </w:tcMar>
          </w:tcPr>
          <w:p>
            <w:pPr>
              <w:spacing w:after="0"/>
            </w:pPr>
            <w:r>
              <w:rPr>
                <w:rFonts w:ascii="Calibri" w:cs="Calibri" w:eastAsia="Calibri" w:hAnsi="Calibri"/>
                <w:sz w:val="17"/>
                <w:szCs w:val="17"/>
              </w:rPr>
              <w:t xml:space="preserve">Yes</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10,623.29</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10,639.00</w:t>
            </w:r>
          </w:p>
        </w:tc>
        <w:tc>
          <w:tcPr>
            <w:tcW w:type="dxa" w:w="1080"/>
            <w:tcMar>
              <w:top w:type="dxa" w:w="60"/>
              <w:left w:type="dxa" w:w="90"/>
              <w:bottom w:type="dxa" w:w="60"/>
              <w:right w:type="dxa" w:w="90"/>
            </w:tcMar>
          </w:tcPr>
          <w:p>
            <w:pPr>
              <w:spacing w:after="0"/>
            </w:pPr>
            <w:r>
              <w:rPr>
                <w:rFonts w:ascii="Calibri" w:cs="Calibri" w:eastAsia="Calibri" w:hAnsi="Calibri"/>
                <w:sz w:val="17"/>
                <w:szCs w:val="17"/>
              </w:rPr>
              <w:t xml:space="preserve">+0.42</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1</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One of three targets; balance marked to close</w:t>
            </w:r>
          </w:p>
        </w:tc>
      </w:tr>
    </w:tbl>
    <w:p>
      <w:pPr>
        <w:spacing w:after="80"/>
      </w:pPr>
    </w:p>
    <w:p>
      <w:pPr>
        <w:spacing w:after="120"/>
      </w:pPr>
      <w:r>
        <w:rPr>
          <w:rFonts w:ascii="Calibri" w:cs="Calibri" w:eastAsia="Calibri" w:hAnsi="Calibri"/>
          <w:b/>
          <w:bCs/>
          <w:color w:val="AD1457"/>
          <w:sz w:val="20"/>
          <w:szCs w:val="20"/>
        </w:rPr>
        <w:t xml:space="preserve">§21d  What is working</w:t>
      </w:r>
    </w:p>
    <w:p>
      <w:pPr>
        <w:spacing w:after="120"/>
      </w:pPr>
      <w:r>
        <w:rPr>
          <w:rFonts w:ascii="Calibri" w:cs="Calibri" w:eastAsia="Calibri" w:hAnsi="Calibri"/>
          <w:sz w:val="20"/>
          <w:szCs w:val="20"/>
        </w:rPr>
        <w:t xml:space="preserve">Trade 1 over the last five sessions: triggered 0 of 5 times — suppressed in every reconstruction on the conviction threshold, so no mean outcome or hit rates can be reported. Trade 2 over the last five sessions: triggered 1 of 5 times, mean outcome -1.00R, target hit rates 0% / 0% / 0%. Trade 3 over the last five sessions: triggered 5 of 5 times, mean outcome +0.28R, target hit rates 60% / 40% / 40%. The strongest performer is Trade 3, the momentum-pullback variant, which was the only strategy to generate a positive mean outcome and the only one to trigger consistently — a direct consequence of its retracement-based entry, which finds a fill in almost any session that pulls back, against Trade 2's dependence on price reaching a support pivot that was touched only once in five sessions. The weakest performer is Trade 2, though with a single trigger this ranking rests on insufficient evidence to be meaningful. Trade 1 cannot be ranked. It is worth noting that Trade 3's positive aggregate is carried entirely by two sessions and that three of its five triggers were stopped out, which is a low win rate rescued by favourable payoff asymmetry rather than a high-accuracy signal.</w:t>
      </w:r>
    </w:p>
    <w:p>
      <w:pPr>
        <w:spacing w:after="120"/>
      </w:pPr>
      <w:r>
        <w:rPr>
          <w:rFonts w:ascii="Calibri" w:cs="Calibri" w:eastAsia="Calibri" w:hAnsi="Calibri"/>
          <w:i/>
          <w:iCs/>
          <w:sz w:val="20"/>
          <w:szCs w:val="20"/>
        </w:rPr>
        <w:t xml:space="preserve">Five-session windows are too small to support statistical claims. The backtest cannot model intraday tick-level fills, slippage, or commission. Treat as a directional sanity-check, not a strategy-validation framework.</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FTSE 100 Daily Report │ 24 July 2026 │ Senior European Equity Strategist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2026-07-23T21:59:04.499Z</dcterms:created>
  <dcterms:modified xsi:type="dcterms:W3CDTF">2026-07-23T21:59:04.511Z</dcterms:modified>
</cp:coreProperties>
</file>

<file path=docProps/custom.xml><?xml version="1.0" encoding="utf-8"?>
<Properties xmlns="http://schemas.openxmlformats.org/officeDocument/2006/custom-properties" xmlns:vt="http://schemas.openxmlformats.org/officeDocument/2006/docPropsVTypes"/>
</file>