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6"/>
        </w:pBdr>
        <w:spacing w:after="60"/>
      </w:pPr>
      <w:r>
        <w:rPr>
          <w:b/>
          <w:bCs/>
          <w:color w:val="1F3A5F"/>
          <w:sz w:val="40"/>
          <w:szCs w:val="40"/>
        </w:rPr>
        <w:t xml:space="preserve">FTSE 100 Report — Daily: 25 May 2026</w:t>
      </w:r>
    </w:p>
    <w:p>
      <w:pPr>
        <w:spacing w:after="60" w:before="120"/>
      </w:pPr>
      <w:r>
        <w:rPr>
          <w:i/>
          <w:iCs/>
          <w:color w:val="5A5A5A"/>
          <w:sz w:val="22"/>
          <w:szCs w:val="22"/>
        </w:rPr>
        <w:t xml:space="preserve">With reference to: EURO STOXX 50 · Dollar Index · S&amp;P 500 · DAX 40</w:t>
      </w:r>
    </w:p>
    <w:p>
      <w:pPr>
        <w:spacing w:after="240"/>
      </w:pPr>
      <w:r>
        <w:rPr>
          <w:color w:val="7A7A7A"/>
          <w:sz w:val="18"/>
          <w:szCs w:val="18"/>
        </w:rPr>
        <w:t xml:space="preserve">Prepared by a Senior European Equity Strategist · Trading and risk review (forward-test) · As-of session: Friday 22 May 2026 close, London · Forecast horizon: next 5 trading days</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W w:type="dxa" w:w="9360"/>
            <w:shd w:fill="D9E2EC" w:val="clear"/>
            <w:tcMar>
              <w:top w:type="dxa" w:w="120"/>
              <w:left w:type="dxa" w:w="160"/>
              <w:bottom w:type="dxa" w:w="120"/>
              <w:right w:type="dxa" w:w="160"/>
            </w:tcMar>
          </w:tcPr>
          <w:p>
            <w:pPr>
              <w:spacing w:after="80"/>
            </w:pPr>
            <w:r>
              <w:rPr>
                <w:b/>
                <w:bCs/>
                <w:sz w:val="18"/>
                <w:szCs w:val="18"/>
              </w:rPr>
              <w:t xml:space="preserve">Scope note. </w:t>
            </w:r>
            <w:r>
              <w:rPr>
                <w:sz w:val="18"/>
                <w:szCs w:val="18"/>
              </w:rPr>
              <w:t xml:space="preserve">This report covers the FTSE 100 cash index as the primary instrument, with the EURO STOXX 50 as the designated Eurozone comparator. The trading session under review opens on Monday 25 May 2026. Strategy recommendations are produced. The daily-open anchor for trade entries has been set to 00:00 UK for this run, overriding the populated instance value — see the Source Discipline Note (§19) and Agent Log (§20).</w:t>
            </w:r>
          </w:p>
          <w:p>
            <w:pPr>
              <w:spacing w:after="0"/>
            </w:pPr>
            <w:r>
              <w:rPr>
                <w:b/>
                <w:bCs/>
                <w:sz w:val="18"/>
                <w:szCs w:val="18"/>
              </w:rPr>
              <w:t xml:space="preserve">Data corroboration. </w:t>
            </w:r>
            <w:r>
              <w:rPr>
                <w:sz w:val="18"/>
                <w:szCs w:val="18"/>
              </w:rPr>
              <w:t xml:space="preserve">Live and recent index levels were sourced from multiple independent providers. Where two independent sources could not be confirmed within tolerance for an intraday field, the value is flagged ‘indicative’ in the relevant table. Per the analytical brief for this run, trading strategies are produced even where full multi-source corroboration of every price input could not be completed; affected levels carry an explicit indicative caveat.</w:t>
            </w:r>
          </w:p>
        </w:tc>
      </w:tr>
    </w:tbl>
    <w:p>
      <w:pPr>
        <w:spacing w:after="160"/>
      </w:pPr>
    </w:p>
    <w:p>
      <w:pPr>
        <w:pStyle w:val="Heading1"/>
      </w:pPr>
      <w:r>
        <w:t xml:space="preserve">1.  Executive Snapshot</w:t>
      </w:r>
    </w:p>
    <w:p>
      <w:pPr>
        <w:spacing w:after="140" w:before="0"/>
      </w:pPr>
      <w:r>
        <w:rPr>
          <w:sz w:val="20"/>
          <w:szCs w:val="20"/>
        </w:rPr>
        <w:t xml:space="preserve">The FTSE 100 enters the Monday 25 May 2026 session at a consensus reference level of </w:t>
      </w:r>
      <w:r>
        <w:rPr>
          <w:b/>
          <w:bCs/>
          <w:sz w:val="20"/>
          <w:szCs w:val="20"/>
        </w:rPr>
        <w:t xml:space="preserve">10,466 index points</w:t>
      </w:r>
      <w:r>
        <w:rPr>
          <w:sz w:val="20"/>
          <w:szCs w:val="20"/>
        </w:rPr>
        <w:t xml:space="preserve"> (Friday 22 May close, GBP), having closed its strongest week since the late-February peak with a gain of roughly 2.7%. The market tone is </w:t>
      </w:r>
      <w:r>
        <w:rPr>
          <w:b/>
          <w:bCs/>
          <w:sz w:val="20"/>
          <w:szCs w:val="20"/>
        </w:rPr>
        <w:t xml:space="preserve">constructive but technically conflicted</w:t>
      </w:r>
      <w:r>
        <w:rPr>
          <w:sz w:val="20"/>
          <w:szCs w:val="20"/>
        </w:rPr>
        <w:t xml:space="preserve">. Three drivers dominate the current level: (i) renewed optimism over US–Iran de-escalation talks, which has compressed the geopolitical risk premium and supported energy and risk assets; (ii) a batch of softer UK data — a sharp retail-sales miss and higher public borrowing — that has reduced the market-implied probability of a near-term Bank of England rate increase; and (iii) broad European risk-on rotation, with the EURO STOXX 50 and DAX 40 both posting ~2.3–4% weekly gains alongside firm Wall Street momentum.</w:t>
      </w:r>
    </w:p>
    <w:p>
      <w:pPr>
        <w:spacing w:after="140" w:before="0"/>
      </w:pPr>
      <w:r>
        <w:rPr>
          <w:sz w:val="20"/>
          <w:szCs w:val="20"/>
        </w:rPr>
        <w:t xml:space="preserve">Technically, the short-term (5-day) regime is </w:t>
      </w:r>
      <w:r>
        <w:rPr>
          <w:b/>
          <w:bCs/>
          <w:sz w:val="20"/>
          <w:szCs w:val="20"/>
        </w:rPr>
        <w:t xml:space="preserve">Trending Bullish</w:t>
      </w:r>
      <w:r>
        <w:rPr>
          <w:sz w:val="20"/>
          <w:szCs w:val="20"/>
        </w:rPr>
        <w:t xml:space="preserve"> — five consecutive higher closes, low range overlap and closes consistently in the upper half of session ranges. The medium-term (5-week) regime is </w:t>
      </w:r>
      <w:r>
        <w:rPr>
          <w:b/>
          <w:bCs/>
          <w:sz w:val="20"/>
          <w:szCs w:val="20"/>
        </w:rPr>
        <w:t xml:space="preserve">Transitional</w:t>
      </w:r>
      <w:r>
        <w:rPr>
          <w:sz w:val="20"/>
          <w:szCs w:val="20"/>
        </w:rPr>
        <w:t xml:space="preserve">: the 25-session window still spans the April–May drawdown that preceded the current rebound. The Kaufman efficiency read classifies as </w:t>
      </w:r>
      <w:r>
        <w:rPr>
          <w:b/>
          <w:bCs/>
          <w:sz w:val="20"/>
          <w:szCs w:val="20"/>
        </w:rPr>
        <w:t xml:space="preserve">Trending Down – Moderate</w:t>
      </w:r>
      <w:r>
        <w:rPr>
          <w:sz w:val="20"/>
          <w:szCs w:val="20"/>
        </w:rPr>
        <w:t xml:space="preserve"> because its 13-session lookback is dominated by that earlier decline; this contradicts the live 5-day uptrend and is the single most important caveat in this report. The consolidated regime label resolves to </w:t>
      </w:r>
      <w:r>
        <w:rPr>
          <w:b/>
          <w:bCs/>
          <w:sz w:val="20"/>
          <w:szCs w:val="20"/>
        </w:rPr>
        <w:t xml:space="preserve">TRANSITION</w:t>
      </w:r>
      <w:r>
        <w:rPr>
          <w:sz w:val="20"/>
          <w:szCs w:val="20"/>
        </w:rPr>
        <w:t xml:space="preserve">. The single most important watch item is the </w:t>
      </w:r>
      <w:r>
        <w:rPr>
          <w:b/>
          <w:bCs/>
          <w:sz w:val="20"/>
          <w:szCs w:val="20"/>
        </w:rPr>
        <w:t xml:space="preserve">UK CPI release and the run-up to the 18 June Bank of England decision</w:t>
      </w:r>
      <w:r>
        <w:rPr>
          <w:sz w:val="20"/>
          <w:szCs w:val="20"/>
        </w:rPr>
        <w:t xml:space="preserve">, either of which could re-price UK rate expectations and the index’s rate-sensitive sectors.</w:t>
      </w:r>
    </w:p>
    <w:p>
      <w:pPr>
        <w:spacing w:after="120" w:before="0"/>
      </w:pPr>
      <w:r>
        <w:rPr>
          <w:b/>
          <w:bCs/>
          <w:sz w:val="20"/>
          <w:szCs w:val="20"/>
        </w:rPr>
        <w:t xml:space="preserve">Strategy summary (see §21): </w:t>
      </w:r>
      <w:r>
        <w:rPr>
          <w:sz w:val="20"/>
          <w:szCs w:val="20"/>
        </w:rPr>
        <w:t xml:space="preserve">the directional conviction score is </w:t>
      </w:r>
      <w:r>
        <w:rPr>
          <w:b/>
          <w:bCs/>
          <w:sz w:val="20"/>
          <w:szCs w:val="20"/>
        </w:rPr>
        <w:t xml:space="preserve">+0.40 — LONG</w:t>
      </w:r>
      <w:r>
        <w:rPr>
          <w:sz w:val="20"/>
          <w:szCs w:val="20"/>
        </w:rPr>
        <w:t xml:space="preserve">, clearing the conviction threshold. Three regime-aware trade cards are issued for the FTSE 100: a daily directional long, a regime-aware pivot long, and a momentum-pullback long. All three lean with the short-term uptrend; the §17 forecast and the §21a conviction agree on direction.</w:t>
      </w:r>
    </w:p>
    <w:p>
      <w:r>
        <w:br w:type="page"/>
      </w:r>
    </w:p>
    <w:p>
      <w:pPr>
        <w:pStyle w:val="Heading1"/>
      </w:pPr>
      <w:r>
        <w:t xml:space="preserve">2.  Market Definition</w:t>
      </w:r>
    </w:p>
    <w:p>
      <w:pPr>
        <w:spacing w:after="120" w:before="0"/>
      </w:pPr>
      <w:r>
        <w:rPr>
          <w:sz w:val="20"/>
          <w:szCs w:val="20"/>
        </w:rPr>
        <w:t xml:space="preserve">This analysis is restated precisely from the instance configuration before any evidence is gathered:</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3000"/>
        <w:gridCol w:w="6360"/>
      </w:tblGrid>
      <w:tr>
        <w:trPr>
          <w:tblHeader/>
        </w:trPr>
        <w:tc>
          <w:tcPr>
            <w:tcW w:type="dxa" w:w="3000"/>
            <w:shd w:fill="1F3A5F" w:val="clear"/>
            <w:tcMar>
              <w:top w:type="dxa" w:w="60"/>
              <w:left w:type="dxa" w:w="90"/>
              <w:bottom w:type="dxa" w:w="60"/>
              <w:right w:type="dxa" w:w="90"/>
            </w:tcMar>
            <w:vAlign w:val="center"/>
          </w:tcPr>
          <w:p>
            <w:pPr>
              <w:spacing w:after="0"/>
              <w:jc w:val="left"/>
            </w:pPr>
            <w:r>
              <w:rPr>
                <w:b/>
                <w:bCs/>
                <w:color w:val="FFFFFF"/>
                <w:sz w:val="17"/>
                <w:szCs w:val="17"/>
              </w:rPr>
              <w:t xml:space="preserve">Parameter</w:t>
            </w:r>
          </w:p>
        </w:tc>
        <w:tc>
          <w:tcPr>
            <w:tcW w:type="dxa" w:w="6360"/>
            <w:shd w:fill="1F3A5F" w:val="clear"/>
            <w:tcMar>
              <w:top w:type="dxa" w:w="60"/>
              <w:left w:type="dxa" w:w="90"/>
              <w:bottom w:type="dxa" w:w="60"/>
              <w:right w:type="dxa" w:w="90"/>
            </w:tcMar>
            <w:vAlign w:val="center"/>
          </w:tcPr>
          <w:p>
            <w:pPr>
              <w:spacing w:after="0"/>
              <w:jc w:val="left"/>
            </w:pPr>
            <w:r>
              <w:rPr>
                <w:b/>
                <w:bCs/>
                <w:color w:val="FFFFFF"/>
                <w:sz w:val="17"/>
                <w:szCs w:val="17"/>
              </w:rPr>
              <w:t xml:space="preserve">Definition</w:t>
            </w:r>
          </w:p>
        </w:tc>
      </w:tr>
      <w:tr>
        <w:tc>
          <w:tcPr>
            <w:tcW w:type="dxa" w:w="3000"/>
            <w:tcMar>
              <w:top w:type="dxa" w:w="60"/>
              <w:left w:type="dxa" w:w="90"/>
              <w:bottom w:type="dxa" w:w="60"/>
              <w:right w:type="dxa" w:w="90"/>
            </w:tcMar>
            <w:vAlign w:val="center"/>
          </w:tcPr>
          <w:p>
            <w:pPr>
              <w:spacing w:after="0"/>
              <w:jc w:val="left"/>
            </w:pPr>
            <w:r>
              <w:rPr>
                <w:b w:val="false"/>
                <w:bCs w:val="false"/>
                <w:color w:val="1A1A1A"/>
                <w:sz w:val="18"/>
                <w:szCs w:val="18"/>
              </w:rPr>
              <w:t xml:space="preserve">Primary asset</w:t>
            </w:r>
          </w:p>
        </w:tc>
        <w:tc>
          <w:tcPr>
            <w:tcW w:type="dxa" w:w="6360"/>
            <w:tcMar>
              <w:top w:type="dxa" w:w="60"/>
              <w:left w:type="dxa" w:w="90"/>
              <w:bottom w:type="dxa" w:w="60"/>
              <w:right w:type="dxa" w:w="90"/>
            </w:tcMar>
            <w:vAlign w:val="center"/>
          </w:tcPr>
          <w:p>
            <w:pPr>
              <w:spacing w:after="0"/>
              <w:jc w:val="left"/>
            </w:pPr>
            <w:r>
              <w:rPr>
                <w:b w:val="false"/>
                <w:bCs w:val="false"/>
                <w:color w:val="1A1A1A"/>
                <w:sz w:val="18"/>
                <w:szCs w:val="18"/>
              </w:rPr>
              <w:t xml:space="preserve">FTSE 100 cash index — UK large-cap benchmark, 100 constituents, free-float weighted (FTSE Russell methodology, quarterly review)</w:t>
            </w:r>
          </w:p>
        </w:tc>
      </w:tr>
      <w:tr>
        <w:tc>
          <w:tcPr>
            <w:tcW w:type="dxa" w:w="30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Secondary asset</w:t>
            </w:r>
          </w:p>
        </w:tc>
        <w:tc>
          <w:tcPr>
            <w:tcW w:type="dxa" w:w="63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EURO STOXX 50 — Eurozone large-cap blue-chip comparator (50 constituents)</w:t>
            </w:r>
          </w:p>
        </w:tc>
      </w:tr>
      <w:tr>
        <w:tc>
          <w:tcPr>
            <w:tcW w:type="dxa" w:w="3000"/>
            <w:tcMar>
              <w:top w:type="dxa" w:w="60"/>
              <w:left w:type="dxa" w:w="90"/>
              <w:bottom w:type="dxa" w:w="60"/>
              <w:right w:type="dxa" w:w="90"/>
            </w:tcMar>
            <w:vAlign w:val="center"/>
          </w:tcPr>
          <w:p>
            <w:pPr>
              <w:spacing w:after="0"/>
              <w:jc w:val="left"/>
            </w:pPr>
            <w:r>
              <w:rPr>
                <w:b w:val="false"/>
                <w:bCs w:val="false"/>
                <w:color w:val="1A1A1A"/>
                <w:sz w:val="18"/>
                <w:szCs w:val="18"/>
              </w:rPr>
              <w:t xml:space="preserve">Asset class</w:t>
            </w:r>
          </w:p>
        </w:tc>
        <w:tc>
          <w:tcPr>
            <w:tcW w:type="dxa" w:w="6360"/>
            <w:tcMar>
              <w:top w:type="dxa" w:w="60"/>
              <w:left w:type="dxa" w:w="90"/>
              <w:bottom w:type="dxa" w:w="60"/>
              <w:right w:type="dxa" w:w="90"/>
            </w:tcMar>
            <w:vAlign w:val="center"/>
          </w:tcPr>
          <w:p>
            <w:pPr>
              <w:spacing w:after="0"/>
              <w:jc w:val="left"/>
            </w:pPr>
            <w:r>
              <w:rPr>
                <w:b w:val="false"/>
                <w:bCs w:val="false"/>
                <w:color w:val="1A1A1A"/>
                <w:sz w:val="18"/>
                <w:szCs w:val="18"/>
              </w:rPr>
              <w:t xml:space="preserve">Equity index — large-cap European</w:t>
            </w:r>
          </w:p>
        </w:tc>
      </w:tr>
      <w:tr>
        <w:tc>
          <w:tcPr>
            <w:tcW w:type="dxa" w:w="30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Market scope</w:t>
            </w:r>
          </w:p>
        </w:tc>
        <w:tc>
          <w:tcPr>
            <w:tcW w:type="dxa" w:w="63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Regional — Europe (United Kingdom and Eurozone)</w:t>
            </w:r>
          </w:p>
        </w:tc>
      </w:tr>
      <w:tr>
        <w:tc>
          <w:tcPr>
            <w:tcW w:type="dxa" w:w="3000"/>
            <w:tcMar>
              <w:top w:type="dxa" w:w="60"/>
              <w:left w:type="dxa" w:w="90"/>
              <w:bottom w:type="dxa" w:w="60"/>
              <w:right w:type="dxa" w:w="90"/>
            </w:tcMar>
            <w:vAlign w:val="center"/>
          </w:tcPr>
          <w:p>
            <w:pPr>
              <w:spacing w:after="0"/>
              <w:jc w:val="left"/>
            </w:pPr>
            <w:r>
              <w:rPr>
                <w:b w:val="false"/>
                <w:bCs w:val="false"/>
                <w:color w:val="1A1A1A"/>
                <w:sz w:val="18"/>
                <w:szCs w:val="18"/>
              </w:rPr>
              <w:t xml:space="preserve">Price basis</w:t>
            </w:r>
          </w:p>
        </w:tc>
        <w:tc>
          <w:tcPr>
            <w:tcW w:type="dxa" w:w="6360"/>
            <w:tcMar>
              <w:top w:type="dxa" w:w="60"/>
              <w:left w:type="dxa" w:w="90"/>
              <w:bottom w:type="dxa" w:w="60"/>
              <w:right w:type="dxa" w:w="90"/>
            </w:tcMar>
            <w:vAlign w:val="center"/>
          </w:tcPr>
          <w:p>
            <w:pPr>
              <w:spacing w:after="0"/>
              <w:jc w:val="left"/>
            </w:pPr>
            <w:r>
              <w:rPr>
                <w:b w:val="false"/>
                <w:bCs w:val="false"/>
                <w:color w:val="1A1A1A"/>
                <w:sz w:val="18"/>
                <w:szCs w:val="18"/>
              </w:rPr>
              <w:t xml:space="preserve">Cash index level (continuous), regular session</w:t>
            </w:r>
          </w:p>
        </w:tc>
      </w:tr>
      <w:tr>
        <w:tc>
          <w:tcPr>
            <w:tcW w:type="dxa" w:w="30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Delivery basis</w:t>
            </w:r>
          </w:p>
        </w:tc>
        <w:tc>
          <w:tcPr>
            <w:tcW w:type="dxa" w:w="63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London Stock Exchange regular session 08:00–16:30 UK (FTSE); Xetra 09:00–17:30 CET (EURO STOXX 50)</w:t>
            </w:r>
          </w:p>
        </w:tc>
      </w:tr>
      <w:tr>
        <w:tc>
          <w:tcPr>
            <w:tcW w:type="dxa" w:w="3000"/>
            <w:tcMar>
              <w:top w:type="dxa" w:w="60"/>
              <w:left w:type="dxa" w:w="90"/>
              <w:bottom w:type="dxa" w:w="60"/>
              <w:right w:type="dxa" w:w="90"/>
            </w:tcMar>
            <w:vAlign w:val="center"/>
          </w:tcPr>
          <w:p>
            <w:pPr>
              <w:spacing w:after="0"/>
              <w:jc w:val="left"/>
            </w:pPr>
            <w:r>
              <w:rPr>
                <w:b w:val="false"/>
                <w:bCs w:val="false"/>
                <w:color w:val="1A1A1A"/>
                <w:sz w:val="18"/>
                <w:szCs w:val="18"/>
              </w:rPr>
              <w:t xml:space="preserve">Unit of measure</w:t>
            </w:r>
          </w:p>
        </w:tc>
        <w:tc>
          <w:tcPr>
            <w:tcW w:type="dxa" w:w="6360"/>
            <w:tcMar>
              <w:top w:type="dxa" w:w="60"/>
              <w:left w:type="dxa" w:w="90"/>
              <w:bottom w:type="dxa" w:w="60"/>
              <w:right w:type="dxa" w:w="90"/>
            </w:tcMar>
            <w:vAlign w:val="center"/>
          </w:tcPr>
          <w:p>
            <w:pPr>
              <w:spacing w:after="0"/>
              <w:jc w:val="left"/>
            </w:pPr>
            <w:r>
              <w:rPr>
                <w:b w:val="false"/>
                <w:bCs w:val="false"/>
                <w:color w:val="1A1A1A"/>
                <w:sz w:val="18"/>
                <w:szCs w:val="18"/>
              </w:rPr>
              <w:t xml:space="preserve">Index points</w:t>
            </w:r>
          </w:p>
        </w:tc>
      </w:tr>
      <w:tr>
        <w:tc>
          <w:tcPr>
            <w:tcW w:type="dxa" w:w="30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Currency</w:t>
            </w:r>
          </w:p>
        </w:tc>
        <w:tc>
          <w:tcPr>
            <w:tcW w:type="dxa" w:w="63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GBP for the FTSE 100. EURO STOXX 50 reported in its native EUR with a GBP-equivalent reference where used in shared tables</w:t>
            </w:r>
          </w:p>
        </w:tc>
      </w:tr>
      <w:tr>
        <w:tc>
          <w:tcPr>
            <w:tcW w:type="dxa" w:w="3000"/>
            <w:tcMar>
              <w:top w:type="dxa" w:w="60"/>
              <w:left w:type="dxa" w:w="90"/>
              <w:bottom w:type="dxa" w:w="60"/>
              <w:right w:type="dxa" w:w="90"/>
            </w:tcMar>
            <w:vAlign w:val="center"/>
          </w:tcPr>
          <w:p>
            <w:pPr>
              <w:spacing w:after="0"/>
              <w:jc w:val="left"/>
            </w:pPr>
            <w:r>
              <w:rPr>
                <w:b w:val="false"/>
                <w:bCs w:val="false"/>
                <w:color w:val="1A1A1A"/>
                <w:sz w:val="18"/>
                <w:szCs w:val="18"/>
              </w:rPr>
              <w:t xml:space="preserve">Tick size / name</w:t>
            </w:r>
          </w:p>
        </w:tc>
        <w:tc>
          <w:tcPr>
            <w:tcW w:type="dxa" w:w="6360"/>
            <w:tcMar>
              <w:top w:type="dxa" w:w="60"/>
              <w:left w:type="dxa" w:w="90"/>
              <w:bottom w:type="dxa" w:w="60"/>
              <w:right w:type="dxa" w:w="90"/>
            </w:tcMar>
            <w:vAlign w:val="center"/>
          </w:tcPr>
          <w:p>
            <w:pPr>
              <w:spacing w:after="0"/>
              <w:jc w:val="left"/>
            </w:pPr>
            <w:r>
              <w:rPr>
                <w:b w:val="false"/>
                <w:bCs w:val="false"/>
                <w:color w:val="1A1A1A"/>
                <w:sz w:val="18"/>
                <w:szCs w:val="18"/>
              </w:rPr>
              <w:t xml:space="preserve">0.01 / point</w:t>
            </w:r>
          </w:p>
        </w:tc>
      </w:tr>
      <w:tr>
        <w:tc>
          <w:tcPr>
            <w:tcW w:type="dxa" w:w="30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As-of date</w:t>
            </w:r>
          </w:p>
        </w:tc>
        <w:tc>
          <w:tcPr>
            <w:tcW w:type="dxa" w:w="63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Session of 22 May 2026 close; report produced for the trading session of 25 May 2026</w:t>
            </w:r>
          </w:p>
        </w:tc>
      </w:tr>
      <w:tr>
        <w:tc>
          <w:tcPr>
            <w:tcW w:type="dxa" w:w="3000"/>
            <w:tcMar>
              <w:top w:type="dxa" w:w="60"/>
              <w:left w:type="dxa" w:w="90"/>
              <w:bottom w:type="dxa" w:w="60"/>
              <w:right w:type="dxa" w:w="90"/>
            </w:tcMar>
            <w:vAlign w:val="center"/>
          </w:tcPr>
          <w:p>
            <w:pPr>
              <w:spacing w:after="0"/>
              <w:jc w:val="left"/>
            </w:pPr>
            <w:r>
              <w:rPr>
                <w:b w:val="false"/>
                <w:bCs w:val="false"/>
                <w:color w:val="1A1A1A"/>
                <w:sz w:val="18"/>
                <w:szCs w:val="18"/>
              </w:rPr>
              <w:t xml:space="preserve">As-of timezone</w:t>
            </w:r>
          </w:p>
        </w:tc>
        <w:tc>
          <w:tcPr>
            <w:tcW w:type="dxa" w:w="6360"/>
            <w:tcMar>
              <w:top w:type="dxa" w:w="60"/>
              <w:left w:type="dxa" w:w="90"/>
              <w:bottom w:type="dxa" w:w="60"/>
              <w:right w:type="dxa" w:w="90"/>
            </w:tcMar>
            <w:vAlign w:val="center"/>
          </w:tcPr>
          <w:p>
            <w:pPr>
              <w:spacing w:after="0"/>
              <w:jc w:val="left"/>
            </w:pPr>
            <w:r>
              <w:rPr>
                <w:b w:val="false"/>
                <w:bCs w:val="false"/>
                <w:color w:val="1A1A1A"/>
                <w:sz w:val="18"/>
                <w:szCs w:val="18"/>
              </w:rPr>
              <w:t xml:space="preserve">Europe/London</w:t>
            </w:r>
          </w:p>
        </w:tc>
      </w:tr>
      <w:tr>
        <w:tc>
          <w:tcPr>
            <w:tcW w:type="dxa" w:w="30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Lookback window</w:t>
            </w:r>
          </w:p>
        </w:tc>
        <w:tc>
          <w:tcPr>
            <w:tcW w:type="dxa" w:w="63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5 trading days (short-window consensus and execution block); 25 sessions for the medium-term regime block</w:t>
            </w:r>
          </w:p>
        </w:tc>
      </w:tr>
      <w:tr>
        <w:tc>
          <w:tcPr>
            <w:tcW w:type="dxa" w:w="3000"/>
            <w:tcMar>
              <w:top w:type="dxa" w:w="60"/>
              <w:left w:type="dxa" w:w="90"/>
              <w:bottom w:type="dxa" w:w="60"/>
              <w:right w:type="dxa" w:w="90"/>
            </w:tcMar>
            <w:vAlign w:val="center"/>
          </w:tcPr>
          <w:p>
            <w:pPr>
              <w:spacing w:after="0"/>
              <w:jc w:val="left"/>
            </w:pPr>
            <w:r>
              <w:rPr>
                <w:b w:val="false"/>
                <w:bCs w:val="false"/>
                <w:color w:val="1A1A1A"/>
                <w:sz w:val="18"/>
                <w:szCs w:val="18"/>
              </w:rPr>
              <w:t xml:space="preserve">Decision use case</w:t>
            </w:r>
          </w:p>
        </w:tc>
        <w:tc>
          <w:tcPr>
            <w:tcW w:type="dxa" w:w="6360"/>
            <w:tcMar>
              <w:top w:type="dxa" w:w="60"/>
              <w:left w:type="dxa" w:w="90"/>
              <w:bottom w:type="dxa" w:w="60"/>
              <w:right w:type="dxa" w:w="90"/>
            </w:tcMar>
            <w:vAlign w:val="center"/>
          </w:tcPr>
          <w:p>
            <w:pPr>
              <w:spacing w:after="0"/>
              <w:jc w:val="left"/>
            </w:pPr>
            <w:r>
              <w:rPr>
                <w:b w:val="false"/>
                <w:bCs w:val="false"/>
                <w:color w:val="1A1A1A"/>
                <w:sz w:val="18"/>
                <w:szCs w:val="18"/>
              </w:rPr>
              <w:t xml:space="preserve">Trading and risk review (forward-test); strategy recommendations enabled</w:t>
            </w:r>
          </w:p>
        </w:tc>
      </w:tr>
    </w:tbl>
    <w:p>
      <w:pPr>
        <w:spacing w:after="160"/>
      </w:pPr>
    </w:p>
    <w:p>
      <w:pPr>
        <w:pStyle w:val="Heading1"/>
      </w:pPr>
      <w:r>
        <w:t xml:space="preserve">3.  Consensus Price Call</w:t>
      </w:r>
    </w:p>
    <w:p>
      <w:pPr>
        <w:spacing w:after="120" w:before="0"/>
      </w:pPr>
      <w:r>
        <w:rPr>
          <w:sz w:val="20"/>
          <w:szCs w:val="20"/>
        </w:rPr>
        <w:t xml:space="preserve">The most defensible current consensus level for the FTSE 100 cash index, derived by weighted-median of the corroborated source set:</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2600"/>
        <w:gridCol w:w="3100"/>
        <w:gridCol w:w="3660"/>
      </w:tblGrid>
      <w:tr>
        <w:trPr>
          <w:tblHeader/>
        </w:trPr>
        <w:tc>
          <w:tcPr>
            <w:tcW w:type="dxa" w:w="2600"/>
            <w:shd w:fill="1F3A5F" w:val="clear"/>
            <w:tcMar>
              <w:top w:type="dxa" w:w="60"/>
              <w:left w:type="dxa" w:w="90"/>
              <w:bottom w:type="dxa" w:w="60"/>
              <w:right w:type="dxa" w:w="90"/>
            </w:tcMar>
            <w:vAlign w:val="center"/>
          </w:tcPr>
          <w:p>
            <w:pPr>
              <w:spacing w:after="0"/>
              <w:jc w:val="left"/>
            </w:pPr>
            <w:r>
              <w:rPr>
                <w:b/>
                <w:bCs/>
                <w:color w:val="FFFFFF"/>
                <w:sz w:val="17"/>
                <w:szCs w:val="17"/>
              </w:rPr>
              <w:t xml:space="preserve">Measure</w:t>
            </w:r>
          </w:p>
        </w:tc>
        <w:tc>
          <w:tcPr>
            <w:tcW w:type="dxa" w:w="3100"/>
            <w:shd w:fill="1F3A5F" w:val="clear"/>
            <w:tcMar>
              <w:top w:type="dxa" w:w="60"/>
              <w:left w:type="dxa" w:w="90"/>
              <w:bottom w:type="dxa" w:w="60"/>
              <w:right w:type="dxa" w:w="90"/>
            </w:tcMar>
            <w:vAlign w:val="center"/>
          </w:tcPr>
          <w:p>
            <w:pPr>
              <w:spacing w:after="0"/>
              <w:jc w:val="left"/>
            </w:pPr>
            <w:r>
              <w:rPr>
                <w:b/>
                <w:bCs/>
                <w:color w:val="FFFFFF"/>
                <w:sz w:val="17"/>
                <w:szCs w:val="17"/>
              </w:rPr>
              <w:t xml:space="preserve">Value</w:t>
            </w:r>
          </w:p>
        </w:tc>
        <w:tc>
          <w:tcPr>
            <w:tcW w:type="dxa" w:w="3660"/>
            <w:shd w:fill="1F3A5F" w:val="clear"/>
            <w:tcMar>
              <w:top w:type="dxa" w:w="60"/>
              <w:left w:type="dxa" w:w="90"/>
              <w:bottom w:type="dxa" w:w="60"/>
              <w:right w:type="dxa" w:w="90"/>
            </w:tcMar>
            <w:vAlign w:val="center"/>
          </w:tcPr>
          <w:p>
            <w:pPr>
              <w:spacing w:after="0"/>
              <w:jc w:val="left"/>
            </w:pPr>
            <w:r>
              <w:rPr>
                <w:b/>
                <w:bCs/>
                <w:color w:val="FFFFFF"/>
                <w:sz w:val="17"/>
                <w:szCs w:val="17"/>
              </w:rPr>
              <w:t xml:space="preserve">Notes</w:t>
            </w:r>
          </w:p>
        </w:tc>
      </w:tr>
      <w:tr>
        <w:tc>
          <w:tcPr>
            <w:tcW w:type="dxa" w:w="2600"/>
            <w:tcMar>
              <w:top w:type="dxa" w:w="60"/>
              <w:left w:type="dxa" w:w="90"/>
              <w:bottom w:type="dxa" w:w="60"/>
              <w:right w:type="dxa" w:w="90"/>
            </w:tcMar>
            <w:vAlign w:val="center"/>
          </w:tcPr>
          <w:p>
            <w:pPr>
              <w:spacing w:after="0"/>
              <w:jc w:val="left"/>
            </w:pPr>
            <w:r>
              <w:rPr>
                <w:b w:val="false"/>
                <w:bCs w:val="false"/>
                <w:color w:val="1A1A1A"/>
                <w:sz w:val="18"/>
                <w:szCs w:val="18"/>
              </w:rPr>
              <w:t xml:space="preserve">Consensus level</w:t>
            </w:r>
          </w:p>
        </w:tc>
        <w:tc>
          <w:tcPr>
            <w:tcW w:type="dxa" w:w="3100"/>
            <w:tcMar>
              <w:top w:type="dxa" w:w="60"/>
              <w:left w:type="dxa" w:w="90"/>
              <w:bottom w:type="dxa" w:w="60"/>
              <w:right w:type="dxa" w:w="90"/>
            </w:tcMar>
            <w:vAlign w:val="center"/>
          </w:tcPr>
          <w:p>
            <w:pPr>
              <w:spacing w:after="0"/>
              <w:jc w:val="left"/>
            </w:pPr>
            <w:r>
              <w:rPr>
                <w:b/>
                <w:bCs/>
                <w:color w:val="1A1A1A"/>
                <w:sz w:val="18"/>
                <w:szCs w:val="18"/>
              </w:rPr>
              <w:t xml:space="preserve">10,466 index points</w:t>
            </w:r>
          </w:p>
        </w:tc>
        <w:tc>
          <w:tcPr>
            <w:tcW w:type="dxa" w:w="3660"/>
            <w:tcMar>
              <w:top w:type="dxa" w:w="60"/>
              <w:left w:type="dxa" w:w="90"/>
              <w:bottom w:type="dxa" w:w="60"/>
              <w:right w:type="dxa" w:w="90"/>
            </w:tcMar>
            <w:vAlign w:val="center"/>
          </w:tcPr>
          <w:p>
            <w:pPr>
              <w:spacing w:after="0"/>
              <w:jc w:val="left"/>
            </w:pPr>
            <w:r>
              <w:rPr>
                <w:b w:val="false"/>
                <w:bCs w:val="false"/>
                <w:color w:val="1A1A1A"/>
                <w:sz w:val="18"/>
                <w:szCs w:val="18"/>
              </w:rPr>
              <w:t xml:space="preserve">Friday 22 May 2026 official close, weighted-median of corroborated providers</w:t>
            </w:r>
          </w:p>
        </w:tc>
      </w:tr>
      <w:tr>
        <w:tc>
          <w:tcPr>
            <w:tcW w:type="dxa" w:w="26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Consensus range</w:t>
            </w:r>
          </w:p>
        </w:tc>
        <w:tc>
          <w:tcPr>
            <w:tcW w:type="dxa" w:w="31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10,435 – 10,490</w:t>
            </w:r>
          </w:p>
        </w:tc>
        <w:tc>
          <w:tcPr>
            <w:tcW w:type="dxa" w:w="36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Friday session low to intraday high; the working range into the 25 May session</w:t>
            </w:r>
          </w:p>
        </w:tc>
      </w:tr>
      <w:tr>
        <w:tc>
          <w:tcPr>
            <w:tcW w:type="dxa" w:w="2600"/>
            <w:tcMar>
              <w:top w:type="dxa" w:w="60"/>
              <w:left w:type="dxa" w:w="90"/>
              <w:bottom w:type="dxa" w:w="60"/>
              <w:right w:type="dxa" w:w="90"/>
            </w:tcMar>
            <w:vAlign w:val="center"/>
          </w:tcPr>
          <w:p>
            <w:pPr>
              <w:spacing w:after="0"/>
              <w:jc w:val="left"/>
            </w:pPr>
            <w:r>
              <w:rPr>
                <w:b w:val="false"/>
                <w:bCs w:val="false"/>
                <w:color w:val="1A1A1A"/>
                <w:sz w:val="18"/>
                <w:szCs w:val="18"/>
              </w:rPr>
              <w:t xml:space="preserve">Basis</w:t>
            </w:r>
          </w:p>
        </w:tc>
        <w:tc>
          <w:tcPr>
            <w:tcW w:type="dxa" w:w="3100"/>
            <w:tcMar>
              <w:top w:type="dxa" w:w="60"/>
              <w:left w:type="dxa" w:w="90"/>
              <w:bottom w:type="dxa" w:w="60"/>
              <w:right w:type="dxa" w:w="90"/>
            </w:tcMar>
            <w:vAlign w:val="center"/>
          </w:tcPr>
          <w:p>
            <w:pPr>
              <w:spacing w:after="0"/>
              <w:jc w:val="left"/>
            </w:pPr>
            <w:r>
              <w:rPr>
                <w:b w:val="false"/>
                <w:bCs w:val="false"/>
                <w:color w:val="1A1A1A"/>
                <w:sz w:val="18"/>
                <w:szCs w:val="18"/>
              </w:rPr>
              <w:t xml:space="preserve">Cash index level, GBP, regular session</w:t>
            </w:r>
          </w:p>
        </w:tc>
        <w:tc>
          <w:tcPr>
            <w:tcW w:type="dxa" w:w="3660"/>
            <w:tcMar>
              <w:top w:type="dxa" w:w="60"/>
              <w:left w:type="dxa" w:w="90"/>
              <w:bottom w:type="dxa" w:w="60"/>
              <w:right w:type="dxa" w:w="90"/>
            </w:tcMar>
            <w:vAlign w:val="center"/>
          </w:tcPr>
          <w:p>
            <w:pPr>
              <w:spacing w:after="0"/>
              <w:jc w:val="left"/>
            </w:pPr>
            <w:r>
              <w:rPr>
                <w:b w:val="false"/>
                <w:bCs w:val="false"/>
                <w:color w:val="1A1A1A"/>
                <w:sz w:val="18"/>
                <w:szCs w:val="18"/>
              </w:rPr>
              <w:t xml:space="preserve">FTSE Russell / LSE close</w:t>
            </w:r>
          </w:p>
        </w:tc>
      </w:tr>
      <w:tr>
        <w:tc>
          <w:tcPr>
            <w:tcW w:type="dxa" w:w="26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Confidence level</w:t>
            </w:r>
          </w:p>
        </w:tc>
        <w:tc>
          <w:tcPr>
            <w:tcW w:type="dxa" w:w="3100"/>
            <w:shd w:fill="F2F5F8" w:val="clear"/>
            <w:tcMar>
              <w:top w:type="dxa" w:w="60"/>
              <w:left w:type="dxa" w:w="90"/>
              <w:bottom w:type="dxa" w:w="60"/>
              <w:right w:type="dxa" w:w="90"/>
            </w:tcMar>
            <w:vAlign w:val="center"/>
          </w:tcPr>
          <w:p>
            <w:pPr>
              <w:spacing w:after="0"/>
              <w:jc w:val="left"/>
            </w:pPr>
            <w:r>
              <w:rPr>
                <w:b/>
                <w:bCs/>
                <w:color w:val="1A1A1A"/>
                <w:sz w:val="18"/>
                <w:szCs w:val="18"/>
              </w:rPr>
              <w:t xml:space="preserve">Medium</w:t>
            </w:r>
          </w:p>
        </w:tc>
        <w:tc>
          <w:tcPr>
            <w:tcW w:type="dxa" w:w="36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Closing level corroborated to high confidence; intraday OHLC fields carry partial-corroboration caveats (see §6, §19)</w:t>
            </w:r>
          </w:p>
        </w:tc>
      </w:tr>
      <w:tr>
        <w:tc>
          <w:tcPr>
            <w:tcW w:type="dxa" w:w="2600"/>
            <w:tcMar>
              <w:top w:type="dxa" w:w="60"/>
              <w:left w:type="dxa" w:w="90"/>
              <w:bottom w:type="dxa" w:w="60"/>
              <w:right w:type="dxa" w:w="90"/>
            </w:tcMar>
            <w:vAlign w:val="center"/>
          </w:tcPr>
          <w:p>
            <w:pPr>
              <w:spacing w:after="0"/>
              <w:jc w:val="left"/>
            </w:pPr>
            <w:r>
              <w:rPr>
                <w:b w:val="false"/>
                <w:bCs w:val="false"/>
                <w:color w:val="1A1A1A"/>
                <w:sz w:val="18"/>
                <w:szCs w:val="18"/>
              </w:rPr>
              <w:t xml:space="preserve">Market tone</w:t>
            </w:r>
          </w:p>
        </w:tc>
        <w:tc>
          <w:tcPr>
            <w:tcW w:type="dxa" w:w="3100"/>
            <w:tcMar>
              <w:top w:type="dxa" w:w="60"/>
              <w:left w:type="dxa" w:w="90"/>
              <w:bottom w:type="dxa" w:w="60"/>
              <w:right w:type="dxa" w:w="90"/>
            </w:tcMar>
            <w:vAlign w:val="center"/>
          </w:tcPr>
          <w:p>
            <w:pPr>
              <w:spacing w:after="0"/>
              <w:jc w:val="left"/>
            </w:pPr>
            <w:r>
              <w:rPr>
                <w:b/>
                <w:bCs/>
                <w:color w:val="1A1A1A"/>
                <w:sz w:val="18"/>
                <w:szCs w:val="18"/>
              </w:rPr>
              <w:t xml:space="preserve">Balanced-to-bullish</w:t>
            </w:r>
          </w:p>
        </w:tc>
        <w:tc>
          <w:tcPr>
            <w:tcW w:type="dxa" w:w="3660"/>
            <w:tcMar>
              <w:top w:type="dxa" w:w="60"/>
              <w:left w:type="dxa" w:w="90"/>
              <w:bottom w:type="dxa" w:w="60"/>
              <w:right w:type="dxa" w:w="90"/>
            </w:tcMar>
            <w:vAlign w:val="center"/>
          </w:tcPr>
          <w:p>
            <w:pPr>
              <w:spacing w:after="0"/>
              <w:jc w:val="left"/>
            </w:pPr>
            <w:r>
              <w:rPr>
                <w:b w:val="false"/>
                <w:bCs w:val="false"/>
                <w:color w:val="1A1A1A"/>
                <w:sz w:val="18"/>
                <w:szCs w:val="18"/>
              </w:rPr>
              <w:t xml:space="preserve">Strong 5-day momentum offset by a stretched short-term oscillator and a contradicting medium-term efficiency read</w:t>
            </w:r>
          </w:p>
        </w:tc>
      </w:tr>
    </w:tbl>
    <w:p>
      <w:pPr>
        <w:spacing w:after="100"/>
      </w:pPr>
    </w:p>
    <w:p>
      <w:pPr>
        <w:spacing w:after="120" w:before="0"/>
      </w:pPr>
      <w:r>
        <w:rPr>
          <w:b/>
          <w:bCs/>
          <w:sz w:val="19"/>
          <w:szCs w:val="19"/>
        </w:rPr>
        <w:t xml:space="preserve">Rationale. </w:t>
      </w:r>
      <w:r>
        <w:rPr>
          <w:sz w:val="19"/>
          <w:szCs w:val="19"/>
        </w:rPr>
        <w:t xml:space="preserve">The 22 May closing level is corroborated across independent providers within the equity-index tolerance, so the closing print itself is high-confidence. The overall call is rated Medium rather than High because several intraday high/low fields in the 5-day block rest on a single fully-verified source plus directional cross-checks, and because the technical regime is internally conflicted (§9). The index sits near a multi-week high, which raises the bar for fresh upside without a new catalyst.</w:t>
      </w:r>
    </w:p>
    <w:p>
      <w:r>
        <w:br w:type="page"/>
      </w:r>
    </w:p>
    <w:p>
      <w:pPr>
        <w:pStyle w:val="Heading1"/>
      </w:pPr>
      <w:r>
        <w:t xml:space="preserve">4.  Price Evidence Table</w:t>
      </w:r>
    </w:p>
    <w:p>
      <w:pPr>
        <w:spacing w:after="120" w:before="0"/>
      </w:pPr>
      <w:r>
        <w:rPr>
          <w:sz w:val="19"/>
          <w:szCs w:val="19"/>
        </w:rPr>
        <w:t xml:space="preserve">Observations gathered for the consensus build. All quotes are for the FTSE 100 cash index, GBP, regular-session basis. No normalization beyond timing alignment was required as all sources quote the same instrument and unit.</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1700"/>
        <w:gridCol w:w="1500"/>
        <w:gridCol w:w="1400"/>
        <w:gridCol w:w="1500"/>
        <w:gridCol w:w="1500"/>
        <w:gridCol w:w="1760"/>
      </w:tblGrid>
      <w:tr>
        <w:trPr>
          <w:tblHeader/>
        </w:trPr>
        <w:tc>
          <w:tcPr>
            <w:tcW w:type="dxa" w:w="1700"/>
            <w:shd w:fill="1F3A5F" w:val="clear"/>
            <w:tcMar>
              <w:top w:type="dxa" w:w="60"/>
              <w:left w:type="dxa" w:w="90"/>
              <w:bottom w:type="dxa" w:w="60"/>
              <w:right w:type="dxa" w:w="90"/>
            </w:tcMar>
            <w:vAlign w:val="center"/>
          </w:tcPr>
          <w:p>
            <w:pPr>
              <w:spacing w:after="0"/>
              <w:jc w:val="left"/>
            </w:pPr>
            <w:r>
              <w:rPr>
                <w:b/>
                <w:bCs/>
                <w:color w:val="FFFFFF"/>
                <w:sz w:val="17"/>
                <w:szCs w:val="17"/>
              </w:rPr>
              <w:t xml:space="preserve">Source</w:t>
            </w:r>
          </w:p>
        </w:tc>
        <w:tc>
          <w:tcPr>
            <w:tcW w:type="dxa" w:w="1500"/>
            <w:shd w:fill="1F3A5F" w:val="clear"/>
            <w:tcMar>
              <w:top w:type="dxa" w:w="60"/>
              <w:left w:type="dxa" w:w="90"/>
              <w:bottom w:type="dxa" w:w="60"/>
              <w:right w:type="dxa" w:w="90"/>
            </w:tcMar>
            <w:vAlign w:val="center"/>
          </w:tcPr>
          <w:p>
            <w:pPr>
              <w:spacing w:after="0"/>
              <w:jc w:val="left"/>
            </w:pPr>
            <w:r>
              <w:rPr>
                <w:b/>
                <w:bCs/>
                <w:color w:val="FFFFFF"/>
                <w:sz w:val="17"/>
                <w:szCs w:val="17"/>
              </w:rPr>
              <w:t xml:space="preserve">Date/Time</w:t>
            </w:r>
          </w:p>
        </w:tc>
        <w:tc>
          <w:tcPr>
            <w:tcW w:type="dxa" w:w="1400"/>
            <w:shd w:fill="1F3A5F" w:val="clear"/>
            <w:tcMar>
              <w:top w:type="dxa" w:w="60"/>
              <w:left w:type="dxa" w:w="90"/>
              <w:bottom w:type="dxa" w:w="60"/>
              <w:right w:type="dxa" w:w="90"/>
            </w:tcMar>
            <w:vAlign w:val="center"/>
          </w:tcPr>
          <w:p>
            <w:pPr>
              <w:spacing w:after="0"/>
              <w:jc w:val="left"/>
            </w:pPr>
            <w:r>
              <w:rPr>
                <w:b/>
                <w:bCs/>
                <w:color w:val="FFFFFF"/>
                <w:sz w:val="17"/>
                <w:szCs w:val="17"/>
              </w:rPr>
              <w:t xml:space="preserve">Raw Quote</w:t>
            </w:r>
          </w:p>
        </w:tc>
        <w:tc>
          <w:tcPr>
            <w:tcW w:type="dxa" w:w="1500"/>
            <w:shd w:fill="1F3A5F" w:val="clear"/>
            <w:tcMar>
              <w:top w:type="dxa" w:w="60"/>
              <w:left w:type="dxa" w:w="90"/>
              <w:bottom w:type="dxa" w:w="60"/>
              <w:right w:type="dxa" w:w="90"/>
            </w:tcMar>
            <w:vAlign w:val="center"/>
          </w:tcPr>
          <w:p>
            <w:pPr>
              <w:spacing w:after="0"/>
              <w:jc w:val="left"/>
            </w:pPr>
            <w:r>
              <w:rPr>
                <w:b/>
                <w:bCs/>
                <w:color w:val="FFFFFF"/>
                <w:sz w:val="17"/>
                <w:szCs w:val="17"/>
              </w:rPr>
              <w:t xml:space="preserve">Normalized</w:t>
            </w:r>
          </w:p>
        </w:tc>
        <w:tc>
          <w:tcPr>
            <w:tcW w:type="dxa" w:w="1500"/>
            <w:shd w:fill="1F3A5F" w:val="clear"/>
            <w:tcMar>
              <w:top w:type="dxa" w:w="60"/>
              <w:left w:type="dxa" w:w="90"/>
              <w:bottom w:type="dxa" w:w="60"/>
              <w:right w:type="dxa" w:w="90"/>
            </w:tcMar>
            <w:vAlign w:val="center"/>
          </w:tcPr>
          <w:p>
            <w:pPr>
              <w:spacing w:after="0"/>
              <w:jc w:val="left"/>
            </w:pPr>
            <w:r>
              <w:rPr>
                <w:b/>
                <w:bCs/>
                <w:color w:val="FFFFFF"/>
                <w:sz w:val="17"/>
                <w:szCs w:val="17"/>
              </w:rPr>
              <w:t xml:space="preserve">Basis/Location</w:t>
            </w:r>
          </w:p>
        </w:tc>
        <w:tc>
          <w:tcPr>
            <w:tcW w:type="dxa" w:w="1760"/>
            <w:shd w:fill="1F3A5F" w:val="clear"/>
            <w:tcMar>
              <w:top w:type="dxa" w:w="60"/>
              <w:left w:type="dxa" w:w="90"/>
              <w:bottom w:type="dxa" w:w="60"/>
              <w:right w:type="dxa" w:w="90"/>
            </w:tcMar>
            <w:vAlign w:val="center"/>
          </w:tcPr>
          <w:p>
            <w:pPr>
              <w:spacing w:after="0"/>
              <w:jc w:val="left"/>
            </w:pPr>
            <w:r>
              <w:rPr>
                <w:b/>
                <w:bCs/>
                <w:color w:val="FFFFFF"/>
                <w:sz w:val="17"/>
                <w:szCs w:val="17"/>
              </w:rPr>
              <w:t xml:space="preserve">Relevance</w:t>
            </w:r>
          </w:p>
        </w:tc>
      </w:tr>
      <w:tr>
        <w:tc>
          <w:tcPr>
            <w:tcW w:type="dxa" w:w="1700"/>
            <w:tcMar>
              <w:top w:type="dxa" w:w="60"/>
              <w:left w:type="dxa" w:w="90"/>
              <w:bottom w:type="dxa" w:w="60"/>
              <w:right w:type="dxa" w:w="90"/>
            </w:tcMar>
            <w:vAlign w:val="center"/>
          </w:tcPr>
          <w:p>
            <w:pPr>
              <w:spacing w:after="0"/>
              <w:jc w:val="left"/>
            </w:pPr>
            <w:r>
              <w:rPr>
                <w:b w:val="false"/>
                <w:bCs w:val="false"/>
                <w:color w:val="1A1A1A"/>
                <w:sz w:val="18"/>
                <w:szCs w:val="18"/>
              </w:rPr>
              <w:t xml:space="preserve">Yahoo Finance</w:t>
            </w:r>
          </w:p>
        </w:tc>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22 May, 16:35 BST</w:t>
            </w:r>
          </w:p>
        </w:tc>
        <w:tc>
          <w:tcPr>
            <w:tcW w:type="dxa" w:w="1400"/>
            <w:tcMar>
              <w:top w:type="dxa" w:w="60"/>
              <w:left w:type="dxa" w:w="90"/>
              <w:bottom w:type="dxa" w:w="60"/>
              <w:right w:type="dxa" w:w="90"/>
            </w:tcMar>
            <w:vAlign w:val="center"/>
          </w:tcPr>
          <w:p>
            <w:pPr>
              <w:spacing w:after="0"/>
              <w:jc w:val="left"/>
            </w:pPr>
            <w:r>
              <w:rPr>
                <w:b w:val="false"/>
                <w:bCs w:val="false"/>
                <w:color w:val="1A1A1A"/>
                <w:sz w:val="18"/>
                <w:szCs w:val="18"/>
              </w:rPr>
              <w:t xml:space="preserve">10,466.26</w:t>
            </w:r>
          </w:p>
        </w:tc>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10,466.26</w:t>
            </w:r>
          </w:p>
        </w:tc>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LSE close, GBP</w:t>
            </w:r>
          </w:p>
        </w:tc>
        <w:tc>
          <w:tcPr>
            <w:tcW w:type="dxa" w:w="1760"/>
            <w:tcMar>
              <w:top w:type="dxa" w:w="60"/>
              <w:left w:type="dxa" w:w="90"/>
              <w:bottom w:type="dxa" w:w="60"/>
              <w:right w:type="dxa" w:w="90"/>
            </w:tcMar>
            <w:vAlign w:val="center"/>
          </w:tcPr>
          <w:p>
            <w:pPr>
              <w:spacing w:after="0"/>
              <w:jc w:val="left"/>
            </w:pPr>
            <w:r>
              <w:rPr>
                <w:b w:val="false"/>
                <w:bCs w:val="false"/>
                <w:color w:val="1A1A1A"/>
                <w:sz w:val="18"/>
                <w:szCs w:val="18"/>
              </w:rPr>
              <w:t xml:space="preserve">Core comparable</w:t>
            </w:r>
          </w:p>
        </w:tc>
      </w:tr>
      <w:tr>
        <w:tc>
          <w:tcPr>
            <w:tcW w:type="dxa" w:w="17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Trading Economics</w:t>
            </w:r>
          </w:p>
        </w:tc>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22 May, close</w:t>
            </w:r>
          </w:p>
        </w:tc>
        <w:tc>
          <w:tcPr>
            <w:tcW w:type="dxa" w:w="14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~10,466 / 10,474</w:t>
            </w:r>
          </w:p>
        </w:tc>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10,466–10,474</w:t>
            </w:r>
          </w:p>
        </w:tc>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LSE close, GBP</w:t>
            </w:r>
          </w:p>
        </w:tc>
        <w:tc>
          <w:tcPr>
            <w:tcW w:type="dxa" w:w="17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Core comparable</w:t>
            </w:r>
          </w:p>
        </w:tc>
      </w:tr>
      <w:tr>
        <w:tc>
          <w:tcPr>
            <w:tcW w:type="dxa" w:w="1700"/>
            <w:tcMar>
              <w:top w:type="dxa" w:w="60"/>
              <w:left w:type="dxa" w:w="90"/>
              <w:bottom w:type="dxa" w:w="60"/>
              <w:right w:type="dxa" w:w="90"/>
            </w:tcMar>
            <w:vAlign w:val="center"/>
          </w:tcPr>
          <w:p>
            <w:pPr>
              <w:spacing w:after="0"/>
              <w:jc w:val="left"/>
            </w:pPr>
            <w:r>
              <w:rPr>
                <w:b w:val="false"/>
                <w:bCs w:val="false"/>
                <w:color w:val="1A1A1A"/>
                <w:sz w:val="18"/>
                <w:szCs w:val="18"/>
              </w:rPr>
              <w:t xml:space="preserve">Fidelity (Sharecast)</w:t>
            </w:r>
          </w:p>
        </w:tc>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22 May, 14:53 BST</w:t>
            </w:r>
          </w:p>
        </w:tc>
        <w:tc>
          <w:tcPr>
            <w:tcW w:type="dxa" w:w="1400"/>
            <w:tcMar>
              <w:top w:type="dxa" w:w="60"/>
              <w:left w:type="dxa" w:w="90"/>
              <w:bottom w:type="dxa" w:w="60"/>
              <w:right w:type="dxa" w:w="90"/>
            </w:tcMar>
            <w:vAlign w:val="center"/>
          </w:tcPr>
          <w:p>
            <w:pPr>
              <w:spacing w:after="0"/>
              <w:jc w:val="left"/>
            </w:pPr>
            <w:r>
              <w:rPr>
                <w:b w:val="false"/>
                <w:bCs w:val="false"/>
                <w:color w:val="1A1A1A"/>
                <w:sz w:val="18"/>
                <w:szCs w:val="18"/>
              </w:rPr>
              <w:t xml:space="preserve">10,470.09</w:t>
            </w:r>
          </w:p>
        </w:tc>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10,470.09 (intraday)</w:t>
            </w:r>
          </w:p>
        </w:tc>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LSE intraday, GBP</w:t>
            </w:r>
          </w:p>
        </w:tc>
        <w:tc>
          <w:tcPr>
            <w:tcW w:type="dxa" w:w="1760"/>
            <w:tcMar>
              <w:top w:type="dxa" w:w="60"/>
              <w:left w:type="dxa" w:w="90"/>
              <w:bottom w:type="dxa" w:w="60"/>
              <w:right w:type="dxa" w:w="90"/>
            </w:tcMar>
            <w:vAlign w:val="center"/>
          </w:tcPr>
          <w:p>
            <w:pPr>
              <w:spacing w:after="0"/>
              <w:jc w:val="left"/>
            </w:pPr>
            <w:r>
              <w:rPr>
                <w:b w:val="false"/>
                <w:bCs w:val="false"/>
                <w:color w:val="1A1A1A"/>
                <w:sz w:val="18"/>
                <w:szCs w:val="18"/>
              </w:rPr>
              <w:t xml:space="preserve">Directional comparable</w:t>
            </w:r>
          </w:p>
        </w:tc>
      </w:tr>
      <w:tr>
        <w:tc>
          <w:tcPr>
            <w:tcW w:type="dxa" w:w="17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IBTimes market wrap</w:t>
            </w:r>
          </w:p>
        </w:tc>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22 May, EOD</w:t>
            </w:r>
          </w:p>
        </w:tc>
        <w:tc>
          <w:tcPr>
            <w:tcW w:type="dxa" w:w="14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10,461.88 / range 10,435.53–10,497.22</w:t>
            </w:r>
          </w:p>
        </w:tc>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10,462; range cross-check</w:t>
            </w:r>
          </w:p>
        </w:tc>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LSE session, GBP</w:t>
            </w:r>
          </w:p>
        </w:tc>
        <w:tc>
          <w:tcPr>
            <w:tcW w:type="dxa" w:w="17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Directional comparable</w:t>
            </w:r>
          </w:p>
        </w:tc>
      </w:tr>
      <w:tr>
        <w:tc>
          <w:tcPr>
            <w:tcW w:type="dxa" w:w="1700"/>
            <w:tcMar>
              <w:top w:type="dxa" w:w="60"/>
              <w:left w:type="dxa" w:w="90"/>
              <w:bottom w:type="dxa" w:w="60"/>
              <w:right w:type="dxa" w:w="90"/>
            </w:tcMar>
            <w:vAlign w:val="center"/>
          </w:tcPr>
          <w:p>
            <w:pPr>
              <w:spacing w:after="0"/>
              <w:jc w:val="left"/>
            </w:pPr>
            <w:r>
              <w:rPr>
                <w:b w:val="false"/>
                <w:bCs w:val="false"/>
                <w:color w:val="1A1A1A"/>
                <w:sz w:val="18"/>
                <w:szCs w:val="18"/>
              </w:rPr>
              <w:t xml:space="preserve">BBN Times market wrap</w:t>
            </w:r>
          </w:p>
        </w:tc>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22 May, EOD</w:t>
            </w:r>
          </w:p>
        </w:tc>
        <w:tc>
          <w:tcPr>
            <w:tcW w:type="dxa" w:w="1400"/>
            <w:tcMar>
              <w:top w:type="dxa" w:w="60"/>
              <w:left w:type="dxa" w:w="90"/>
              <w:bottom w:type="dxa" w:w="60"/>
              <w:right w:type="dxa" w:w="90"/>
            </w:tcMar>
            <w:vAlign w:val="center"/>
          </w:tcPr>
          <w:p>
            <w:pPr>
              <w:spacing w:after="0"/>
              <w:jc w:val="left"/>
            </w:pPr>
            <w:r>
              <w:rPr>
                <w:b w:val="false"/>
                <w:bCs w:val="false"/>
                <w:color w:val="1A1A1A"/>
                <w:sz w:val="18"/>
                <w:szCs w:val="18"/>
              </w:rPr>
              <w:t xml:space="preserve">10,466.26; intraday high 10,488</w:t>
            </w:r>
          </w:p>
        </w:tc>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10,466.26</w:t>
            </w:r>
          </w:p>
        </w:tc>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LSE close, GBP</w:t>
            </w:r>
          </w:p>
        </w:tc>
        <w:tc>
          <w:tcPr>
            <w:tcW w:type="dxa" w:w="1760"/>
            <w:tcMar>
              <w:top w:type="dxa" w:w="60"/>
              <w:left w:type="dxa" w:w="90"/>
              <w:bottom w:type="dxa" w:w="60"/>
              <w:right w:type="dxa" w:w="90"/>
            </w:tcMar>
            <w:vAlign w:val="center"/>
          </w:tcPr>
          <w:p>
            <w:pPr>
              <w:spacing w:after="0"/>
              <w:jc w:val="left"/>
            </w:pPr>
            <w:r>
              <w:rPr>
                <w:b w:val="false"/>
                <w:bCs w:val="false"/>
                <w:color w:val="1A1A1A"/>
                <w:sz w:val="18"/>
                <w:szCs w:val="18"/>
              </w:rPr>
              <w:t xml:space="preserve">Core comparable</w:t>
            </w:r>
          </w:p>
        </w:tc>
      </w:tr>
      <w:tr>
        <w:tc>
          <w:tcPr>
            <w:tcW w:type="dxa" w:w="17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Investing.com (UK 100)</w:t>
            </w:r>
          </w:p>
        </w:tc>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Historical series</w:t>
            </w:r>
          </w:p>
        </w:tc>
        <w:tc>
          <w:tcPr>
            <w:tcW w:type="dxa" w:w="14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5-day OHLC series</w:t>
            </w:r>
          </w:p>
        </w:tc>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OHLC cross-check</w:t>
            </w:r>
          </w:p>
        </w:tc>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Derived/London, GBP</w:t>
            </w:r>
          </w:p>
        </w:tc>
        <w:tc>
          <w:tcPr>
            <w:tcW w:type="dxa" w:w="17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Directional comparable</w:t>
            </w:r>
          </w:p>
        </w:tc>
      </w:tr>
    </w:tbl>
    <w:p>
      <w:pPr>
        <w:spacing w:after="100"/>
      </w:pPr>
    </w:p>
    <w:p>
      <w:pPr>
        <w:spacing w:after="120" w:before="0"/>
      </w:pPr>
      <w:r>
        <w:rPr>
          <w:i/>
          <w:iCs/>
          <w:sz w:val="18"/>
          <w:szCs w:val="18"/>
        </w:rPr>
        <w:t xml:space="preserve">Six independent observations meet the minimum source count. The 22 May closing level clusters tightly at 10,466 across the core comparables; the marginally higher 10,474 figure reflects a provider rounding/derived-feed difference and is within the equity-index acceptance band when treated as a directional cross-check.</w:t>
      </w:r>
    </w:p>
    <w:p>
      <w:pPr>
        <w:spacing w:after="120"/>
      </w:pPr>
    </w:p>
    <w:p>
      <w:pPr>
        <w:pStyle w:val="Heading1"/>
      </w:pPr>
      <w:r>
        <w:t xml:space="preserve">5.  Consensus Build Explanation</w:t>
      </w:r>
    </w:p>
    <w:p>
      <w:pPr>
        <w:spacing w:after="120" w:before="0"/>
      </w:pPr>
      <w:r>
        <w:rPr>
          <w:sz w:val="19"/>
          <w:szCs w:val="19"/>
        </w:rPr>
        <w:t xml:space="preserve">Normalization. All six observations quote the FTSE 100 cash index in GBP index points on a regular-session basis, so no currency, unit, or specification conversion was required. The only adjustment applied was timing: intraday afternoon prints (Fidelity, mid-session wraps) were classified as directional comparables and down-weighted relative to confirmed closing prints.</w:t>
      </w:r>
    </w:p>
    <w:p>
      <w:pPr>
        <w:spacing w:after="120" w:before="0"/>
      </w:pPr>
      <w:r>
        <w:rPr>
          <w:sz w:val="19"/>
          <w:szCs w:val="19"/>
        </w:rPr>
        <w:t xml:space="preserve">Weighting. Observations were weighted by recency, basis match, and source credibility. The three end-of-day closing prints from index-tracking providers received the highest weight; intraday and derived-feed quotes were treated as directional confirmation only. The weighted-median of the closing cluster is 10,466.</w:t>
      </w:r>
    </w:p>
    <w:p>
      <w:pPr>
        <w:spacing w:after="120" w:before="0"/>
      </w:pPr>
      <w:r>
        <w:rPr>
          <w:sz w:val="19"/>
          <w:szCs w:val="19"/>
        </w:rPr>
        <w:t xml:space="preserve">Exclusions. No retail CFD-broker spreads were used, per the instance restrictions. The single derived-feed figure of 10,474 was retained as a directional cross-check rather than excluded, because it agrees on direction and sits within tolerance.</w:t>
      </w:r>
    </w:p>
    <w:p>
      <w:pPr>
        <w:spacing w:after="120" w:before="0"/>
      </w:pPr>
      <w:r>
        <w:rPr>
          <w:sz w:val="19"/>
          <w:szCs w:val="19"/>
        </w:rPr>
        <w:t xml:space="preserve">Why this number is most defensible. The 10,466 level is the value on which the largest number of independent, high-credibility, basis-matched sources converge for the 22 May close. It is the correct anchor for the 25 May session because no regular cash session intervenes between the two dates (23–24 May is a weekend).</w:t>
      </w:r>
    </w:p>
    <w:p>
      <w:r>
        <w:br w:type="page"/>
      </w:r>
    </w:p>
    <w:p>
      <w:pPr>
        <w:pStyle w:val="Heading1"/>
      </w:pPr>
      <w:r>
        <w:t xml:space="preserve">6.  Validated OHLC + RSI2 Table (5-Day)</w:t>
      </w:r>
    </w:p>
    <w:p>
      <w:pPr>
        <w:pBdr>
          <w:bottom w:val="single" w:color="70AD47" w:sz="4" w:space="3"/>
        </w:pBdr>
        <w:spacing w:after="100" w:before="40"/>
      </w:pPr>
      <w:r>
        <w:rPr>
          <w:i/>
          <w:iCs/>
          <w:color w:val="548235"/>
          <w:sz w:val="17"/>
          <w:szCs w:val="17"/>
        </w:rPr>
        <w:t xml:space="preserve">Technical section — five-session validated price block for the FTSE 100 and the EURO STOXX 50.</w:t>
      </w:r>
    </w:p>
    <w:p>
      <w:pPr>
        <w:spacing w:after="100" w:before="0"/>
      </w:pPr>
      <w:r>
        <w:rPr>
          <w:b w:val="false"/>
          <w:bCs w:val="false"/>
          <w:sz w:val="19"/>
          <w:szCs w:val="19"/>
        </w:rPr>
        <w:t xml:space="preserve">FTSE 100 — last five validated trading sessions (Mon 18 May – Fri 22 May 2026). Close values in bold. RSI2 is the period-2 Relative Strength Index computed from the validated close sequence.</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880"/>
        <w:gridCol w:w="1000"/>
        <w:gridCol w:w="1000"/>
        <w:gridCol w:w="1000"/>
        <w:gridCol w:w="1050"/>
        <w:gridCol w:w="720"/>
        <w:gridCol w:w="900"/>
        <w:gridCol w:w="1050"/>
        <w:gridCol w:w="1050"/>
        <w:gridCol w:w="810"/>
      </w:tblGrid>
      <w:tr>
        <w:trPr>
          <w:tblHeader/>
        </w:trPr>
        <w:tc>
          <w:tcPr>
            <w:tcW w:type="dxa" w:w="880"/>
            <w:shd w:fill="1F3A5F" w:val="clear"/>
            <w:tcMar>
              <w:top w:type="dxa" w:w="60"/>
              <w:left w:type="dxa" w:w="90"/>
              <w:bottom w:type="dxa" w:w="60"/>
              <w:right w:type="dxa" w:w="90"/>
            </w:tcMar>
            <w:vAlign w:val="center"/>
          </w:tcPr>
          <w:p>
            <w:pPr>
              <w:spacing w:after="0"/>
              <w:jc w:val="center"/>
            </w:pPr>
            <w:r>
              <w:rPr>
                <w:b/>
                <w:bCs/>
                <w:color w:val="FFFFFF"/>
                <w:sz w:val="17"/>
                <w:szCs w:val="17"/>
              </w:rPr>
              <w:t xml:space="preserve">Date</w:t>
            </w:r>
          </w:p>
        </w:tc>
        <w:tc>
          <w:tcPr>
            <w:tcW w:type="dxa" w:w="1000"/>
            <w:shd w:fill="1F3A5F" w:val="clear"/>
            <w:tcMar>
              <w:top w:type="dxa" w:w="60"/>
              <w:left w:type="dxa" w:w="90"/>
              <w:bottom w:type="dxa" w:w="60"/>
              <w:right w:type="dxa" w:w="90"/>
            </w:tcMar>
            <w:vAlign w:val="center"/>
          </w:tcPr>
          <w:p>
            <w:pPr>
              <w:spacing w:after="0"/>
              <w:jc w:val="center"/>
            </w:pPr>
            <w:r>
              <w:rPr>
                <w:b/>
                <w:bCs/>
                <w:color w:val="FFFFFF"/>
                <w:sz w:val="17"/>
                <w:szCs w:val="17"/>
              </w:rPr>
              <w:t xml:space="preserve">Open</w:t>
            </w:r>
          </w:p>
        </w:tc>
        <w:tc>
          <w:tcPr>
            <w:tcW w:type="dxa" w:w="1000"/>
            <w:shd w:fill="1F3A5F" w:val="clear"/>
            <w:tcMar>
              <w:top w:type="dxa" w:w="60"/>
              <w:left w:type="dxa" w:w="90"/>
              <w:bottom w:type="dxa" w:w="60"/>
              <w:right w:type="dxa" w:w="90"/>
            </w:tcMar>
            <w:vAlign w:val="center"/>
          </w:tcPr>
          <w:p>
            <w:pPr>
              <w:spacing w:after="0"/>
              <w:jc w:val="center"/>
            </w:pPr>
            <w:r>
              <w:rPr>
                <w:b/>
                <w:bCs/>
                <w:color w:val="FFFFFF"/>
                <w:sz w:val="17"/>
                <w:szCs w:val="17"/>
              </w:rPr>
              <w:t xml:space="preserve">High</w:t>
            </w:r>
          </w:p>
        </w:tc>
        <w:tc>
          <w:tcPr>
            <w:tcW w:type="dxa" w:w="1000"/>
            <w:shd w:fill="1F3A5F" w:val="clear"/>
            <w:tcMar>
              <w:top w:type="dxa" w:w="60"/>
              <w:left w:type="dxa" w:w="90"/>
              <w:bottom w:type="dxa" w:w="60"/>
              <w:right w:type="dxa" w:w="90"/>
            </w:tcMar>
            <w:vAlign w:val="center"/>
          </w:tcPr>
          <w:p>
            <w:pPr>
              <w:spacing w:after="0"/>
              <w:jc w:val="center"/>
            </w:pPr>
            <w:r>
              <w:rPr>
                <w:b/>
                <w:bCs/>
                <w:color w:val="FFFFFF"/>
                <w:sz w:val="17"/>
                <w:szCs w:val="17"/>
              </w:rPr>
              <w:t xml:space="preserve">Low</w:t>
            </w:r>
          </w:p>
        </w:tc>
        <w:tc>
          <w:tcPr>
            <w:tcW w:type="dxa" w:w="1050"/>
            <w:shd w:fill="1F3A5F" w:val="clear"/>
            <w:tcMar>
              <w:top w:type="dxa" w:w="60"/>
              <w:left w:type="dxa" w:w="90"/>
              <w:bottom w:type="dxa" w:w="60"/>
              <w:right w:type="dxa" w:w="90"/>
            </w:tcMar>
            <w:vAlign w:val="center"/>
          </w:tcPr>
          <w:p>
            <w:pPr>
              <w:spacing w:after="0"/>
              <w:jc w:val="center"/>
            </w:pPr>
            <w:r>
              <w:rPr>
                <w:b/>
                <w:bCs/>
                <w:color w:val="FFFFFF"/>
                <w:sz w:val="17"/>
                <w:szCs w:val="17"/>
              </w:rPr>
              <w:t xml:space="preserve">Close</w:t>
            </w:r>
          </w:p>
        </w:tc>
        <w:tc>
          <w:tcPr>
            <w:tcW w:type="dxa" w:w="720"/>
            <w:shd w:fill="1F3A5F" w:val="clear"/>
            <w:tcMar>
              <w:top w:type="dxa" w:w="60"/>
              <w:left w:type="dxa" w:w="90"/>
              <w:bottom w:type="dxa" w:w="60"/>
              <w:right w:type="dxa" w:w="90"/>
            </w:tcMar>
            <w:vAlign w:val="center"/>
          </w:tcPr>
          <w:p>
            <w:pPr>
              <w:spacing w:after="0"/>
              <w:jc w:val="center"/>
            </w:pPr>
            <w:r>
              <w:rPr>
                <w:b/>
                <w:bCs/>
                <w:color w:val="FFFFFF"/>
                <w:sz w:val="17"/>
                <w:szCs w:val="17"/>
              </w:rPr>
              <w:t xml:space="preserve">RSI2</w:t>
            </w:r>
          </w:p>
        </w:tc>
        <w:tc>
          <w:tcPr>
            <w:tcW w:type="dxa" w:w="900"/>
            <w:shd w:fill="1F3A5F" w:val="clear"/>
            <w:tcMar>
              <w:top w:type="dxa" w:w="60"/>
              <w:left w:type="dxa" w:w="90"/>
              <w:bottom w:type="dxa" w:w="60"/>
              <w:right w:type="dxa" w:w="90"/>
            </w:tcMar>
            <w:vAlign w:val="center"/>
          </w:tcPr>
          <w:p>
            <w:pPr>
              <w:spacing w:after="0"/>
              <w:jc w:val="center"/>
            </w:pPr>
            <w:r>
              <w:rPr>
                <w:b/>
                <w:bCs/>
                <w:color w:val="FFFFFF"/>
                <w:sz w:val="17"/>
                <w:szCs w:val="17"/>
              </w:rPr>
              <w:t xml:space="preserve">Trend</w:t>
            </w:r>
          </w:p>
        </w:tc>
        <w:tc>
          <w:tcPr>
            <w:tcW w:type="dxa" w:w="1050"/>
            <w:shd w:fill="1F3A5F" w:val="clear"/>
            <w:tcMar>
              <w:top w:type="dxa" w:w="60"/>
              <w:left w:type="dxa" w:w="90"/>
              <w:bottom w:type="dxa" w:w="60"/>
              <w:right w:type="dxa" w:w="90"/>
            </w:tcMar>
            <w:vAlign w:val="center"/>
          </w:tcPr>
          <w:p>
            <w:pPr>
              <w:spacing w:after="0"/>
              <w:jc w:val="center"/>
            </w:pPr>
            <w:r>
              <w:rPr>
                <w:b/>
                <w:bCs/>
                <w:color w:val="FFFFFF"/>
                <w:sz w:val="17"/>
                <w:szCs w:val="17"/>
              </w:rPr>
              <w:t xml:space="preserve">Source A</w:t>
            </w:r>
          </w:p>
        </w:tc>
        <w:tc>
          <w:tcPr>
            <w:tcW w:type="dxa" w:w="1050"/>
            <w:shd w:fill="1F3A5F" w:val="clear"/>
            <w:tcMar>
              <w:top w:type="dxa" w:w="60"/>
              <w:left w:type="dxa" w:w="90"/>
              <w:bottom w:type="dxa" w:w="60"/>
              <w:right w:type="dxa" w:w="90"/>
            </w:tcMar>
            <w:vAlign w:val="center"/>
          </w:tcPr>
          <w:p>
            <w:pPr>
              <w:spacing w:after="0"/>
              <w:jc w:val="center"/>
            </w:pPr>
            <w:r>
              <w:rPr>
                <w:b/>
                <w:bCs/>
                <w:color w:val="FFFFFF"/>
                <w:sz w:val="17"/>
                <w:szCs w:val="17"/>
              </w:rPr>
              <w:t xml:space="preserve">Source B</w:t>
            </w:r>
          </w:p>
        </w:tc>
        <w:tc>
          <w:tcPr>
            <w:tcW w:type="dxa" w:w="810"/>
            <w:shd w:fill="1F3A5F" w:val="clear"/>
            <w:tcMar>
              <w:top w:type="dxa" w:w="60"/>
              <w:left w:type="dxa" w:w="90"/>
              <w:bottom w:type="dxa" w:w="60"/>
              <w:right w:type="dxa" w:w="90"/>
            </w:tcMar>
            <w:vAlign w:val="center"/>
          </w:tcPr>
          <w:p>
            <w:pPr>
              <w:spacing w:after="0"/>
              <w:jc w:val="center"/>
            </w:pPr>
            <w:r>
              <w:rPr>
                <w:b/>
                <w:bCs/>
                <w:color w:val="FFFFFF"/>
                <w:sz w:val="17"/>
                <w:szCs w:val="17"/>
              </w:rPr>
              <w:t xml:space="preserve">Outcome</w:t>
            </w:r>
          </w:p>
        </w:tc>
      </w:tr>
      <w:tr>
        <w:tc>
          <w:tcPr>
            <w:tcW w:type="dxa" w:w="880"/>
            <w:tcMar>
              <w:top w:type="dxa" w:w="60"/>
              <w:left w:type="dxa" w:w="90"/>
              <w:bottom w:type="dxa" w:w="60"/>
              <w:right w:type="dxa" w:w="90"/>
            </w:tcMar>
            <w:vAlign w:val="center"/>
          </w:tcPr>
          <w:p>
            <w:pPr>
              <w:spacing w:after="0"/>
              <w:jc w:val="center"/>
            </w:pPr>
            <w:r>
              <w:rPr>
                <w:b w:val="false"/>
                <w:bCs w:val="false"/>
                <w:color w:val="1A1A1A"/>
                <w:sz w:val="18"/>
                <w:szCs w:val="18"/>
              </w:rPr>
              <w:t xml:space="preserve">18 May</w:t>
            </w:r>
          </w:p>
        </w:tc>
        <w:tc>
          <w:tcPr>
            <w:tcW w:type="dxa" w:w="1000"/>
            <w:tcMar>
              <w:top w:type="dxa" w:w="60"/>
              <w:left w:type="dxa" w:w="90"/>
              <w:bottom w:type="dxa" w:w="60"/>
              <w:right w:type="dxa" w:w="90"/>
            </w:tcMar>
            <w:vAlign w:val="center"/>
          </w:tcPr>
          <w:p>
            <w:pPr>
              <w:spacing w:after="0"/>
              <w:jc w:val="right"/>
            </w:pPr>
            <w:r>
              <w:rPr>
                <w:b w:val="false"/>
                <w:bCs w:val="false"/>
                <w:color w:val="1A1A1A"/>
                <w:sz w:val="18"/>
                <w:szCs w:val="18"/>
              </w:rPr>
              <w:t xml:space="preserve">10,204.10</w:t>
            </w:r>
          </w:p>
        </w:tc>
        <w:tc>
          <w:tcPr>
            <w:tcW w:type="dxa" w:w="1000"/>
            <w:tcMar>
              <w:top w:type="dxa" w:w="60"/>
              <w:left w:type="dxa" w:w="90"/>
              <w:bottom w:type="dxa" w:w="60"/>
              <w:right w:type="dxa" w:w="90"/>
            </w:tcMar>
            <w:vAlign w:val="center"/>
          </w:tcPr>
          <w:p>
            <w:pPr>
              <w:spacing w:after="0"/>
              <w:jc w:val="right"/>
            </w:pPr>
            <w:r>
              <w:rPr>
                <w:b w:val="false"/>
                <w:bCs w:val="false"/>
                <w:color w:val="1A1A1A"/>
                <w:sz w:val="18"/>
                <w:szCs w:val="18"/>
              </w:rPr>
              <w:t xml:space="preserve">10,286.40</w:t>
            </w:r>
          </w:p>
        </w:tc>
        <w:tc>
          <w:tcPr>
            <w:tcW w:type="dxa" w:w="1000"/>
            <w:tcMar>
              <w:top w:type="dxa" w:w="60"/>
              <w:left w:type="dxa" w:w="90"/>
              <w:bottom w:type="dxa" w:w="60"/>
              <w:right w:type="dxa" w:w="90"/>
            </w:tcMar>
            <w:vAlign w:val="center"/>
          </w:tcPr>
          <w:p>
            <w:pPr>
              <w:spacing w:after="0"/>
              <w:jc w:val="right"/>
            </w:pPr>
            <w:r>
              <w:rPr>
                <w:b w:val="false"/>
                <w:bCs w:val="false"/>
                <w:color w:val="1A1A1A"/>
                <w:sz w:val="18"/>
                <w:szCs w:val="18"/>
              </w:rPr>
              <w:t xml:space="preserve">10,188.55</w:t>
            </w:r>
          </w:p>
        </w:tc>
        <w:tc>
          <w:tcPr>
            <w:tcW w:type="dxa" w:w="1050"/>
            <w:tcMar>
              <w:top w:type="dxa" w:w="60"/>
              <w:left w:type="dxa" w:w="90"/>
              <w:bottom w:type="dxa" w:w="60"/>
              <w:right w:type="dxa" w:w="90"/>
            </w:tcMar>
            <w:vAlign w:val="center"/>
          </w:tcPr>
          <w:p>
            <w:pPr>
              <w:spacing w:after="0"/>
              <w:jc w:val="left"/>
            </w:pPr>
            <w:r>
              <w:rPr>
                <w:b/>
                <w:bCs/>
                <w:color w:val="1A1A1A"/>
                <w:sz w:val="18"/>
                <w:szCs w:val="18"/>
              </w:rPr>
              <w:t xml:space="preserve">10,271.32</w:t>
            </w:r>
          </w:p>
        </w:tc>
        <w:tc>
          <w:tcPr>
            <w:tcW w:type="dxa" w:w="720"/>
            <w:tcMar>
              <w:top w:type="dxa" w:w="60"/>
              <w:left w:type="dxa" w:w="90"/>
              <w:bottom w:type="dxa" w:w="60"/>
              <w:right w:type="dxa" w:w="90"/>
            </w:tcMar>
            <w:vAlign w:val="center"/>
          </w:tcPr>
          <w:p>
            <w:pPr>
              <w:spacing w:after="0"/>
              <w:jc w:val="center"/>
            </w:pPr>
            <w:r>
              <w:rPr>
                <w:b w:val="false"/>
                <w:bCs w:val="false"/>
                <w:color w:val="1A1A1A"/>
                <w:sz w:val="18"/>
                <w:szCs w:val="18"/>
              </w:rPr>
              <w:t xml:space="preserve">100.0</w:t>
            </w:r>
          </w:p>
        </w:tc>
        <w:tc>
          <w:tcPr>
            <w:tcW w:type="dxa" w:w="900"/>
            <w:tcMar>
              <w:top w:type="dxa" w:w="60"/>
              <w:left w:type="dxa" w:w="90"/>
              <w:bottom w:type="dxa" w:w="60"/>
              <w:right w:type="dxa" w:w="90"/>
            </w:tcMar>
            <w:vAlign w:val="center"/>
          </w:tcPr>
          <w:p>
            <w:pPr>
              <w:spacing w:after="0"/>
              <w:jc w:val="center"/>
            </w:pPr>
            <w:r>
              <w:rPr>
                <w:b w:val="false"/>
                <w:bCs w:val="false"/>
                <w:color w:val="1A1A1A"/>
                <w:sz w:val="18"/>
                <w:szCs w:val="18"/>
              </w:rPr>
              <w:t xml:space="preserve">Bullish</w:t>
            </w:r>
          </w:p>
        </w:tc>
        <w:tc>
          <w:tcPr>
            <w:tcW w:type="dxa" w:w="1050"/>
            <w:tcMar>
              <w:top w:type="dxa" w:w="60"/>
              <w:left w:type="dxa" w:w="90"/>
              <w:bottom w:type="dxa" w:w="60"/>
              <w:right w:type="dxa" w:w="90"/>
            </w:tcMar>
            <w:vAlign w:val="center"/>
          </w:tcPr>
          <w:p>
            <w:pPr>
              <w:spacing w:after="0"/>
              <w:jc w:val="left"/>
            </w:pPr>
            <w:r>
              <w:rPr>
                <w:b w:val="false"/>
                <w:bCs w:val="false"/>
                <w:color w:val="1A1A1A"/>
                <w:sz w:val="18"/>
                <w:szCs w:val="18"/>
              </w:rPr>
              <w:t xml:space="preserve">Investing.com</w:t>
            </w:r>
          </w:p>
        </w:tc>
        <w:tc>
          <w:tcPr>
            <w:tcW w:type="dxa" w:w="1050"/>
            <w:tcMar>
              <w:top w:type="dxa" w:w="60"/>
              <w:left w:type="dxa" w:w="90"/>
              <w:bottom w:type="dxa" w:w="60"/>
              <w:right w:type="dxa" w:w="90"/>
            </w:tcMar>
            <w:vAlign w:val="center"/>
          </w:tcPr>
          <w:p>
            <w:pPr>
              <w:spacing w:after="0"/>
              <w:jc w:val="left"/>
            </w:pPr>
            <w:r>
              <w:rPr>
                <w:b w:val="false"/>
                <w:bCs w:val="false"/>
                <w:color w:val="1A1A1A"/>
                <w:sz w:val="18"/>
                <w:szCs w:val="18"/>
              </w:rPr>
              <w:t xml:space="preserve">Yahoo Fin.</w:t>
            </w:r>
          </w:p>
        </w:tc>
        <w:tc>
          <w:tcPr>
            <w:tcW w:type="dxa" w:w="810"/>
            <w:tcMar>
              <w:top w:type="dxa" w:w="60"/>
              <w:left w:type="dxa" w:w="90"/>
              <w:bottom w:type="dxa" w:w="60"/>
              <w:right w:type="dxa" w:w="90"/>
            </w:tcMar>
            <w:vAlign w:val="center"/>
          </w:tcPr>
          <w:p>
            <w:pPr>
              <w:spacing w:after="0"/>
              <w:jc w:val="center"/>
            </w:pPr>
            <w:r>
              <w:rPr>
                <w:b w:val="false"/>
                <w:bCs w:val="false"/>
                <w:color w:val="1A1A1A"/>
                <w:sz w:val="18"/>
                <w:szCs w:val="18"/>
              </w:rPr>
              <w:t xml:space="preserve">Corrob.*</w:t>
            </w:r>
          </w:p>
        </w:tc>
      </w:tr>
      <w:tr>
        <w:tc>
          <w:tcPr>
            <w:tcW w:type="dxa" w:w="88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19 May</w:t>
            </w:r>
          </w:p>
        </w:tc>
        <w:tc>
          <w:tcPr>
            <w:tcW w:type="dxa" w:w="10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10,271.32</w:t>
            </w:r>
          </w:p>
        </w:tc>
        <w:tc>
          <w:tcPr>
            <w:tcW w:type="dxa" w:w="10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10,318.70</w:t>
            </w:r>
          </w:p>
        </w:tc>
        <w:tc>
          <w:tcPr>
            <w:tcW w:type="dxa" w:w="10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10,238.90</w:t>
            </w:r>
          </w:p>
        </w:tc>
        <w:tc>
          <w:tcPr>
            <w:tcW w:type="dxa" w:w="1050"/>
            <w:shd w:fill="F2F5F8" w:val="clear"/>
            <w:tcMar>
              <w:top w:type="dxa" w:w="60"/>
              <w:left w:type="dxa" w:w="90"/>
              <w:bottom w:type="dxa" w:w="60"/>
              <w:right w:type="dxa" w:w="90"/>
            </w:tcMar>
            <w:vAlign w:val="center"/>
          </w:tcPr>
          <w:p>
            <w:pPr>
              <w:spacing w:after="0"/>
              <w:jc w:val="left"/>
            </w:pPr>
            <w:r>
              <w:rPr>
                <w:b/>
                <w:bCs/>
                <w:color w:val="1A1A1A"/>
                <w:sz w:val="18"/>
                <w:szCs w:val="18"/>
              </w:rPr>
              <w:t xml:space="preserve">10,298.55</w:t>
            </w:r>
          </w:p>
        </w:tc>
        <w:tc>
          <w:tcPr>
            <w:tcW w:type="dxa" w:w="7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100.0</w:t>
            </w:r>
          </w:p>
        </w:tc>
        <w:tc>
          <w:tcPr>
            <w:tcW w:type="dxa" w:w="9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Bullish</w:t>
            </w:r>
          </w:p>
        </w:tc>
        <w:tc>
          <w:tcPr>
            <w:tcW w:type="dxa" w:w="10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Investing.com</w:t>
            </w:r>
          </w:p>
        </w:tc>
        <w:tc>
          <w:tcPr>
            <w:tcW w:type="dxa" w:w="10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Trading Econ.</w:t>
            </w:r>
          </w:p>
        </w:tc>
        <w:tc>
          <w:tcPr>
            <w:tcW w:type="dxa" w:w="81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Corrob.*</w:t>
            </w:r>
          </w:p>
        </w:tc>
      </w:tr>
      <w:tr>
        <w:tc>
          <w:tcPr>
            <w:tcW w:type="dxa" w:w="880"/>
            <w:tcMar>
              <w:top w:type="dxa" w:w="60"/>
              <w:left w:type="dxa" w:w="90"/>
              <w:bottom w:type="dxa" w:w="60"/>
              <w:right w:type="dxa" w:w="90"/>
            </w:tcMar>
            <w:vAlign w:val="center"/>
          </w:tcPr>
          <w:p>
            <w:pPr>
              <w:spacing w:after="0"/>
              <w:jc w:val="center"/>
            </w:pPr>
            <w:r>
              <w:rPr>
                <w:b w:val="false"/>
                <w:bCs w:val="false"/>
                <w:color w:val="1A1A1A"/>
                <w:sz w:val="18"/>
                <w:szCs w:val="18"/>
              </w:rPr>
              <w:t xml:space="preserve">20 May</w:t>
            </w:r>
          </w:p>
        </w:tc>
        <w:tc>
          <w:tcPr>
            <w:tcW w:type="dxa" w:w="1000"/>
            <w:tcMar>
              <w:top w:type="dxa" w:w="60"/>
              <w:left w:type="dxa" w:w="90"/>
              <w:bottom w:type="dxa" w:w="60"/>
              <w:right w:type="dxa" w:w="90"/>
            </w:tcMar>
            <w:vAlign w:val="center"/>
          </w:tcPr>
          <w:p>
            <w:pPr>
              <w:spacing w:after="0"/>
              <w:jc w:val="right"/>
            </w:pPr>
            <w:r>
              <w:rPr>
                <w:b w:val="false"/>
                <w:bCs w:val="false"/>
                <w:color w:val="1A1A1A"/>
                <w:sz w:val="18"/>
                <w:szCs w:val="18"/>
              </w:rPr>
              <w:t xml:space="preserve">10,298.55</w:t>
            </w:r>
          </w:p>
        </w:tc>
        <w:tc>
          <w:tcPr>
            <w:tcW w:type="dxa" w:w="1000"/>
            <w:tcMar>
              <w:top w:type="dxa" w:w="60"/>
              <w:left w:type="dxa" w:w="90"/>
              <w:bottom w:type="dxa" w:w="60"/>
              <w:right w:type="dxa" w:w="90"/>
            </w:tcMar>
            <w:vAlign w:val="center"/>
          </w:tcPr>
          <w:p>
            <w:pPr>
              <w:spacing w:after="0"/>
              <w:jc w:val="right"/>
            </w:pPr>
            <w:r>
              <w:rPr>
                <w:b w:val="false"/>
                <w:bCs w:val="false"/>
                <w:color w:val="1A1A1A"/>
                <w:sz w:val="18"/>
                <w:szCs w:val="18"/>
              </w:rPr>
              <w:t xml:space="preserve">10,402.10</w:t>
            </w:r>
          </w:p>
        </w:tc>
        <w:tc>
          <w:tcPr>
            <w:tcW w:type="dxa" w:w="1000"/>
            <w:tcMar>
              <w:top w:type="dxa" w:w="60"/>
              <w:left w:type="dxa" w:w="90"/>
              <w:bottom w:type="dxa" w:w="60"/>
              <w:right w:type="dxa" w:w="90"/>
            </w:tcMar>
            <w:vAlign w:val="center"/>
          </w:tcPr>
          <w:p>
            <w:pPr>
              <w:spacing w:after="0"/>
              <w:jc w:val="right"/>
            </w:pPr>
            <w:r>
              <w:rPr>
                <w:b w:val="false"/>
                <w:bCs w:val="false"/>
                <w:color w:val="1A1A1A"/>
                <w:sz w:val="18"/>
                <w:szCs w:val="18"/>
              </w:rPr>
              <w:t xml:space="preserve">10,295.20</w:t>
            </w:r>
          </w:p>
        </w:tc>
        <w:tc>
          <w:tcPr>
            <w:tcW w:type="dxa" w:w="1050"/>
            <w:tcMar>
              <w:top w:type="dxa" w:w="60"/>
              <w:left w:type="dxa" w:w="90"/>
              <w:bottom w:type="dxa" w:w="60"/>
              <w:right w:type="dxa" w:w="90"/>
            </w:tcMar>
            <w:vAlign w:val="center"/>
          </w:tcPr>
          <w:p>
            <w:pPr>
              <w:spacing w:after="0"/>
              <w:jc w:val="left"/>
            </w:pPr>
            <w:r>
              <w:rPr>
                <w:b/>
                <w:bCs/>
                <w:color w:val="1A1A1A"/>
                <w:sz w:val="18"/>
                <w:szCs w:val="18"/>
              </w:rPr>
              <w:t xml:space="preserve">10,388.74</w:t>
            </w:r>
          </w:p>
        </w:tc>
        <w:tc>
          <w:tcPr>
            <w:tcW w:type="dxa" w:w="720"/>
            <w:tcMar>
              <w:top w:type="dxa" w:w="60"/>
              <w:left w:type="dxa" w:w="90"/>
              <w:bottom w:type="dxa" w:w="60"/>
              <w:right w:type="dxa" w:w="90"/>
            </w:tcMar>
            <w:vAlign w:val="center"/>
          </w:tcPr>
          <w:p>
            <w:pPr>
              <w:spacing w:after="0"/>
              <w:jc w:val="center"/>
            </w:pPr>
            <w:r>
              <w:rPr>
                <w:b w:val="false"/>
                <w:bCs w:val="false"/>
                <w:color w:val="1A1A1A"/>
                <w:sz w:val="18"/>
                <w:szCs w:val="18"/>
              </w:rPr>
              <w:t xml:space="preserve">100.0</w:t>
            </w:r>
          </w:p>
        </w:tc>
        <w:tc>
          <w:tcPr>
            <w:tcW w:type="dxa" w:w="900"/>
            <w:tcMar>
              <w:top w:type="dxa" w:w="60"/>
              <w:left w:type="dxa" w:w="90"/>
              <w:bottom w:type="dxa" w:w="60"/>
              <w:right w:type="dxa" w:w="90"/>
            </w:tcMar>
            <w:vAlign w:val="center"/>
          </w:tcPr>
          <w:p>
            <w:pPr>
              <w:spacing w:after="0"/>
              <w:jc w:val="center"/>
            </w:pPr>
            <w:r>
              <w:rPr>
                <w:b w:val="false"/>
                <w:bCs w:val="false"/>
                <w:color w:val="1A1A1A"/>
                <w:sz w:val="18"/>
                <w:szCs w:val="18"/>
              </w:rPr>
              <w:t xml:space="preserve">Bullish</w:t>
            </w:r>
          </w:p>
        </w:tc>
        <w:tc>
          <w:tcPr>
            <w:tcW w:type="dxa" w:w="1050"/>
            <w:tcMar>
              <w:top w:type="dxa" w:w="60"/>
              <w:left w:type="dxa" w:w="90"/>
              <w:bottom w:type="dxa" w:w="60"/>
              <w:right w:type="dxa" w:w="90"/>
            </w:tcMar>
            <w:vAlign w:val="center"/>
          </w:tcPr>
          <w:p>
            <w:pPr>
              <w:spacing w:after="0"/>
              <w:jc w:val="left"/>
            </w:pPr>
            <w:r>
              <w:rPr>
                <w:b w:val="false"/>
                <w:bCs w:val="false"/>
                <w:color w:val="1A1A1A"/>
                <w:sz w:val="18"/>
                <w:szCs w:val="18"/>
              </w:rPr>
              <w:t xml:space="preserve">Investing.com</w:t>
            </w:r>
          </w:p>
        </w:tc>
        <w:tc>
          <w:tcPr>
            <w:tcW w:type="dxa" w:w="1050"/>
            <w:tcMar>
              <w:top w:type="dxa" w:w="60"/>
              <w:left w:type="dxa" w:w="90"/>
              <w:bottom w:type="dxa" w:w="60"/>
              <w:right w:type="dxa" w:w="90"/>
            </w:tcMar>
            <w:vAlign w:val="center"/>
          </w:tcPr>
          <w:p>
            <w:pPr>
              <w:spacing w:after="0"/>
              <w:jc w:val="left"/>
            </w:pPr>
            <w:r>
              <w:rPr>
                <w:b w:val="false"/>
                <w:bCs w:val="false"/>
                <w:color w:val="1A1A1A"/>
                <w:sz w:val="18"/>
                <w:szCs w:val="18"/>
              </w:rPr>
              <w:t xml:space="preserve">Yahoo Fin.</w:t>
            </w:r>
          </w:p>
        </w:tc>
        <w:tc>
          <w:tcPr>
            <w:tcW w:type="dxa" w:w="810"/>
            <w:tcMar>
              <w:top w:type="dxa" w:w="60"/>
              <w:left w:type="dxa" w:w="90"/>
              <w:bottom w:type="dxa" w:w="60"/>
              <w:right w:type="dxa" w:w="90"/>
            </w:tcMar>
            <w:vAlign w:val="center"/>
          </w:tcPr>
          <w:p>
            <w:pPr>
              <w:spacing w:after="0"/>
              <w:jc w:val="center"/>
            </w:pPr>
            <w:r>
              <w:rPr>
                <w:b w:val="false"/>
                <w:bCs w:val="false"/>
                <w:color w:val="1A1A1A"/>
                <w:sz w:val="18"/>
                <w:szCs w:val="18"/>
              </w:rPr>
              <w:t xml:space="preserve">Corrob.*</w:t>
            </w:r>
          </w:p>
        </w:tc>
      </w:tr>
      <w:tr>
        <w:tc>
          <w:tcPr>
            <w:tcW w:type="dxa" w:w="88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21 May</w:t>
            </w:r>
          </w:p>
        </w:tc>
        <w:tc>
          <w:tcPr>
            <w:tcW w:type="dxa" w:w="10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10,388.74</w:t>
            </w:r>
          </w:p>
        </w:tc>
        <w:tc>
          <w:tcPr>
            <w:tcW w:type="dxa" w:w="10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10,448.30</w:t>
            </w:r>
          </w:p>
        </w:tc>
        <w:tc>
          <w:tcPr>
            <w:tcW w:type="dxa" w:w="10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10,362.15</w:t>
            </w:r>
          </w:p>
        </w:tc>
        <w:tc>
          <w:tcPr>
            <w:tcW w:type="dxa" w:w="1050"/>
            <w:shd w:fill="F2F5F8" w:val="clear"/>
            <w:tcMar>
              <w:top w:type="dxa" w:w="60"/>
              <w:left w:type="dxa" w:w="90"/>
              <w:bottom w:type="dxa" w:w="60"/>
              <w:right w:type="dxa" w:w="90"/>
            </w:tcMar>
            <w:vAlign w:val="center"/>
          </w:tcPr>
          <w:p>
            <w:pPr>
              <w:spacing w:after="0"/>
              <w:jc w:val="left"/>
            </w:pPr>
            <w:r>
              <w:rPr>
                <w:b/>
                <w:bCs/>
                <w:color w:val="1A1A1A"/>
                <w:sz w:val="18"/>
                <w:szCs w:val="18"/>
              </w:rPr>
              <w:t xml:space="preserve">10,443.47</w:t>
            </w:r>
          </w:p>
        </w:tc>
        <w:tc>
          <w:tcPr>
            <w:tcW w:type="dxa" w:w="7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100.0</w:t>
            </w:r>
          </w:p>
        </w:tc>
        <w:tc>
          <w:tcPr>
            <w:tcW w:type="dxa" w:w="9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Bullish</w:t>
            </w:r>
          </w:p>
        </w:tc>
        <w:tc>
          <w:tcPr>
            <w:tcW w:type="dxa" w:w="10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Fidelity</w:t>
            </w:r>
          </w:p>
        </w:tc>
        <w:tc>
          <w:tcPr>
            <w:tcW w:type="dxa" w:w="10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Trading Econ.</w:t>
            </w:r>
          </w:p>
        </w:tc>
        <w:tc>
          <w:tcPr>
            <w:tcW w:type="dxa" w:w="81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Corrob.*</w:t>
            </w:r>
          </w:p>
        </w:tc>
      </w:tr>
      <w:tr>
        <w:tc>
          <w:tcPr>
            <w:tcW w:type="dxa" w:w="880"/>
            <w:tcMar>
              <w:top w:type="dxa" w:w="60"/>
              <w:left w:type="dxa" w:w="90"/>
              <w:bottom w:type="dxa" w:w="60"/>
              <w:right w:type="dxa" w:w="90"/>
            </w:tcMar>
            <w:vAlign w:val="center"/>
          </w:tcPr>
          <w:p>
            <w:pPr>
              <w:spacing w:after="0"/>
              <w:jc w:val="center"/>
            </w:pPr>
            <w:r>
              <w:rPr>
                <w:b w:val="false"/>
                <w:bCs w:val="false"/>
                <w:color w:val="1A1A1A"/>
                <w:sz w:val="18"/>
                <w:szCs w:val="18"/>
              </w:rPr>
              <w:t xml:space="preserve">22 May</w:t>
            </w:r>
          </w:p>
        </w:tc>
        <w:tc>
          <w:tcPr>
            <w:tcW w:type="dxa" w:w="1000"/>
            <w:tcMar>
              <w:top w:type="dxa" w:w="60"/>
              <w:left w:type="dxa" w:w="90"/>
              <w:bottom w:type="dxa" w:w="60"/>
              <w:right w:type="dxa" w:w="90"/>
            </w:tcMar>
            <w:vAlign w:val="center"/>
          </w:tcPr>
          <w:p>
            <w:pPr>
              <w:spacing w:after="0"/>
              <w:jc w:val="right"/>
            </w:pPr>
            <w:r>
              <w:rPr>
                <w:b w:val="false"/>
                <w:bCs w:val="false"/>
                <w:color w:val="1A1A1A"/>
                <w:sz w:val="18"/>
                <w:szCs w:val="18"/>
              </w:rPr>
              <w:t xml:space="preserve">10,443.47</w:t>
            </w:r>
          </w:p>
        </w:tc>
        <w:tc>
          <w:tcPr>
            <w:tcW w:type="dxa" w:w="1000"/>
            <w:tcMar>
              <w:top w:type="dxa" w:w="60"/>
              <w:left w:type="dxa" w:w="90"/>
              <w:bottom w:type="dxa" w:w="60"/>
              <w:right w:type="dxa" w:w="90"/>
            </w:tcMar>
            <w:vAlign w:val="center"/>
          </w:tcPr>
          <w:p>
            <w:pPr>
              <w:spacing w:after="0"/>
              <w:jc w:val="right"/>
            </w:pPr>
            <w:r>
              <w:rPr>
                <w:b w:val="false"/>
                <w:bCs w:val="false"/>
                <w:color w:val="1A1A1A"/>
                <w:sz w:val="18"/>
                <w:szCs w:val="18"/>
              </w:rPr>
              <w:t xml:space="preserve">10,488.05</w:t>
            </w:r>
          </w:p>
        </w:tc>
        <w:tc>
          <w:tcPr>
            <w:tcW w:type="dxa" w:w="1000"/>
            <w:tcMar>
              <w:top w:type="dxa" w:w="60"/>
              <w:left w:type="dxa" w:w="90"/>
              <w:bottom w:type="dxa" w:w="60"/>
              <w:right w:type="dxa" w:w="90"/>
            </w:tcMar>
            <w:vAlign w:val="center"/>
          </w:tcPr>
          <w:p>
            <w:pPr>
              <w:spacing w:after="0"/>
              <w:jc w:val="right"/>
            </w:pPr>
            <w:r>
              <w:rPr>
                <w:b w:val="false"/>
                <w:bCs w:val="false"/>
                <w:color w:val="1A1A1A"/>
                <w:sz w:val="18"/>
                <w:szCs w:val="18"/>
              </w:rPr>
              <w:t xml:space="preserve">10,435.53</w:t>
            </w:r>
          </w:p>
        </w:tc>
        <w:tc>
          <w:tcPr>
            <w:tcW w:type="dxa" w:w="1050"/>
            <w:tcMar>
              <w:top w:type="dxa" w:w="60"/>
              <w:left w:type="dxa" w:w="90"/>
              <w:bottom w:type="dxa" w:w="60"/>
              <w:right w:type="dxa" w:w="90"/>
            </w:tcMar>
            <w:vAlign w:val="center"/>
          </w:tcPr>
          <w:p>
            <w:pPr>
              <w:spacing w:after="0"/>
              <w:jc w:val="left"/>
            </w:pPr>
            <w:r>
              <w:rPr>
                <w:b/>
                <w:bCs/>
                <w:color w:val="1A1A1A"/>
                <w:sz w:val="18"/>
                <w:szCs w:val="18"/>
              </w:rPr>
              <w:t xml:space="preserve">10,466.26</w:t>
            </w:r>
          </w:p>
        </w:tc>
        <w:tc>
          <w:tcPr>
            <w:tcW w:type="dxa" w:w="720"/>
            <w:tcMar>
              <w:top w:type="dxa" w:w="60"/>
              <w:left w:type="dxa" w:w="90"/>
              <w:bottom w:type="dxa" w:w="60"/>
              <w:right w:type="dxa" w:w="90"/>
            </w:tcMar>
            <w:vAlign w:val="center"/>
          </w:tcPr>
          <w:p>
            <w:pPr>
              <w:spacing w:after="0"/>
              <w:jc w:val="center"/>
            </w:pPr>
            <w:r>
              <w:rPr>
                <w:b w:val="false"/>
                <w:bCs w:val="false"/>
                <w:color w:val="1A1A1A"/>
                <w:sz w:val="18"/>
                <w:szCs w:val="18"/>
              </w:rPr>
              <w:t xml:space="preserve">100.0</w:t>
            </w:r>
          </w:p>
        </w:tc>
        <w:tc>
          <w:tcPr>
            <w:tcW w:type="dxa" w:w="900"/>
            <w:tcMar>
              <w:top w:type="dxa" w:w="60"/>
              <w:left w:type="dxa" w:w="90"/>
              <w:bottom w:type="dxa" w:w="60"/>
              <w:right w:type="dxa" w:w="90"/>
            </w:tcMar>
            <w:vAlign w:val="center"/>
          </w:tcPr>
          <w:p>
            <w:pPr>
              <w:spacing w:after="0"/>
              <w:jc w:val="center"/>
            </w:pPr>
            <w:r>
              <w:rPr>
                <w:b w:val="false"/>
                <w:bCs w:val="false"/>
                <w:color w:val="1A1A1A"/>
                <w:sz w:val="18"/>
                <w:szCs w:val="18"/>
              </w:rPr>
              <w:t xml:space="preserve">Bullish</w:t>
            </w:r>
          </w:p>
        </w:tc>
        <w:tc>
          <w:tcPr>
            <w:tcW w:type="dxa" w:w="1050"/>
            <w:tcMar>
              <w:top w:type="dxa" w:w="60"/>
              <w:left w:type="dxa" w:w="90"/>
              <w:bottom w:type="dxa" w:w="60"/>
              <w:right w:type="dxa" w:w="90"/>
            </w:tcMar>
            <w:vAlign w:val="center"/>
          </w:tcPr>
          <w:p>
            <w:pPr>
              <w:spacing w:after="0"/>
              <w:jc w:val="left"/>
            </w:pPr>
            <w:r>
              <w:rPr>
                <w:b w:val="false"/>
                <w:bCs w:val="false"/>
                <w:color w:val="1A1A1A"/>
                <w:sz w:val="18"/>
                <w:szCs w:val="18"/>
              </w:rPr>
              <w:t xml:space="preserve">Yahoo Fin.</w:t>
            </w:r>
          </w:p>
        </w:tc>
        <w:tc>
          <w:tcPr>
            <w:tcW w:type="dxa" w:w="1050"/>
            <w:tcMar>
              <w:top w:type="dxa" w:w="60"/>
              <w:left w:type="dxa" w:w="90"/>
              <w:bottom w:type="dxa" w:w="60"/>
              <w:right w:type="dxa" w:w="90"/>
            </w:tcMar>
            <w:vAlign w:val="center"/>
          </w:tcPr>
          <w:p>
            <w:pPr>
              <w:spacing w:after="0"/>
              <w:jc w:val="left"/>
            </w:pPr>
            <w:r>
              <w:rPr>
                <w:b w:val="false"/>
                <w:bCs w:val="false"/>
                <w:color w:val="1A1A1A"/>
                <w:sz w:val="18"/>
                <w:szCs w:val="18"/>
              </w:rPr>
              <w:t xml:space="preserve">BBN/IBTimes</w:t>
            </w:r>
          </w:p>
        </w:tc>
        <w:tc>
          <w:tcPr>
            <w:tcW w:type="dxa" w:w="810"/>
            <w:tcMar>
              <w:top w:type="dxa" w:w="60"/>
              <w:left w:type="dxa" w:w="90"/>
              <w:bottom w:type="dxa" w:w="60"/>
              <w:right w:type="dxa" w:w="90"/>
            </w:tcMar>
            <w:vAlign w:val="center"/>
          </w:tcPr>
          <w:p>
            <w:pPr>
              <w:spacing w:after="0"/>
              <w:jc w:val="center"/>
            </w:pPr>
            <w:r>
              <w:rPr>
                <w:b w:val="false"/>
                <w:bCs w:val="false"/>
                <w:color w:val="1A1A1A"/>
                <w:sz w:val="18"/>
                <w:szCs w:val="18"/>
              </w:rPr>
              <w:t xml:space="preserve">Corrob.</w:t>
            </w:r>
          </w:p>
        </w:tc>
      </w:tr>
    </w:tbl>
    <w:p>
      <w:pPr>
        <w:spacing w:after="60"/>
      </w:pP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W w:type="dxa" w:w="9360"/>
            <w:shd w:fill="E2EFDA" w:val="clear"/>
            <w:tcMar>
              <w:top w:type="dxa" w:w="120"/>
              <w:left w:type="dxa" w:w="160"/>
              <w:bottom w:type="dxa" w:w="120"/>
              <w:right w:type="dxa" w:w="160"/>
            </w:tcMar>
          </w:tcPr>
          <w:p>
            <w:pPr>
              <w:spacing w:after="0"/>
            </w:pPr>
            <w:r>
              <w:rPr>
                <w:b/>
                <w:bCs/>
                <w:sz w:val="17"/>
                <w:szCs w:val="17"/>
              </w:rPr>
              <w:t xml:space="preserve">* Corroboration caveat. </w:t>
            </w:r>
            <w:r>
              <w:rPr>
                <w:sz w:val="17"/>
                <w:szCs w:val="17"/>
              </w:rPr>
              <w:t xml:space="preserve">The 22 May closing level is fully corroborated by two or more independent providers within the equity-index tolerance (±0.10 pts on the close). For the 18–21 May sessions, the closing direction and approximate level are cross-checked across providers, but the precise intraday high/low fields rest substantially on a primary feed plus directional confirmation rather than two fully-independent verified quotes per field. These OHLC fields are therefore treated as </w:t>
            </w:r>
            <w:r>
              <w:rPr>
                <w:b/>
                <w:bCs/>
                <w:sz w:val="17"/>
                <w:szCs w:val="17"/>
              </w:rPr>
              <w:t xml:space="preserve">indicative for pivot and execution purposes</w:t>
            </w:r>
            <w:r>
              <w:rPr>
                <w:sz w:val="17"/>
                <w:szCs w:val="17"/>
              </w:rPr>
              <w:t xml:space="preserve"> and are flagged through to §11 and §19. Per the brief for this run, the analysis proceeds and strategy cards are produced with this caveat carried explicitly into §21.</w:t>
            </w:r>
          </w:p>
        </w:tc>
      </w:tr>
    </w:tbl>
    <w:p>
      <w:pPr>
        <w:spacing w:after="120"/>
      </w:pPr>
    </w:p>
    <w:p>
      <w:pPr>
        <w:spacing w:after="140" w:before="0"/>
      </w:pPr>
      <w:r>
        <w:rPr>
          <w:i/>
          <w:iCs/>
          <w:sz w:val="18"/>
          <w:szCs w:val="18"/>
        </w:rPr>
        <w:t xml:space="preserve">RSI2 note. The period-2 RSI is fixed and computed only from the validated close column. With five consecutive higher closes, RSI2 is pinned at its 100 ceiling across the block — an unambiguous short-term momentum signal, but also a stretched-oscillator warning: a single down-close would pull RSI2 sharply lower.</w:t>
      </w:r>
    </w:p>
    <w:p>
      <w:pPr>
        <w:spacing w:after="100" w:before="0"/>
      </w:pPr>
      <w:r>
        <w:rPr>
          <w:sz w:val="19"/>
          <w:szCs w:val="19"/>
        </w:rPr>
        <w:t xml:space="preserve">EURO STOXX 50 — last five validated trading sessions (EUR index points). Provided as the designated comparator and given the same validation treatment.</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1100"/>
        <w:gridCol w:w="1300"/>
        <w:gridCol w:w="1300"/>
        <w:gridCol w:w="1300"/>
        <w:gridCol w:w="1400"/>
        <w:gridCol w:w="900"/>
        <w:gridCol w:w="1100"/>
        <w:gridCol w:w="960"/>
      </w:tblGrid>
      <w:tr>
        <w:trPr>
          <w:tblHeader/>
        </w:trPr>
        <w:tc>
          <w:tcPr>
            <w:tcW w:type="dxa" w:w="1100"/>
            <w:shd w:fill="1F3A5F" w:val="clear"/>
            <w:tcMar>
              <w:top w:type="dxa" w:w="60"/>
              <w:left w:type="dxa" w:w="90"/>
              <w:bottom w:type="dxa" w:w="60"/>
              <w:right w:type="dxa" w:w="90"/>
            </w:tcMar>
            <w:vAlign w:val="center"/>
          </w:tcPr>
          <w:p>
            <w:pPr>
              <w:spacing w:after="0"/>
              <w:jc w:val="center"/>
            </w:pPr>
            <w:r>
              <w:rPr>
                <w:b/>
                <w:bCs/>
                <w:color w:val="FFFFFF"/>
                <w:sz w:val="17"/>
                <w:szCs w:val="17"/>
              </w:rPr>
              <w:t xml:space="preserve">Date</w:t>
            </w:r>
          </w:p>
        </w:tc>
        <w:tc>
          <w:tcPr>
            <w:tcW w:type="dxa" w:w="1300"/>
            <w:shd w:fill="1F3A5F" w:val="clear"/>
            <w:tcMar>
              <w:top w:type="dxa" w:w="60"/>
              <w:left w:type="dxa" w:w="90"/>
              <w:bottom w:type="dxa" w:w="60"/>
              <w:right w:type="dxa" w:w="90"/>
            </w:tcMar>
            <w:vAlign w:val="center"/>
          </w:tcPr>
          <w:p>
            <w:pPr>
              <w:spacing w:after="0"/>
              <w:jc w:val="center"/>
            </w:pPr>
            <w:r>
              <w:rPr>
                <w:b/>
                <w:bCs/>
                <w:color w:val="FFFFFF"/>
                <w:sz w:val="17"/>
                <w:szCs w:val="17"/>
              </w:rPr>
              <w:t xml:space="preserve">Open</w:t>
            </w:r>
          </w:p>
        </w:tc>
        <w:tc>
          <w:tcPr>
            <w:tcW w:type="dxa" w:w="1300"/>
            <w:shd w:fill="1F3A5F" w:val="clear"/>
            <w:tcMar>
              <w:top w:type="dxa" w:w="60"/>
              <w:left w:type="dxa" w:w="90"/>
              <w:bottom w:type="dxa" w:w="60"/>
              <w:right w:type="dxa" w:w="90"/>
            </w:tcMar>
            <w:vAlign w:val="center"/>
          </w:tcPr>
          <w:p>
            <w:pPr>
              <w:spacing w:after="0"/>
              <w:jc w:val="center"/>
            </w:pPr>
            <w:r>
              <w:rPr>
                <w:b/>
                <w:bCs/>
                <w:color w:val="FFFFFF"/>
                <w:sz w:val="17"/>
                <w:szCs w:val="17"/>
              </w:rPr>
              <w:t xml:space="preserve">High</w:t>
            </w:r>
          </w:p>
        </w:tc>
        <w:tc>
          <w:tcPr>
            <w:tcW w:type="dxa" w:w="1300"/>
            <w:shd w:fill="1F3A5F" w:val="clear"/>
            <w:tcMar>
              <w:top w:type="dxa" w:w="60"/>
              <w:left w:type="dxa" w:w="90"/>
              <w:bottom w:type="dxa" w:w="60"/>
              <w:right w:type="dxa" w:w="90"/>
            </w:tcMar>
            <w:vAlign w:val="center"/>
          </w:tcPr>
          <w:p>
            <w:pPr>
              <w:spacing w:after="0"/>
              <w:jc w:val="center"/>
            </w:pPr>
            <w:r>
              <w:rPr>
                <w:b/>
                <w:bCs/>
                <w:color w:val="FFFFFF"/>
                <w:sz w:val="17"/>
                <w:szCs w:val="17"/>
              </w:rPr>
              <w:t xml:space="preserve">Low</w:t>
            </w:r>
          </w:p>
        </w:tc>
        <w:tc>
          <w:tcPr>
            <w:tcW w:type="dxa" w:w="1400"/>
            <w:shd w:fill="1F3A5F" w:val="clear"/>
            <w:tcMar>
              <w:top w:type="dxa" w:w="60"/>
              <w:left w:type="dxa" w:w="90"/>
              <w:bottom w:type="dxa" w:w="60"/>
              <w:right w:type="dxa" w:w="90"/>
            </w:tcMar>
            <w:vAlign w:val="center"/>
          </w:tcPr>
          <w:p>
            <w:pPr>
              <w:spacing w:after="0"/>
              <w:jc w:val="center"/>
            </w:pPr>
            <w:r>
              <w:rPr>
                <w:b/>
                <w:bCs/>
                <w:color w:val="FFFFFF"/>
                <w:sz w:val="17"/>
                <w:szCs w:val="17"/>
              </w:rPr>
              <w:t xml:space="preserve">Close</w:t>
            </w:r>
          </w:p>
        </w:tc>
        <w:tc>
          <w:tcPr>
            <w:tcW w:type="dxa" w:w="900"/>
            <w:shd w:fill="1F3A5F" w:val="clear"/>
            <w:tcMar>
              <w:top w:type="dxa" w:w="60"/>
              <w:left w:type="dxa" w:w="90"/>
              <w:bottom w:type="dxa" w:w="60"/>
              <w:right w:type="dxa" w:w="90"/>
            </w:tcMar>
            <w:vAlign w:val="center"/>
          </w:tcPr>
          <w:p>
            <w:pPr>
              <w:spacing w:after="0"/>
              <w:jc w:val="center"/>
            </w:pPr>
            <w:r>
              <w:rPr>
                <w:b/>
                <w:bCs/>
                <w:color w:val="FFFFFF"/>
                <w:sz w:val="17"/>
                <w:szCs w:val="17"/>
              </w:rPr>
              <w:t xml:space="preserve">RSI2</w:t>
            </w:r>
          </w:p>
        </w:tc>
        <w:tc>
          <w:tcPr>
            <w:tcW w:type="dxa" w:w="1100"/>
            <w:shd w:fill="1F3A5F" w:val="clear"/>
            <w:tcMar>
              <w:top w:type="dxa" w:w="60"/>
              <w:left w:type="dxa" w:w="90"/>
              <w:bottom w:type="dxa" w:w="60"/>
              <w:right w:type="dxa" w:w="90"/>
            </w:tcMar>
            <w:vAlign w:val="center"/>
          </w:tcPr>
          <w:p>
            <w:pPr>
              <w:spacing w:after="0"/>
              <w:jc w:val="center"/>
            </w:pPr>
            <w:r>
              <w:rPr>
                <w:b/>
                <w:bCs/>
                <w:color w:val="FFFFFF"/>
                <w:sz w:val="17"/>
                <w:szCs w:val="17"/>
              </w:rPr>
              <w:t xml:space="preserve">Trend</w:t>
            </w:r>
          </w:p>
        </w:tc>
        <w:tc>
          <w:tcPr>
            <w:tcW w:type="dxa" w:w="960"/>
            <w:shd w:fill="1F3A5F" w:val="clear"/>
            <w:tcMar>
              <w:top w:type="dxa" w:w="60"/>
              <w:left w:type="dxa" w:w="90"/>
              <w:bottom w:type="dxa" w:w="60"/>
              <w:right w:type="dxa" w:w="90"/>
            </w:tcMar>
            <w:vAlign w:val="center"/>
          </w:tcPr>
          <w:p>
            <w:pPr>
              <w:spacing w:after="0"/>
              <w:jc w:val="center"/>
            </w:pPr>
            <w:r>
              <w:rPr>
                <w:b/>
                <w:bCs/>
                <w:color w:val="FFFFFF"/>
                <w:sz w:val="17"/>
                <w:szCs w:val="17"/>
              </w:rPr>
              <w:t xml:space="preserve">Outcome</w:t>
            </w:r>
          </w:p>
        </w:tc>
      </w:tr>
      <w:tr>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18 May</w:t>
            </w:r>
          </w:p>
        </w:tc>
        <w:tc>
          <w:tcPr>
            <w:tcW w:type="dxa" w:w="1300"/>
            <w:tcMar>
              <w:top w:type="dxa" w:w="60"/>
              <w:left w:type="dxa" w:w="90"/>
              <w:bottom w:type="dxa" w:w="60"/>
              <w:right w:type="dxa" w:w="90"/>
            </w:tcMar>
            <w:vAlign w:val="center"/>
          </w:tcPr>
          <w:p>
            <w:pPr>
              <w:spacing w:after="0"/>
              <w:jc w:val="right"/>
            </w:pPr>
            <w:r>
              <w:rPr>
                <w:b w:val="false"/>
                <w:bCs w:val="false"/>
                <w:color w:val="1A1A1A"/>
                <w:sz w:val="18"/>
                <w:szCs w:val="18"/>
              </w:rPr>
              <w:t xml:space="preserve">5,810.20</w:t>
            </w:r>
          </w:p>
        </w:tc>
        <w:tc>
          <w:tcPr>
            <w:tcW w:type="dxa" w:w="1300"/>
            <w:tcMar>
              <w:top w:type="dxa" w:w="60"/>
              <w:left w:type="dxa" w:w="90"/>
              <w:bottom w:type="dxa" w:w="60"/>
              <w:right w:type="dxa" w:w="90"/>
            </w:tcMar>
            <w:vAlign w:val="center"/>
          </w:tcPr>
          <w:p>
            <w:pPr>
              <w:spacing w:after="0"/>
              <w:jc w:val="right"/>
            </w:pPr>
            <w:r>
              <w:rPr>
                <w:b w:val="false"/>
                <w:bCs w:val="false"/>
                <w:color w:val="1A1A1A"/>
                <w:sz w:val="18"/>
                <w:szCs w:val="18"/>
              </w:rPr>
              <w:t xml:space="preserve">5,872.40</w:t>
            </w:r>
          </w:p>
        </w:tc>
        <w:tc>
          <w:tcPr>
            <w:tcW w:type="dxa" w:w="1300"/>
            <w:tcMar>
              <w:top w:type="dxa" w:w="60"/>
              <w:left w:type="dxa" w:w="90"/>
              <w:bottom w:type="dxa" w:w="60"/>
              <w:right w:type="dxa" w:w="90"/>
            </w:tcMar>
            <w:vAlign w:val="center"/>
          </w:tcPr>
          <w:p>
            <w:pPr>
              <w:spacing w:after="0"/>
              <w:jc w:val="right"/>
            </w:pPr>
            <w:r>
              <w:rPr>
                <w:b w:val="false"/>
                <w:bCs w:val="false"/>
                <w:color w:val="1A1A1A"/>
                <w:sz w:val="18"/>
                <w:szCs w:val="18"/>
              </w:rPr>
              <w:t xml:space="preserve">5,798.10</w:t>
            </w:r>
          </w:p>
        </w:tc>
        <w:tc>
          <w:tcPr>
            <w:tcW w:type="dxa" w:w="1400"/>
            <w:tcMar>
              <w:top w:type="dxa" w:w="60"/>
              <w:left w:type="dxa" w:w="90"/>
              <w:bottom w:type="dxa" w:w="60"/>
              <w:right w:type="dxa" w:w="90"/>
            </w:tcMar>
            <w:vAlign w:val="center"/>
          </w:tcPr>
          <w:p>
            <w:pPr>
              <w:spacing w:after="0"/>
              <w:jc w:val="left"/>
            </w:pPr>
            <w:r>
              <w:rPr>
                <w:b/>
                <w:bCs/>
                <w:color w:val="1A1A1A"/>
                <w:sz w:val="18"/>
                <w:szCs w:val="18"/>
              </w:rPr>
              <w:t xml:space="preserve">5,864.30</w:t>
            </w:r>
          </w:p>
        </w:tc>
        <w:tc>
          <w:tcPr>
            <w:tcW w:type="dxa" w:w="900"/>
            <w:tcMar>
              <w:top w:type="dxa" w:w="60"/>
              <w:left w:type="dxa" w:w="90"/>
              <w:bottom w:type="dxa" w:w="60"/>
              <w:right w:type="dxa" w:w="90"/>
            </w:tcMar>
            <w:vAlign w:val="center"/>
          </w:tcPr>
          <w:p>
            <w:pPr>
              <w:spacing w:after="0"/>
              <w:jc w:val="right"/>
            </w:pPr>
            <w:r>
              <w:rPr>
                <w:b w:val="false"/>
                <w:bCs w:val="false"/>
                <w:color w:val="1A1A1A"/>
                <w:sz w:val="18"/>
                <w:szCs w:val="18"/>
              </w:rPr>
              <w:t xml:space="preserve">100.0</w:t>
            </w:r>
          </w:p>
        </w:tc>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Bullish</w:t>
            </w:r>
          </w:p>
        </w:tc>
        <w:tc>
          <w:tcPr>
            <w:tcW w:type="dxa" w:w="960"/>
            <w:tcMar>
              <w:top w:type="dxa" w:w="60"/>
              <w:left w:type="dxa" w:w="90"/>
              <w:bottom w:type="dxa" w:w="60"/>
              <w:right w:type="dxa" w:w="90"/>
            </w:tcMar>
            <w:vAlign w:val="center"/>
          </w:tcPr>
          <w:p>
            <w:pPr>
              <w:spacing w:after="0"/>
              <w:jc w:val="center"/>
            </w:pPr>
            <w:r>
              <w:rPr>
                <w:b w:val="false"/>
                <w:bCs w:val="false"/>
                <w:color w:val="1A1A1A"/>
                <w:sz w:val="18"/>
                <w:szCs w:val="18"/>
              </w:rPr>
              <w:t xml:space="preserve">Corrob.*</w:t>
            </w:r>
          </w:p>
        </w:tc>
      </w:tr>
      <w:tr>
        <w:tc>
          <w:tcPr>
            <w:tcW w:type="dxa" w:w="11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19 May</w:t>
            </w:r>
          </w:p>
        </w:tc>
        <w:tc>
          <w:tcPr>
            <w:tcW w:type="dxa" w:w="13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5,864.30</w:t>
            </w:r>
          </w:p>
        </w:tc>
        <w:tc>
          <w:tcPr>
            <w:tcW w:type="dxa" w:w="13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5,901.55</w:t>
            </w:r>
          </w:p>
        </w:tc>
        <w:tc>
          <w:tcPr>
            <w:tcW w:type="dxa" w:w="13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5,840.20</w:t>
            </w:r>
          </w:p>
        </w:tc>
        <w:tc>
          <w:tcPr>
            <w:tcW w:type="dxa" w:w="1400"/>
            <w:shd w:fill="F2F5F8" w:val="clear"/>
            <w:tcMar>
              <w:top w:type="dxa" w:w="60"/>
              <w:left w:type="dxa" w:w="90"/>
              <w:bottom w:type="dxa" w:w="60"/>
              <w:right w:type="dxa" w:w="90"/>
            </w:tcMar>
            <w:vAlign w:val="center"/>
          </w:tcPr>
          <w:p>
            <w:pPr>
              <w:spacing w:after="0"/>
              <w:jc w:val="left"/>
            </w:pPr>
            <w:r>
              <w:rPr>
                <w:b/>
                <w:bCs/>
                <w:color w:val="1A1A1A"/>
                <w:sz w:val="18"/>
                <w:szCs w:val="18"/>
              </w:rPr>
              <w:t xml:space="preserve">5,878.90</w:t>
            </w:r>
          </w:p>
        </w:tc>
        <w:tc>
          <w:tcPr>
            <w:tcW w:type="dxa" w:w="9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100.0</w:t>
            </w:r>
          </w:p>
        </w:tc>
        <w:tc>
          <w:tcPr>
            <w:tcW w:type="dxa" w:w="11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Bullish</w:t>
            </w:r>
          </w:p>
        </w:tc>
        <w:tc>
          <w:tcPr>
            <w:tcW w:type="dxa" w:w="96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Corrob.*</w:t>
            </w:r>
          </w:p>
        </w:tc>
      </w:tr>
      <w:tr>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20 May</w:t>
            </w:r>
          </w:p>
        </w:tc>
        <w:tc>
          <w:tcPr>
            <w:tcW w:type="dxa" w:w="1300"/>
            <w:tcMar>
              <w:top w:type="dxa" w:w="60"/>
              <w:left w:type="dxa" w:w="90"/>
              <w:bottom w:type="dxa" w:w="60"/>
              <w:right w:type="dxa" w:w="90"/>
            </w:tcMar>
            <w:vAlign w:val="center"/>
          </w:tcPr>
          <w:p>
            <w:pPr>
              <w:spacing w:after="0"/>
              <w:jc w:val="right"/>
            </w:pPr>
            <w:r>
              <w:rPr>
                <w:b w:val="false"/>
                <w:bCs w:val="false"/>
                <w:color w:val="1A1A1A"/>
                <w:sz w:val="18"/>
                <w:szCs w:val="18"/>
              </w:rPr>
              <w:t xml:space="preserve">5,857.75</w:t>
            </w:r>
          </w:p>
        </w:tc>
        <w:tc>
          <w:tcPr>
            <w:tcW w:type="dxa" w:w="1300"/>
            <w:tcMar>
              <w:top w:type="dxa" w:w="60"/>
              <w:left w:type="dxa" w:w="90"/>
              <w:bottom w:type="dxa" w:w="60"/>
              <w:right w:type="dxa" w:w="90"/>
            </w:tcMar>
            <w:vAlign w:val="center"/>
          </w:tcPr>
          <w:p>
            <w:pPr>
              <w:spacing w:after="0"/>
              <w:jc w:val="right"/>
            </w:pPr>
            <w:r>
              <w:rPr>
                <w:b w:val="false"/>
                <w:bCs w:val="false"/>
                <w:color w:val="1A1A1A"/>
                <w:sz w:val="18"/>
                <w:szCs w:val="18"/>
              </w:rPr>
              <w:t xml:space="preserve">5,910.48</w:t>
            </w:r>
          </w:p>
        </w:tc>
        <w:tc>
          <w:tcPr>
            <w:tcW w:type="dxa" w:w="1300"/>
            <w:tcMar>
              <w:top w:type="dxa" w:w="60"/>
              <w:left w:type="dxa" w:w="90"/>
              <w:bottom w:type="dxa" w:w="60"/>
              <w:right w:type="dxa" w:w="90"/>
            </w:tcMar>
            <w:vAlign w:val="center"/>
          </w:tcPr>
          <w:p>
            <w:pPr>
              <w:spacing w:after="0"/>
              <w:jc w:val="right"/>
            </w:pPr>
            <w:r>
              <w:rPr>
                <w:b w:val="false"/>
                <w:bCs w:val="false"/>
                <w:color w:val="1A1A1A"/>
                <w:sz w:val="18"/>
                <w:szCs w:val="18"/>
              </w:rPr>
              <w:t xml:space="preserve">5,843.59</w:t>
            </w:r>
          </w:p>
        </w:tc>
        <w:tc>
          <w:tcPr>
            <w:tcW w:type="dxa" w:w="1400"/>
            <w:tcMar>
              <w:top w:type="dxa" w:w="60"/>
              <w:left w:type="dxa" w:w="90"/>
              <w:bottom w:type="dxa" w:w="60"/>
              <w:right w:type="dxa" w:w="90"/>
            </w:tcMar>
            <w:vAlign w:val="center"/>
          </w:tcPr>
          <w:p>
            <w:pPr>
              <w:spacing w:after="0"/>
              <w:jc w:val="left"/>
            </w:pPr>
            <w:r>
              <w:rPr>
                <w:b/>
                <w:bCs/>
                <w:color w:val="1A1A1A"/>
                <w:sz w:val="18"/>
                <w:szCs w:val="18"/>
              </w:rPr>
              <w:t xml:space="preserve">5,851.16</w:t>
            </w:r>
          </w:p>
        </w:tc>
        <w:tc>
          <w:tcPr>
            <w:tcW w:type="dxa" w:w="900"/>
            <w:tcMar>
              <w:top w:type="dxa" w:w="60"/>
              <w:left w:type="dxa" w:w="90"/>
              <w:bottom w:type="dxa" w:w="60"/>
              <w:right w:type="dxa" w:w="90"/>
            </w:tcMar>
            <w:vAlign w:val="center"/>
          </w:tcPr>
          <w:p>
            <w:pPr>
              <w:spacing w:after="0"/>
              <w:jc w:val="right"/>
            </w:pPr>
            <w:r>
              <w:rPr>
                <w:b w:val="false"/>
                <w:bCs w:val="false"/>
                <w:color w:val="1A1A1A"/>
                <w:sz w:val="18"/>
                <w:szCs w:val="18"/>
              </w:rPr>
              <w:t xml:space="preserve">34.5</w:t>
            </w:r>
          </w:p>
        </w:tc>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Bearish</w:t>
            </w:r>
          </w:p>
        </w:tc>
        <w:tc>
          <w:tcPr>
            <w:tcW w:type="dxa" w:w="960"/>
            <w:tcMar>
              <w:top w:type="dxa" w:w="60"/>
              <w:left w:type="dxa" w:w="90"/>
              <w:bottom w:type="dxa" w:w="60"/>
              <w:right w:type="dxa" w:w="90"/>
            </w:tcMar>
            <w:vAlign w:val="center"/>
          </w:tcPr>
          <w:p>
            <w:pPr>
              <w:spacing w:after="0"/>
              <w:jc w:val="center"/>
            </w:pPr>
            <w:r>
              <w:rPr>
                <w:b w:val="false"/>
                <w:bCs w:val="false"/>
                <w:color w:val="1A1A1A"/>
                <w:sz w:val="18"/>
                <w:szCs w:val="18"/>
              </w:rPr>
              <w:t xml:space="preserve">Corrob.</w:t>
            </w:r>
          </w:p>
        </w:tc>
      </w:tr>
      <w:tr>
        <w:tc>
          <w:tcPr>
            <w:tcW w:type="dxa" w:w="11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21 May</w:t>
            </w:r>
          </w:p>
        </w:tc>
        <w:tc>
          <w:tcPr>
            <w:tcW w:type="dxa" w:w="13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5,851.16</w:t>
            </w:r>
          </w:p>
        </w:tc>
        <w:tc>
          <w:tcPr>
            <w:tcW w:type="dxa" w:w="13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5,972.30</w:t>
            </w:r>
          </w:p>
        </w:tc>
        <w:tc>
          <w:tcPr>
            <w:tcW w:type="dxa" w:w="13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5,848.40</w:t>
            </w:r>
          </w:p>
        </w:tc>
        <w:tc>
          <w:tcPr>
            <w:tcW w:type="dxa" w:w="1400"/>
            <w:shd w:fill="F2F5F8" w:val="clear"/>
            <w:tcMar>
              <w:top w:type="dxa" w:w="60"/>
              <w:left w:type="dxa" w:w="90"/>
              <w:bottom w:type="dxa" w:w="60"/>
              <w:right w:type="dxa" w:w="90"/>
            </w:tcMar>
            <w:vAlign w:val="center"/>
          </w:tcPr>
          <w:p>
            <w:pPr>
              <w:spacing w:after="0"/>
              <w:jc w:val="left"/>
            </w:pPr>
            <w:r>
              <w:rPr>
                <w:b/>
                <w:bCs/>
                <w:color w:val="1A1A1A"/>
                <w:sz w:val="18"/>
                <w:szCs w:val="18"/>
              </w:rPr>
              <w:t xml:space="preserve">5,960.32</w:t>
            </w:r>
          </w:p>
        </w:tc>
        <w:tc>
          <w:tcPr>
            <w:tcW w:type="dxa" w:w="90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79.7</w:t>
            </w:r>
          </w:p>
        </w:tc>
        <w:tc>
          <w:tcPr>
            <w:tcW w:type="dxa" w:w="11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Bullish</w:t>
            </w:r>
          </w:p>
        </w:tc>
        <w:tc>
          <w:tcPr>
            <w:tcW w:type="dxa" w:w="96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Corrob.*</w:t>
            </w:r>
          </w:p>
        </w:tc>
      </w:tr>
      <w:tr>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22 May</w:t>
            </w:r>
          </w:p>
        </w:tc>
        <w:tc>
          <w:tcPr>
            <w:tcW w:type="dxa" w:w="1300"/>
            <w:tcMar>
              <w:top w:type="dxa" w:w="60"/>
              <w:left w:type="dxa" w:w="90"/>
              <w:bottom w:type="dxa" w:w="60"/>
              <w:right w:type="dxa" w:w="90"/>
            </w:tcMar>
            <w:vAlign w:val="center"/>
          </w:tcPr>
          <w:p>
            <w:pPr>
              <w:spacing w:after="0"/>
              <w:jc w:val="right"/>
            </w:pPr>
            <w:r>
              <w:rPr>
                <w:b w:val="false"/>
                <w:bCs w:val="false"/>
                <w:color w:val="1A1A1A"/>
                <w:sz w:val="18"/>
                <w:szCs w:val="18"/>
              </w:rPr>
              <w:t xml:space="preserve">5,960.32</w:t>
            </w:r>
          </w:p>
        </w:tc>
        <w:tc>
          <w:tcPr>
            <w:tcW w:type="dxa" w:w="1300"/>
            <w:tcMar>
              <w:top w:type="dxa" w:w="60"/>
              <w:left w:type="dxa" w:w="90"/>
              <w:bottom w:type="dxa" w:w="60"/>
              <w:right w:type="dxa" w:w="90"/>
            </w:tcMar>
            <w:vAlign w:val="center"/>
          </w:tcPr>
          <w:p>
            <w:pPr>
              <w:spacing w:after="0"/>
              <w:jc w:val="right"/>
            </w:pPr>
            <w:r>
              <w:rPr>
                <w:b w:val="false"/>
                <w:bCs w:val="false"/>
                <w:color w:val="1A1A1A"/>
                <w:sz w:val="18"/>
                <w:szCs w:val="18"/>
              </w:rPr>
              <w:t xml:space="preserve">6,031.80</w:t>
            </w:r>
          </w:p>
        </w:tc>
        <w:tc>
          <w:tcPr>
            <w:tcW w:type="dxa" w:w="1300"/>
            <w:tcMar>
              <w:top w:type="dxa" w:w="60"/>
              <w:left w:type="dxa" w:w="90"/>
              <w:bottom w:type="dxa" w:w="60"/>
              <w:right w:type="dxa" w:w="90"/>
            </w:tcMar>
            <w:vAlign w:val="center"/>
          </w:tcPr>
          <w:p>
            <w:pPr>
              <w:spacing w:after="0"/>
              <w:jc w:val="right"/>
            </w:pPr>
            <w:r>
              <w:rPr>
                <w:b w:val="false"/>
                <w:bCs w:val="false"/>
                <w:color w:val="1A1A1A"/>
                <w:sz w:val="18"/>
                <w:szCs w:val="18"/>
              </w:rPr>
              <w:t xml:space="preserve">5,955.10</w:t>
            </w:r>
          </w:p>
        </w:tc>
        <w:tc>
          <w:tcPr>
            <w:tcW w:type="dxa" w:w="1400"/>
            <w:tcMar>
              <w:top w:type="dxa" w:w="60"/>
              <w:left w:type="dxa" w:w="90"/>
              <w:bottom w:type="dxa" w:w="60"/>
              <w:right w:type="dxa" w:w="90"/>
            </w:tcMar>
            <w:vAlign w:val="center"/>
          </w:tcPr>
          <w:p>
            <w:pPr>
              <w:spacing w:after="0"/>
              <w:jc w:val="left"/>
            </w:pPr>
            <w:r>
              <w:rPr>
                <w:b/>
                <w:bCs/>
                <w:color w:val="1A1A1A"/>
                <w:sz w:val="18"/>
                <w:szCs w:val="18"/>
              </w:rPr>
              <w:t xml:space="preserve">6,019.45</w:t>
            </w:r>
          </w:p>
        </w:tc>
        <w:tc>
          <w:tcPr>
            <w:tcW w:type="dxa" w:w="900"/>
            <w:tcMar>
              <w:top w:type="dxa" w:w="60"/>
              <w:left w:type="dxa" w:w="90"/>
              <w:bottom w:type="dxa" w:w="60"/>
              <w:right w:type="dxa" w:w="90"/>
            </w:tcMar>
            <w:vAlign w:val="center"/>
          </w:tcPr>
          <w:p>
            <w:pPr>
              <w:spacing w:after="0"/>
              <w:jc w:val="right"/>
            </w:pPr>
            <w:r>
              <w:rPr>
                <w:b w:val="false"/>
                <w:bCs w:val="false"/>
                <w:color w:val="1A1A1A"/>
                <w:sz w:val="18"/>
                <w:szCs w:val="18"/>
              </w:rPr>
              <w:t xml:space="preserve">100.0</w:t>
            </w:r>
          </w:p>
        </w:tc>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Bullish</w:t>
            </w:r>
          </w:p>
        </w:tc>
        <w:tc>
          <w:tcPr>
            <w:tcW w:type="dxa" w:w="960"/>
            <w:tcMar>
              <w:top w:type="dxa" w:w="60"/>
              <w:left w:type="dxa" w:w="90"/>
              <w:bottom w:type="dxa" w:w="60"/>
              <w:right w:type="dxa" w:w="90"/>
            </w:tcMar>
            <w:vAlign w:val="center"/>
          </w:tcPr>
          <w:p>
            <w:pPr>
              <w:spacing w:after="0"/>
              <w:jc w:val="center"/>
            </w:pPr>
            <w:r>
              <w:rPr>
                <w:b w:val="false"/>
                <w:bCs w:val="false"/>
                <w:color w:val="1A1A1A"/>
                <w:sz w:val="18"/>
                <w:szCs w:val="18"/>
              </w:rPr>
              <w:t xml:space="preserve">Corrob.</w:t>
            </w:r>
          </w:p>
        </w:tc>
      </w:tr>
    </w:tbl>
    <w:p>
      <w:pPr>
        <w:spacing w:after="60"/>
      </w:pPr>
    </w:p>
    <w:p>
      <w:pPr>
        <w:spacing w:after="120" w:before="0"/>
      </w:pPr>
      <w:r>
        <w:rPr>
          <w:i/>
          <w:iCs/>
          <w:sz w:val="18"/>
          <w:szCs w:val="18"/>
        </w:rPr>
        <w:t xml:space="preserve">The EURO STOXX 50 confirms the broad European risk-on read with a four-of-five bullish sequence. The single Wednesday 20 May down-close (a 5,910 intraday high rejected back to 5,851) marks a one-session pause rather than a reversal — Thursday and Friday more than recovered it, and Friday closed at a fresh multi-week high near 6,019. Same intraday-corroboration caveat applies to the asterisked rows.</w:t>
      </w:r>
    </w:p>
    <w:p>
      <w:r>
        <w:br w:type="page"/>
      </w:r>
    </w:p>
    <w:p>
      <w:pPr>
        <w:pStyle w:val="Heading1"/>
      </w:pPr>
      <w:r>
        <w:t xml:space="preserve">7.  Charts</w:t>
      </w:r>
    </w:p>
    <w:p>
      <w:pPr>
        <w:pBdr>
          <w:bottom w:val="single" w:color="70AD47" w:sz="4" w:space="3"/>
        </w:pBdr>
        <w:spacing w:after="100" w:before="40"/>
      </w:pPr>
      <w:r>
        <w:rPr>
          <w:i/>
          <w:iCs/>
          <w:color w:val="548235"/>
          <w:sz w:val="17"/>
          <w:szCs w:val="17"/>
        </w:rPr>
        <w:t xml:space="preserve">Technical section — chart pack for the FTSE 100.</w:t>
      </w:r>
    </w:p>
    <w:p>
      <w:pPr>
        <w:spacing w:after="120" w:before="0"/>
      </w:pPr>
      <w:r>
        <w:rPr>
          <w:sz w:val="19"/>
          <w:szCs w:val="19"/>
        </w:rPr>
        <w:t xml:space="preserve">The five configured chart outputs are described below. Each is generated to fit the page content area. Standalone PNG exports of every chart accompany this report as a supplementary deliverable, alongside the OHLC, indicator and pivot CSV files.</w:t>
      </w:r>
    </w:p>
    <w:p>
      <w:pPr>
        <w:spacing w:after="40" w:before="80"/>
      </w:pPr>
      <w:r>
        <w:rPr>
          <w:b/>
          <w:bCs/>
          <w:color w:val="1F3A5F"/>
          <w:sz w:val="19"/>
          <w:szCs w:val="19"/>
        </w:rPr>
        <w:t xml:space="preserve">Chart 1 — Five-Day Candlestick (FTSE 100, index points)</w:t>
      </w:r>
    </w:p>
    <w:p>
      <w:pPr>
        <w:spacing w:after="120"/>
      </w:pPr>
      <w:r>
        <w:rPr>
          <w:sz w:val="18"/>
          <w:szCs w:val="18"/>
        </w:rPr>
        <w:t xml:space="preserve">Five validated candles for 18–22 May. All five are green (close ≥ open). Bodies are mid-sized with short wicks; the 20 May candle shows the widest range (~107 points) and the 22 May candle the narrowest (~52 points), the late-week range contraction being a compression signal. Closes sit consistently in the upper half of each range until Friday, when the close settles mid-range — an early hint of momentum cooling at the highs.</w:t>
      </w:r>
    </w:p>
    <w:p>
      <w:pPr>
        <w:spacing w:after="40" w:before="80"/>
      </w:pPr>
      <w:r>
        <w:rPr>
          <w:b/>
          <w:bCs/>
          <w:color w:val="1F3A5F"/>
          <w:sz w:val="19"/>
          <w:szCs w:val="19"/>
        </w:rPr>
        <w:t xml:space="preserve">Chart 2 — Open=0 Distance Chart (FTSE 100, distance from open in points)</w:t>
      </w:r>
    </w:p>
    <w:p>
      <w:pPr>
        <w:spacing w:after="120"/>
      </w:pPr>
      <w:r>
        <w:rPr>
          <w:sz w:val="18"/>
          <w:szCs w:val="18"/>
        </w:rPr>
        <w:t xml:space="preserve">Each session normalised to its own open. Positive close-distance on all five days confirms persistent intraday buying. The upper-shadow (High−Open) extends furthest on 20–21 May and shortest on Friday, where the Close−Open distance also compresses to roughly +23 points — the directional travel per session is shrinking even as direction stays positive.</w:t>
      </w:r>
    </w:p>
    <w:p>
      <w:pPr>
        <w:spacing w:after="40" w:before="80"/>
      </w:pPr>
      <w:r>
        <w:rPr>
          <w:b/>
          <w:bCs/>
          <w:color w:val="1F3A5F"/>
          <w:sz w:val="19"/>
          <w:szCs w:val="19"/>
        </w:rPr>
        <w:t xml:space="preserve">Chart 3 — Five-Week Structure Chart (25 sessions, direction-coded bars)</w:t>
      </w:r>
    </w:p>
    <w:p>
      <w:pPr>
        <w:spacing w:after="120"/>
      </w:pPr>
      <w:r>
        <w:rPr>
          <w:sz w:val="18"/>
          <w:szCs w:val="18"/>
        </w:rPr>
        <w:t xml:space="preserve">Roughly 25 sessions of direction-coded bars with a close-line overlay. The left two-thirds of the window is dominated by red bars and a declining close-line (the April–May drawdown into a four-week losing streak); the final five bars are an unbroken green run. The visual makes the regime conflict explicit — a clean recent uptrend embedded in a still-negative medium-term structure.</w:t>
      </w:r>
    </w:p>
    <w:p>
      <w:pPr>
        <w:spacing w:after="40" w:before="80"/>
      </w:pPr>
      <w:r>
        <w:rPr>
          <w:b/>
          <w:bCs/>
          <w:color w:val="1F3A5F"/>
          <w:sz w:val="19"/>
          <w:szCs w:val="19"/>
        </w:rPr>
        <w:t xml:space="preserve">Chart 4 — VOLator Comparative Volatility (ATR method, historical scaling)</w:t>
      </w:r>
    </w:p>
    <w:p>
      <w:pPr>
        <w:spacing w:after="120"/>
      </w:pPr>
      <w:r>
        <w:rPr>
          <w:sz w:val="18"/>
          <w:szCs w:val="18"/>
        </w:rPr>
        <w:t xml:space="preserve">Scaled volatility (−1 to +1) for the FTSE 100 and its counters — Dollar Index, S&amp;P 500 and DAX 40 — over the 25-session window, with reference lines at 0 and ±0.5. The FTSE 100 series sits modestly below its 0 midpoint with a flat-to-slightly-negative slope: volatility is contracting as the index grinds higher, consistent with an orderly low-conviction advance rather than an impulsive breakout.</w:t>
      </w:r>
    </w:p>
    <w:p>
      <w:pPr>
        <w:spacing w:after="40" w:before="80"/>
      </w:pPr>
      <w:r>
        <w:rPr>
          <w:b/>
          <w:bCs/>
          <w:color w:val="1F3A5F"/>
          <w:sz w:val="19"/>
          <w:szCs w:val="19"/>
        </w:rPr>
        <w:t xml:space="preserve">Chart 5 — Floor Pivot Structure (FTSE 100, weekly candles, smart-scaled)</w:t>
      </w:r>
    </w:p>
    <w:p>
      <w:pPr>
        <w:spacing w:after="120"/>
      </w:pPr>
      <w:r>
        <w:rPr>
          <w:sz w:val="18"/>
          <w:szCs w:val="18"/>
        </w:rPr>
        <w:t xml:space="preserve">Two weekly candles — the prior completed week and the current in-progress week — plotted against the smart-scaled subset of daily, weekly and monthly pivot levels (daily in blue solid, weekly in purple dashed, monthly in red dash-dot). The current weekly candle is printing above the weekly pivot and pressing against the weekly R2 zone near 10,485, with the daily R1 cluster immediately overhead.</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W w:type="dxa" w:w="9360"/>
            <w:shd w:fill="E2EFDA" w:val="clear"/>
            <w:tcMar>
              <w:top w:type="dxa" w:w="120"/>
              <w:left w:type="dxa" w:w="160"/>
              <w:bottom w:type="dxa" w:w="120"/>
              <w:right w:type="dxa" w:w="160"/>
            </w:tcMar>
          </w:tcPr>
          <w:p>
            <w:pPr>
              <w:spacing w:after="0"/>
            </w:pPr>
            <w:r>
              <w:rPr>
                <w:b/>
                <w:bCs/>
                <w:sz w:val="17"/>
                <w:szCs w:val="17"/>
              </w:rPr>
              <w:t xml:space="preserve">Chart data note. </w:t>
            </w:r>
            <w:r>
              <w:rPr>
                <w:sz w:val="17"/>
                <w:szCs w:val="17"/>
              </w:rPr>
              <w:t xml:space="preserve">Charts 1, 2 and 5 use the 18–21 May intraday fields carried with the indicative caveat from §6. They are reliable for structural and directional reading; precise wick extremes should be treated as approximate.</w:t>
            </w:r>
          </w:p>
        </w:tc>
      </w:tr>
    </w:tbl>
    <w:p>
      <w:r>
        <w:br w:type="page"/>
      </w:r>
    </w:p>
    <w:p>
      <w:pPr>
        <w:pStyle w:val="Heading1"/>
      </w:pPr>
      <w:r>
        <w:t xml:space="preserve">8.  Short-Term Technical Analysis</w:t>
      </w:r>
    </w:p>
    <w:p>
      <w:pPr>
        <w:pBdr>
          <w:bottom w:val="single" w:color="70AD47" w:sz="4" w:space="3"/>
        </w:pBdr>
        <w:spacing w:after="100" w:before="40"/>
      </w:pPr>
      <w:r>
        <w:rPr>
          <w:i/>
          <w:iCs/>
          <w:color w:val="548235"/>
          <w:sz w:val="17"/>
          <w:szCs w:val="17"/>
        </w:rPr>
        <w:t xml:space="preserve">Technical section — candle-by-candle and sequence assessment for the FTSE 100.</w:t>
      </w:r>
    </w:p>
    <w:p>
      <w:pPr>
        <w:spacing w:after="100" w:before="0"/>
      </w:pPr>
      <w:r>
        <w:rPr>
          <w:sz w:val="19"/>
          <w:szCs w:val="19"/>
        </w:rPr>
        <w:t xml:space="preserve">Session-by-session commentary for the five sessions in §6:</w:t>
      </w:r>
    </w:p>
    <w:p>
      <w:pPr>
        <w:pStyle w:val="ListParagraph"/>
        <w:numPr>
          <w:ilvl w:val="0"/>
          <w:numId w:val="2"/>
        </w:numPr>
        <w:spacing w:after="80"/>
      </w:pPr>
      <w:r>
        <w:rPr>
          <w:b/>
          <w:bCs/>
          <w:sz w:val="18"/>
          <w:szCs w:val="18"/>
        </w:rPr>
        <w:t xml:space="preserve">18 May — </w:t>
      </w:r>
      <w:r>
        <w:rPr>
          <w:sz w:val="18"/>
          <w:szCs w:val="18"/>
        </w:rPr>
        <w:t xml:space="preserve">Mid-bodied bullish candle off a weekend gap-up; close near 85% of range. A clean rebound day on renewed US–Iran de-escalation headlines. RSI2 jumps to its ceiling, confirming the directional thrust (see §6).</w:t>
      </w:r>
    </w:p>
    <w:p>
      <w:pPr>
        <w:pStyle w:val="ListParagraph"/>
        <w:numPr>
          <w:ilvl w:val="0"/>
          <w:numId w:val="2"/>
        </w:numPr>
        <w:spacing w:after="80"/>
      </w:pPr>
      <w:r>
        <w:rPr>
          <w:b/>
          <w:bCs/>
          <w:sz w:val="18"/>
          <w:szCs w:val="18"/>
        </w:rPr>
        <w:t xml:space="preserve">19 May — </w:t>
      </w:r>
      <w:r>
        <w:rPr>
          <w:sz w:val="18"/>
          <w:szCs w:val="18"/>
        </w:rPr>
        <w:t xml:space="preserve">Smaller-bodied bullish candle, close ~75% of range, modest follow-through. UK unemployment ticked up; the index advanced only marginally — a pause in magnitude, not direction.</w:t>
      </w:r>
    </w:p>
    <w:p>
      <w:pPr>
        <w:pStyle w:val="ListParagraph"/>
        <w:numPr>
          <w:ilvl w:val="0"/>
          <w:numId w:val="2"/>
        </w:numPr>
        <w:spacing w:after="80"/>
      </w:pPr>
      <w:r>
        <w:rPr>
          <w:b/>
          <w:bCs/>
          <w:sz w:val="18"/>
          <w:szCs w:val="18"/>
        </w:rPr>
        <w:t xml:space="preserve">20 May — </w:t>
      </w:r>
      <w:r>
        <w:rPr>
          <w:sz w:val="18"/>
          <w:szCs w:val="18"/>
        </w:rPr>
        <w:t xml:space="preserve">Widest-range session of the block (~107 points), strong bullish body, close ~88% of range. UK CPI and elevated gilt yields were in focus; equities looked through the data and extended.</w:t>
      </w:r>
    </w:p>
    <w:p>
      <w:pPr>
        <w:pStyle w:val="ListParagraph"/>
        <w:numPr>
          <w:ilvl w:val="0"/>
          <w:numId w:val="2"/>
        </w:numPr>
        <w:spacing w:after="80"/>
      </w:pPr>
      <w:r>
        <w:rPr>
          <w:b/>
          <w:bCs/>
          <w:sz w:val="18"/>
          <w:szCs w:val="18"/>
        </w:rPr>
        <w:t xml:space="preserve">21 May — </w:t>
      </w:r>
      <w:r>
        <w:rPr>
          <w:sz w:val="18"/>
          <w:szCs w:val="18"/>
        </w:rPr>
        <w:t xml:space="preserve">Bullish candle, close ~94% of range — the most decisive close of the week despite domestic political-turmoil headlines. Buyers absorbed intraday weakness and lifted the index into the close.</w:t>
      </w:r>
    </w:p>
    <w:p>
      <w:pPr>
        <w:pStyle w:val="ListParagraph"/>
        <w:numPr>
          <w:ilvl w:val="0"/>
          <w:numId w:val="2"/>
        </w:numPr>
        <w:spacing w:after="80"/>
      </w:pPr>
      <w:r>
        <w:rPr>
          <w:b/>
          <w:bCs/>
          <w:sz w:val="18"/>
          <w:szCs w:val="18"/>
        </w:rPr>
        <w:t xml:space="preserve">22 May — </w:t>
      </w:r>
      <w:r>
        <w:rPr>
          <w:sz w:val="18"/>
          <w:szCs w:val="18"/>
        </w:rPr>
        <w:t xml:space="preserve">Narrowest-range candle (~52 points), bullish body but close only ~58% of range with the day’s high (10,488) left unfilled into the close. The first sign of momentum cooling at the highs: direction still up, conviction fading.</w:t>
      </w:r>
    </w:p>
    <w:p>
      <w:pPr>
        <w:spacing w:after="80"/>
      </w:pPr>
    </w:p>
    <w:p>
      <w:pPr>
        <w:spacing w:after="120" w:before="0"/>
      </w:pPr>
      <w:r>
        <w:rPr>
          <w:b/>
          <w:bCs/>
          <w:sz w:val="19"/>
          <w:szCs w:val="19"/>
        </w:rPr>
        <w:t xml:space="preserve">Sequence assessment: </w:t>
      </w:r>
      <w:r>
        <w:rPr>
          <w:sz w:val="19"/>
          <w:szCs w:val="19"/>
        </w:rPr>
        <w:t xml:space="preserve">Continuation, late-stage. The five-session sequence shows directional persistence of 4/4 (every session matched the prior session’s direction) and a low mean range-overlap of ~0.38, both classic continuation signatures. However, the final two sessions show range compression (107 → 86 → 52 points) and a deteriorating close-location on Friday — evidence the continuation is maturing rather than accelerating.</w:t>
      </w:r>
    </w:p>
    <w:p>
      <w:pPr>
        <w:spacing w:after="120" w:before="0"/>
      </w:pPr>
      <w:r>
        <w:rPr>
          <w:b/>
          <w:bCs/>
          <w:sz w:val="19"/>
          <w:szCs w:val="19"/>
        </w:rPr>
        <w:t xml:space="preserve">Nearest support and resistance (from the 5-day block): </w:t>
      </w:r>
      <w:r>
        <w:rPr>
          <w:sz w:val="19"/>
          <w:szCs w:val="19"/>
        </w:rPr>
        <w:t xml:space="preserve">immediate resistance is the 22 May high at 10,488, then the round-number 10,500 zone. Immediate support is the 22 May low at 10,436, then the 21 May low at 10,362. A close back below 10,362 would break the five-session higher-low chain.</w:t>
      </w:r>
    </w:p>
    <w:p>
      <w:pPr>
        <w:spacing w:after="120" w:before="0"/>
      </w:pPr>
      <w:r>
        <w:rPr>
          <w:b/>
          <w:bCs/>
          <w:sz w:val="19"/>
          <w:szCs w:val="19"/>
        </w:rPr>
        <w:t xml:space="preserve">Judgement label: </w:t>
      </w:r>
      <w:r>
        <w:rPr>
          <w:b/>
          <w:bCs/>
          <w:color w:val="548235"/>
          <w:sz w:val="19"/>
          <w:szCs w:val="19"/>
        </w:rPr>
        <w:t xml:space="preserve">Bullish continuation. </w:t>
      </w:r>
      <w:r>
        <w:rPr>
          <w:sz w:val="19"/>
          <w:szCs w:val="19"/>
        </w:rPr>
        <w:t xml:space="preserve">This is consistent with the §9 short-term regime classification. It does, however, sit in tension with the medium-term and Kaufman reads — that conflict is addressed explicitly in §9.</w:t>
      </w:r>
    </w:p>
    <w:p>
      <w:r>
        <w:br w:type="page"/>
      </w:r>
    </w:p>
    <w:p>
      <w:pPr>
        <w:pStyle w:val="Heading1"/>
      </w:pPr>
      <w:r>
        <w:t xml:space="preserve">9.  Medium-Term Regime &amp; VOLator</w:t>
      </w:r>
    </w:p>
    <w:p>
      <w:pPr>
        <w:pBdr>
          <w:bottom w:val="single" w:color="70AD47" w:sz="4" w:space="3"/>
        </w:pBdr>
        <w:spacing w:after="100" w:before="40"/>
      </w:pPr>
      <w:r>
        <w:rPr>
          <w:i/>
          <w:iCs/>
          <w:color w:val="548235"/>
          <w:sz w:val="17"/>
          <w:szCs w:val="17"/>
        </w:rPr>
        <w:t xml:space="preserve">Technical section — 25-session regime classification and comparative volatility.</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3000"/>
        <w:gridCol w:w="6360"/>
      </w:tblGrid>
      <w:tr>
        <w:trPr>
          <w:tblHeader/>
        </w:trPr>
        <w:tc>
          <w:tcPr>
            <w:tcW w:type="dxa" w:w="3000"/>
            <w:shd w:fill="1F3A5F" w:val="clear"/>
            <w:tcMar>
              <w:top w:type="dxa" w:w="60"/>
              <w:left w:type="dxa" w:w="90"/>
              <w:bottom w:type="dxa" w:w="60"/>
              <w:right w:type="dxa" w:w="90"/>
            </w:tcMar>
            <w:vAlign w:val="center"/>
          </w:tcPr>
          <w:p>
            <w:pPr>
              <w:spacing w:after="0"/>
              <w:jc w:val="left"/>
            </w:pPr>
            <w:r>
              <w:rPr>
                <w:b/>
                <w:bCs/>
                <w:color w:val="FFFFFF"/>
                <w:sz w:val="17"/>
                <w:szCs w:val="17"/>
              </w:rPr>
              <w:t xml:space="preserve">Metric</w:t>
            </w:r>
          </w:p>
        </w:tc>
        <w:tc>
          <w:tcPr>
            <w:tcW w:type="dxa" w:w="6360"/>
            <w:shd w:fill="1F3A5F" w:val="clear"/>
            <w:tcMar>
              <w:top w:type="dxa" w:w="60"/>
              <w:left w:type="dxa" w:w="90"/>
              <w:bottom w:type="dxa" w:w="60"/>
              <w:right w:type="dxa" w:w="90"/>
            </w:tcMar>
            <w:vAlign w:val="center"/>
          </w:tcPr>
          <w:p>
            <w:pPr>
              <w:spacing w:after="0"/>
              <w:jc w:val="left"/>
            </w:pPr>
            <w:r>
              <w:rPr>
                <w:b/>
                <w:bCs/>
                <w:color w:val="FFFFFF"/>
                <w:sz w:val="17"/>
                <w:szCs w:val="17"/>
              </w:rPr>
              <w:t xml:space="preserve">Reading</w:t>
            </w:r>
          </w:p>
        </w:tc>
      </w:tr>
      <w:tr>
        <w:tc>
          <w:tcPr>
            <w:tcW w:type="dxa" w:w="3000"/>
            <w:tcMar>
              <w:top w:type="dxa" w:w="60"/>
              <w:left w:type="dxa" w:w="90"/>
              <w:bottom w:type="dxa" w:w="60"/>
              <w:right w:type="dxa" w:w="90"/>
            </w:tcMar>
            <w:vAlign w:val="center"/>
          </w:tcPr>
          <w:p>
            <w:pPr>
              <w:spacing w:after="0"/>
              <w:jc w:val="left"/>
            </w:pPr>
            <w:r>
              <w:rPr>
                <w:b w:val="false"/>
                <w:bCs w:val="false"/>
                <w:color w:val="1A1A1A"/>
                <w:sz w:val="18"/>
                <w:szCs w:val="18"/>
              </w:rPr>
              <w:t xml:space="preserve">Regime classification</w:t>
            </w:r>
          </w:p>
        </w:tc>
        <w:tc>
          <w:tcPr>
            <w:tcW w:type="dxa" w:w="6360"/>
            <w:tcMar>
              <w:top w:type="dxa" w:w="60"/>
              <w:left w:type="dxa" w:w="90"/>
              <w:bottom w:type="dxa" w:w="60"/>
              <w:right w:type="dxa" w:w="90"/>
            </w:tcMar>
            <w:vAlign w:val="center"/>
          </w:tcPr>
          <w:p>
            <w:pPr>
              <w:spacing w:after="0"/>
              <w:jc w:val="left"/>
            </w:pPr>
            <w:r>
              <w:rPr>
                <w:b/>
                <w:bCs/>
                <w:color w:val="1A1A1A"/>
                <w:sz w:val="18"/>
                <w:szCs w:val="18"/>
              </w:rPr>
              <w:t xml:space="preserve">Transitional</w:t>
            </w:r>
          </w:p>
        </w:tc>
      </w:tr>
      <w:tr>
        <w:tc>
          <w:tcPr>
            <w:tcW w:type="dxa" w:w="30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Directional bias</w:t>
            </w:r>
          </w:p>
        </w:tc>
        <w:tc>
          <w:tcPr>
            <w:tcW w:type="dxa" w:w="63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Bullish (short-term) within an unresolved medium-term structure</w:t>
            </w:r>
          </w:p>
        </w:tc>
      </w:tr>
      <w:tr>
        <w:tc>
          <w:tcPr>
            <w:tcW w:type="dxa" w:w="3000"/>
            <w:tcMar>
              <w:top w:type="dxa" w:w="60"/>
              <w:left w:type="dxa" w:w="90"/>
              <w:bottom w:type="dxa" w:w="60"/>
              <w:right w:type="dxa" w:w="90"/>
            </w:tcMar>
            <w:vAlign w:val="center"/>
          </w:tcPr>
          <w:p>
            <w:pPr>
              <w:spacing w:after="0"/>
              <w:jc w:val="left"/>
            </w:pPr>
            <w:r>
              <w:rPr>
                <w:b w:val="false"/>
                <w:bCs w:val="false"/>
                <w:color w:val="1A1A1A"/>
                <w:sz w:val="18"/>
                <w:szCs w:val="18"/>
              </w:rPr>
              <w:t xml:space="preserve">5-day range overlap</w:t>
            </w:r>
          </w:p>
        </w:tc>
        <w:tc>
          <w:tcPr>
            <w:tcW w:type="dxa" w:w="6360"/>
            <w:tcMar>
              <w:top w:type="dxa" w:w="60"/>
              <w:left w:type="dxa" w:w="90"/>
              <w:bottom w:type="dxa" w:w="60"/>
              <w:right w:type="dxa" w:w="90"/>
            </w:tcMar>
            <w:vAlign w:val="center"/>
          </w:tcPr>
          <w:p>
            <w:pPr>
              <w:spacing w:after="0"/>
              <w:jc w:val="left"/>
            </w:pPr>
            <w:r>
              <w:rPr>
                <w:b w:val="false"/>
                <w:bCs w:val="false"/>
                <w:color w:val="1A1A1A"/>
                <w:sz w:val="18"/>
                <w:szCs w:val="18"/>
              </w:rPr>
              <w:t xml:space="preserve">~0.38 — low overlap, directional progression</w:t>
            </w:r>
          </w:p>
        </w:tc>
      </w:tr>
      <w:tr>
        <w:tc>
          <w:tcPr>
            <w:tcW w:type="dxa" w:w="30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5-day directional persistence</w:t>
            </w:r>
          </w:p>
        </w:tc>
        <w:tc>
          <w:tcPr>
            <w:tcW w:type="dxa" w:w="63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1.00 (4/4) — maximal short-run persistence</w:t>
            </w:r>
          </w:p>
        </w:tc>
      </w:tr>
      <w:tr>
        <w:tc>
          <w:tcPr>
            <w:tcW w:type="dxa" w:w="3000"/>
            <w:tcMar>
              <w:top w:type="dxa" w:w="60"/>
              <w:left w:type="dxa" w:w="90"/>
              <w:bottom w:type="dxa" w:w="60"/>
              <w:right w:type="dxa" w:w="90"/>
            </w:tcMar>
            <w:vAlign w:val="center"/>
          </w:tcPr>
          <w:p>
            <w:pPr>
              <w:spacing w:after="0"/>
              <w:jc w:val="left"/>
            </w:pPr>
            <w:r>
              <w:rPr>
                <w:b w:val="false"/>
                <w:bCs w:val="false"/>
                <w:color w:val="1A1A1A"/>
                <w:sz w:val="18"/>
                <w:szCs w:val="18"/>
              </w:rPr>
              <w:t xml:space="preserve">25-day range position</w:t>
            </w:r>
          </w:p>
        </w:tc>
        <w:tc>
          <w:tcPr>
            <w:tcW w:type="dxa" w:w="6360"/>
            <w:tcMar>
              <w:top w:type="dxa" w:w="60"/>
              <w:left w:type="dxa" w:w="90"/>
              <w:bottom w:type="dxa" w:w="60"/>
              <w:right w:type="dxa" w:w="90"/>
            </w:tcMar>
            <w:vAlign w:val="center"/>
          </w:tcPr>
          <w:p>
            <w:pPr>
              <w:spacing w:after="0"/>
              <w:jc w:val="left"/>
            </w:pPr>
            <w:r>
              <w:rPr>
                <w:b w:val="false"/>
                <w:bCs w:val="false"/>
                <w:color w:val="1A1A1A"/>
                <w:sz w:val="18"/>
                <w:szCs w:val="18"/>
              </w:rPr>
              <w:t xml:space="preserve">~78th percentile — Range Top Bias</w:t>
            </w:r>
          </w:p>
        </w:tc>
      </w:tr>
      <w:tr>
        <w:tc>
          <w:tcPr>
            <w:tcW w:type="dxa" w:w="30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VOLator slope (FTSE 100)</w:t>
            </w:r>
          </w:p>
        </w:tc>
        <w:tc>
          <w:tcPr>
            <w:tcW w:type="dxa" w:w="63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Flat-to-slightly-negative — volatility contracting</w:t>
            </w:r>
          </w:p>
        </w:tc>
      </w:tr>
      <w:tr>
        <w:tc>
          <w:tcPr>
            <w:tcW w:type="dxa" w:w="3000"/>
            <w:tcMar>
              <w:top w:type="dxa" w:w="60"/>
              <w:left w:type="dxa" w:w="90"/>
              <w:bottom w:type="dxa" w:w="60"/>
              <w:right w:type="dxa" w:w="90"/>
            </w:tcMar>
            <w:vAlign w:val="center"/>
          </w:tcPr>
          <w:p>
            <w:pPr>
              <w:spacing w:after="0"/>
              <w:jc w:val="left"/>
            </w:pPr>
            <w:r>
              <w:rPr>
                <w:b w:val="false"/>
                <w:bCs w:val="false"/>
                <w:color w:val="1A1A1A"/>
                <w:sz w:val="18"/>
                <w:szCs w:val="18"/>
              </w:rPr>
              <w:t xml:space="preserve">Median RSI2 (5-day)</w:t>
            </w:r>
          </w:p>
        </w:tc>
        <w:tc>
          <w:tcPr>
            <w:tcW w:type="dxa" w:w="6360"/>
            <w:tcMar>
              <w:top w:type="dxa" w:w="60"/>
              <w:left w:type="dxa" w:w="90"/>
              <w:bottom w:type="dxa" w:w="60"/>
              <w:right w:type="dxa" w:w="90"/>
            </w:tcMar>
            <w:vAlign w:val="center"/>
          </w:tcPr>
          <w:p>
            <w:pPr>
              <w:spacing w:after="0"/>
              <w:jc w:val="left"/>
            </w:pPr>
            <w:r>
              <w:rPr>
                <w:b w:val="false"/>
                <w:bCs w:val="false"/>
                <w:color w:val="1A1A1A"/>
                <w:sz w:val="18"/>
                <w:szCs w:val="18"/>
              </w:rPr>
              <w:t xml:space="preserve">100 — pinned ceiling, stretched</w:t>
            </w:r>
          </w:p>
        </w:tc>
      </w:tr>
    </w:tbl>
    <w:p>
      <w:pPr>
        <w:spacing w:after="100"/>
      </w:pPr>
    </w:p>
    <w:p>
      <w:pPr>
        <w:spacing w:after="120" w:before="0"/>
      </w:pPr>
      <w:r>
        <w:rPr>
          <w:b/>
          <w:bCs/>
          <w:sz w:val="19"/>
          <w:szCs w:val="19"/>
        </w:rPr>
        <w:t xml:space="preserve">Regime read. </w:t>
      </w:r>
      <w:r>
        <w:rPr>
          <w:sz w:val="19"/>
          <w:szCs w:val="19"/>
        </w:rPr>
        <w:t xml:space="preserve">The short-term block is unambiguously Trending Bullish. The 25-session block, however, still contains the April–May decline: the index is recovering toward the top of that wider range (~78th percentile) but has not re-established a medium-term uptrend structure. Where a clean recent uptrend is embedded in an unresolved wider structure, the regime is classified Transitional rather than Trending.</w:t>
      </w:r>
    </w:p>
    <w:p>
      <w:pPr>
        <w:spacing w:after="120" w:before="0"/>
      </w:pPr>
      <w:r>
        <w:rPr>
          <w:b/>
          <w:bCs/>
          <w:sz w:val="19"/>
          <w:szCs w:val="19"/>
        </w:rPr>
        <w:t xml:space="preserve">VOLator readings (scaled −1 to +1, ATR method, historical scaling). </w:t>
      </w:r>
      <w:r>
        <w:rPr>
          <w:sz w:val="19"/>
          <w:szCs w:val="19"/>
        </w:rPr>
        <w:t xml:space="preserve">FTSE 100 sits modestly below its 0 midpoint and is contracting. The Dollar Index reads near-neutral and flat; the S&amp;P 500 sits slightly above midpoint, expanding mildly; the DAX 40 sits above midpoint, the most volatile of the set on the back of a sharp tech-led week. A contracting FTSE volatility profile alongside a rising price is the signature of an orderly, low-conviction grind — supportive of continuation but not of an explosive extension.</w:t>
      </w:r>
    </w:p>
    <w:p>
      <w:pPr>
        <w:spacing w:after="120" w:before="0"/>
      </w:pPr>
      <w:r>
        <w:rPr>
          <w:b/>
          <w:bCs/>
          <w:sz w:val="19"/>
          <w:szCs w:val="19"/>
        </w:rPr>
        <w:t xml:space="preserve">Kaufman confirmation. </w:t>
      </w:r>
      <w:r>
        <w:rPr>
          <w:sz w:val="19"/>
          <w:szCs w:val="19"/>
        </w:rPr>
        <w:t xml:space="preserve">The smoothed Kaufman efficiency ratio reads approximately −0.16, classifying as Trending Down — Moderate. This is a direct consequence of the 13-session lookback still being dominated by the April–May drawdown. </w:t>
      </w:r>
      <w:r>
        <w:rPr>
          <w:b/>
          <w:bCs/>
          <w:sz w:val="19"/>
          <w:szCs w:val="19"/>
        </w:rPr>
        <w:t xml:space="preserve">It contradicts the 5-day Trending Bullish read.</w:t>
      </w:r>
      <w:r>
        <w:rPr>
          <w:sz w:val="19"/>
          <w:szCs w:val="19"/>
        </w:rPr>
        <w:t xml:space="preserve"> Per the framework, the contradiction is surfaced, not suppressed: the 5-day signal is the more reliable guide to the next session’s direction because it reflects the live, post-rebound tape, while the Kaufman read is a lagging window artefact that will flip positive within a few sessions if the advance holds. Because the Kaufman gate and the short-term regime disagree, the consolidated regime label resolves to </w:t>
      </w:r>
      <w:r>
        <w:rPr>
          <w:b/>
          <w:bCs/>
          <w:sz w:val="19"/>
          <w:szCs w:val="19"/>
        </w:rPr>
        <w:t xml:space="preserve">TRANSITION</w:t>
      </w:r>
      <w:r>
        <w:rPr>
          <w:sz w:val="19"/>
          <w:szCs w:val="19"/>
        </w:rPr>
        <w:t xml:space="preserve"> — the deterministic fall-through when the trend gates are not unambiguously aligned.</w:t>
      </w:r>
    </w:p>
    <w:p>
      <w:pPr>
        <w:spacing w:after="120" w:before="0"/>
      </w:pPr>
      <w:r>
        <w:rPr>
          <w:b/>
          <w:bCs/>
          <w:sz w:val="19"/>
          <w:szCs w:val="19"/>
        </w:rPr>
        <w:t xml:space="preserve">Preferred trade protocol. </w:t>
      </w:r>
      <w:r>
        <w:rPr>
          <w:sz w:val="19"/>
          <w:szCs w:val="19"/>
        </w:rPr>
        <w:t xml:space="preserve">Combining a Trending-Bullish short-term read with a Transitional medium-term read yields a reduced-conviction, breakout-aware protocol: trade with the short-term trend, but size conservatively and treat the move as a range-top test until the medium-term structure confirms.</w:t>
      </w:r>
    </w:p>
    <w:p>
      <w:r>
        <w:br w:type="page"/>
      </w:r>
    </w:p>
    <w:p>
      <w:pPr>
        <w:pStyle w:val="Heading1"/>
      </w:pPr>
      <w:r>
        <w:t xml:space="preserve">10.  Cross-Asset Analysis</w:t>
      </w:r>
    </w:p>
    <w:p>
      <w:pPr>
        <w:pBdr>
          <w:bottom w:val="single" w:color="70AD47" w:sz="4" w:space="3"/>
        </w:pBdr>
        <w:spacing w:after="100" w:before="40"/>
      </w:pPr>
      <w:r>
        <w:rPr>
          <w:i/>
          <w:iCs/>
          <w:color w:val="548235"/>
          <w:sz w:val="17"/>
          <w:szCs w:val="17"/>
        </w:rPr>
        <w:t xml:space="preserve">Technical section — counter directional reads and confirmation status.</w:t>
      </w:r>
    </w:p>
    <w:p>
      <w:pPr>
        <w:spacing w:after="120" w:before="0"/>
      </w:pPr>
      <w:r>
        <w:rPr>
          <w:sz w:val="19"/>
          <w:szCs w:val="19"/>
        </w:rPr>
        <w:t xml:space="preserve">Directional reads for the active counters and the secondary asset over the five validated sessions. The regime reference for confirmation is the §9 classification (short-term bullish within a Transitional medium-term structure).</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1700"/>
        <w:gridCol w:w="1150"/>
        <w:gridCol w:w="3260"/>
        <w:gridCol w:w="1300"/>
        <w:gridCol w:w="1950"/>
      </w:tblGrid>
      <w:tr>
        <w:trPr>
          <w:tblHeader/>
        </w:trPr>
        <w:tc>
          <w:tcPr>
            <w:tcW w:type="dxa" w:w="1700"/>
            <w:shd w:fill="1F3A5F" w:val="clear"/>
            <w:tcMar>
              <w:top w:type="dxa" w:w="60"/>
              <w:left w:type="dxa" w:w="90"/>
              <w:bottom w:type="dxa" w:w="60"/>
              <w:right w:type="dxa" w:w="90"/>
            </w:tcMar>
            <w:vAlign w:val="center"/>
          </w:tcPr>
          <w:p>
            <w:pPr>
              <w:spacing w:after="0"/>
              <w:jc w:val="left"/>
            </w:pPr>
            <w:r>
              <w:rPr>
                <w:b/>
                <w:bCs/>
                <w:color w:val="FFFFFF"/>
                <w:sz w:val="17"/>
                <w:szCs w:val="17"/>
              </w:rPr>
              <w:t xml:space="preserve">Counter</w:t>
            </w:r>
          </w:p>
        </w:tc>
        <w:tc>
          <w:tcPr>
            <w:tcW w:type="dxa" w:w="1150"/>
            <w:shd w:fill="1F3A5F" w:val="clear"/>
            <w:tcMar>
              <w:top w:type="dxa" w:w="60"/>
              <w:left w:type="dxa" w:w="90"/>
              <w:bottom w:type="dxa" w:w="60"/>
              <w:right w:type="dxa" w:w="90"/>
            </w:tcMar>
            <w:vAlign w:val="center"/>
          </w:tcPr>
          <w:p>
            <w:pPr>
              <w:spacing w:after="0"/>
              <w:jc w:val="left"/>
            </w:pPr>
            <w:r>
              <w:rPr>
                <w:b/>
                <w:bCs/>
                <w:color w:val="FFFFFF"/>
                <w:sz w:val="17"/>
                <w:szCs w:val="17"/>
              </w:rPr>
              <w:t xml:space="preserve">5-Day Dir.</w:t>
            </w:r>
          </w:p>
        </w:tc>
        <w:tc>
          <w:tcPr>
            <w:tcW w:type="dxa" w:w="3260"/>
            <w:shd w:fill="1F3A5F" w:val="clear"/>
            <w:tcMar>
              <w:top w:type="dxa" w:w="60"/>
              <w:left w:type="dxa" w:w="90"/>
              <w:bottom w:type="dxa" w:w="60"/>
              <w:right w:type="dxa" w:w="90"/>
            </w:tcMar>
            <w:vAlign w:val="center"/>
          </w:tcPr>
          <w:p>
            <w:pPr>
              <w:spacing w:after="0"/>
              <w:jc w:val="left"/>
            </w:pPr>
            <w:r>
              <w:rPr>
                <w:b/>
                <w:bCs/>
                <w:color w:val="FFFFFF"/>
                <w:sz w:val="17"/>
                <w:szCs w:val="17"/>
              </w:rPr>
              <w:t xml:space="preserve">Mechanism to FTSE 100</w:t>
            </w:r>
          </w:p>
        </w:tc>
        <w:tc>
          <w:tcPr>
            <w:tcW w:type="dxa" w:w="1300"/>
            <w:shd w:fill="1F3A5F" w:val="clear"/>
            <w:tcMar>
              <w:top w:type="dxa" w:w="60"/>
              <w:left w:type="dxa" w:w="90"/>
              <w:bottom w:type="dxa" w:w="60"/>
              <w:right w:type="dxa" w:w="90"/>
            </w:tcMar>
            <w:vAlign w:val="center"/>
          </w:tcPr>
          <w:p>
            <w:pPr>
              <w:spacing w:after="0"/>
              <w:jc w:val="left"/>
            </w:pPr>
            <w:r>
              <w:rPr>
                <w:b/>
                <w:bCs/>
                <w:color w:val="FFFFFF"/>
                <w:sz w:val="17"/>
                <w:szCs w:val="17"/>
              </w:rPr>
              <w:t xml:space="preserve">Status</w:t>
            </w:r>
          </w:p>
        </w:tc>
        <w:tc>
          <w:tcPr>
            <w:tcW w:type="dxa" w:w="1950"/>
            <w:shd w:fill="1F3A5F" w:val="clear"/>
            <w:tcMar>
              <w:top w:type="dxa" w:w="60"/>
              <w:left w:type="dxa" w:w="90"/>
              <w:bottom w:type="dxa" w:w="60"/>
              <w:right w:type="dxa" w:w="90"/>
            </w:tcMar>
            <w:vAlign w:val="center"/>
          </w:tcPr>
          <w:p>
            <w:pPr>
              <w:spacing w:after="0"/>
              <w:jc w:val="left"/>
            </w:pPr>
            <w:r>
              <w:rPr>
                <w:b/>
                <w:bCs/>
                <w:color w:val="FFFFFF"/>
                <w:sz w:val="17"/>
                <w:szCs w:val="17"/>
              </w:rPr>
              <w:t xml:space="preserve">Implication</w:t>
            </w:r>
          </w:p>
        </w:tc>
      </w:tr>
      <w:tr>
        <w:tc>
          <w:tcPr>
            <w:tcW w:type="dxa" w:w="1700"/>
            <w:tcMar>
              <w:top w:type="dxa" w:w="60"/>
              <w:left w:type="dxa" w:w="90"/>
              <w:bottom w:type="dxa" w:w="60"/>
              <w:right w:type="dxa" w:w="90"/>
            </w:tcMar>
            <w:vAlign w:val="center"/>
          </w:tcPr>
          <w:p>
            <w:pPr>
              <w:spacing w:after="0"/>
              <w:jc w:val="left"/>
            </w:pPr>
            <w:r>
              <w:rPr>
                <w:b w:val="false"/>
                <w:bCs w:val="false"/>
                <w:color w:val="1A1A1A"/>
                <w:sz w:val="18"/>
                <w:szCs w:val="18"/>
              </w:rPr>
              <w:t xml:space="preserve">Dollar Index (USDX)</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Falling / Flat</w:t>
            </w:r>
          </w:p>
        </w:tc>
        <w:tc>
          <w:tcPr>
            <w:tcW w:type="dxa" w:w="3260"/>
            <w:tcMar>
              <w:top w:type="dxa" w:w="60"/>
              <w:left w:type="dxa" w:w="90"/>
              <w:bottom w:type="dxa" w:w="60"/>
              <w:right w:type="dxa" w:w="90"/>
            </w:tcMar>
            <w:vAlign w:val="center"/>
          </w:tcPr>
          <w:p>
            <w:pPr>
              <w:spacing w:after="0"/>
              <w:jc w:val="left"/>
            </w:pPr>
            <w:r>
              <w:rPr>
                <w:b w:val="false"/>
                <w:bCs w:val="false"/>
                <w:color w:val="1A1A1A"/>
                <w:sz w:val="18"/>
                <w:szCs w:val="18"/>
              </w:rPr>
              <w:t xml:space="preserve">A softer or stable dollar eases global financial conditions and is mildly supportive of risk assets; for the FTSE its multinational earnings translation effect is two-sided.</w:t>
            </w:r>
          </w:p>
        </w:tc>
        <w:tc>
          <w:tcPr>
            <w:tcW w:type="dxa" w:w="1300"/>
            <w:tcMar>
              <w:top w:type="dxa" w:w="60"/>
              <w:left w:type="dxa" w:w="90"/>
              <w:bottom w:type="dxa" w:w="60"/>
              <w:right w:type="dxa" w:w="90"/>
            </w:tcMar>
            <w:vAlign w:val="center"/>
          </w:tcPr>
          <w:p>
            <w:pPr>
              <w:spacing w:after="0"/>
              <w:jc w:val="left"/>
            </w:pPr>
            <w:r>
              <w:rPr>
                <w:b/>
                <w:bCs/>
                <w:color w:val="1A1A1A"/>
                <w:sz w:val="18"/>
                <w:szCs w:val="18"/>
              </w:rPr>
              <w:t xml:space="preserve">Neutral</w:t>
            </w:r>
          </w:p>
        </w:tc>
        <w:tc>
          <w:tcPr>
            <w:tcW w:type="dxa" w:w="1950"/>
            <w:tcMar>
              <w:top w:type="dxa" w:w="60"/>
              <w:left w:type="dxa" w:w="90"/>
              <w:bottom w:type="dxa" w:w="60"/>
              <w:right w:type="dxa" w:w="90"/>
            </w:tcMar>
            <w:vAlign w:val="center"/>
          </w:tcPr>
          <w:p>
            <w:pPr>
              <w:spacing w:after="0"/>
              <w:jc w:val="left"/>
            </w:pPr>
            <w:r>
              <w:rPr>
                <w:b w:val="false"/>
                <w:bCs w:val="false"/>
                <w:color w:val="1A1A1A"/>
                <w:sz w:val="18"/>
                <w:szCs w:val="18"/>
              </w:rPr>
              <w:t xml:space="preserve">Not an obstacle to the advance; not a strong tailwind either.</w:t>
            </w:r>
          </w:p>
        </w:tc>
      </w:tr>
      <w:tr>
        <w:tc>
          <w:tcPr>
            <w:tcW w:type="dxa" w:w="17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S&amp;P 500</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Rising</w:t>
            </w:r>
          </w:p>
        </w:tc>
        <w:tc>
          <w:tcPr>
            <w:tcW w:type="dxa" w:w="32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Cross-Atlantic risk-appetite proxy and common-factor beta for European indices; firm US equities pull European benchmarks higher.</w:t>
            </w:r>
          </w:p>
        </w:tc>
        <w:tc>
          <w:tcPr>
            <w:tcW w:type="dxa" w:w="1300"/>
            <w:shd w:fill="F2F5F8" w:val="clear"/>
            <w:tcMar>
              <w:top w:type="dxa" w:w="60"/>
              <w:left w:type="dxa" w:w="90"/>
              <w:bottom w:type="dxa" w:w="60"/>
              <w:right w:type="dxa" w:w="90"/>
            </w:tcMar>
            <w:vAlign w:val="center"/>
          </w:tcPr>
          <w:p>
            <w:pPr>
              <w:spacing w:after="0"/>
              <w:jc w:val="left"/>
            </w:pPr>
            <w:r>
              <w:rPr>
                <w:b/>
                <w:bCs/>
                <w:color w:val="548235"/>
                <w:sz w:val="18"/>
                <w:szCs w:val="18"/>
              </w:rPr>
              <w:t xml:space="preserve">Confirms</w:t>
            </w:r>
          </w:p>
        </w:tc>
        <w:tc>
          <w:tcPr>
            <w:tcW w:type="dxa" w:w="19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Supports the FTSE short-term bullish read.</w:t>
            </w:r>
          </w:p>
        </w:tc>
      </w:tr>
      <w:tr>
        <w:tc>
          <w:tcPr>
            <w:tcW w:type="dxa" w:w="1700"/>
            <w:tcMar>
              <w:top w:type="dxa" w:w="60"/>
              <w:left w:type="dxa" w:w="90"/>
              <w:bottom w:type="dxa" w:w="60"/>
              <w:right w:type="dxa" w:w="90"/>
            </w:tcMar>
            <w:vAlign w:val="center"/>
          </w:tcPr>
          <w:p>
            <w:pPr>
              <w:spacing w:after="0"/>
              <w:jc w:val="left"/>
            </w:pPr>
            <w:r>
              <w:rPr>
                <w:b w:val="false"/>
                <w:bCs w:val="false"/>
                <w:color w:val="1A1A1A"/>
                <w:sz w:val="18"/>
                <w:szCs w:val="18"/>
              </w:rPr>
              <w:t xml:space="preserve">DAX 40</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Rising</w:t>
            </w:r>
          </w:p>
        </w:tc>
        <w:tc>
          <w:tcPr>
            <w:tcW w:type="dxa" w:w="3260"/>
            <w:tcMar>
              <w:top w:type="dxa" w:w="60"/>
              <w:left w:type="dxa" w:w="90"/>
              <w:bottom w:type="dxa" w:w="60"/>
              <w:right w:type="dxa" w:w="90"/>
            </w:tcMar>
            <w:vAlign w:val="center"/>
          </w:tcPr>
          <w:p>
            <w:pPr>
              <w:spacing w:after="0"/>
              <w:jc w:val="left"/>
            </w:pPr>
            <w:r>
              <w:rPr>
                <w:b w:val="false"/>
                <w:bCs w:val="false"/>
                <w:color w:val="1A1A1A"/>
                <w:sz w:val="18"/>
                <w:szCs w:val="18"/>
              </w:rPr>
              <w:t xml:space="preserve">European equity proxy; a ~4% DAX weekly gain signals broad regional risk-on, even with different sector weights.</w:t>
            </w:r>
          </w:p>
        </w:tc>
        <w:tc>
          <w:tcPr>
            <w:tcW w:type="dxa" w:w="1300"/>
            <w:tcMar>
              <w:top w:type="dxa" w:w="60"/>
              <w:left w:type="dxa" w:w="90"/>
              <w:bottom w:type="dxa" w:w="60"/>
              <w:right w:type="dxa" w:w="90"/>
            </w:tcMar>
            <w:vAlign w:val="center"/>
          </w:tcPr>
          <w:p>
            <w:pPr>
              <w:spacing w:after="0"/>
              <w:jc w:val="left"/>
            </w:pPr>
            <w:r>
              <w:rPr>
                <w:b/>
                <w:bCs/>
                <w:color w:val="548235"/>
                <w:sz w:val="18"/>
                <w:szCs w:val="18"/>
              </w:rPr>
              <w:t xml:space="preserve">Confirms</w:t>
            </w:r>
          </w:p>
        </w:tc>
        <w:tc>
          <w:tcPr>
            <w:tcW w:type="dxa" w:w="1950"/>
            <w:tcMar>
              <w:top w:type="dxa" w:w="60"/>
              <w:left w:type="dxa" w:w="90"/>
              <w:bottom w:type="dxa" w:w="60"/>
              <w:right w:type="dxa" w:w="90"/>
            </w:tcMar>
            <w:vAlign w:val="center"/>
          </w:tcPr>
          <w:p>
            <w:pPr>
              <w:spacing w:after="0"/>
              <w:jc w:val="left"/>
            </w:pPr>
            <w:r>
              <w:rPr>
                <w:b w:val="false"/>
                <w:bCs w:val="false"/>
                <w:color w:val="1A1A1A"/>
                <w:sz w:val="18"/>
                <w:szCs w:val="18"/>
              </w:rPr>
              <w:t xml:space="preserve">Confirms the regional rotation lifting the FTSE.</w:t>
            </w:r>
          </w:p>
        </w:tc>
      </w:tr>
      <w:tr>
        <w:tc>
          <w:tcPr>
            <w:tcW w:type="dxa" w:w="17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EURO STOXX 50 (secondary)</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Rising</w:t>
            </w:r>
          </w:p>
        </w:tc>
        <w:tc>
          <w:tcPr>
            <w:tcW w:type="dxa" w:w="32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Eurozone blue-chip comparator; a shared European risk and rate backdrop links it tightly to the FTSE.</w:t>
            </w:r>
          </w:p>
        </w:tc>
        <w:tc>
          <w:tcPr>
            <w:tcW w:type="dxa" w:w="1300"/>
            <w:shd w:fill="F2F5F8" w:val="clear"/>
            <w:tcMar>
              <w:top w:type="dxa" w:w="60"/>
              <w:left w:type="dxa" w:w="90"/>
              <w:bottom w:type="dxa" w:w="60"/>
              <w:right w:type="dxa" w:w="90"/>
            </w:tcMar>
            <w:vAlign w:val="center"/>
          </w:tcPr>
          <w:p>
            <w:pPr>
              <w:spacing w:after="0"/>
              <w:jc w:val="left"/>
            </w:pPr>
            <w:r>
              <w:rPr>
                <w:b/>
                <w:bCs/>
                <w:color w:val="548235"/>
                <w:sz w:val="18"/>
                <w:szCs w:val="18"/>
              </w:rPr>
              <w:t xml:space="preserve">Confirms</w:t>
            </w:r>
          </w:p>
        </w:tc>
        <w:tc>
          <w:tcPr>
            <w:tcW w:type="dxa" w:w="19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Four-of-five bullish sequence corroborates the FTSE uptrend.</w:t>
            </w:r>
          </w:p>
        </w:tc>
      </w:tr>
    </w:tbl>
    <w:p>
      <w:pPr>
        <w:spacing w:after="100"/>
      </w:pPr>
    </w:p>
    <w:p>
      <w:pPr>
        <w:spacing w:after="120" w:before="0"/>
      </w:pPr>
      <w:r>
        <w:rPr>
          <w:b/>
          <w:bCs/>
          <w:color w:val="548235"/>
          <w:sz w:val="19"/>
          <w:szCs w:val="19"/>
        </w:rPr>
        <w:t xml:space="preserve">Aggregate cross-asset read: CONFIRM. </w:t>
      </w:r>
      <w:r>
        <w:rPr>
          <w:sz w:val="19"/>
          <w:szCs w:val="19"/>
        </w:rPr>
        <w:t xml:space="preserve">Three of four active counters confirm the short-term bullish read and none contradict it; the Dollar Index is neutral. There is no cross-asset contradiction to flag. The cross-asset picture is the cleanest bullish input in this report — the qualifier is that it confirms a short-term move, not a medium-term trend, and cannot resolve the §9 regime conflict on its own.</w:t>
      </w:r>
    </w:p>
    <w:p>
      <w:r>
        <w:br w:type="page"/>
      </w:r>
    </w:p>
    <w:p>
      <w:pPr>
        <w:pStyle w:val="Heading1"/>
      </w:pPr>
      <w:r>
        <w:t xml:space="preserve">11.  Floor Pivot Analysis</w:t>
      </w:r>
    </w:p>
    <w:p>
      <w:pPr>
        <w:pBdr>
          <w:bottom w:val="single" w:color="70AD47" w:sz="4" w:space="3"/>
        </w:pBdr>
        <w:spacing w:after="100" w:before="40"/>
      </w:pPr>
      <w:r>
        <w:rPr>
          <w:i/>
          <w:iCs/>
          <w:color w:val="548235"/>
          <w:sz w:val="17"/>
          <w:szCs w:val="17"/>
        </w:rPr>
        <w:t xml:space="preserve">Technical section — daily, weekly and monthly pivot structure for the FTSE 100.</w:t>
      </w:r>
    </w:p>
    <w:p>
      <w:pPr>
        <w:spacing w:after="120" w:before="0"/>
      </w:pPr>
      <w:r>
        <w:rPr>
          <w:sz w:val="19"/>
          <w:szCs w:val="19"/>
        </w:rPr>
        <w:t xml:space="preserve">Pivot levels for the three active timeframes, computed from prior-period high/low/close. Mandatory display order: resistance at top, support at bottom.</w:t>
      </w:r>
    </w:p>
    <w:p>
      <w:pPr>
        <w:spacing w:after="60" w:before="80"/>
      </w:pPr>
      <w:r>
        <w:rPr>
          <w:b/>
          <w:bCs/>
          <w:color w:val="1F3A5F"/>
          <w:sz w:val="19"/>
          <w:szCs w:val="19"/>
        </w:rPr>
        <w:t xml:space="preserve">Daily pivots</w:t>
      </w:r>
    </w:p>
    <w:p>
      <w:pPr>
        <w:spacing w:after="80"/>
      </w:pPr>
      <w:r>
        <w:rPr>
          <w:i/>
          <w:iCs/>
          <w:sz w:val="17"/>
          <w:szCs w:val="17"/>
        </w:rPr>
        <w:t xml:space="preserve">Computed from the Thursday 21 May session high/low/close. Prior-period inputs carry the §6 indicative caveat — all daily levels are flagged indicative only.</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3120"/>
        <w:gridCol w:w="3120"/>
        <w:gridCol w:w="3120"/>
      </w:tblGrid>
      <w:tr>
        <w:trPr>
          <w:tblHeader/>
        </w:trPr>
        <w:tc>
          <w:tcPr>
            <w:tcW w:type="dxa" w:w="3120"/>
            <w:shd w:fill="1F3A5F" w:val="clear"/>
            <w:tcMar>
              <w:top w:type="dxa" w:w="60"/>
              <w:left w:type="dxa" w:w="90"/>
              <w:bottom w:type="dxa" w:w="60"/>
              <w:right w:type="dxa" w:w="90"/>
            </w:tcMar>
            <w:vAlign w:val="center"/>
          </w:tcPr>
          <w:p>
            <w:pPr>
              <w:spacing w:after="0"/>
              <w:jc w:val="center"/>
            </w:pPr>
            <w:r>
              <w:rPr>
                <w:b/>
                <w:bCs/>
                <w:color w:val="FFFFFF"/>
                <w:sz w:val="17"/>
                <w:szCs w:val="17"/>
              </w:rPr>
              <w:t xml:space="preserve">Level</w:t>
            </w:r>
          </w:p>
        </w:tc>
        <w:tc>
          <w:tcPr>
            <w:tcW w:type="dxa" w:w="3120"/>
            <w:shd w:fill="1F3A5F" w:val="clear"/>
            <w:tcMar>
              <w:top w:type="dxa" w:w="60"/>
              <w:left w:type="dxa" w:w="90"/>
              <w:bottom w:type="dxa" w:w="60"/>
              <w:right w:type="dxa" w:w="90"/>
            </w:tcMar>
            <w:vAlign w:val="center"/>
          </w:tcPr>
          <w:p>
            <w:pPr>
              <w:spacing w:after="0"/>
              <w:jc w:val="center"/>
            </w:pPr>
            <w:r>
              <w:rPr>
                <w:b/>
                <w:bCs/>
                <w:color w:val="FFFFFF"/>
                <w:sz w:val="17"/>
                <w:szCs w:val="17"/>
              </w:rPr>
              <w:t xml:space="preserve">Value</w:t>
            </w:r>
          </w:p>
        </w:tc>
        <w:tc>
          <w:tcPr>
            <w:tcW w:type="dxa" w:w="3120"/>
            <w:shd w:fill="1F3A5F" w:val="clear"/>
            <w:tcMar>
              <w:top w:type="dxa" w:w="60"/>
              <w:left w:type="dxa" w:w="90"/>
              <w:bottom w:type="dxa" w:w="60"/>
              <w:right w:type="dxa" w:w="90"/>
            </w:tcMar>
            <w:vAlign w:val="center"/>
          </w:tcPr>
          <w:p>
            <w:pPr>
              <w:spacing w:after="0"/>
              <w:jc w:val="center"/>
            </w:pPr>
            <w:r>
              <w:rPr>
                <w:b/>
                <w:bCs/>
                <w:color w:val="FFFFFF"/>
                <w:sz w:val="17"/>
                <w:szCs w:val="17"/>
              </w:rPr>
              <w:t xml:space="preserve">Note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R5</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10,732.25</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R4</w:t>
            </w:r>
          </w:p>
        </w:tc>
        <w:tc>
          <w:tcPr>
            <w:tcW w:type="dxa" w:w="312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10,646.10</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R3</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10,559.95</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R2</w:t>
            </w:r>
          </w:p>
        </w:tc>
        <w:tc>
          <w:tcPr>
            <w:tcW w:type="dxa" w:w="312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10,504.12</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Overhead resistance band</w:t>
            </w:r>
          </w:p>
        </w:tc>
      </w:tr>
      <w:tr>
        <w:tc>
          <w:tcPr>
            <w:tcW w:type="dxa" w:w="3120"/>
            <w:tcMar>
              <w:top w:type="dxa" w:w="60"/>
              <w:left w:type="dxa" w:w="90"/>
              <w:bottom w:type="dxa" w:w="60"/>
              <w:right w:type="dxa" w:w="90"/>
            </w:tcMar>
            <w:vAlign w:val="center"/>
          </w:tcPr>
          <w:p>
            <w:pPr>
              <w:spacing w:after="0"/>
              <w:jc w:val="left"/>
            </w:pPr>
            <w:r>
              <w:rPr>
                <w:b/>
                <w:bCs/>
                <w:color w:val="1A1A1A"/>
                <w:sz w:val="18"/>
                <w:szCs w:val="18"/>
              </w:rPr>
              <w:t xml:space="preserve">R1</w:t>
            </w:r>
          </w:p>
        </w:tc>
        <w:tc>
          <w:tcPr>
            <w:tcW w:type="dxa" w:w="3120"/>
            <w:tcMar>
              <w:top w:type="dxa" w:w="60"/>
              <w:left w:type="dxa" w:w="90"/>
              <w:bottom w:type="dxa" w:w="60"/>
              <w:right w:type="dxa" w:w="90"/>
            </w:tcMar>
            <w:vAlign w:val="center"/>
          </w:tcPr>
          <w:p>
            <w:pPr>
              <w:spacing w:after="0"/>
              <w:jc w:val="left"/>
            </w:pPr>
            <w:r>
              <w:rPr>
                <w:b/>
                <w:bCs/>
                <w:color w:val="1A1A1A"/>
                <w:sz w:val="18"/>
                <w:szCs w:val="18"/>
              </w:rPr>
              <w:t xml:space="preserve">10,473.80</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Immediate resistance — just above Friday close</w:t>
            </w:r>
          </w:p>
        </w:tc>
      </w:tr>
      <w:tr>
        <w:tc>
          <w:tcPr>
            <w:tcW w:type="dxa" w:w="3120"/>
            <w:shd w:fill="FFF2CC" w:val="clear"/>
            <w:tcMar>
              <w:top w:type="dxa" w:w="60"/>
              <w:left w:type="dxa" w:w="90"/>
              <w:bottom w:type="dxa" w:w="60"/>
              <w:right w:type="dxa" w:w="90"/>
            </w:tcMar>
            <w:vAlign w:val="center"/>
          </w:tcPr>
          <w:p>
            <w:pPr>
              <w:spacing w:after="0"/>
              <w:jc w:val="left"/>
            </w:pPr>
            <w:r>
              <w:rPr>
                <w:b/>
                <w:bCs/>
                <w:color w:val="1A1A1A"/>
                <w:sz w:val="18"/>
                <w:szCs w:val="18"/>
              </w:rPr>
              <w:t xml:space="preserve">P</w:t>
            </w:r>
          </w:p>
        </w:tc>
        <w:tc>
          <w:tcPr>
            <w:tcW w:type="dxa" w:w="3120"/>
            <w:shd w:fill="FFF2CC" w:val="clear"/>
            <w:tcMar>
              <w:top w:type="dxa" w:w="60"/>
              <w:left w:type="dxa" w:w="90"/>
              <w:bottom w:type="dxa" w:w="60"/>
              <w:right w:type="dxa" w:w="90"/>
            </w:tcMar>
            <w:vAlign w:val="center"/>
          </w:tcPr>
          <w:p>
            <w:pPr>
              <w:spacing w:after="0"/>
              <w:jc w:val="left"/>
            </w:pPr>
            <w:r>
              <w:rPr>
                <w:b/>
                <w:bCs/>
                <w:color w:val="1A1A1A"/>
                <w:sz w:val="18"/>
                <w:szCs w:val="18"/>
              </w:rPr>
              <w:t xml:space="preserve">10,417.97</w:t>
            </w:r>
          </w:p>
        </w:tc>
        <w:tc>
          <w:tcPr>
            <w:tcW w:type="dxa" w:w="3120"/>
            <w:shd w:fill="FFF2CC" w:val="clear"/>
            <w:tcMar>
              <w:top w:type="dxa" w:w="60"/>
              <w:left w:type="dxa" w:w="90"/>
              <w:bottom w:type="dxa" w:w="60"/>
              <w:right w:type="dxa" w:w="90"/>
            </w:tcMar>
            <w:vAlign w:val="center"/>
          </w:tcPr>
          <w:p>
            <w:pPr>
              <w:spacing w:after="0"/>
              <w:jc w:val="left"/>
            </w:pPr>
            <w:r>
              <w:rPr>
                <w:b w:val="false"/>
                <w:bCs w:val="false"/>
                <w:color w:val="1A1A1A"/>
                <w:sz w:val="18"/>
                <w:szCs w:val="18"/>
              </w:rPr>
              <w:t xml:space="preserve">Daily pivot — Friday closed above it</w:t>
            </w:r>
          </w:p>
        </w:tc>
      </w:tr>
      <w:tr>
        <w:tc>
          <w:tcPr>
            <w:tcW w:type="dxa" w:w="3120"/>
            <w:tcMar>
              <w:top w:type="dxa" w:w="60"/>
              <w:left w:type="dxa" w:w="90"/>
              <w:bottom w:type="dxa" w:w="60"/>
              <w:right w:type="dxa" w:w="90"/>
            </w:tcMar>
            <w:vAlign w:val="center"/>
          </w:tcPr>
          <w:p>
            <w:pPr>
              <w:spacing w:after="0"/>
              <w:jc w:val="left"/>
            </w:pPr>
            <w:r>
              <w:rPr>
                <w:b/>
                <w:bCs/>
                <w:color w:val="1A1A1A"/>
                <w:sz w:val="18"/>
                <w:szCs w:val="18"/>
              </w:rPr>
              <w:t xml:space="preserve">S1</w:t>
            </w:r>
          </w:p>
        </w:tc>
        <w:tc>
          <w:tcPr>
            <w:tcW w:type="dxa" w:w="3120"/>
            <w:tcMar>
              <w:top w:type="dxa" w:w="60"/>
              <w:left w:type="dxa" w:w="90"/>
              <w:bottom w:type="dxa" w:w="60"/>
              <w:right w:type="dxa" w:w="90"/>
            </w:tcMar>
            <w:vAlign w:val="center"/>
          </w:tcPr>
          <w:p>
            <w:pPr>
              <w:spacing w:after="0"/>
              <w:jc w:val="left"/>
            </w:pPr>
            <w:r>
              <w:rPr>
                <w:b/>
                <w:bCs/>
                <w:color w:val="1A1A1A"/>
                <w:sz w:val="18"/>
                <w:szCs w:val="18"/>
              </w:rPr>
              <w:t xml:space="preserve">10,387.65</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Immediate support</w:t>
            </w:r>
          </w:p>
        </w:tc>
      </w:tr>
      <w:tr>
        <w:tc>
          <w:tcPr>
            <w:tcW w:type="dxa" w:w="31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S2</w:t>
            </w:r>
          </w:p>
        </w:tc>
        <w:tc>
          <w:tcPr>
            <w:tcW w:type="dxa" w:w="312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10,331.82</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S3</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10,301.50</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S4</w:t>
            </w:r>
          </w:p>
        </w:tc>
        <w:tc>
          <w:tcPr>
            <w:tcW w:type="dxa" w:w="312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10,215.35</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S5</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10,129.20</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bl>
    <w:p>
      <w:pPr>
        <w:spacing w:after="100"/>
      </w:pPr>
    </w:p>
    <w:p>
      <w:pPr>
        <w:spacing w:after="60" w:before="80"/>
      </w:pPr>
      <w:r>
        <w:rPr>
          <w:b/>
          <w:bCs/>
          <w:color w:val="1F3A5F"/>
          <w:sz w:val="19"/>
          <w:szCs w:val="19"/>
        </w:rPr>
        <w:t xml:space="preserve">Weekly pivots</w:t>
      </w:r>
    </w:p>
    <w:p>
      <w:pPr>
        <w:spacing w:after="80"/>
      </w:pPr>
      <w:r>
        <w:rPr>
          <w:i/>
          <w:iCs/>
          <w:sz w:val="17"/>
          <w:szCs w:val="17"/>
        </w:rPr>
        <w:t xml:space="preserve">Computed from the prior week (11–15 May) high/low/close. Prior-period inputs are indicative — all weekly levels flagged indicative only.</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3120"/>
        <w:gridCol w:w="3120"/>
        <w:gridCol w:w="3120"/>
      </w:tblGrid>
      <w:tr>
        <w:trPr>
          <w:tblHeader/>
        </w:trPr>
        <w:tc>
          <w:tcPr>
            <w:tcW w:type="dxa" w:w="3120"/>
            <w:shd w:fill="1F3A5F" w:val="clear"/>
            <w:tcMar>
              <w:top w:type="dxa" w:w="60"/>
              <w:left w:type="dxa" w:w="90"/>
              <w:bottom w:type="dxa" w:w="60"/>
              <w:right w:type="dxa" w:w="90"/>
            </w:tcMar>
            <w:vAlign w:val="center"/>
          </w:tcPr>
          <w:p>
            <w:pPr>
              <w:spacing w:after="0"/>
              <w:jc w:val="center"/>
            </w:pPr>
            <w:r>
              <w:rPr>
                <w:b/>
                <w:bCs/>
                <w:color w:val="FFFFFF"/>
                <w:sz w:val="17"/>
                <w:szCs w:val="17"/>
              </w:rPr>
              <w:t xml:space="preserve">Level</w:t>
            </w:r>
          </w:p>
        </w:tc>
        <w:tc>
          <w:tcPr>
            <w:tcW w:type="dxa" w:w="3120"/>
            <w:shd w:fill="1F3A5F" w:val="clear"/>
            <w:tcMar>
              <w:top w:type="dxa" w:w="60"/>
              <w:left w:type="dxa" w:w="90"/>
              <w:bottom w:type="dxa" w:w="60"/>
              <w:right w:type="dxa" w:w="90"/>
            </w:tcMar>
            <w:vAlign w:val="center"/>
          </w:tcPr>
          <w:p>
            <w:pPr>
              <w:spacing w:after="0"/>
              <w:jc w:val="center"/>
            </w:pPr>
            <w:r>
              <w:rPr>
                <w:b/>
                <w:bCs/>
                <w:color w:val="FFFFFF"/>
                <w:sz w:val="17"/>
                <w:szCs w:val="17"/>
              </w:rPr>
              <w:t xml:space="preserve">Value</w:t>
            </w:r>
          </w:p>
        </w:tc>
        <w:tc>
          <w:tcPr>
            <w:tcW w:type="dxa" w:w="3120"/>
            <w:shd w:fill="1F3A5F" w:val="clear"/>
            <w:tcMar>
              <w:top w:type="dxa" w:w="60"/>
              <w:left w:type="dxa" w:w="90"/>
              <w:bottom w:type="dxa" w:w="60"/>
              <w:right w:type="dxa" w:w="90"/>
            </w:tcMar>
            <w:vAlign w:val="center"/>
          </w:tcPr>
          <w:p>
            <w:pPr>
              <w:spacing w:after="0"/>
              <w:jc w:val="center"/>
            </w:pPr>
            <w:r>
              <w:rPr>
                <w:b/>
                <w:bCs/>
                <w:color w:val="FFFFFF"/>
                <w:sz w:val="17"/>
                <w:szCs w:val="17"/>
              </w:rPr>
              <w:t xml:space="preserve">Note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R5</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11,154.27</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R4</w:t>
            </w:r>
          </w:p>
        </w:tc>
        <w:tc>
          <w:tcPr>
            <w:tcW w:type="dxa" w:w="312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10,882.27</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R3</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10,610.27</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shd w:fill="F2F5F8" w:val="clear"/>
            <w:tcMar>
              <w:top w:type="dxa" w:w="60"/>
              <w:left w:type="dxa" w:w="90"/>
              <w:bottom w:type="dxa" w:w="60"/>
              <w:right w:type="dxa" w:w="90"/>
            </w:tcMar>
            <w:vAlign w:val="center"/>
          </w:tcPr>
          <w:p>
            <w:pPr>
              <w:spacing w:after="0"/>
              <w:jc w:val="left"/>
            </w:pPr>
            <w:r>
              <w:rPr>
                <w:b/>
                <w:bCs/>
                <w:color w:val="1A1A1A"/>
                <w:sz w:val="18"/>
                <w:szCs w:val="18"/>
              </w:rPr>
              <w:t xml:space="preserve">R2</w:t>
            </w:r>
          </w:p>
        </w:tc>
        <w:tc>
          <w:tcPr>
            <w:tcW w:type="dxa" w:w="3120"/>
            <w:shd w:fill="F2F5F8" w:val="clear"/>
            <w:tcMar>
              <w:top w:type="dxa" w:w="60"/>
              <w:left w:type="dxa" w:w="90"/>
              <w:bottom w:type="dxa" w:w="60"/>
              <w:right w:type="dxa" w:w="90"/>
            </w:tcMar>
            <w:vAlign w:val="center"/>
          </w:tcPr>
          <w:p>
            <w:pPr>
              <w:spacing w:after="0"/>
              <w:jc w:val="left"/>
            </w:pPr>
            <w:r>
              <w:rPr>
                <w:b/>
                <w:bCs/>
                <w:color w:val="1A1A1A"/>
                <w:sz w:val="18"/>
                <w:szCs w:val="18"/>
              </w:rPr>
              <w:t xml:space="preserve">10,485.13</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Confluence with daily R1 zone — see narrative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R1</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10,338.27</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Now below price (passed)</w:t>
            </w:r>
          </w:p>
        </w:tc>
      </w:tr>
      <w:tr>
        <w:tc>
          <w:tcPr>
            <w:tcW w:type="dxa" w:w="3120"/>
            <w:shd w:fill="FFF2CC" w:val="clear"/>
            <w:tcMar>
              <w:top w:type="dxa" w:w="60"/>
              <w:left w:type="dxa" w:w="90"/>
              <w:bottom w:type="dxa" w:w="60"/>
              <w:right w:type="dxa" w:w="90"/>
            </w:tcMar>
            <w:vAlign w:val="center"/>
          </w:tcPr>
          <w:p>
            <w:pPr>
              <w:spacing w:after="0"/>
              <w:jc w:val="left"/>
            </w:pPr>
            <w:r>
              <w:rPr>
                <w:b/>
                <w:bCs/>
                <w:color w:val="1A1A1A"/>
                <w:sz w:val="18"/>
                <w:szCs w:val="18"/>
              </w:rPr>
              <w:t xml:space="preserve">P</w:t>
            </w:r>
          </w:p>
        </w:tc>
        <w:tc>
          <w:tcPr>
            <w:tcW w:type="dxa" w:w="3120"/>
            <w:shd w:fill="FFF2CC" w:val="clear"/>
            <w:tcMar>
              <w:top w:type="dxa" w:w="60"/>
              <w:left w:type="dxa" w:w="90"/>
              <w:bottom w:type="dxa" w:w="60"/>
              <w:right w:type="dxa" w:w="90"/>
            </w:tcMar>
            <w:vAlign w:val="center"/>
          </w:tcPr>
          <w:p>
            <w:pPr>
              <w:spacing w:after="0"/>
              <w:jc w:val="left"/>
            </w:pPr>
            <w:r>
              <w:rPr>
                <w:b/>
                <w:bCs/>
                <w:color w:val="1A1A1A"/>
                <w:sz w:val="18"/>
                <w:szCs w:val="18"/>
              </w:rPr>
              <w:t xml:space="preserve">10,213.13</w:t>
            </w:r>
          </w:p>
        </w:tc>
        <w:tc>
          <w:tcPr>
            <w:tcW w:type="dxa" w:w="3120"/>
            <w:shd w:fill="FFF2CC" w:val="clear"/>
            <w:tcMar>
              <w:top w:type="dxa" w:w="60"/>
              <w:left w:type="dxa" w:w="90"/>
              <w:bottom w:type="dxa" w:w="60"/>
              <w:right w:type="dxa" w:w="90"/>
            </w:tcMar>
            <w:vAlign w:val="center"/>
          </w:tcPr>
          <w:p>
            <w:pPr>
              <w:spacing w:after="0"/>
              <w:jc w:val="left"/>
            </w:pPr>
            <w:r>
              <w:rPr>
                <w:b w:val="false"/>
                <w:bCs w:val="false"/>
                <w:color w:val="1A1A1A"/>
                <w:sz w:val="18"/>
                <w:szCs w:val="18"/>
              </w:rPr>
              <w:t xml:space="preserve">Weekly pivot — well below current price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S1</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10,066.27</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S2</w:t>
            </w:r>
          </w:p>
        </w:tc>
        <w:tc>
          <w:tcPr>
            <w:tcW w:type="dxa" w:w="312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9,941.13</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S3</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9,794.27</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S4</w:t>
            </w:r>
          </w:p>
        </w:tc>
        <w:tc>
          <w:tcPr>
            <w:tcW w:type="dxa" w:w="312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9,522.27</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S5</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9,250.27</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bl>
    <w:p>
      <w:pPr>
        <w:spacing w:after="100"/>
      </w:pPr>
    </w:p>
    <w:p>
      <w:pPr>
        <w:spacing w:after="60" w:before="80"/>
      </w:pPr>
      <w:r>
        <w:rPr>
          <w:b/>
          <w:bCs/>
          <w:color w:val="1F3A5F"/>
          <w:sz w:val="19"/>
          <w:szCs w:val="19"/>
        </w:rPr>
        <w:t xml:space="preserve">Monthly pivots</w:t>
      </w:r>
    </w:p>
    <w:p>
      <w:pPr>
        <w:spacing w:after="80"/>
      </w:pPr>
      <w:r>
        <w:rPr>
          <w:i/>
          <w:iCs/>
          <w:sz w:val="17"/>
          <w:szCs w:val="17"/>
        </w:rPr>
        <w:t xml:space="preserve">Computed from the April 2026 monthly high/low/close. Prior-period inputs are indicative — all monthly levels flagged indicative only.</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3120"/>
        <w:gridCol w:w="3120"/>
        <w:gridCol w:w="3120"/>
      </w:tblGrid>
      <w:tr>
        <w:trPr>
          <w:tblHeader/>
        </w:trPr>
        <w:tc>
          <w:tcPr>
            <w:tcW w:type="dxa" w:w="3120"/>
            <w:shd w:fill="1F3A5F" w:val="clear"/>
            <w:tcMar>
              <w:top w:type="dxa" w:w="60"/>
              <w:left w:type="dxa" w:w="90"/>
              <w:bottom w:type="dxa" w:w="60"/>
              <w:right w:type="dxa" w:w="90"/>
            </w:tcMar>
            <w:vAlign w:val="center"/>
          </w:tcPr>
          <w:p>
            <w:pPr>
              <w:spacing w:after="0"/>
              <w:jc w:val="center"/>
            </w:pPr>
            <w:r>
              <w:rPr>
                <w:b/>
                <w:bCs/>
                <w:color w:val="FFFFFF"/>
                <w:sz w:val="17"/>
                <w:szCs w:val="17"/>
              </w:rPr>
              <w:t xml:space="preserve">Level</w:t>
            </w:r>
          </w:p>
        </w:tc>
        <w:tc>
          <w:tcPr>
            <w:tcW w:type="dxa" w:w="3120"/>
            <w:shd w:fill="1F3A5F" w:val="clear"/>
            <w:tcMar>
              <w:top w:type="dxa" w:w="60"/>
              <w:left w:type="dxa" w:w="90"/>
              <w:bottom w:type="dxa" w:w="60"/>
              <w:right w:type="dxa" w:w="90"/>
            </w:tcMar>
            <w:vAlign w:val="center"/>
          </w:tcPr>
          <w:p>
            <w:pPr>
              <w:spacing w:after="0"/>
              <w:jc w:val="center"/>
            </w:pPr>
            <w:r>
              <w:rPr>
                <w:b/>
                <w:bCs/>
                <w:color w:val="FFFFFF"/>
                <w:sz w:val="17"/>
                <w:szCs w:val="17"/>
              </w:rPr>
              <w:t xml:space="preserve">Value</w:t>
            </w:r>
          </w:p>
        </w:tc>
        <w:tc>
          <w:tcPr>
            <w:tcW w:type="dxa" w:w="3120"/>
            <w:shd w:fill="1F3A5F" w:val="clear"/>
            <w:tcMar>
              <w:top w:type="dxa" w:w="60"/>
              <w:left w:type="dxa" w:w="90"/>
              <w:bottom w:type="dxa" w:w="60"/>
              <w:right w:type="dxa" w:w="90"/>
            </w:tcMar>
            <w:vAlign w:val="center"/>
          </w:tcPr>
          <w:p>
            <w:pPr>
              <w:spacing w:after="0"/>
              <w:jc w:val="center"/>
            </w:pPr>
            <w:r>
              <w:rPr>
                <w:b/>
                <w:bCs/>
                <w:color w:val="FFFFFF"/>
                <w:sz w:val="17"/>
                <w:szCs w:val="17"/>
              </w:rPr>
              <w:t xml:space="preserve">Note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R5</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12,723.23</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R4</w:t>
            </w:r>
          </w:p>
        </w:tc>
        <w:tc>
          <w:tcPr>
            <w:tcW w:type="dxa" w:w="312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12,018.56</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R3</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11,313.89</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R2</w:t>
            </w:r>
          </w:p>
        </w:tc>
        <w:tc>
          <w:tcPr>
            <w:tcW w:type="dxa" w:w="312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10,968.45</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R1</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10,609.22</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Next monthly resistance overhead</w:t>
            </w:r>
          </w:p>
        </w:tc>
      </w:tr>
      <w:tr>
        <w:tc>
          <w:tcPr>
            <w:tcW w:type="dxa" w:w="3120"/>
            <w:shd w:fill="FFF2CC" w:val="clear"/>
            <w:tcMar>
              <w:top w:type="dxa" w:w="60"/>
              <w:left w:type="dxa" w:w="90"/>
              <w:bottom w:type="dxa" w:w="60"/>
              <w:right w:type="dxa" w:w="90"/>
            </w:tcMar>
            <w:vAlign w:val="center"/>
          </w:tcPr>
          <w:p>
            <w:pPr>
              <w:spacing w:after="0"/>
              <w:jc w:val="left"/>
            </w:pPr>
            <w:r>
              <w:rPr>
                <w:b/>
                <w:bCs/>
                <w:color w:val="1A1A1A"/>
                <w:sz w:val="18"/>
                <w:szCs w:val="18"/>
              </w:rPr>
              <w:t xml:space="preserve">P</w:t>
            </w:r>
          </w:p>
        </w:tc>
        <w:tc>
          <w:tcPr>
            <w:tcW w:type="dxa" w:w="3120"/>
            <w:shd w:fill="FFF2CC" w:val="clear"/>
            <w:tcMar>
              <w:top w:type="dxa" w:w="60"/>
              <w:left w:type="dxa" w:w="90"/>
              <w:bottom w:type="dxa" w:w="60"/>
              <w:right w:type="dxa" w:w="90"/>
            </w:tcMar>
            <w:vAlign w:val="center"/>
          </w:tcPr>
          <w:p>
            <w:pPr>
              <w:spacing w:after="0"/>
              <w:jc w:val="left"/>
            </w:pPr>
            <w:r>
              <w:rPr>
                <w:b/>
                <w:bCs/>
                <w:color w:val="1A1A1A"/>
                <w:sz w:val="18"/>
                <w:szCs w:val="18"/>
              </w:rPr>
              <w:t xml:space="preserve">10,263.78</w:t>
            </w:r>
          </w:p>
        </w:tc>
        <w:tc>
          <w:tcPr>
            <w:tcW w:type="dxa" w:w="3120"/>
            <w:shd w:fill="FFF2CC" w:val="clear"/>
            <w:tcMar>
              <w:top w:type="dxa" w:w="60"/>
              <w:left w:type="dxa" w:w="90"/>
              <w:bottom w:type="dxa" w:w="60"/>
              <w:right w:type="dxa" w:w="90"/>
            </w:tcMar>
            <w:vAlign w:val="center"/>
          </w:tcPr>
          <w:p>
            <w:pPr>
              <w:spacing w:after="0"/>
              <w:jc w:val="left"/>
            </w:pPr>
            <w:r>
              <w:rPr>
                <w:b w:val="false"/>
                <w:bCs w:val="false"/>
                <w:color w:val="1A1A1A"/>
                <w:sz w:val="18"/>
                <w:szCs w:val="18"/>
              </w:rPr>
              <w:t xml:space="preserve">Monthly pivot — below current price (supportive)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S1</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9,904.55</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S2</w:t>
            </w:r>
          </w:p>
        </w:tc>
        <w:tc>
          <w:tcPr>
            <w:tcW w:type="dxa" w:w="312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9,559.11</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S3</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9,199.88</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S4</w:t>
            </w:r>
          </w:p>
        </w:tc>
        <w:tc>
          <w:tcPr>
            <w:tcW w:type="dxa" w:w="3120"/>
            <w:shd w:fill="F2F5F8" w:val="clear"/>
            <w:tcMar>
              <w:top w:type="dxa" w:w="60"/>
              <w:left w:type="dxa" w:w="90"/>
              <w:bottom w:type="dxa" w:w="60"/>
              <w:right w:type="dxa" w:w="90"/>
            </w:tcMar>
            <w:vAlign w:val="center"/>
          </w:tcPr>
          <w:p>
            <w:pPr>
              <w:spacing w:after="0"/>
              <w:jc w:val="right"/>
            </w:pPr>
            <w:r>
              <w:rPr>
                <w:b w:val="false"/>
                <w:bCs w:val="false"/>
                <w:color w:val="1A1A1A"/>
                <w:sz w:val="18"/>
                <w:szCs w:val="18"/>
              </w:rPr>
              <w:t xml:space="preserve">8,495.21</w:t>
            </w:r>
          </w:p>
        </w:tc>
        <w:tc>
          <w:tcPr>
            <w:tcW w:type="dxa" w:w="312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r>
        <w:tc>
          <w:tcPr>
            <w:tcW w:type="dxa" w:w="3120"/>
            <w:tcMar>
              <w:top w:type="dxa" w:w="60"/>
              <w:left w:type="dxa" w:w="90"/>
              <w:bottom w:type="dxa" w:w="60"/>
              <w:right w:type="dxa" w:w="90"/>
            </w:tcMar>
            <w:vAlign w:val="center"/>
          </w:tcPr>
          <w:p>
            <w:pPr>
              <w:spacing w:after="0"/>
              <w:jc w:val="center"/>
            </w:pPr>
            <w:r>
              <w:rPr>
                <w:b w:val="false"/>
                <w:bCs w:val="false"/>
                <w:color w:val="1A1A1A"/>
                <w:sz w:val="18"/>
                <w:szCs w:val="18"/>
              </w:rPr>
              <w:t xml:space="preserve">S5</w:t>
            </w:r>
          </w:p>
        </w:tc>
        <w:tc>
          <w:tcPr>
            <w:tcW w:type="dxa" w:w="3120"/>
            <w:tcMar>
              <w:top w:type="dxa" w:w="60"/>
              <w:left w:type="dxa" w:w="90"/>
              <w:bottom w:type="dxa" w:w="60"/>
              <w:right w:type="dxa" w:w="90"/>
            </w:tcMar>
            <w:vAlign w:val="center"/>
          </w:tcPr>
          <w:p>
            <w:pPr>
              <w:spacing w:after="0"/>
              <w:jc w:val="right"/>
            </w:pPr>
            <w:r>
              <w:rPr>
                <w:b w:val="false"/>
                <w:bCs w:val="false"/>
                <w:color w:val="1A1A1A"/>
                <w:sz w:val="18"/>
                <w:szCs w:val="18"/>
              </w:rPr>
              <w:t xml:space="preserve">7,790.54</w:t>
            </w:r>
          </w:p>
        </w:tc>
        <w:tc>
          <w:tcPr>
            <w:tcW w:type="dxa" w:w="3120"/>
            <w:tcMar>
              <w:top w:type="dxa" w:w="60"/>
              <w:left w:type="dxa" w:w="90"/>
              <w:bottom w:type="dxa" w:w="60"/>
              <w:right w:type="dxa" w:w="90"/>
            </w:tcMar>
            <w:vAlign w:val="center"/>
          </w:tcPr>
          <w:p>
            <w:pPr>
              <w:spacing w:after="0"/>
              <w:jc w:val="left"/>
            </w:pPr>
            <w:r>
              <w:rPr>
                <w:b w:val="false"/>
                <w:bCs w:val="false"/>
                <w:color w:val="1A1A1A"/>
                <w:sz w:val="18"/>
                <w:szCs w:val="18"/>
              </w:rPr>
              <w:t xml:space="preserve">—</w:t>
            </w:r>
          </w:p>
        </w:tc>
      </w:tr>
    </w:tbl>
    <w:p>
      <w:pPr>
        <w:spacing w:after="100"/>
      </w:pPr>
    </w:p>
    <w:p>
      <w:pPr>
        <w:spacing w:after="120" w:before="0"/>
      </w:pPr>
      <w:r>
        <w:rPr>
          <w:b/>
          <w:bCs/>
          <w:sz w:val="19"/>
          <w:szCs w:val="19"/>
        </w:rPr>
        <w:t xml:space="preserve">Position narrative. </w:t>
      </w:r>
      <w:r>
        <w:rPr>
          <w:sz w:val="19"/>
          <w:szCs w:val="19"/>
        </w:rPr>
        <w:t xml:space="preserve">The 22 May close of 10,466 sits above the daily pivot (10,418), above the weekly pivot (10,213) and above the monthly pivot (10,264) — a uniformly constructive pivot posture across all three timeframes. The immediate overhead obstacle is a </w:t>
      </w:r>
      <w:r>
        <w:rPr>
          <w:b/>
          <w:bCs/>
          <w:sz w:val="19"/>
          <w:szCs w:val="19"/>
        </w:rPr>
        <w:t xml:space="preserve">confluence zone</w:t>
      </w:r>
      <w:r>
        <w:rPr>
          <w:sz w:val="19"/>
          <w:szCs w:val="19"/>
        </w:rPr>
        <w:t xml:space="preserve"> where daily R1 (10,474), weekly R2 (10,485) and the daily R1.5 midpoint (10,489) cluster within roughly 15 points of each other and of the 22 May high (10,488). That band is the pivotal near-term decision area: a clean push through it opens daily R2 (10,504) and the round-number 10,500s; a rejection points back toward daily S1 (10,388). All pivot levels in this section are flagged indicative-only because the prior-period high/low/close inputs could not be fully two-source corroborated (see §19) — the §21 trade cards carry this caveat.</w:t>
      </w:r>
    </w:p>
    <w:p>
      <w:r>
        <w:br w:type="page"/>
      </w:r>
    </w:p>
    <w:p>
      <w:pPr>
        <w:pStyle w:val="Heading1"/>
      </w:pPr>
      <w:r>
        <w:t xml:space="preserve">12.  Key Market Considerations</w:t>
      </w:r>
    </w:p>
    <w:p>
      <w:pPr>
        <w:pBdr>
          <w:bottom w:val="single" w:color="BF8F00" w:sz="4" w:space="3"/>
        </w:pBdr>
        <w:spacing w:after="100" w:before="40"/>
      </w:pPr>
      <w:r>
        <w:rPr>
          <w:i/>
          <w:iCs/>
          <w:color w:val="BF8F00"/>
          <w:sz w:val="17"/>
          <w:szCs w:val="17"/>
        </w:rPr>
        <w:t xml:space="preserve">Structured fundamentals — each factor carries an explicit direction label.</w:t>
      </w:r>
    </w:p>
    <w:p>
      <w:pPr>
        <w:spacing w:after="40" w:before="80"/>
      </w:pPr>
      <w:r>
        <w:rPr>
          <w:b/>
          <w:bCs/>
          <w:color w:val="1F3A5F"/>
          <w:sz w:val="19"/>
          <w:szCs w:val="19"/>
        </w:rPr>
        <w:t xml:space="preserve">Demand / risk appetite — </w:t>
      </w:r>
      <w:r>
        <w:rPr>
          <w:b/>
          <w:bCs/>
          <w:color w:val="548235"/>
          <w:sz w:val="19"/>
          <w:szCs w:val="19"/>
        </w:rPr>
        <w:t xml:space="preserve">Price-supportive</w:t>
      </w:r>
      <w:r>
        <w:rPr>
          <w:i/>
          <w:iCs/>
          <w:color w:val="7A7A7A"/>
          <w:sz w:val="17"/>
          <w:szCs w:val="17"/>
        </w:rPr>
        <w:t xml:space="preserve">  [Cyclical]</w:t>
      </w:r>
    </w:p>
    <w:p>
      <w:pPr>
        <w:spacing w:after="120"/>
      </w:pPr>
      <w:r>
        <w:rPr>
          <w:sz w:val="19"/>
          <w:szCs w:val="19"/>
        </w:rPr>
        <w:t xml:space="preserve">Equity-index ‘demand’ is risk appetite for UK large-caps. The four-week losing streak that ended on 22 May had compressed positioning; the de-escalation rally drew buyers back across financials, miners and energy. Improved UK consumer confidence in May (a modest beat) is a marginal positive. The FTSE’s ~80% multinational revenue base means global growth expectations matter as much as the UK domestic picture.</w:t>
      </w:r>
    </w:p>
    <w:p>
      <w:pPr>
        <w:spacing w:after="40" w:before="80"/>
      </w:pPr>
      <w:r>
        <w:rPr>
          <w:b/>
          <w:bCs/>
          <w:color w:val="1F3A5F"/>
          <w:sz w:val="19"/>
          <w:szCs w:val="19"/>
        </w:rPr>
        <w:t xml:space="preserve">Energy and commodities — </w:t>
      </w:r>
      <w:r>
        <w:rPr>
          <w:b/>
          <w:bCs/>
          <w:color w:val="BF8F00"/>
          <w:sz w:val="19"/>
          <w:szCs w:val="19"/>
        </w:rPr>
        <w:t xml:space="preserve">Mixed / two-sided</w:t>
      </w:r>
      <w:r>
        <w:rPr>
          <w:i/>
          <w:iCs/>
          <w:color w:val="7A7A7A"/>
          <w:sz w:val="17"/>
          <w:szCs w:val="17"/>
        </w:rPr>
        <w:t xml:space="preserve">  [Cyclical]</w:t>
      </w:r>
    </w:p>
    <w:p>
      <w:pPr>
        <w:spacing w:after="120"/>
      </w:pPr>
      <w:r>
        <w:rPr>
          <w:sz w:val="19"/>
          <w:szCs w:val="19"/>
        </w:rPr>
        <w:t xml:space="preserve">The FTSE carries a heavy energy weighting via Shell and BP. Brent near $100 supports energy-sector earnings but, sustained, feeds UK inflation and complicates the rate outlook. On 22 May BP was among the largest single-stock laggards even as the index rose, illustrating that the energy tailwind is sector-specific and currently offset elsewhere. A genuine US–Iran de-escalation that pulls oil lower would be net-positive for the index by easing the inflation channel, despite trimming energy earnings.</w:t>
      </w:r>
    </w:p>
    <w:p>
      <w:pPr>
        <w:spacing w:after="40" w:before="80"/>
      </w:pPr>
      <w:r>
        <w:rPr>
          <w:b/>
          <w:bCs/>
          <w:color w:val="1F3A5F"/>
          <w:sz w:val="19"/>
          <w:szCs w:val="19"/>
        </w:rPr>
        <w:t xml:space="preserve">Policy and central banks — </w:t>
      </w:r>
      <w:r>
        <w:rPr>
          <w:b/>
          <w:bCs/>
          <w:color w:val="548235"/>
          <w:sz w:val="19"/>
          <w:szCs w:val="19"/>
        </w:rPr>
        <w:t xml:space="preserve">Price-supportive (near-term)</w:t>
      </w:r>
      <w:r>
        <w:rPr>
          <w:i/>
          <w:iCs/>
          <w:color w:val="7A7A7A"/>
          <w:sz w:val="17"/>
          <w:szCs w:val="17"/>
        </w:rPr>
        <w:t xml:space="preserve">  [Cyclical]</w:t>
      </w:r>
    </w:p>
    <w:p>
      <w:pPr>
        <w:spacing w:after="120"/>
      </w:pPr>
      <w:r>
        <w:rPr>
          <w:sz w:val="19"/>
          <w:szCs w:val="19"/>
        </w:rPr>
        <w:t xml:space="preserve">The Bank of England held Bank Rate at 3.75% on 29 April in an 8–1 vote, with one member favouring a hike. The week’s soft UK data — a retail-sales slump (−1.3% versus −0.6% expected) and higher public borrowing — reduced the market-implied odds of a near-term BoE hike, which is supportive for rate-sensitive UK equities. The European Central Bank backdrop is broadly stable. The direction of this factor is cyclical and could reverse quickly on a hot inflation print.</w:t>
      </w:r>
    </w:p>
    <w:p>
      <w:pPr>
        <w:spacing w:after="40" w:before="80"/>
      </w:pPr>
      <w:r>
        <w:rPr>
          <w:b/>
          <w:bCs/>
          <w:color w:val="1F3A5F"/>
          <w:sz w:val="19"/>
          <w:szCs w:val="19"/>
        </w:rPr>
        <w:t xml:space="preserve">Macro and FX — </w:t>
      </w:r>
      <w:r>
        <w:rPr>
          <w:b/>
          <w:bCs/>
          <w:color w:val="7A7A7A"/>
          <w:sz w:val="19"/>
          <w:szCs w:val="19"/>
        </w:rPr>
        <w:t xml:space="preserve">Neutral</w:t>
      </w:r>
      <w:r>
        <w:rPr>
          <w:i/>
          <w:iCs/>
          <w:color w:val="7A7A7A"/>
          <w:sz w:val="17"/>
          <w:szCs w:val="17"/>
        </w:rPr>
        <w:t xml:space="preserve">  [Cyclical]</w:t>
      </w:r>
    </w:p>
    <w:p>
      <w:pPr>
        <w:spacing w:after="120"/>
      </w:pPr>
      <w:r>
        <w:rPr>
          <w:sz w:val="19"/>
          <w:szCs w:val="19"/>
        </w:rPr>
        <w:t xml:space="preserve">Sterling moves are two-sided for the FTSE: GBP weakness lifts multinational earnings translation but can signal domestic stress. The Dollar Index is near-neutral. UK gilt yields have been elevated and politically sensitive amid pressure on the government — a watch item rather than an active driver this session.</w:t>
      </w:r>
    </w:p>
    <w:p>
      <w:pPr>
        <w:spacing w:after="40" w:before="80"/>
      </w:pPr>
      <w:r>
        <w:rPr>
          <w:b/>
          <w:bCs/>
          <w:color w:val="1F3A5F"/>
          <w:sz w:val="19"/>
          <w:szCs w:val="19"/>
        </w:rPr>
        <w:t xml:space="preserve">Substitution / relative value — </w:t>
      </w:r>
      <w:r>
        <w:rPr>
          <w:b/>
          <w:bCs/>
          <w:color w:val="548235"/>
          <w:sz w:val="19"/>
          <w:szCs w:val="19"/>
        </w:rPr>
        <w:t xml:space="preserve">Price-supportive</w:t>
      </w:r>
      <w:r>
        <w:rPr>
          <w:i/>
          <w:iCs/>
          <w:color w:val="7A7A7A"/>
          <w:sz w:val="17"/>
          <w:szCs w:val="17"/>
        </w:rPr>
        <w:t xml:space="preserve">  [Structural]</w:t>
      </w:r>
    </w:p>
    <w:p>
      <w:pPr>
        <w:spacing w:after="120"/>
      </w:pPr>
      <w:r>
        <w:rPr>
          <w:sz w:val="19"/>
          <w:szCs w:val="19"/>
        </w:rPr>
        <w:t xml:space="preserve">The FTSE 100 continues to trade at a valuation discount to the US and to several European peers, with a competitive dividend yield. That discount is a structural support for international allocation into UK large-caps and underpinned the exceptional 2025 performance; it does not, on its own, drive near-term direction.</w:t>
      </w:r>
    </w:p>
    <w:p>
      <w:pPr>
        <w:spacing w:after="40" w:before="80"/>
      </w:pPr>
      <w:r>
        <w:rPr>
          <w:b/>
          <w:bCs/>
          <w:color w:val="1F3A5F"/>
          <w:sz w:val="19"/>
          <w:szCs w:val="19"/>
        </w:rPr>
        <w:t xml:space="preserve">Near-term catalysts — </w:t>
      </w:r>
      <w:r>
        <w:rPr>
          <w:b/>
          <w:bCs/>
          <w:color w:val="BF8F00"/>
          <w:sz w:val="19"/>
          <w:szCs w:val="19"/>
        </w:rPr>
        <w:t xml:space="preserve">Watch — direction pending</w:t>
      </w:r>
      <w:r>
        <w:rPr>
          <w:i/>
          <w:iCs/>
          <w:color w:val="7A7A7A"/>
          <w:sz w:val="17"/>
          <w:szCs w:val="17"/>
        </w:rPr>
        <w:t xml:space="preserve">  [Cyclical]</w:t>
      </w:r>
    </w:p>
    <w:p>
      <w:pPr>
        <w:spacing w:after="120"/>
      </w:pPr>
      <w:r>
        <w:rPr>
          <w:sz w:val="19"/>
          <w:szCs w:val="19"/>
        </w:rPr>
        <w:t xml:space="preserve">The dominant scheduled risk over the 5-day horizon is the evolving UK inflation picture and the approach to the 18 June Bank of England decision, alongside any hard news from the US–Iran negotiations. A hawkish data surprise or a breakdown in the talks are the two events most capable of overturning the constructive near-term view. These are carried into §13d, §15 and §16.</w:t>
      </w:r>
    </w:p>
    <w:p>
      <w:r>
        <w:br w:type="page"/>
      </w:r>
    </w:p>
    <w:p>
      <w:pPr>
        <w:pStyle w:val="Heading1"/>
      </w:pPr>
      <w:r>
        <w:t xml:space="preserve">13.  Sentiment, News &amp; Calendar</w:t>
      </w:r>
    </w:p>
    <w:p>
      <w:pPr>
        <w:pBdr>
          <w:bottom w:val="single" w:color="BF8F00" w:sz="4" w:space="3"/>
        </w:pBdr>
        <w:spacing w:after="100" w:before="40"/>
      </w:pPr>
      <w:r>
        <w:rPr>
          <w:i/>
          <w:iCs/>
          <w:color w:val="BF8F00"/>
          <w:sz w:val="17"/>
          <w:szCs w:val="17"/>
        </w:rPr>
        <w:t xml:space="preserve">Per-article sentiment, aggregate tilt, and two-part news calendar.</w:t>
      </w:r>
    </w:p>
    <w:p>
      <w:pPr>
        <w:pStyle w:val="Heading2"/>
      </w:pPr>
      <w:r>
        <w:t xml:space="preserve">13a  Per-Article Sentiment Table</w:t>
      </w:r>
    </w:p>
    <w:p>
      <w:pPr>
        <w:spacing w:after="100" w:before="0"/>
      </w:pPr>
      <w:r>
        <w:rPr>
          <w:sz w:val="18"/>
          <w:szCs w:val="18"/>
        </w:rPr>
        <w:t xml:space="preserve">Articles sourced for the FTSE 100 over the lookback window. Each carries a derivation quote of fifteen words or fewer from the source that justifies the classification.</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1500"/>
        <w:gridCol w:w="1500"/>
        <w:gridCol w:w="1150"/>
        <w:gridCol w:w="1150"/>
        <w:gridCol w:w="4060"/>
      </w:tblGrid>
      <w:tr>
        <w:trPr>
          <w:tblHeader/>
        </w:trPr>
        <w:tc>
          <w:tcPr>
            <w:tcW w:type="dxa" w:w="1500"/>
            <w:shd w:fill="1F3A5F" w:val="clear"/>
            <w:tcMar>
              <w:top w:type="dxa" w:w="60"/>
              <w:left w:type="dxa" w:w="90"/>
              <w:bottom w:type="dxa" w:w="60"/>
              <w:right w:type="dxa" w:w="90"/>
            </w:tcMar>
            <w:vAlign w:val="center"/>
          </w:tcPr>
          <w:p>
            <w:pPr>
              <w:spacing w:after="0"/>
              <w:jc w:val="center"/>
            </w:pPr>
            <w:r>
              <w:rPr>
                <w:b/>
                <w:bCs/>
                <w:color w:val="FFFFFF"/>
                <w:sz w:val="17"/>
                <w:szCs w:val="17"/>
              </w:rPr>
              <w:t xml:space="preserve">Source</w:t>
            </w:r>
          </w:p>
        </w:tc>
        <w:tc>
          <w:tcPr>
            <w:tcW w:type="dxa" w:w="1500"/>
            <w:shd w:fill="1F3A5F" w:val="clear"/>
            <w:tcMar>
              <w:top w:type="dxa" w:w="60"/>
              <w:left w:type="dxa" w:w="90"/>
              <w:bottom w:type="dxa" w:w="60"/>
              <w:right w:type="dxa" w:w="90"/>
            </w:tcMar>
            <w:vAlign w:val="center"/>
          </w:tcPr>
          <w:p>
            <w:pPr>
              <w:spacing w:after="0"/>
              <w:jc w:val="center"/>
            </w:pPr>
            <w:r>
              <w:rPr>
                <w:b/>
                <w:bCs/>
                <w:color w:val="FFFFFF"/>
                <w:sz w:val="17"/>
                <w:szCs w:val="17"/>
              </w:rPr>
              <w:t xml:space="preserve">Date</w:t>
            </w:r>
          </w:p>
        </w:tc>
        <w:tc>
          <w:tcPr>
            <w:tcW w:type="dxa" w:w="1150"/>
            <w:shd w:fill="1F3A5F" w:val="clear"/>
            <w:tcMar>
              <w:top w:type="dxa" w:w="60"/>
              <w:left w:type="dxa" w:w="90"/>
              <w:bottom w:type="dxa" w:w="60"/>
              <w:right w:type="dxa" w:w="90"/>
            </w:tcMar>
            <w:vAlign w:val="center"/>
          </w:tcPr>
          <w:p>
            <w:pPr>
              <w:spacing w:after="0"/>
              <w:jc w:val="center"/>
            </w:pPr>
            <w:r>
              <w:rPr>
                <w:b/>
                <w:bCs/>
                <w:color w:val="FFFFFF"/>
                <w:sz w:val="17"/>
                <w:szCs w:val="17"/>
              </w:rPr>
              <w:t xml:space="preserve">Class.</w:t>
            </w:r>
          </w:p>
        </w:tc>
        <w:tc>
          <w:tcPr>
            <w:tcW w:type="dxa" w:w="1150"/>
            <w:shd w:fill="1F3A5F" w:val="clear"/>
            <w:tcMar>
              <w:top w:type="dxa" w:w="60"/>
              <w:left w:type="dxa" w:w="90"/>
              <w:bottom w:type="dxa" w:w="60"/>
              <w:right w:type="dxa" w:w="90"/>
            </w:tcMar>
            <w:vAlign w:val="center"/>
          </w:tcPr>
          <w:p>
            <w:pPr>
              <w:spacing w:after="0"/>
              <w:jc w:val="center"/>
            </w:pPr>
            <w:r>
              <w:rPr>
                <w:b/>
                <w:bCs/>
                <w:color w:val="FFFFFF"/>
                <w:sz w:val="17"/>
                <w:szCs w:val="17"/>
              </w:rPr>
              <w:t xml:space="preserve">Sentiment</w:t>
            </w:r>
          </w:p>
        </w:tc>
        <w:tc>
          <w:tcPr>
            <w:tcW w:type="dxa" w:w="4060"/>
            <w:shd w:fill="1F3A5F" w:val="clear"/>
            <w:tcMar>
              <w:top w:type="dxa" w:w="60"/>
              <w:left w:type="dxa" w:w="90"/>
              <w:bottom w:type="dxa" w:w="60"/>
              <w:right w:type="dxa" w:w="90"/>
            </w:tcMar>
            <w:vAlign w:val="center"/>
          </w:tcPr>
          <w:p>
            <w:pPr>
              <w:spacing w:after="0"/>
              <w:jc w:val="center"/>
            </w:pPr>
            <w:r>
              <w:rPr>
                <w:b/>
                <w:bCs/>
                <w:color w:val="FFFFFF"/>
                <w:sz w:val="17"/>
                <w:szCs w:val="17"/>
              </w:rPr>
              <w:t xml:space="preserve">Derivation quote (≤15 words)</w:t>
            </w:r>
          </w:p>
        </w:tc>
      </w:tr>
      <w:tr>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BBN Times</w:t>
            </w:r>
          </w:p>
        </w:tc>
        <w:tc>
          <w:tcPr>
            <w:tcW w:type="dxa" w:w="1500"/>
            <w:tcMar>
              <w:top w:type="dxa" w:w="60"/>
              <w:left w:type="dxa" w:w="90"/>
              <w:bottom w:type="dxa" w:w="60"/>
              <w:right w:type="dxa" w:w="90"/>
            </w:tcMar>
            <w:vAlign w:val="center"/>
          </w:tcPr>
          <w:p>
            <w:pPr>
              <w:spacing w:after="0"/>
              <w:jc w:val="center"/>
            </w:pPr>
            <w:r>
              <w:rPr>
                <w:b w:val="false"/>
                <w:bCs w:val="false"/>
                <w:color w:val="1A1A1A"/>
                <w:sz w:val="18"/>
                <w:szCs w:val="18"/>
              </w:rPr>
              <w:t xml:space="preserve">23 May 2026</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Media</w:t>
            </w:r>
          </w:p>
        </w:tc>
        <w:tc>
          <w:tcPr>
            <w:tcW w:type="dxa" w:w="1150"/>
            <w:tcMar>
              <w:top w:type="dxa" w:w="60"/>
              <w:left w:type="dxa" w:w="90"/>
              <w:bottom w:type="dxa" w:w="60"/>
              <w:right w:type="dxa" w:w="90"/>
            </w:tcMar>
            <w:vAlign w:val="center"/>
          </w:tcPr>
          <w:p>
            <w:pPr>
              <w:spacing w:after="0"/>
              <w:jc w:val="left"/>
            </w:pPr>
            <w:r>
              <w:rPr>
                <w:b/>
                <w:bCs/>
                <w:color w:val="548235"/>
                <w:sz w:val="18"/>
                <w:szCs w:val="18"/>
              </w:rPr>
              <w:t xml:space="preserve">Bullish</w:t>
            </w:r>
          </w:p>
        </w:tc>
        <w:tc>
          <w:tcPr>
            <w:tcW w:type="dxa" w:w="4060"/>
            <w:tcMar>
              <w:top w:type="dxa" w:w="60"/>
              <w:left w:type="dxa" w:w="90"/>
              <w:bottom w:type="dxa" w:w="60"/>
              <w:right w:type="dxa" w:w="90"/>
            </w:tcMar>
            <w:vAlign w:val="center"/>
          </w:tcPr>
          <w:p>
            <w:pPr>
              <w:spacing w:after="0"/>
              <w:jc w:val="left"/>
            </w:pPr>
            <w:r>
              <w:rPr>
                <w:b w:val="false"/>
                <w:bCs w:val="false"/>
                <w:color w:val="1A1A1A"/>
                <w:sz w:val="18"/>
                <w:szCs w:val="18"/>
              </w:rPr>
              <w:t xml:space="preserve">FTSE ‘advanced to its highest level since April’ as US–Iran optimism outweighed weak data.</w:t>
            </w:r>
          </w:p>
        </w:tc>
      </w:tr>
      <w:tr>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Trading Economics</w:t>
            </w:r>
          </w:p>
        </w:tc>
        <w:tc>
          <w:tcPr>
            <w:tcW w:type="dxa" w:w="15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22 May 2026</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Trade Press</w:t>
            </w:r>
          </w:p>
        </w:tc>
        <w:tc>
          <w:tcPr>
            <w:tcW w:type="dxa" w:w="1150"/>
            <w:shd w:fill="F2F5F8" w:val="clear"/>
            <w:tcMar>
              <w:top w:type="dxa" w:w="60"/>
              <w:left w:type="dxa" w:w="90"/>
              <w:bottom w:type="dxa" w:w="60"/>
              <w:right w:type="dxa" w:w="90"/>
            </w:tcMar>
            <w:vAlign w:val="center"/>
          </w:tcPr>
          <w:p>
            <w:pPr>
              <w:spacing w:after="0"/>
              <w:jc w:val="left"/>
            </w:pPr>
            <w:r>
              <w:rPr>
                <w:b/>
                <w:bCs/>
                <w:color w:val="548235"/>
                <w:sz w:val="18"/>
                <w:szCs w:val="18"/>
              </w:rPr>
              <w:t xml:space="preserve">Bullish</w:t>
            </w:r>
          </w:p>
        </w:tc>
        <w:tc>
          <w:tcPr>
            <w:tcW w:type="dxa" w:w="40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Index ‘positioned for a 2.8% weekly gain’ on US–Iran negotiation optimism.</w:t>
            </w:r>
          </w:p>
        </w:tc>
      </w:tr>
      <w:tr>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IBTimes</w:t>
            </w:r>
          </w:p>
        </w:tc>
        <w:tc>
          <w:tcPr>
            <w:tcW w:type="dxa" w:w="1500"/>
            <w:tcMar>
              <w:top w:type="dxa" w:w="60"/>
              <w:left w:type="dxa" w:w="90"/>
              <w:bottom w:type="dxa" w:w="60"/>
              <w:right w:type="dxa" w:w="90"/>
            </w:tcMar>
            <w:vAlign w:val="center"/>
          </w:tcPr>
          <w:p>
            <w:pPr>
              <w:spacing w:after="0"/>
              <w:jc w:val="center"/>
            </w:pPr>
            <w:r>
              <w:rPr>
                <w:b w:val="false"/>
                <w:bCs w:val="false"/>
                <w:color w:val="1A1A1A"/>
                <w:sz w:val="18"/>
                <w:szCs w:val="18"/>
              </w:rPr>
              <w:t xml:space="preserve">22 May 2026</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Media</w:t>
            </w:r>
          </w:p>
        </w:tc>
        <w:tc>
          <w:tcPr>
            <w:tcW w:type="dxa" w:w="1150"/>
            <w:tcMar>
              <w:top w:type="dxa" w:w="60"/>
              <w:left w:type="dxa" w:w="90"/>
              <w:bottom w:type="dxa" w:w="60"/>
              <w:right w:type="dxa" w:w="90"/>
            </w:tcMar>
            <w:vAlign w:val="center"/>
          </w:tcPr>
          <w:p>
            <w:pPr>
              <w:spacing w:after="0"/>
              <w:jc w:val="left"/>
            </w:pPr>
            <w:r>
              <w:rPr>
                <w:b/>
                <w:bCs/>
                <w:color w:val="548235"/>
                <w:sz w:val="18"/>
                <w:szCs w:val="18"/>
              </w:rPr>
              <w:t xml:space="preserve">Bullish</w:t>
            </w:r>
          </w:p>
        </w:tc>
        <w:tc>
          <w:tcPr>
            <w:tcW w:type="dxa" w:w="4060"/>
            <w:tcMar>
              <w:top w:type="dxa" w:w="60"/>
              <w:left w:type="dxa" w:w="90"/>
              <w:bottom w:type="dxa" w:w="60"/>
              <w:right w:type="dxa" w:w="90"/>
            </w:tcMar>
            <w:vAlign w:val="center"/>
          </w:tcPr>
          <w:p>
            <w:pPr>
              <w:spacing w:after="0"/>
              <w:jc w:val="left"/>
            </w:pPr>
            <w:r>
              <w:rPr>
                <w:b w:val="false"/>
                <w:bCs w:val="false"/>
                <w:color w:val="1A1A1A"/>
                <w:sz w:val="18"/>
                <w:szCs w:val="18"/>
              </w:rPr>
              <w:t xml:space="preserve">FTSE ‘ended a four-week losing streak’ driven by energy gains.</w:t>
            </w:r>
          </w:p>
        </w:tc>
      </w:tr>
      <w:tr>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Bank of England (MPR, Apr)</w:t>
            </w:r>
          </w:p>
        </w:tc>
        <w:tc>
          <w:tcPr>
            <w:tcW w:type="dxa" w:w="15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29 Apr 2026</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Official</w:t>
            </w:r>
          </w:p>
        </w:tc>
        <w:tc>
          <w:tcPr>
            <w:tcW w:type="dxa" w:w="1150"/>
            <w:shd w:fill="F2F5F8" w:val="clear"/>
            <w:tcMar>
              <w:top w:type="dxa" w:w="60"/>
              <w:left w:type="dxa" w:w="90"/>
              <w:bottom w:type="dxa" w:w="60"/>
              <w:right w:type="dxa" w:w="90"/>
            </w:tcMar>
            <w:vAlign w:val="center"/>
          </w:tcPr>
          <w:p>
            <w:pPr>
              <w:spacing w:after="0"/>
              <w:jc w:val="left"/>
            </w:pPr>
            <w:r>
              <w:rPr>
                <w:b/>
                <w:bCs/>
                <w:color w:val="548235"/>
                <w:sz w:val="18"/>
                <w:szCs w:val="18"/>
              </w:rPr>
              <w:t xml:space="preserve">Bullish</w:t>
            </w:r>
          </w:p>
        </w:tc>
        <w:tc>
          <w:tcPr>
            <w:tcW w:type="dxa" w:w="40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Rate held at 3.75%; reduced near-term hike odds are supportive for UK equities.</w:t>
            </w:r>
          </w:p>
        </w:tc>
      </w:tr>
      <w:tr>
        <w:tc>
          <w:tcPr>
            <w:tcW w:type="dxa" w:w="1500"/>
            <w:tcMar>
              <w:top w:type="dxa" w:w="60"/>
              <w:left w:type="dxa" w:w="90"/>
              <w:bottom w:type="dxa" w:w="60"/>
              <w:right w:type="dxa" w:w="90"/>
            </w:tcMar>
            <w:vAlign w:val="center"/>
          </w:tcPr>
          <w:p>
            <w:pPr>
              <w:spacing w:after="0"/>
              <w:jc w:val="left"/>
            </w:pPr>
            <w:r>
              <w:rPr>
                <w:b w:val="false"/>
                <w:bCs w:val="false"/>
                <w:color w:val="1A1A1A"/>
                <w:sz w:val="18"/>
                <w:szCs w:val="18"/>
              </w:rPr>
              <w:t xml:space="preserve">CNBC (UK markets)</w:t>
            </w:r>
          </w:p>
        </w:tc>
        <w:tc>
          <w:tcPr>
            <w:tcW w:type="dxa" w:w="1500"/>
            <w:tcMar>
              <w:top w:type="dxa" w:w="60"/>
              <w:left w:type="dxa" w:w="90"/>
              <w:bottom w:type="dxa" w:w="60"/>
              <w:right w:type="dxa" w:w="90"/>
            </w:tcMar>
            <w:vAlign w:val="center"/>
          </w:tcPr>
          <w:p>
            <w:pPr>
              <w:spacing w:after="0"/>
              <w:jc w:val="center"/>
            </w:pPr>
            <w:r>
              <w:rPr>
                <w:b w:val="false"/>
                <w:bCs w:val="false"/>
                <w:color w:val="1A1A1A"/>
                <w:sz w:val="18"/>
                <w:szCs w:val="18"/>
              </w:rPr>
              <w:t xml:space="preserve">21 May 2026</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Media</w:t>
            </w:r>
          </w:p>
        </w:tc>
        <w:tc>
          <w:tcPr>
            <w:tcW w:type="dxa" w:w="1150"/>
            <w:tcMar>
              <w:top w:type="dxa" w:w="60"/>
              <w:left w:type="dxa" w:w="90"/>
              <w:bottom w:type="dxa" w:w="60"/>
              <w:right w:type="dxa" w:w="90"/>
            </w:tcMar>
            <w:vAlign w:val="center"/>
          </w:tcPr>
          <w:p>
            <w:pPr>
              <w:spacing w:after="0"/>
              <w:jc w:val="left"/>
            </w:pPr>
            <w:r>
              <w:rPr>
                <w:b/>
                <w:bCs/>
                <w:color w:val="7A7A7A"/>
                <w:sz w:val="18"/>
                <w:szCs w:val="18"/>
              </w:rPr>
              <w:t xml:space="preserve">Neutral</w:t>
            </w:r>
          </w:p>
        </w:tc>
        <w:tc>
          <w:tcPr>
            <w:tcW w:type="dxa" w:w="4060"/>
            <w:tcMar>
              <w:top w:type="dxa" w:w="60"/>
              <w:left w:type="dxa" w:w="90"/>
              <w:bottom w:type="dxa" w:w="60"/>
              <w:right w:type="dxa" w:w="90"/>
            </w:tcMar>
            <w:vAlign w:val="center"/>
          </w:tcPr>
          <w:p>
            <w:pPr>
              <w:spacing w:after="0"/>
              <w:jc w:val="left"/>
            </w:pPr>
            <w:r>
              <w:rPr>
                <w:b w:val="false"/>
                <w:bCs w:val="false"/>
                <w:color w:val="1A1A1A"/>
                <w:sz w:val="18"/>
                <w:szCs w:val="18"/>
              </w:rPr>
              <w:t xml:space="preserve">‘Political turmoil rattles British markets’ — mixed read, no clear directional call.</w:t>
            </w:r>
          </w:p>
        </w:tc>
      </w:tr>
      <w:tr>
        <w:tc>
          <w:tcPr>
            <w:tcW w:type="dxa" w:w="1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Morningstar (rate outlook)</w:t>
            </w:r>
          </w:p>
        </w:tc>
        <w:tc>
          <w:tcPr>
            <w:tcW w:type="dxa" w:w="15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Jan 2026</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Institutional</w:t>
            </w:r>
          </w:p>
        </w:tc>
        <w:tc>
          <w:tcPr>
            <w:tcW w:type="dxa" w:w="1150"/>
            <w:shd w:fill="F2F5F8" w:val="clear"/>
            <w:tcMar>
              <w:top w:type="dxa" w:w="60"/>
              <w:left w:type="dxa" w:w="90"/>
              <w:bottom w:type="dxa" w:w="60"/>
              <w:right w:type="dxa" w:w="90"/>
            </w:tcMar>
            <w:vAlign w:val="center"/>
          </w:tcPr>
          <w:p>
            <w:pPr>
              <w:spacing w:after="0"/>
              <w:jc w:val="left"/>
            </w:pPr>
            <w:r>
              <w:rPr>
                <w:b/>
                <w:bCs/>
                <w:color w:val="C0392B"/>
                <w:sz w:val="18"/>
                <w:szCs w:val="18"/>
              </w:rPr>
              <w:t xml:space="preserve">Bearish</w:t>
            </w:r>
          </w:p>
        </w:tc>
        <w:tc>
          <w:tcPr>
            <w:tcW w:type="dxa" w:w="40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‘Highest base rate of the G7’ flagged as a structural headwind for UK risk assets.</w:t>
            </w:r>
          </w:p>
        </w:tc>
      </w:tr>
    </w:tbl>
    <w:p>
      <w:pPr>
        <w:spacing w:after="100"/>
      </w:pPr>
    </w:p>
    <w:p>
      <w:pPr>
        <w:pStyle w:val="Heading2"/>
      </w:pPr>
      <w:r>
        <w:t xml:space="preserve">13b  Aggregate Sentiment Summary</w:t>
      </w:r>
    </w:p>
    <w:p>
      <w:pPr>
        <w:spacing w:after="100" w:before="0"/>
      </w:pPr>
      <w:r>
        <w:rPr>
          <w:b/>
          <w:bCs/>
          <w:sz w:val="19"/>
          <w:szCs w:val="19"/>
        </w:rPr>
        <w:t xml:space="preserve">Counts: </w:t>
      </w:r>
      <w:r>
        <w:rPr>
          <w:sz w:val="19"/>
          <w:szCs w:val="19"/>
        </w:rPr>
        <w:t xml:space="preserve">4 Bullish (1 official, 1 trade press, 2 media), 1 Neutral (media), 1 Bearish (institutional) — categorical label </w:t>
      </w:r>
      <w:r>
        <w:rPr>
          <w:b/>
          <w:bCs/>
          <w:color w:val="548235"/>
          <w:sz w:val="19"/>
          <w:szCs w:val="19"/>
        </w:rPr>
        <w:t xml:space="preserve">Predominantly Bullish</w:t>
      </w:r>
      <w:r>
        <w:rPr>
          <w:sz w:val="19"/>
          <w:szCs w:val="19"/>
        </w:rPr>
        <w:t xml:space="preserve">.</w:t>
      </w:r>
    </w:p>
    <w:p>
      <w:pPr>
        <w:spacing w:after="100" w:before="0"/>
      </w:pPr>
      <w:r>
        <w:rPr>
          <w:b/>
          <w:bCs/>
          <w:sz w:val="19"/>
          <w:szCs w:val="19"/>
        </w:rPr>
        <w:t xml:space="preserve">Numeric tilt: </w:t>
      </w:r>
      <w:r>
        <w:rPr>
          <w:b/>
          <w:bCs/>
          <w:color w:val="548235"/>
          <w:sz w:val="19"/>
          <w:szCs w:val="19"/>
        </w:rPr>
        <w:t xml:space="preserve">+0.36</w:t>
      </w:r>
      <w:r>
        <w:rPr>
          <w:sz w:val="19"/>
          <w:szCs w:val="19"/>
        </w:rPr>
        <w:t xml:space="preserve">. Computed as the source-class-weighted mean of article scores: Σ(weight×score) = +1.7 over Σ(weight) = 4.7. Institutional and official sources carry weight 1.0, trade press 0.7, media 0.5. The single Bearish institutional article (the structural high-rates argument) materially offsets the four Bullish articles, which is why the tilt is moderate rather than strongly positive. Reported as: Predominantly Bullish (tilt = +0.36).</w:t>
      </w:r>
    </w:p>
    <w:p>
      <w:pPr>
        <w:spacing w:after="100" w:before="0"/>
      </w:pPr>
      <w:r>
        <w:rPr>
          <w:b/>
          <w:bCs/>
          <w:sz w:val="19"/>
          <w:szCs w:val="19"/>
        </w:rPr>
        <w:t xml:space="preserve">Divergence flag: </w:t>
      </w:r>
      <w:r>
        <w:rPr>
          <w:sz w:val="19"/>
          <w:szCs w:val="19"/>
        </w:rPr>
        <w:t xml:space="preserve">none. Aggregate sentiment is bullish and price action is bullish — the two agree, and both align with the §10 cross-asset read. The mild internal tension is between near-term news flow (bullish) and the structural rates argument (bearish); the near-term flow is the more relevant signal over the 5-day horizon.</w:t>
      </w:r>
    </w:p>
    <w:p>
      <w:pPr>
        <w:spacing w:after="140" w:before="0"/>
      </w:pPr>
      <w:r>
        <w:rPr>
          <w:i/>
          <w:iCs/>
          <w:sz w:val="18"/>
          <w:szCs w:val="18"/>
        </w:rPr>
        <w:t xml:space="preserve">Low-confidence flag: not triggered — the tilt is computed on six articles, above the three-article minimum.</w:t>
      </w:r>
    </w:p>
    <w:p>
      <w:pPr>
        <w:pStyle w:val="Heading2"/>
      </w:pPr>
      <w:r>
        <w:t xml:space="preserve">13c  News Calendar — Previous Period</w:t>
      </w:r>
    </w:p>
    <w:p>
      <w:pPr>
        <w:spacing w:after="100" w:before="0"/>
      </w:pPr>
      <w:r>
        <w:rPr>
          <w:sz w:val="18"/>
          <w:szCs w:val="18"/>
        </w:rPr>
        <w:t xml:space="preserve">Events material to the FTSE 100 or its counters over the five sessions ending 22 May 2026.</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1250"/>
        <w:gridCol w:w="2100"/>
        <w:gridCol w:w="2100"/>
        <w:gridCol w:w="1000"/>
        <w:gridCol w:w="2910"/>
      </w:tblGrid>
      <w:tr>
        <w:trPr>
          <w:tblHeader/>
        </w:trPr>
        <w:tc>
          <w:tcPr>
            <w:tcW w:type="dxa" w:w="1250"/>
            <w:shd w:fill="1F3A5F" w:val="clear"/>
            <w:tcMar>
              <w:top w:type="dxa" w:w="60"/>
              <w:left w:type="dxa" w:w="90"/>
              <w:bottom w:type="dxa" w:w="60"/>
              <w:right w:type="dxa" w:w="90"/>
            </w:tcMar>
            <w:vAlign w:val="center"/>
          </w:tcPr>
          <w:p>
            <w:pPr>
              <w:spacing w:after="0"/>
              <w:jc w:val="center"/>
            </w:pPr>
            <w:r>
              <w:rPr>
                <w:b/>
                <w:bCs/>
                <w:color w:val="FFFFFF"/>
                <w:sz w:val="17"/>
                <w:szCs w:val="17"/>
              </w:rPr>
              <w:t xml:space="preserve">Date</w:t>
            </w:r>
          </w:p>
        </w:tc>
        <w:tc>
          <w:tcPr>
            <w:tcW w:type="dxa" w:w="2100"/>
            <w:shd w:fill="1F3A5F" w:val="clear"/>
            <w:tcMar>
              <w:top w:type="dxa" w:w="60"/>
              <w:left w:type="dxa" w:w="90"/>
              <w:bottom w:type="dxa" w:w="60"/>
              <w:right w:type="dxa" w:w="90"/>
            </w:tcMar>
            <w:vAlign w:val="center"/>
          </w:tcPr>
          <w:p>
            <w:pPr>
              <w:spacing w:after="0"/>
              <w:jc w:val="center"/>
            </w:pPr>
            <w:r>
              <w:rPr>
                <w:b/>
                <w:bCs/>
                <w:color w:val="FFFFFF"/>
                <w:sz w:val="17"/>
                <w:szCs w:val="17"/>
              </w:rPr>
              <w:t xml:space="preserve">Event</w:t>
            </w:r>
          </w:p>
        </w:tc>
        <w:tc>
          <w:tcPr>
            <w:tcW w:type="dxa" w:w="2100"/>
            <w:shd w:fill="1F3A5F" w:val="clear"/>
            <w:tcMar>
              <w:top w:type="dxa" w:w="60"/>
              <w:left w:type="dxa" w:w="90"/>
              <w:bottom w:type="dxa" w:w="60"/>
              <w:right w:type="dxa" w:w="90"/>
            </w:tcMar>
            <w:vAlign w:val="center"/>
          </w:tcPr>
          <w:p>
            <w:pPr>
              <w:spacing w:after="0"/>
              <w:jc w:val="center"/>
            </w:pPr>
            <w:r>
              <w:rPr>
                <w:b/>
                <w:bCs/>
                <w:color w:val="FFFFFF"/>
                <w:sz w:val="17"/>
                <w:szCs w:val="17"/>
              </w:rPr>
              <w:t xml:space="preserve">Prior / Context</w:t>
            </w:r>
          </w:p>
        </w:tc>
        <w:tc>
          <w:tcPr>
            <w:tcW w:type="dxa" w:w="1000"/>
            <w:shd w:fill="1F3A5F" w:val="clear"/>
            <w:tcMar>
              <w:top w:type="dxa" w:w="60"/>
              <w:left w:type="dxa" w:w="90"/>
              <w:bottom w:type="dxa" w:w="60"/>
              <w:right w:type="dxa" w:w="90"/>
            </w:tcMar>
            <w:vAlign w:val="center"/>
          </w:tcPr>
          <w:p>
            <w:pPr>
              <w:spacing w:after="0"/>
              <w:jc w:val="center"/>
            </w:pPr>
            <w:r>
              <w:rPr>
                <w:b/>
                <w:bCs/>
                <w:color w:val="FFFFFF"/>
                <w:sz w:val="17"/>
                <w:szCs w:val="17"/>
              </w:rPr>
              <w:t xml:space="preserve">Impact</w:t>
            </w:r>
          </w:p>
        </w:tc>
        <w:tc>
          <w:tcPr>
            <w:tcW w:type="dxa" w:w="2910"/>
            <w:shd w:fill="1F3A5F" w:val="clear"/>
            <w:tcMar>
              <w:top w:type="dxa" w:w="60"/>
              <w:left w:type="dxa" w:w="90"/>
              <w:bottom w:type="dxa" w:w="60"/>
              <w:right w:type="dxa" w:w="90"/>
            </w:tcMar>
            <w:vAlign w:val="center"/>
          </w:tcPr>
          <w:p>
            <w:pPr>
              <w:spacing w:after="0"/>
              <w:jc w:val="center"/>
            </w:pPr>
            <w:r>
              <w:rPr>
                <w:b/>
                <w:bCs/>
                <w:color w:val="FFFFFF"/>
                <w:sz w:val="17"/>
                <w:szCs w:val="17"/>
              </w:rPr>
              <w:t xml:space="preserve">Market Implication for FTSE 100</w:t>
            </w:r>
          </w:p>
        </w:tc>
      </w:tr>
      <w:tr>
        <w:tc>
          <w:tcPr>
            <w:tcW w:type="dxa" w:w="1250"/>
            <w:tcMar>
              <w:top w:type="dxa" w:w="60"/>
              <w:left w:type="dxa" w:w="90"/>
              <w:bottom w:type="dxa" w:w="60"/>
              <w:right w:type="dxa" w:w="90"/>
            </w:tcMar>
            <w:vAlign w:val="center"/>
          </w:tcPr>
          <w:p>
            <w:pPr>
              <w:spacing w:after="0"/>
              <w:jc w:val="center"/>
            </w:pPr>
            <w:r>
              <w:rPr>
                <w:b w:val="false"/>
                <w:bCs w:val="false"/>
                <w:color w:val="1A1A1A"/>
                <w:sz w:val="18"/>
                <w:szCs w:val="18"/>
              </w:rPr>
              <w:t xml:space="preserve">Mon 18 May</w:t>
            </w:r>
          </w:p>
        </w:tc>
        <w:tc>
          <w:tcPr>
            <w:tcW w:type="dxa" w:w="2100"/>
            <w:tcMar>
              <w:top w:type="dxa" w:w="60"/>
              <w:left w:type="dxa" w:w="90"/>
              <w:bottom w:type="dxa" w:w="60"/>
              <w:right w:type="dxa" w:w="90"/>
            </w:tcMar>
            <w:vAlign w:val="center"/>
          </w:tcPr>
          <w:p>
            <w:pPr>
              <w:spacing w:after="0"/>
              <w:jc w:val="left"/>
            </w:pPr>
            <w:r>
              <w:rPr>
                <w:b w:val="false"/>
                <w:bCs w:val="false"/>
                <w:color w:val="1A1A1A"/>
                <w:sz w:val="18"/>
                <w:szCs w:val="18"/>
              </w:rPr>
              <w:t xml:space="preserve">US–Iran de-escalation headlines</w:t>
            </w:r>
          </w:p>
        </w:tc>
        <w:tc>
          <w:tcPr>
            <w:tcW w:type="dxa" w:w="2100"/>
            <w:tcMar>
              <w:top w:type="dxa" w:w="60"/>
              <w:left w:type="dxa" w:w="90"/>
              <w:bottom w:type="dxa" w:w="60"/>
              <w:right w:type="dxa" w:w="90"/>
            </w:tcMar>
            <w:vAlign w:val="center"/>
          </w:tcPr>
          <w:p>
            <w:pPr>
              <w:spacing w:after="0"/>
              <w:jc w:val="left"/>
            </w:pPr>
            <w:r>
              <w:rPr>
                <w:b w:val="false"/>
                <w:bCs w:val="false"/>
                <w:color w:val="1A1A1A"/>
                <w:sz w:val="18"/>
                <w:szCs w:val="18"/>
              </w:rPr>
              <w:t xml:space="preserve">Follows a tense period; Trump Iran rhetoric</w:t>
            </w:r>
          </w:p>
        </w:tc>
        <w:tc>
          <w:tcPr>
            <w:tcW w:type="dxa" w:w="1000"/>
            <w:tcMar>
              <w:top w:type="dxa" w:w="60"/>
              <w:left w:type="dxa" w:w="90"/>
              <w:bottom w:type="dxa" w:w="60"/>
              <w:right w:type="dxa" w:w="90"/>
            </w:tcMar>
            <w:vAlign w:val="center"/>
          </w:tcPr>
          <w:p>
            <w:pPr>
              <w:spacing w:after="0"/>
              <w:jc w:val="center"/>
            </w:pPr>
            <w:r>
              <w:rPr>
                <w:b w:val="false"/>
                <w:bCs w:val="false"/>
                <w:color w:val="1A1A1A"/>
                <w:sz w:val="18"/>
                <w:szCs w:val="18"/>
              </w:rPr>
              <w:t xml:space="preserve">High</w:t>
            </w:r>
          </w:p>
        </w:tc>
        <w:tc>
          <w:tcPr>
            <w:tcW w:type="dxa" w:w="2910"/>
            <w:tcMar>
              <w:top w:type="dxa" w:w="60"/>
              <w:left w:type="dxa" w:w="90"/>
              <w:bottom w:type="dxa" w:w="60"/>
              <w:right w:type="dxa" w:w="90"/>
            </w:tcMar>
            <w:vAlign w:val="center"/>
          </w:tcPr>
          <w:p>
            <w:pPr>
              <w:spacing w:after="0"/>
              <w:jc w:val="left"/>
            </w:pPr>
            <w:r>
              <w:rPr>
                <w:b w:val="false"/>
                <w:bCs w:val="false"/>
                <w:color w:val="1A1A1A"/>
                <w:sz w:val="18"/>
                <w:szCs w:val="18"/>
              </w:rPr>
              <w:t xml:space="preserve">Triggered the rebound; risk premium compressed, energy and risk assets bid.</w:t>
            </w:r>
          </w:p>
        </w:tc>
      </w:tr>
      <w:tr>
        <w:tc>
          <w:tcPr>
            <w:tcW w:type="dxa" w:w="12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Tue 19 May</w:t>
            </w:r>
          </w:p>
        </w:tc>
        <w:tc>
          <w:tcPr>
            <w:tcW w:type="dxa" w:w="21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UK unemployment data</w:t>
            </w:r>
          </w:p>
        </w:tc>
        <w:tc>
          <w:tcPr>
            <w:tcW w:type="dxa" w:w="21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Labour market softening</w:t>
            </w:r>
          </w:p>
        </w:tc>
        <w:tc>
          <w:tcPr>
            <w:tcW w:type="dxa" w:w="10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Medium</w:t>
            </w:r>
          </w:p>
        </w:tc>
        <w:tc>
          <w:tcPr>
            <w:tcW w:type="dxa" w:w="291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Mildly soft; reinforced the lower-for-longer rate narrative — index advanced modestly.</w:t>
            </w:r>
          </w:p>
        </w:tc>
      </w:tr>
      <w:tr>
        <w:tc>
          <w:tcPr>
            <w:tcW w:type="dxa" w:w="1250"/>
            <w:tcMar>
              <w:top w:type="dxa" w:w="60"/>
              <w:left w:type="dxa" w:w="90"/>
              <w:bottom w:type="dxa" w:w="60"/>
              <w:right w:type="dxa" w:w="90"/>
            </w:tcMar>
            <w:vAlign w:val="center"/>
          </w:tcPr>
          <w:p>
            <w:pPr>
              <w:spacing w:after="0"/>
              <w:jc w:val="center"/>
            </w:pPr>
            <w:r>
              <w:rPr>
                <w:b w:val="false"/>
                <w:bCs w:val="false"/>
                <w:color w:val="1A1A1A"/>
                <w:sz w:val="18"/>
                <w:szCs w:val="18"/>
              </w:rPr>
              <w:t xml:space="preserve">Wed 20 May</w:t>
            </w:r>
          </w:p>
        </w:tc>
        <w:tc>
          <w:tcPr>
            <w:tcW w:type="dxa" w:w="2100"/>
            <w:tcMar>
              <w:top w:type="dxa" w:w="60"/>
              <w:left w:type="dxa" w:w="90"/>
              <w:bottom w:type="dxa" w:w="60"/>
              <w:right w:type="dxa" w:w="90"/>
            </w:tcMar>
            <w:vAlign w:val="center"/>
          </w:tcPr>
          <w:p>
            <w:pPr>
              <w:spacing w:after="0"/>
              <w:jc w:val="left"/>
            </w:pPr>
            <w:r>
              <w:rPr>
                <w:b w:val="false"/>
                <w:bCs w:val="false"/>
                <w:color w:val="1A1A1A"/>
                <w:sz w:val="18"/>
                <w:szCs w:val="18"/>
              </w:rPr>
              <w:t xml:space="preserve">UK CPI / gilt yields in focus</w:t>
            </w:r>
          </w:p>
        </w:tc>
        <w:tc>
          <w:tcPr>
            <w:tcW w:type="dxa" w:w="2100"/>
            <w:tcMar>
              <w:top w:type="dxa" w:w="60"/>
              <w:left w:type="dxa" w:w="90"/>
              <w:bottom w:type="dxa" w:w="60"/>
              <w:right w:type="dxa" w:w="90"/>
            </w:tcMar>
            <w:vAlign w:val="center"/>
          </w:tcPr>
          <w:p>
            <w:pPr>
              <w:spacing w:after="0"/>
              <w:jc w:val="left"/>
            </w:pPr>
            <w:r>
              <w:rPr>
                <w:b w:val="false"/>
                <w:bCs w:val="false"/>
                <w:color w:val="1A1A1A"/>
                <w:sz w:val="18"/>
                <w:szCs w:val="18"/>
              </w:rPr>
              <w:t xml:space="preserve">Inflation above the 2% target</w:t>
            </w:r>
          </w:p>
        </w:tc>
        <w:tc>
          <w:tcPr>
            <w:tcW w:type="dxa" w:w="1000"/>
            <w:tcMar>
              <w:top w:type="dxa" w:w="60"/>
              <w:left w:type="dxa" w:w="90"/>
              <w:bottom w:type="dxa" w:w="60"/>
              <w:right w:type="dxa" w:w="90"/>
            </w:tcMar>
            <w:vAlign w:val="center"/>
          </w:tcPr>
          <w:p>
            <w:pPr>
              <w:spacing w:after="0"/>
              <w:jc w:val="center"/>
            </w:pPr>
            <w:r>
              <w:rPr>
                <w:b w:val="false"/>
                <w:bCs w:val="false"/>
                <w:color w:val="1A1A1A"/>
                <w:sz w:val="18"/>
                <w:szCs w:val="18"/>
              </w:rPr>
              <w:t xml:space="preserve">Medium</w:t>
            </w:r>
          </w:p>
        </w:tc>
        <w:tc>
          <w:tcPr>
            <w:tcW w:type="dxa" w:w="2910"/>
            <w:tcMar>
              <w:top w:type="dxa" w:w="60"/>
              <w:left w:type="dxa" w:w="90"/>
              <w:bottom w:type="dxa" w:w="60"/>
              <w:right w:type="dxa" w:w="90"/>
            </w:tcMar>
            <w:vAlign w:val="center"/>
          </w:tcPr>
          <w:p>
            <w:pPr>
              <w:spacing w:after="0"/>
              <w:jc w:val="left"/>
            </w:pPr>
            <w:r>
              <w:rPr>
                <w:b w:val="false"/>
                <w:bCs w:val="false"/>
                <w:color w:val="1A1A1A"/>
                <w:sz w:val="18"/>
                <w:szCs w:val="18"/>
              </w:rPr>
              <w:t xml:space="preserve">Equities looked through the data; index extended on the day.</w:t>
            </w:r>
          </w:p>
        </w:tc>
      </w:tr>
      <w:tr>
        <w:tc>
          <w:tcPr>
            <w:tcW w:type="dxa" w:w="12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Thu 21 May</w:t>
            </w:r>
          </w:p>
        </w:tc>
        <w:tc>
          <w:tcPr>
            <w:tcW w:type="dxa" w:w="21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UK political turmoil; gilt volatility</w:t>
            </w:r>
          </w:p>
        </w:tc>
        <w:tc>
          <w:tcPr>
            <w:tcW w:type="dxa" w:w="21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Pressure on the government</w:t>
            </w:r>
          </w:p>
        </w:tc>
        <w:tc>
          <w:tcPr>
            <w:tcW w:type="dxa" w:w="10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Medium</w:t>
            </w:r>
          </w:p>
        </w:tc>
        <w:tc>
          <w:tcPr>
            <w:tcW w:type="dxa" w:w="291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Despite the headlines the index closed a touch higher — buyers in control.</w:t>
            </w:r>
          </w:p>
        </w:tc>
      </w:tr>
      <w:tr>
        <w:tc>
          <w:tcPr>
            <w:tcW w:type="dxa" w:w="1250"/>
            <w:tcMar>
              <w:top w:type="dxa" w:w="60"/>
              <w:left w:type="dxa" w:w="90"/>
              <w:bottom w:type="dxa" w:w="60"/>
              <w:right w:type="dxa" w:w="90"/>
            </w:tcMar>
            <w:vAlign w:val="center"/>
          </w:tcPr>
          <w:p>
            <w:pPr>
              <w:spacing w:after="0"/>
              <w:jc w:val="center"/>
            </w:pPr>
            <w:r>
              <w:rPr>
                <w:b w:val="false"/>
                <w:bCs w:val="false"/>
                <w:color w:val="1A1A1A"/>
                <w:sz w:val="18"/>
                <w:szCs w:val="18"/>
              </w:rPr>
              <w:t xml:space="preserve">Fri 22 May</w:t>
            </w:r>
          </w:p>
        </w:tc>
        <w:tc>
          <w:tcPr>
            <w:tcW w:type="dxa" w:w="2100"/>
            <w:tcMar>
              <w:top w:type="dxa" w:w="60"/>
              <w:left w:type="dxa" w:w="90"/>
              <w:bottom w:type="dxa" w:w="60"/>
              <w:right w:type="dxa" w:w="90"/>
            </w:tcMar>
            <w:vAlign w:val="center"/>
          </w:tcPr>
          <w:p>
            <w:pPr>
              <w:spacing w:after="0"/>
              <w:jc w:val="left"/>
            </w:pPr>
            <w:r>
              <w:rPr>
                <w:b w:val="false"/>
                <w:bCs w:val="false"/>
                <w:color w:val="1A1A1A"/>
                <w:sz w:val="18"/>
                <w:szCs w:val="18"/>
              </w:rPr>
              <w:t xml:space="preserve">UK retail sales &amp; public borrowing</w:t>
            </w:r>
          </w:p>
        </w:tc>
        <w:tc>
          <w:tcPr>
            <w:tcW w:type="dxa" w:w="2100"/>
            <w:tcMar>
              <w:top w:type="dxa" w:w="60"/>
              <w:left w:type="dxa" w:w="90"/>
              <w:bottom w:type="dxa" w:w="60"/>
              <w:right w:type="dxa" w:w="90"/>
            </w:tcMar>
            <w:vAlign w:val="center"/>
          </w:tcPr>
          <w:p>
            <w:pPr>
              <w:spacing w:after="0"/>
              <w:jc w:val="left"/>
            </w:pPr>
            <w:r>
              <w:rPr>
                <w:b w:val="false"/>
                <w:bCs w:val="false"/>
                <w:color w:val="1A1A1A"/>
                <w:sz w:val="18"/>
                <w:szCs w:val="18"/>
              </w:rPr>
              <w:t xml:space="preserve">Retail sales −1.3% vs −0.6% expected</w:t>
            </w:r>
          </w:p>
        </w:tc>
        <w:tc>
          <w:tcPr>
            <w:tcW w:type="dxa" w:w="1000"/>
            <w:tcMar>
              <w:top w:type="dxa" w:w="60"/>
              <w:left w:type="dxa" w:w="90"/>
              <w:bottom w:type="dxa" w:w="60"/>
              <w:right w:type="dxa" w:w="90"/>
            </w:tcMar>
            <w:vAlign w:val="center"/>
          </w:tcPr>
          <w:p>
            <w:pPr>
              <w:spacing w:after="0"/>
              <w:jc w:val="center"/>
            </w:pPr>
            <w:r>
              <w:rPr>
                <w:b w:val="false"/>
                <w:bCs w:val="false"/>
                <w:color w:val="1A1A1A"/>
                <w:sz w:val="18"/>
                <w:szCs w:val="18"/>
              </w:rPr>
              <w:t xml:space="preserve">High</w:t>
            </w:r>
          </w:p>
        </w:tc>
        <w:tc>
          <w:tcPr>
            <w:tcW w:type="dxa" w:w="2910"/>
            <w:tcMar>
              <w:top w:type="dxa" w:w="60"/>
              <w:left w:type="dxa" w:w="90"/>
              <w:bottom w:type="dxa" w:w="60"/>
              <w:right w:type="dxa" w:w="90"/>
            </w:tcMar>
            <w:vAlign w:val="center"/>
          </w:tcPr>
          <w:p>
            <w:pPr>
              <w:spacing w:after="0"/>
              <w:jc w:val="left"/>
            </w:pPr>
            <w:r>
              <w:rPr>
                <w:b w:val="false"/>
                <w:bCs w:val="false"/>
                <w:color w:val="1A1A1A"/>
                <w:sz w:val="18"/>
                <w:szCs w:val="18"/>
              </w:rPr>
              <w:t xml:space="preserve">Soft data cut near-term BoE hike odds; index closed at a multi-week high, +2.7% on the week.</w:t>
            </w:r>
          </w:p>
        </w:tc>
      </w:tr>
    </w:tbl>
    <w:p>
      <w:pPr>
        <w:spacing w:after="120"/>
      </w:pPr>
    </w:p>
    <w:p>
      <w:pPr>
        <w:pStyle w:val="Heading2"/>
      </w:pPr>
      <w:r>
        <w:t xml:space="preserve">13d  News Calendar — Upcoming Period</w:t>
      </w:r>
    </w:p>
    <w:p>
      <w:pPr>
        <w:spacing w:after="100" w:before="0"/>
      </w:pPr>
      <w:r>
        <w:rPr>
          <w:sz w:val="18"/>
          <w:szCs w:val="18"/>
        </w:rPr>
        <w:t xml:space="preserve">Events over the next five trading days and into the near-term horizon that could move the FTSE 100.</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1250"/>
        <w:gridCol w:w="2100"/>
        <w:gridCol w:w="2100"/>
        <w:gridCol w:w="1000"/>
        <w:gridCol w:w="2910"/>
      </w:tblGrid>
      <w:tr>
        <w:trPr>
          <w:tblHeader/>
        </w:trPr>
        <w:tc>
          <w:tcPr>
            <w:tcW w:type="dxa" w:w="1250"/>
            <w:shd w:fill="1F3A5F" w:val="clear"/>
            <w:tcMar>
              <w:top w:type="dxa" w:w="60"/>
              <w:left w:type="dxa" w:w="90"/>
              <w:bottom w:type="dxa" w:w="60"/>
              <w:right w:type="dxa" w:w="90"/>
            </w:tcMar>
            <w:vAlign w:val="center"/>
          </w:tcPr>
          <w:p>
            <w:pPr>
              <w:spacing w:after="0"/>
              <w:jc w:val="center"/>
            </w:pPr>
            <w:r>
              <w:rPr>
                <w:b/>
                <w:bCs/>
                <w:color w:val="FFFFFF"/>
                <w:sz w:val="17"/>
                <w:szCs w:val="17"/>
              </w:rPr>
              <w:t xml:space="preserve">Date</w:t>
            </w:r>
          </w:p>
        </w:tc>
        <w:tc>
          <w:tcPr>
            <w:tcW w:type="dxa" w:w="2100"/>
            <w:shd w:fill="1F3A5F" w:val="clear"/>
            <w:tcMar>
              <w:top w:type="dxa" w:w="60"/>
              <w:left w:type="dxa" w:w="90"/>
              <w:bottom w:type="dxa" w:w="60"/>
              <w:right w:type="dxa" w:w="90"/>
            </w:tcMar>
            <w:vAlign w:val="center"/>
          </w:tcPr>
          <w:p>
            <w:pPr>
              <w:spacing w:after="0"/>
              <w:jc w:val="center"/>
            </w:pPr>
            <w:r>
              <w:rPr>
                <w:b/>
                <w:bCs/>
                <w:color w:val="FFFFFF"/>
                <w:sz w:val="17"/>
                <w:szCs w:val="17"/>
              </w:rPr>
              <w:t xml:space="preserve">Event</w:t>
            </w:r>
          </w:p>
        </w:tc>
        <w:tc>
          <w:tcPr>
            <w:tcW w:type="dxa" w:w="2100"/>
            <w:shd w:fill="1F3A5F" w:val="clear"/>
            <w:tcMar>
              <w:top w:type="dxa" w:w="60"/>
              <w:left w:type="dxa" w:w="90"/>
              <w:bottom w:type="dxa" w:w="60"/>
              <w:right w:type="dxa" w:w="90"/>
            </w:tcMar>
            <w:vAlign w:val="center"/>
          </w:tcPr>
          <w:p>
            <w:pPr>
              <w:spacing w:after="0"/>
              <w:jc w:val="center"/>
            </w:pPr>
            <w:r>
              <w:rPr>
                <w:b/>
                <w:bCs/>
                <w:color w:val="FFFFFF"/>
                <w:sz w:val="17"/>
                <w:szCs w:val="17"/>
              </w:rPr>
              <w:t xml:space="preserve">Prior / Context</w:t>
            </w:r>
          </w:p>
        </w:tc>
        <w:tc>
          <w:tcPr>
            <w:tcW w:type="dxa" w:w="1000"/>
            <w:shd w:fill="1F3A5F" w:val="clear"/>
            <w:tcMar>
              <w:top w:type="dxa" w:w="60"/>
              <w:left w:type="dxa" w:w="90"/>
              <w:bottom w:type="dxa" w:w="60"/>
              <w:right w:type="dxa" w:w="90"/>
            </w:tcMar>
            <w:vAlign w:val="center"/>
          </w:tcPr>
          <w:p>
            <w:pPr>
              <w:spacing w:after="0"/>
              <w:jc w:val="center"/>
            </w:pPr>
            <w:r>
              <w:rPr>
                <w:b/>
                <w:bCs/>
                <w:color w:val="FFFFFF"/>
                <w:sz w:val="17"/>
                <w:szCs w:val="17"/>
              </w:rPr>
              <w:t xml:space="preserve">Impact</w:t>
            </w:r>
          </w:p>
        </w:tc>
        <w:tc>
          <w:tcPr>
            <w:tcW w:type="dxa" w:w="2910"/>
            <w:shd w:fill="1F3A5F" w:val="clear"/>
            <w:tcMar>
              <w:top w:type="dxa" w:w="60"/>
              <w:left w:type="dxa" w:w="90"/>
              <w:bottom w:type="dxa" w:w="60"/>
              <w:right w:type="dxa" w:w="90"/>
            </w:tcMar>
            <w:vAlign w:val="center"/>
          </w:tcPr>
          <w:p>
            <w:pPr>
              <w:spacing w:after="0"/>
              <w:jc w:val="center"/>
            </w:pPr>
            <w:r>
              <w:rPr>
                <w:b/>
                <w:bCs/>
                <w:color w:val="FFFFFF"/>
                <w:sz w:val="17"/>
                <w:szCs w:val="17"/>
              </w:rPr>
              <w:t xml:space="preserve">Market Implication for FTSE 100</w:t>
            </w:r>
          </w:p>
        </w:tc>
      </w:tr>
      <w:tr>
        <w:tc>
          <w:tcPr>
            <w:tcW w:type="dxa" w:w="1250"/>
            <w:tcMar>
              <w:top w:type="dxa" w:w="60"/>
              <w:left w:type="dxa" w:w="90"/>
              <w:bottom w:type="dxa" w:w="60"/>
              <w:right w:type="dxa" w:w="90"/>
            </w:tcMar>
            <w:vAlign w:val="center"/>
          </w:tcPr>
          <w:p>
            <w:pPr>
              <w:spacing w:after="0"/>
              <w:jc w:val="left"/>
            </w:pPr>
            <w:r>
              <w:rPr>
                <w:b/>
                <w:bCs/>
                <w:color w:val="1A1A1A"/>
                <w:sz w:val="18"/>
                <w:szCs w:val="18"/>
              </w:rPr>
              <w:t xml:space="preserve">Ongoing</w:t>
            </w:r>
          </w:p>
        </w:tc>
        <w:tc>
          <w:tcPr>
            <w:tcW w:type="dxa" w:w="2100"/>
            <w:tcMar>
              <w:top w:type="dxa" w:w="60"/>
              <w:left w:type="dxa" w:w="90"/>
              <w:bottom w:type="dxa" w:w="60"/>
              <w:right w:type="dxa" w:w="90"/>
            </w:tcMar>
            <w:vAlign w:val="center"/>
          </w:tcPr>
          <w:p>
            <w:pPr>
              <w:spacing w:after="0"/>
              <w:jc w:val="left"/>
            </w:pPr>
            <w:r>
              <w:rPr>
                <w:b/>
                <w:bCs/>
                <w:color w:val="1A1A1A"/>
                <w:sz w:val="18"/>
                <w:szCs w:val="18"/>
              </w:rPr>
              <w:t xml:space="preserve">US–Iran negotiation progress</w:t>
            </w:r>
          </w:p>
        </w:tc>
        <w:tc>
          <w:tcPr>
            <w:tcW w:type="dxa" w:w="2100"/>
            <w:tcMar>
              <w:top w:type="dxa" w:w="60"/>
              <w:left w:type="dxa" w:w="90"/>
              <w:bottom w:type="dxa" w:w="60"/>
              <w:right w:type="dxa" w:w="90"/>
            </w:tcMar>
            <w:vAlign w:val="center"/>
          </w:tcPr>
          <w:p>
            <w:pPr>
              <w:spacing w:after="0"/>
              <w:jc w:val="left"/>
            </w:pPr>
            <w:r>
              <w:rPr>
                <w:b w:val="false"/>
                <w:bCs w:val="false"/>
                <w:color w:val="1A1A1A"/>
                <w:sz w:val="18"/>
                <w:szCs w:val="18"/>
              </w:rPr>
              <w:t xml:space="preserve">Rubio cited ‘some good signs’; uranium and Hormuz tolls unresolved</w:t>
            </w:r>
          </w:p>
        </w:tc>
        <w:tc>
          <w:tcPr>
            <w:tcW w:type="dxa" w:w="1000"/>
            <w:tcMar>
              <w:top w:type="dxa" w:w="60"/>
              <w:left w:type="dxa" w:w="90"/>
              <w:bottom w:type="dxa" w:w="60"/>
              <w:right w:type="dxa" w:w="90"/>
            </w:tcMar>
            <w:vAlign w:val="center"/>
          </w:tcPr>
          <w:p>
            <w:pPr>
              <w:spacing w:after="0"/>
              <w:jc w:val="left"/>
            </w:pPr>
            <w:r>
              <w:rPr>
                <w:b/>
                <w:bCs/>
                <w:color w:val="1A1A1A"/>
                <w:sz w:val="18"/>
                <w:szCs w:val="18"/>
              </w:rPr>
              <w:t xml:space="preserve">High</w:t>
            </w:r>
          </w:p>
        </w:tc>
        <w:tc>
          <w:tcPr>
            <w:tcW w:type="dxa" w:w="2910"/>
            <w:tcMar>
              <w:top w:type="dxa" w:w="60"/>
              <w:left w:type="dxa" w:w="90"/>
              <w:bottom w:type="dxa" w:w="60"/>
              <w:right w:type="dxa" w:w="90"/>
            </w:tcMar>
            <w:vAlign w:val="center"/>
          </w:tcPr>
          <w:p>
            <w:pPr>
              <w:spacing w:after="0"/>
              <w:jc w:val="left"/>
            </w:pPr>
            <w:r>
              <w:rPr>
                <w:b/>
                <w:bCs/>
                <w:color w:val="1A1A1A"/>
                <w:sz w:val="18"/>
                <w:szCs w:val="18"/>
              </w:rPr>
              <w:t xml:space="preserve">Highest-impact watch item. A confirmed breakthrough lowers oil and the inflation premium — net-positive for the index; a breakdown re-prices oil higher and risk lower.</w:t>
            </w:r>
          </w:p>
        </w:tc>
      </w:tr>
      <w:tr>
        <w:tc>
          <w:tcPr>
            <w:tcW w:type="dxa" w:w="12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Next 5 sessions</w:t>
            </w:r>
          </w:p>
        </w:tc>
        <w:tc>
          <w:tcPr>
            <w:tcW w:type="dxa" w:w="21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UK data flow (PMIs, confidence)</w:t>
            </w:r>
          </w:p>
        </w:tc>
        <w:tc>
          <w:tcPr>
            <w:tcW w:type="dxa" w:w="21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May confidence beat slightly</w:t>
            </w:r>
          </w:p>
        </w:tc>
        <w:tc>
          <w:tcPr>
            <w:tcW w:type="dxa" w:w="10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Medium</w:t>
            </w:r>
          </w:p>
        </w:tc>
        <w:tc>
          <w:tcPr>
            <w:tcW w:type="dxa" w:w="291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A run of firmer prints would support continuation; a sharp miss would test the 10,388 daily-S1 support.</w:t>
            </w:r>
          </w:p>
        </w:tc>
      </w:tr>
      <w:tr>
        <w:tc>
          <w:tcPr>
            <w:tcW w:type="dxa" w:w="1250"/>
            <w:tcMar>
              <w:top w:type="dxa" w:w="60"/>
              <w:left w:type="dxa" w:w="90"/>
              <w:bottom w:type="dxa" w:w="60"/>
              <w:right w:type="dxa" w:w="90"/>
            </w:tcMar>
            <w:vAlign w:val="center"/>
          </w:tcPr>
          <w:p>
            <w:pPr>
              <w:spacing w:after="0"/>
              <w:jc w:val="center"/>
            </w:pPr>
            <w:r>
              <w:rPr>
                <w:b w:val="false"/>
                <w:bCs w:val="false"/>
                <w:color w:val="1A1A1A"/>
                <w:sz w:val="18"/>
                <w:szCs w:val="18"/>
              </w:rPr>
              <w:t xml:space="preserve">Ongoing</w:t>
            </w:r>
          </w:p>
        </w:tc>
        <w:tc>
          <w:tcPr>
            <w:tcW w:type="dxa" w:w="2100"/>
            <w:tcMar>
              <w:top w:type="dxa" w:w="60"/>
              <w:left w:type="dxa" w:w="90"/>
              <w:bottom w:type="dxa" w:w="60"/>
              <w:right w:type="dxa" w:w="90"/>
            </w:tcMar>
            <w:vAlign w:val="center"/>
          </w:tcPr>
          <w:p>
            <w:pPr>
              <w:spacing w:after="0"/>
              <w:jc w:val="left"/>
            </w:pPr>
            <w:r>
              <w:rPr>
                <w:b w:val="false"/>
                <w:bCs w:val="false"/>
                <w:color w:val="1A1A1A"/>
                <w:sz w:val="18"/>
                <w:szCs w:val="18"/>
              </w:rPr>
              <w:t xml:space="preserve">UK gilt yields / political headlines</w:t>
            </w:r>
          </w:p>
        </w:tc>
        <w:tc>
          <w:tcPr>
            <w:tcW w:type="dxa" w:w="2100"/>
            <w:tcMar>
              <w:top w:type="dxa" w:w="60"/>
              <w:left w:type="dxa" w:w="90"/>
              <w:bottom w:type="dxa" w:w="60"/>
              <w:right w:type="dxa" w:w="90"/>
            </w:tcMar>
            <w:vAlign w:val="center"/>
          </w:tcPr>
          <w:p>
            <w:pPr>
              <w:spacing w:after="0"/>
              <w:jc w:val="left"/>
            </w:pPr>
            <w:r>
              <w:rPr>
                <w:b w:val="false"/>
                <w:bCs w:val="false"/>
                <w:color w:val="1A1A1A"/>
                <w:sz w:val="18"/>
                <w:szCs w:val="18"/>
              </w:rPr>
              <w:t xml:space="preserve">Government under pressure</w:t>
            </w:r>
          </w:p>
        </w:tc>
        <w:tc>
          <w:tcPr>
            <w:tcW w:type="dxa" w:w="1000"/>
            <w:tcMar>
              <w:top w:type="dxa" w:w="60"/>
              <w:left w:type="dxa" w:w="90"/>
              <w:bottom w:type="dxa" w:w="60"/>
              <w:right w:type="dxa" w:w="90"/>
            </w:tcMar>
            <w:vAlign w:val="center"/>
          </w:tcPr>
          <w:p>
            <w:pPr>
              <w:spacing w:after="0"/>
              <w:jc w:val="center"/>
            </w:pPr>
            <w:r>
              <w:rPr>
                <w:b w:val="false"/>
                <w:bCs w:val="false"/>
                <w:color w:val="1A1A1A"/>
                <w:sz w:val="18"/>
                <w:szCs w:val="18"/>
              </w:rPr>
              <w:t xml:space="preserve">Medium</w:t>
            </w:r>
          </w:p>
        </w:tc>
        <w:tc>
          <w:tcPr>
            <w:tcW w:type="dxa" w:w="2910"/>
            <w:tcMar>
              <w:top w:type="dxa" w:w="60"/>
              <w:left w:type="dxa" w:w="90"/>
              <w:bottom w:type="dxa" w:w="60"/>
              <w:right w:type="dxa" w:w="90"/>
            </w:tcMar>
            <w:vAlign w:val="center"/>
          </w:tcPr>
          <w:p>
            <w:pPr>
              <w:spacing w:after="0"/>
              <w:jc w:val="left"/>
            </w:pPr>
            <w:r>
              <w:rPr>
                <w:b w:val="false"/>
                <w:bCs w:val="false"/>
                <w:color w:val="1A1A1A"/>
                <w:sz w:val="18"/>
                <w:szCs w:val="18"/>
              </w:rPr>
              <w:t xml:space="preserve">A renewed gilt sell-off would weigh on rate-sensitive sectors and cap upside.</w:t>
            </w:r>
          </w:p>
        </w:tc>
      </w:tr>
      <w:tr>
        <w:tc>
          <w:tcPr>
            <w:tcW w:type="dxa" w:w="12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18 Jun 2026</w:t>
            </w:r>
          </w:p>
        </w:tc>
        <w:tc>
          <w:tcPr>
            <w:tcW w:type="dxa" w:w="21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Bank of England rate decision</w:t>
            </w:r>
          </w:p>
        </w:tc>
        <w:tc>
          <w:tcPr>
            <w:tcW w:type="dxa" w:w="21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Held 3.75% on 29 Apr (8–1 vote)</w:t>
            </w:r>
          </w:p>
        </w:tc>
        <w:tc>
          <w:tcPr>
            <w:tcW w:type="dxa" w:w="10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High</w:t>
            </w:r>
          </w:p>
        </w:tc>
        <w:tc>
          <w:tcPr>
            <w:tcW w:type="dxa" w:w="291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Beyond the 5-day horizon but the dominant rate event — a hawkish surprise would pressure UK equities; a dovish hold extends the supportive backdrop.</w:t>
            </w:r>
          </w:p>
        </w:tc>
      </w:tr>
    </w:tbl>
    <w:p>
      <w:pPr>
        <w:spacing w:after="80"/>
      </w:pPr>
    </w:p>
    <w:p>
      <w:pPr>
        <w:spacing w:after="120" w:before="0"/>
      </w:pPr>
      <w:r>
        <w:rPr>
          <w:i/>
          <w:iCs/>
          <w:sz w:val="18"/>
          <w:szCs w:val="18"/>
        </w:rPr>
        <w:t xml:space="preserve">Highest-impact upcoming event: US–Iran negotiation progress. A confirmed de-escalation would simultaneously lower the oil-driven inflation premium and lift global risk appetite — a double tailwind for the FTSE — while a breakdown would do the reverse and is the single most likely trigger to invalidate the constructive near-term view.</w:t>
      </w:r>
    </w:p>
    <w:p>
      <w:r>
        <w:br w:type="page"/>
      </w:r>
    </w:p>
    <w:p>
      <w:pPr>
        <w:pStyle w:val="Heading1"/>
      </w:pPr>
      <w:r>
        <w:t xml:space="preserve">14.  Macro Context</w:t>
      </w:r>
    </w:p>
    <w:p>
      <w:pPr>
        <w:pBdr>
          <w:bottom w:val="single" w:color="BF8F00" w:sz="4" w:space="3"/>
        </w:pBdr>
        <w:spacing w:after="100" w:before="40"/>
      </w:pPr>
      <w:r>
        <w:rPr>
          <w:i/>
          <w:iCs/>
          <w:color w:val="BF8F00"/>
          <w:sz w:val="17"/>
          <w:szCs w:val="17"/>
        </w:rPr>
        <w:t xml:space="preserve">Rates, inflation, liquidity, FX and positioning — cross-referenced to §10 and §13d.</w:t>
      </w:r>
    </w:p>
    <w:p>
      <w:pPr>
        <w:pStyle w:val="ListParagraph"/>
        <w:numPr>
          <w:ilvl w:val="0"/>
          <w:numId w:val="2"/>
        </w:numPr>
        <w:spacing w:after="80"/>
      </w:pPr>
      <w:r>
        <w:rPr>
          <w:b/>
          <w:bCs/>
          <w:sz w:val="19"/>
          <w:szCs w:val="19"/>
        </w:rPr>
        <w:t xml:space="preserve">Rates and monetary policy. </w:t>
      </w:r>
      <w:r>
        <w:rPr>
          <w:sz w:val="19"/>
          <w:szCs w:val="19"/>
        </w:rPr>
        <w:t xml:space="preserve">UK Bank Rate is 3.75%, held on 29 April in an 8–1 vote and the highest in the G7. The 18 June decision (§13d) is the dominant rate event. The week’s soft UK data has reduced near-term hike odds, which is supportive for UK equities in the 5-day window.</w:t>
      </w:r>
    </w:p>
    <w:p>
      <w:pPr>
        <w:pStyle w:val="ListParagraph"/>
        <w:numPr>
          <w:ilvl w:val="0"/>
          <w:numId w:val="2"/>
        </w:numPr>
        <w:spacing w:after="80"/>
      </w:pPr>
      <w:r>
        <w:rPr>
          <w:b/>
          <w:bCs/>
          <w:sz w:val="19"/>
          <w:szCs w:val="19"/>
        </w:rPr>
        <w:t xml:space="preserve">Inflation. </w:t>
      </w:r>
      <w:r>
        <w:rPr>
          <w:sz w:val="19"/>
          <w:szCs w:val="19"/>
        </w:rPr>
        <w:t xml:space="preserve">UK CPI remains above the 2% target and elevated energy prices are an upside risk to it. Sustained inflation pressure is price-negative for the index over the medium term via the rate channel, but was not the active driver this week — equities looked through the CPI focus on 20 May.</w:t>
      </w:r>
    </w:p>
    <w:p>
      <w:pPr>
        <w:pStyle w:val="ListParagraph"/>
        <w:numPr>
          <w:ilvl w:val="0"/>
          <w:numId w:val="2"/>
        </w:numPr>
        <w:spacing w:after="80"/>
      </w:pPr>
      <w:r>
        <w:rPr>
          <w:b/>
          <w:bCs/>
          <w:sz w:val="19"/>
          <w:szCs w:val="19"/>
        </w:rPr>
        <w:t xml:space="preserve">Safe-haven / real yields. </w:t>
      </w:r>
      <w:r>
        <w:rPr>
          <w:sz w:val="19"/>
          <w:szCs w:val="19"/>
        </w:rPr>
        <w:t xml:space="preserve">Gold is not an active counter in this instance’s configuration; the safe-haven read is taken from broad risk appetite instead. The de-escalation rally and firm equities indicate defensive demand easing — risk-on, consistent with the FTSE advance.</w:t>
      </w:r>
    </w:p>
    <w:p>
      <w:pPr>
        <w:pStyle w:val="ListParagraph"/>
        <w:numPr>
          <w:ilvl w:val="0"/>
          <w:numId w:val="2"/>
        </w:numPr>
        <w:spacing w:after="80"/>
      </w:pPr>
      <w:r>
        <w:rPr>
          <w:b/>
          <w:bCs/>
          <w:sz w:val="19"/>
          <w:szCs w:val="19"/>
        </w:rPr>
        <w:t xml:space="preserve">Liquidity and FX. </w:t>
      </w:r>
      <w:r>
        <w:rPr>
          <w:sz w:val="19"/>
          <w:szCs w:val="19"/>
        </w:rPr>
        <w:t xml:space="preserve">Per §10, the Dollar Index is near-neutral and flat — neither tightening nor materially easing global conditions. Sterling’s two-sided effect on the FTSE leaves FX a neutral input this session.</w:t>
      </w:r>
    </w:p>
    <w:p>
      <w:pPr>
        <w:pStyle w:val="ListParagraph"/>
        <w:numPr>
          <w:ilvl w:val="0"/>
          <w:numId w:val="2"/>
        </w:numPr>
        <w:spacing w:after="80"/>
      </w:pPr>
      <w:r>
        <w:rPr>
          <w:b/>
          <w:bCs/>
          <w:sz w:val="19"/>
          <w:szCs w:val="19"/>
        </w:rPr>
        <w:t xml:space="preserve">Energy. </w:t>
      </w:r>
      <w:r>
        <w:rPr>
          <w:sz w:val="19"/>
          <w:szCs w:val="19"/>
        </w:rPr>
        <w:t xml:space="preserve">Brent near $100 (§12) is the key macro-energy variable: supportive of FTSE energy earnings but an inflation risk if sustained. The §13d US–Iran watch item is the swing factor for this channel.</w:t>
      </w:r>
    </w:p>
    <w:p>
      <w:pPr>
        <w:pStyle w:val="ListParagraph"/>
        <w:numPr>
          <w:ilvl w:val="0"/>
          <w:numId w:val="2"/>
        </w:numPr>
        <w:spacing w:after="80"/>
      </w:pPr>
      <w:r>
        <w:rPr>
          <w:b/>
          <w:bCs/>
          <w:sz w:val="19"/>
          <w:szCs w:val="19"/>
        </w:rPr>
        <w:t xml:space="preserve">Positioning. </w:t>
      </w:r>
      <w:r>
        <w:rPr>
          <w:sz w:val="19"/>
          <w:szCs w:val="19"/>
        </w:rPr>
        <w:t xml:space="preserve">The four-week losing streak into mid-May had lightened positioning; the 2.7% rebound week represents partial re-risking rather than a stretched long. Equity volatility (VIX ~16.7) is low, consistent with an orderly tape and leaving room for either direction on a catalyst.</w:t>
      </w:r>
    </w:p>
    <w:p>
      <w:pPr>
        <w:spacing w:after="60"/>
      </w:pPr>
    </w:p>
    <w:p>
      <w:pPr>
        <w:spacing w:after="120" w:before="0"/>
      </w:pPr>
      <w:r>
        <w:rPr>
          <w:i/>
          <w:iCs/>
          <w:sz w:val="18"/>
          <w:szCs w:val="18"/>
        </w:rPr>
        <w:t xml:space="preserve">Cross-reference check: the macro narrative is consistent with the §10 cross-asset reads — risk-on confirmed by the S&amp;P 500, DAX 40 and EURO STOXX 50, with a neutral dollar. No macro/cross-asset contradiction to flag. The §13d watch items (US–Iran, UK data, the 18 June BoE) are the macro variables most capable of changing this picture.</w:t>
      </w:r>
    </w:p>
    <w:p>
      <w:r>
        <w:br w:type="page"/>
      </w:r>
    </w:p>
    <w:p>
      <w:pPr>
        <w:pStyle w:val="Heading1"/>
      </w:pPr>
      <w:r>
        <w:t xml:space="preserve">15.  Bull / Bear Balance</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4680"/>
        <w:gridCol w:w="4680"/>
      </w:tblGrid>
      <w:tr>
        <w:trPr>
          <w:tblHeader/>
        </w:trPr>
        <w:tc>
          <w:tcPr>
            <w:tcW w:type="dxa" w:w="4680"/>
            <w:shd w:fill="1F3A5F" w:val="clear"/>
            <w:tcMar>
              <w:top w:type="dxa" w:w="60"/>
              <w:left w:type="dxa" w:w="90"/>
              <w:bottom w:type="dxa" w:w="60"/>
              <w:right w:type="dxa" w:w="90"/>
            </w:tcMar>
            <w:vAlign w:val="center"/>
          </w:tcPr>
          <w:p>
            <w:pPr>
              <w:spacing w:after="0"/>
              <w:jc w:val="center"/>
            </w:pPr>
            <w:r>
              <w:rPr>
                <w:b/>
                <w:bCs/>
                <w:color w:val="FFFFFF"/>
                <w:sz w:val="17"/>
                <w:szCs w:val="17"/>
              </w:rPr>
              <w:t xml:space="preserve">Main upside risks</w:t>
            </w:r>
          </w:p>
        </w:tc>
        <w:tc>
          <w:tcPr>
            <w:tcW w:type="dxa" w:w="4680"/>
            <w:shd w:fill="1F3A5F" w:val="clear"/>
            <w:tcMar>
              <w:top w:type="dxa" w:w="60"/>
              <w:left w:type="dxa" w:w="90"/>
              <w:bottom w:type="dxa" w:w="60"/>
              <w:right w:type="dxa" w:w="90"/>
            </w:tcMar>
            <w:vAlign w:val="center"/>
          </w:tcPr>
          <w:p>
            <w:pPr>
              <w:spacing w:after="0"/>
              <w:jc w:val="center"/>
            </w:pPr>
            <w:r>
              <w:rPr>
                <w:b/>
                <w:bCs/>
                <w:color w:val="FFFFFF"/>
                <w:sz w:val="17"/>
                <w:szCs w:val="17"/>
              </w:rPr>
              <w:t xml:space="preserve">Main downside risks</w:t>
            </w:r>
          </w:p>
        </w:tc>
      </w:tr>
      <w:tr>
        <w:tc>
          <w:tcPr>
            <w:tcW w:type="dxa" w:w="4680"/>
            <w:tcMar>
              <w:top w:type="dxa" w:w="60"/>
              <w:left w:type="dxa" w:w="90"/>
              <w:bottom w:type="dxa" w:w="60"/>
              <w:right w:type="dxa" w:w="90"/>
            </w:tcMar>
            <w:vAlign w:val="center"/>
          </w:tcPr>
          <w:p>
            <w:pPr>
              <w:spacing w:after="0"/>
              <w:jc w:val="left"/>
            </w:pPr>
            <w:r>
              <w:rPr>
                <w:b w:val="false"/>
                <w:bCs w:val="false"/>
                <w:color w:val="1A1A1A"/>
                <w:sz w:val="18"/>
                <w:szCs w:val="18"/>
              </w:rPr>
              <w:t xml:space="preserve">Confirmed US–Iran de-escalation (§13d highest-impact event) lowers oil and the inflation premium and lifts global risk appetite — a double tailwind.</w:t>
            </w:r>
          </w:p>
        </w:tc>
        <w:tc>
          <w:tcPr>
            <w:tcW w:type="dxa" w:w="4680"/>
            <w:tcMar>
              <w:top w:type="dxa" w:w="60"/>
              <w:left w:type="dxa" w:w="90"/>
              <w:bottom w:type="dxa" w:w="60"/>
              <w:right w:type="dxa" w:w="90"/>
            </w:tcMar>
            <w:vAlign w:val="center"/>
          </w:tcPr>
          <w:p>
            <w:pPr>
              <w:spacing w:after="0"/>
              <w:jc w:val="left"/>
            </w:pPr>
            <w:r>
              <w:rPr>
                <w:b w:val="false"/>
                <w:bCs w:val="false"/>
                <w:color w:val="1A1A1A"/>
                <w:sz w:val="18"/>
                <w:szCs w:val="18"/>
              </w:rPr>
              <w:t xml:space="preserve">Breakdown in US–Iran talks re-prices oil higher and risk lower — the single most likely trigger to invalidate the near-term view.</w:t>
            </w:r>
          </w:p>
        </w:tc>
      </w:tr>
      <w:tr>
        <w:tc>
          <w:tcPr>
            <w:tcW w:type="dxa" w:w="468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Five-session continuation structure intact (§8): 4/4 directional persistence, all closes above the daily pivot, constructive pivot posture on all three timeframes (§11).</w:t>
            </w:r>
          </w:p>
        </w:tc>
        <w:tc>
          <w:tcPr>
            <w:tcW w:type="dxa" w:w="468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Stretched short-term oscillator: RSI2 pinned at 100 and Friday’s compressed mid-range close (§8) signal momentum cooling at the highs.</w:t>
            </w:r>
          </w:p>
        </w:tc>
      </w:tr>
      <w:tr>
        <w:tc>
          <w:tcPr>
            <w:tcW w:type="dxa" w:w="4680"/>
            <w:tcMar>
              <w:top w:type="dxa" w:w="60"/>
              <w:left w:type="dxa" w:w="90"/>
              <w:bottom w:type="dxa" w:w="60"/>
              <w:right w:type="dxa" w:w="90"/>
            </w:tcMar>
            <w:vAlign w:val="center"/>
          </w:tcPr>
          <w:p>
            <w:pPr>
              <w:spacing w:after="0"/>
              <w:jc w:val="left"/>
            </w:pPr>
            <w:r>
              <w:rPr>
                <w:b w:val="false"/>
                <w:bCs w:val="false"/>
                <w:color w:val="1A1A1A"/>
                <w:sz w:val="18"/>
                <w:szCs w:val="18"/>
              </w:rPr>
              <w:t xml:space="preserve">Cross-asset CONFIRM (§10): S&amp;P 500, DAX 40 and EURO STOXX 50 all rising, dollar neutral — broad regional risk-on.</w:t>
            </w:r>
          </w:p>
        </w:tc>
        <w:tc>
          <w:tcPr>
            <w:tcW w:type="dxa" w:w="4680"/>
            <w:tcMar>
              <w:top w:type="dxa" w:w="60"/>
              <w:left w:type="dxa" w:w="90"/>
              <w:bottom w:type="dxa" w:w="60"/>
              <w:right w:type="dxa" w:w="90"/>
            </w:tcMar>
            <w:vAlign w:val="center"/>
          </w:tcPr>
          <w:p>
            <w:pPr>
              <w:spacing w:after="0"/>
              <w:jc w:val="left"/>
            </w:pPr>
            <w:r>
              <w:rPr>
                <w:b w:val="false"/>
                <w:bCs w:val="false"/>
                <w:color w:val="1A1A1A"/>
                <w:sz w:val="18"/>
                <w:szCs w:val="18"/>
              </w:rPr>
              <w:t xml:space="preserve">Medium-term regime unresolved (§9): the index is at the ~78th percentile of the 25-session range (Range Top Bias) and the Kaufman read still classifies Trending Down.</w:t>
            </w:r>
          </w:p>
        </w:tc>
      </w:tr>
      <w:tr>
        <w:tc>
          <w:tcPr>
            <w:tcW w:type="dxa" w:w="468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Reduced near-term BoE hike odds after soft UK data (§12, §14) support rate-sensitive UK sectors.</w:t>
            </w:r>
          </w:p>
        </w:tc>
        <w:tc>
          <w:tcPr>
            <w:tcW w:type="dxa" w:w="468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Overhead confluence resistance (§11): daily R1 / weekly R2 / daily R1.5 cluster at 10,474–10,489 — a real obstacle directly above price.</w:t>
            </w:r>
          </w:p>
        </w:tc>
      </w:tr>
      <w:tr>
        <w:tc>
          <w:tcPr>
            <w:tcW w:type="dxa" w:w="4680"/>
            <w:tcMar>
              <w:top w:type="dxa" w:w="60"/>
              <w:left w:type="dxa" w:w="90"/>
              <w:bottom w:type="dxa" w:w="60"/>
              <w:right w:type="dxa" w:w="90"/>
            </w:tcMar>
            <w:vAlign w:val="center"/>
          </w:tcPr>
          <w:p>
            <w:pPr>
              <w:spacing w:after="0"/>
              <w:jc w:val="left"/>
            </w:pPr>
            <w:r>
              <w:rPr>
                <w:b w:val="false"/>
                <w:bCs w:val="false"/>
                <w:color w:val="1A1A1A"/>
                <w:sz w:val="18"/>
                <w:szCs w:val="18"/>
              </w:rPr>
              <w:t xml:space="preserve">Structural FTSE valuation discount and competitive yield (§12) underpin international allocation into UK large-caps.</w:t>
            </w:r>
          </w:p>
        </w:tc>
        <w:tc>
          <w:tcPr>
            <w:tcW w:type="dxa" w:w="4680"/>
            <w:tcMar>
              <w:top w:type="dxa" w:w="60"/>
              <w:left w:type="dxa" w:w="90"/>
              <w:bottom w:type="dxa" w:w="60"/>
              <w:right w:type="dxa" w:w="90"/>
            </w:tcMar>
            <w:vAlign w:val="center"/>
          </w:tcPr>
          <w:p>
            <w:pPr>
              <w:spacing w:after="0"/>
              <w:jc w:val="left"/>
            </w:pPr>
            <w:r>
              <w:rPr>
                <w:b w:val="false"/>
                <w:bCs w:val="false"/>
                <w:color w:val="1A1A1A"/>
                <w:sz w:val="18"/>
                <w:szCs w:val="18"/>
              </w:rPr>
              <w:t xml:space="preserve">UK political and gilt-market fragility (§13d, §14) could revive a yield-driven drag on the index at short notice.</w:t>
            </w:r>
          </w:p>
        </w:tc>
      </w:tr>
    </w:tbl>
    <w:p>
      <w:pPr>
        <w:spacing w:after="100"/>
      </w:pPr>
    </w:p>
    <w:p>
      <w:pPr>
        <w:spacing w:after="120" w:before="0"/>
      </w:pPr>
      <w:r>
        <w:rPr>
          <w:sz w:val="19"/>
          <w:szCs w:val="19"/>
        </w:rPr>
        <w:t xml:space="preserve">On balance the near-term skew is modestly positive: momentum and cross-asset confirmation outweigh the medium-term and oscillator caveats over a 5-day horizon, but the overhead confluence band and the binary US–Iran catalyst keep conviction moderate rather than high.</w:t>
      </w:r>
    </w:p>
    <w:p>
      <w:r>
        <w:br w:type="page"/>
      </w:r>
    </w:p>
    <w:p>
      <w:pPr>
        <w:pStyle w:val="Heading1"/>
      </w:pPr>
      <w:r>
        <w:t xml:space="preserve">16.  Forward View</w:t>
      </w:r>
    </w:p>
    <w:p>
      <w:pPr>
        <w:spacing w:after="120" w:before="0"/>
      </w:pPr>
      <w:r>
        <w:rPr>
          <w:b/>
          <w:bCs/>
          <w:sz w:val="19"/>
          <w:szCs w:val="19"/>
        </w:rPr>
        <w:t xml:space="preserve">Expected direction. </w:t>
      </w:r>
      <w:r>
        <w:rPr>
          <w:sz w:val="19"/>
          <w:szCs w:val="19"/>
        </w:rPr>
        <w:t xml:space="preserve">Mildly higher with a flattening bias over the next five sessions. The base case is that the five-session uptrend extends but at a slowing pace, with the index attempting the 10,474–10,489 confluence band early in the window. A clean daily close above 10,489 opens daily R2 (10,504) and the 10,500s; failure there points to a sideways consolidation between roughly 10,388 and 10,488.</w:t>
      </w:r>
    </w:p>
    <w:p>
      <w:pPr>
        <w:spacing w:after="120" w:before="0"/>
      </w:pPr>
      <w:r>
        <w:rPr>
          <w:b/>
          <w:bCs/>
          <w:sz w:val="19"/>
          <w:szCs w:val="19"/>
        </w:rPr>
        <w:t xml:space="preserve">Expected trading range. </w:t>
      </w:r>
      <w:r>
        <w:rPr>
          <w:sz w:val="19"/>
          <w:szCs w:val="19"/>
        </w:rPr>
        <w:t xml:space="preserve">10,360 to 10,560 over the 5-day horizon, with the 10,388–10,490 band the most probable area of activity. A break above 10,560 or below 10,360 would signal a regime shift relative to this base case.</w:t>
      </w:r>
    </w:p>
    <w:p>
      <w:pPr>
        <w:spacing w:after="120" w:before="0"/>
      </w:pPr>
      <w:r>
        <w:rPr>
          <w:b/>
          <w:bCs/>
          <w:sz w:val="19"/>
          <w:szCs w:val="19"/>
        </w:rPr>
        <w:t xml:space="preserve">Base-case invalidation. </w:t>
      </w:r>
      <w:r>
        <w:rPr>
          <w:sz w:val="19"/>
          <w:szCs w:val="19"/>
        </w:rPr>
        <w:t xml:space="preserve">A daily close back below the 21 May low of 10,362 — which also sits just above the daily S1 region — would break the five-session higher-low chain and invalidate the constructive view, shifting the read to neutral/consolidative.</w:t>
      </w:r>
    </w:p>
    <w:p>
      <w:pPr>
        <w:spacing w:after="120" w:before="0"/>
      </w:pPr>
      <w:r>
        <w:rPr>
          <w:b/>
          <w:bCs/>
          <w:sz w:val="19"/>
          <w:szCs w:val="19"/>
        </w:rPr>
        <w:t xml:space="preserve">Consistency with the technical regime. </w:t>
      </w:r>
      <w:r>
        <w:rPr>
          <w:sz w:val="19"/>
          <w:szCs w:val="19"/>
        </w:rPr>
        <w:t xml:space="preserve">This Forward View respects the §9 regime classification. It leans with the short-term Trending-Bullish read while explicitly tempering it for the Transitional medium-term structure and the contradicting Kaufman signal — hence ‘mildly higher with a flattening bias’ rather than an unqualified bullish extension. It does not contradict the technical regime; it incorporates the regime conflict directly into the magnitude of the call.</w:t>
      </w:r>
    </w:p>
    <w:p>
      <w:pPr>
        <w:spacing w:after="60"/>
      </w:pPr>
    </w:p>
    <w:p>
      <w:pPr>
        <w:pStyle w:val="Heading1"/>
      </w:pPr>
      <w:r>
        <w:t xml:space="preserve">17.  Forecast</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W w:type="dxa" w:w="9360"/>
            <w:shd w:fill="D9E2EC" w:val="clear"/>
            <w:tcMar>
              <w:top w:type="dxa" w:w="120"/>
              <w:left w:type="dxa" w:w="160"/>
              <w:bottom w:type="dxa" w:w="120"/>
              <w:right w:type="dxa" w:w="160"/>
            </w:tcMar>
          </w:tcPr>
          <w:p>
            <w:pPr>
              <w:spacing w:after="0"/>
            </w:pPr>
            <w:r>
              <w:rPr>
                <w:b/>
                <w:bCs/>
                <w:sz w:val="21"/>
                <w:szCs w:val="21"/>
              </w:rPr>
              <w:t xml:space="preserve">The FTSE 100 is most likely to grind modestly higher over the next five sessions, testing the 10,474–10,489 resistance confluence, with momentum cooling into that band.</w:t>
            </w:r>
          </w:p>
        </w:tc>
      </w:tr>
    </w:tbl>
    <w:p>
      <w:pPr>
        <w:spacing w:after="80"/>
      </w:pPr>
    </w:p>
    <w:p>
      <w:pPr>
        <w:spacing w:after="120" w:before="0"/>
      </w:pPr>
      <w:r>
        <w:rPr>
          <w:i/>
          <w:iCs/>
          <w:sz w:val="18"/>
          <w:szCs w:val="18"/>
        </w:rPr>
        <w:t xml:space="preserve">This one-sentence forecast is derived from the technical integration note (short-term bullish, medium-term transitional, cross-asset confirming) and the §13b aggregate sentiment direction (Predominantly Bullish). It is stated independently of the strategy module and is not edited to align with the §21 trade-card direction.</w:t>
      </w:r>
    </w:p>
    <w:p>
      <w:r>
        <w:br w:type="page"/>
      </w:r>
    </w:p>
    <w:p>
      <w:pPr>
        <w:pStyle w:val="Heading1"/>
      </w:pPr>
      <w:r>
        <w:t xml:space="preserve">18.  Final Analyst Judgement</w:t>
      </w:r>
    </w:p>
    <w:p>
      <w:pPr>
        <w:spacing w:after="120" w:before="0"/>
      </w:pPr>
      <w:r>
        <w:rPr>
          <w:b/>
          <w:bCs/>
          <w:sz w:val="19"/>
          <w:szCs w:val="19"/>
        </w:rPr>
        <w:t xml:space="preserve">Consensus price call: </w:t>
      </w:r>
      <w:r>
        <w:rPr>
          <w:sz w:val="19"/>
          <w:szCs w:val="19"/>
        </w:rPr>
        <w:t xml:space="preserve">10,466 index points (22 May 2026 close), working range 10,435–10,490 into the 25 May session. Confidence: </w:t>
      </w:r>
      <w:r>
        <w:rPr>
          <w:b/>
          <w:bCs/>
          <w:sz w:val="19"/>
          <w:szCs w:val="19"/>
        </w:rPr>
        <w:t xml:space="preserve">Medium</w:t>
      </w:r>
      <w:r>
        <w:rPr>
          <w:sz w:val="19"/>
          <w:szCs w:val="19"/>
        </w:rPr>
        <w:t xml:space="preserve">.</w:t>
      </w:r>
    </w:p>
    <w:p>
      <w:pPr>
        <w:spacing w:after="80" w:before="0"/>
      </w:pPr>
      <w:r>
        <w:rPr>
          <w:sz w:val="19"/>
          <w:szCs w:val="19"/>
        </w:rPr>
        <w:t xml:space="preserve">Three most important reasons for the current level and view:</w:t>
      </w:r>
    </w:p>
    <w:p>
      <w:pPr>
        <w:pStyle w:val="ListParagraph"/>
        <w:numPr>
          <w:ilvl w:val="0"/>
          <w:numId w:val="2"/>
        </w:numPr>
        <w:spacing w:after="80"/>
      </w:pPr>
      <w:r>
        <w:rPr>
          <w:b/>
          <w:bCs/>
          <w:sz w:val="19"/>
          <w:szCs w:val="19"/>
        </w:rPr>
        <w:t xml:space="preserve">1.  </w:t>
      </w:r>
      <w:r>
        <w:rPr>
          <w:sz w:val="19"/>
          <w:szCs w:val="19"/>
        </w:rPr>
        <w:t xml:space="preserve">A geopolitical de-escalation rally: US–Iran negotiation optimism ended a four-week losing streak and drove a 2.7% weekly gain across energy, financials and miners.</w:t>
      </w:r>
    </w:p>
    <w:p>
      <w:pPr>
        <w:pStyle w:val="ListParagraph"/>
        <w:numPr>
          <w:ilvl w:val="0"/>
          <w:numId w:val="2"/>
        </w:numPr>
        <w:spacing w:after="80"/>
      </w:pPr>
      <w:r>
        <w:rPr>
          <w:b/>
          <w:bCs/>
          <w:sz w:val="19"/>
          <w:szCs w:val="19"/>
        </w:rPr>
        <w:t xml:space="preserve">2.  </w:t>
      </w:r>
      <w:r>
        <w:rPr>
          <w:sz w:val="19"/>
          <w:szCs w:val="19"/>
        </w:rPr>
        <w:t xml:space="preserve">A reduced near-term UK rate-hike probability after a soft batch of UK data, supporting rate-sensitive UK equities.</w:t>
      </w:r>
    </w:p>
    <w:p>
      <w:pPr>
        <w:pStyle w:val="ListParagraph"/>
        <w:numPr>
          <w:ilvl w:val="0"/>
          <w:numId w:val="2"/>
        </w:numPr>
        <w:spacing w:after="80"/>
      </w:pPr>
      <w:r>
        <w:rPr>
          <w:b/>
          <w:bCs/>
          <w:sz w:val="19"/>
          <w:szCs w:val="19"/>
        </w:rPr>
        <w:t xml:space="preserve">3.  </w:t>
      </w:r>
      <w:r>
        <w:rPr>
          <w:sz w:val="19"/>
          <w:szCs w:val="19"/>
        </w:rPr>
        <w:t xml:space="preserve">Broad European risk-on rotation, with the EURO STOXX 50, DAX 40 and S&amp;P 500 all confirming the move (§10).</w:t>
      </w:r>
    </w:p>
    <w:p>
      <w:pPr>
        <w:spacing w:after="40"/>
      </w:pPr>
    </w:p>
    <w:p>
      <w:pPr>
        <w:spacing w:after="120" w:before="0"/>
      </w:pPr>
      <w:r>
        <w:rPr>
          <w:b/>
          <w:bCs/>
          <w:sz w:val="19"/>
          <w:szCs w:val="19"/>
        </w:rPr>
        <w:t xml:space="preserve">Single watch item: </w:t>
      </w:r>
      <w:r>
        <w:rPr>
          <w:sz w:val="19"/>
          <w:szCs w:val="19"/>
        </w:rPr>
        <w:t xml:space="preserve">the US–Iran negotiation track — a confirmed breakthrough or breakdown is the event most capable of overturning the constructive near-term view, with the 18 June Bank of England decision the dominant scheduled risk just beyond the horizon.</w:t>
      </w:r>
    </w:p>
    <w:p>
      <w:pPr>
        <w:spacing w:after="60"/>
      </w:pPr>
    </w:p>
    <w:p>
      <w:pPr>
        <w:pStyle w:val="Heading1"/>
      </w:pPr>
      <w:r>
        <w:t xml:space="preserve">19.  Source Discipline Note</w:t>
      </w:r>
    </w:p>
    <w:p>
      <w:pPr>
        <w:spacing w:after="120" w:before="0"/>
      </w:pPr>
      <w:r>
        <w:rPr>
          <w:sz w:val="19"/>
          <w:szCs w:val="19"/>
        </w:rPr>
        <w:t xml:space="preserve">Live versus indicative data. The 22 May 2026 FTSE 100 closing level (10,466) is corroborated by two or more independent providers within the equity-index tolerance and is treated as a live, high-confidence value. The EURO STOXX 50 22 May close (6,019) is similarly corroborated.</w:t>
      </w:r>
    </w:p>
    <w:p>
      <w:pPr>
        <w:spacing w:after="120" w:before="0"/>
      </w:pPr>
      <w:r>
        <w:rPr>
          <w:sz w:val="19"/>
          <w:szCs w:val="19"/>
        </w:rPr>
        <w:t xml:space="preserve">Data gaps and indicative fields. For the FTSE 100 sessions of 18–21 May and for the EURO STOXX 50 sessions of 18, 19 and 21 May, the closing direction and approximate level were cross-checked across providers, but the precise intraday high/low/open fields could not be independently corroborated by two fully-verified quotes per field within tolerance. Those OHLC fields are flagged indicative only in §6 and are not treated as definitive.</w:t>
      </w:r>
    </w:p>
    <w:p>
      <w:pPr>
        <w:spacing w:after="120" w:before="0"/>
      </w:pPr>
      <w:r>
        <w:rPr>
          <w:sz w:val="19"/>
          <w:szCs w:val="19"/>
        </w:rPr>
        <w:t xml:space="preserve">Consequence for pivots and strategy. Because the daily, weekly and monthly pivots in §11 are computed from prior-period high/low/close inputs that fall under the indicative flag, every pivot level in this report carries a SINGLE-SOURCE-INDICATIVE corroboration flag. Per the analytical brief for this run, strategy recommendations are nonetheless produced (§21): the trade cards whose entry or stop references a pivot level carry an explicit indicative caveat, and the reader is advised to re-verify those exact levels against a live feed before execution.</w:t>
      </w:r>
    </w:p>
    <w:p>
      <w:pPr>
        <w:spacing w:after="120" w:before="0"/>
      </w:pPr>
      <w:r>
        <w:rPr>
          <w:sz w:val="19"/>
          <w:szCs w:val="19"/>
        </w:rPr>
        <w:t xml:space="preserve">Normalization assumptions. All FTSE 100 figures are GBP index points, regular-session basis; all EURO STOXX 50 figures are EUR index points. No currency conversion was applied. The only adjustment was timing alignment of intraday versus closing prints.</w:t>
      </w:r>
    </w:p>
    <w:p>
      <w:pPr>
        <w:spacing w:after="120" w:before="0"/>
      </w:pPr>
      <w:r>
        <w:rPr>
          <w:i/>
          <w:iCs/>
          <w:sz w:val="18"/>
          <w:szCs w:val="18"/>
        </w:rPr>
        <w:t xml:space="preserve">Corroboration status by instrument: FTSE 100 — close corroborated, intraday OHLC indicative; EURO STOXX 50 — close corroborated, intraday OHLC indicative; counter assets (Dollar Index, S&amp;P 500, DAX 40) — used for directional cross-asset reads only, levels not pivot-critical.</w:t>
      </w:r>
    </w:p>
    <w:p>
      <w:r>
        <w:br w:type="page"/>
      </w:r>
    </w:p>
    <w:p>
      <w:pPr>
        <w:pStyle w:val="Heading1"/>
      </w:pPr>
      <w:r>
        <w:t xml:space="preserve">20.  Agent Log</w:t>
      </w:r>
    </w:p>
    <w:p>
      <w:pPr>
        <w:pBdr>
          <w:bottom w:val="single" w:color="BF8F00" w:sz="4" w:space="3"/>
        </w:pBdr>
        <w:spacing w:after="100" w:before="40"/>
      </w:pPr>
      <w:r>
        <w:rPr>
          <w:i/>
          <w:iCs/>
          <w:color w:val="BF8F00"/>
          <w:sz w:val="17"/>
          <w:szCs w:val="17"/>
        </w:rPr>
        <w:t xml:space="preserve">Process audit trail — sources, validation, sentiment derivation, strategy trace.</w:t>
      </w:r>
    </w:p>
    <w:p>
      <w:pPr>
        <w:spacing w:after="100" w:before="0"/>
      </w:pPr>
      <w:r>
        <w:rPr>
          <w:sz w:val="18"/>
          <w:szCs w:val="18"/>
        </w:rPr>
        <w:t xml:space="preserve">Run timestamp: produced for the trading session of 25 May 2026, Europe/London. Snapshot anchored on the 22 May 2026 close.</w:t>
      </w:r>
    </w:p>
    <w:p>
      <w:pPr>
        <w:spacing w:after="100" w:before="0"/>
      </w:pPr>
      <w:r>
        <w:rPr>
          <w:sz w:val="18"/>
          <w:szCs w:val="18"/>
        </w:rPr>
        <w:t xml:space="preserve">Sources attempted and outcome. Price evidence: Investing.com, Yahoo Finance, Trading Economics, Fidelity/Sharecast, plus end-of-day market wraps (BBN Times, IBTimes). The 22 May FTSE close was corroborated (Yahoo 10,466.26 vs Trading Economics ~10,466; delta within the ±0.10 equity-index tolerance on the close). For the 18–21 May sessions, intraday high/low fields reached single-source-plus-directional confirmation only — logged as indicative. News and sentiment: sourced from the approved media, official and trade-press stack (BBN Times, Trading Economics, IBTimes, CNBC, Bank of England, Morningstar).</w:t>
      </w:r>
    </w:p>
    <w:p>
      <w:pPr>
        <w:spacing w:after="100" w:before="0"/>
      </w:pPr>
      <w:r>
        <w:rPr>
          <w:sz w:val="18"/>
          <w:szCs w:val="18"/>
        </w:rPr>
        <w:t xml:space="preserve">Validation method. Trading-date validation rejected the 23–24 May weekend. The five-session FTSE block and the EURO STOXX block were assembled from Monday–Friday sessions only. RSI2 was computed from validated closes; pivots from prior-period high/low/close, flagged indicative per §19.</w:t>
      </w:r>
    </w:p>
    <w:p>
      <w:pPr>
        <w:spacing w:after="100" w:before="0"/>
      </w:pPr>
      <w:r>
        <w:rPr>
          <w:sz w:val="18"/>
          <w:szCs w:val="18"/>
        </w:rPr>
        <w:t xml:space="preserve">Sentiment derivation. Six FTSE articles classified — 4 Bullish, 1 Neutral, 1 Bearish — each with a derivation quote of fifteen words or fewer. Numeric tilt computed by source-class weighting: Σ(w×s)=+1.7, Σw=4.7, tilt = +0.36, rounded to two decimals. Categorical label: Predominantly Bullish. Not low-confidence (six articles, above the three-article minimum).</w:t>
      </w:r>
    </w:p>
    <w:p>
      <w:pPr>
        <w:spacing w:after="100" w:before="0"/>
      </w:pPr>
      <w:r>
        <w:rPr>
          <w:sz w:val="18"/>
          <w:szCs w:val="18"/>
        </w:rPr>
        <w:t xml:space="preserve">Forecast reasoning. The §17 forecast was derived from the technical integration note and the §13b sentiment direction, and was fixed before the strategy module ran. It was not edited to match the §21 direction.</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W w:type="dxa" w:w="9360"/>
            <w:shd w:fill="D9E2EC" w:val="clear"/>
            <w:tcMar>
              <w:top w:type="dxa" w:w="120"/>
              <w:left w:type="dxa" w:w="160"/>
              <w:bottom w:type="dxa" w:w="120"/>
              <w:right w:type="dxa" w:w="160"/>
            </w:tcMar>
          </w:tcPr>
          <w:p>
            <w:pPr>
              <w:spacing w:after="80"/>
            </w:pPr>
            <w:r>
              <w:rPr>
                <w:b/>
                <w:bCs/>
                <w:sz w:val="18"/>
                <w:szCs w:val="18"/>
              </w:rPr>
              <w:t xml:space="preserve">Anomalies and deviations logged this run:</w:t>
            </w:r>
          </w:p>
          <w:p>
            <w:pPr>
              <w:spacing w:after="80"/>
            </w:pPr>
            <w:r>
              <w:rPr>
                <w:b/>
                <w:bCs/>
                <w:sz w:val="18"/>
                <w:szCs w:val="18"/>
              </w:rPr>
              <w:t xml:space="preserve">•  Daily-open anchor override. </w:t>
            </w:r>
            <w:r>
              <w:rPr>
                <w:sz w:val="18"/>
                <w:szCs w:val="18"/>
              </w:rPr>
              <w:t xml:space="preserve">The populated instance configures the daily-open anchor at 07:00 UK (the pre-open European window). For this run the anchor was overridden to 00:00 UK per the analytical brief. The override is recorded here; it changes the Trade 1 entry timestamp convention only (see §21). Note for the analyst: 00:00 UK is the natural session open for 24-hour markets; the FTSE 100 cash index does not trade at 00:00 UK, so the Trade 1 entry is interpreted as the first executable level at the cash-session open (08:00 UK) following the 00:00 UK anchor reference. This interpretation is flagged as a caveat on the Trade 1 card.</w:t>
            </w:r>
          </w:p>
          <w:p>
            <w:pPr>
              <w:spacing w:after="80"/>
            </w:pPr>
            <w:r>
              <w:rPr>
                <w:b/>
                <w:bCs/>
                <w:sz w:val="18"/>
                <w:szCs w:val="18"/>
              </w:rPr>
              <w:t xml:space="preserve">•  Regime conflict. </w:t>
            </w:r>
            <w:r>
              <w:rPr>
                <w:sz w:val="18"/>
                <w:szCs w:val="18"/>
              </w:rPr>
              <w:t xml:space="preserve">The Kaufman efficiency read (Trending Down – Moderate) contradicts the 5-day Trending-Bullish read. The consolidated regime label resolved to TRANSITION via the deterministic fall-through rule. Surfaced in §1, §9, §16 and §21 — not suppressed.</w:t>
            </w:r>
          </w:p>
          <w:p>
            <w:pPr>
              <w:spacing w:after="80"/>
            </w:pPr>
            <w:r>
              <w:rPr>
                <w:b/>
                <w:bCs/>
                <w:sz w:val="18"/>
                <w:szCs w:val="18"/>
              </w:rPr>
              <w:t xml:space="preserve">•  Indicative pivots. </w:t>
            </w:r>
            <w:r>
              <w:rPr>
                <w:sz w:val="18"/>
                <w:szCs w:val="18"/>
              </w:rPr>
              <w:t xml:space="preserve">All pivot levels carry the SINGLE-SOURCE-INDICATIVE flag (§19). Trade 2 references pivot levels and is produced with an explicit indicative caveat rather than suppressed, per the brief.</w:t>
            </w:r>
          </w:p>
          <w:p>
            <w:pPr>
              <w:spacing w:after="0"/>
            </w:pPr>
            <w:r>
              <w:rPr>
                <w:b/>
                <w:bCs/>
                <w:sz w:val="18"/>
                <w:szCs w:val="18"/>
              </w:rPr>
              <w:t xml:space="preserve">•  Direction-scoring weights. </w:t>
            </w:r>
            <w:r>
              <w:rPr>
                <w:sz w:val="18"/>
                <w:szCs w:val="18"/>
              </w:rPr>
              <w:t xml:space="preserve">Weights basis: defaults (the v2.1 baseline 0.25 / 0.20 / 0.10 / 0.15 / 0.15 / 0.15). No tuning applied. Forward-test session logged against the 20-session weight-lock counter.</w:t>
            </w:r>
          </w:p>
        </w:tc>
      </w:tr>
    </w:tbl>
    <w:p>
      <w:pPr>
        <w:spacing w:after="80"/>
      </w:pPr>
    </w:p>
    <w:p>
      <w:pPr>
        <w:spacing w:after="120" w:before="0"/>
      </w:pPr>
      <w:r>
        <w:rPr>
          <w:sz w:val="18"/>
          <w:szCs w:val="18"/>
        </w:rPr>
        <w:t xml:space="preserve">Strategy module trace. Direction score +0.40 → LONG (threshold 0.25 cleared). Per-signal contributions: short-term technical +0.25, medium-term regime +0.10, VOLator 0.00, Kaufman −0.15, sentiment +0.05, cross-asset +0.15. Regime label TRANSITION. Trade 1 (daily directional) constructed long. Trade 2 (pivot, regime-aware) constructed long on the breakout side, indicative-pivot caveat attached. Trade 3 fork: TRANSITION ordinarily routes to a 3C breakout; with no confirmed 25-day-range breakout close available, and the live tape exhibiting a clean qualifying upswing, a momentum-pullback (3A-style) long was constructed against the most recent qualifying swing — the swing magnitude qualifies at ~4.3× ATR. Backtest: five sessions reconstructed with no forward leakage; see §21c. Limitations boilerplate reproduced verbatim in §21d.</w:t>
      </w:r>
    </w:p>
    <w:p>
      <w:r>
        <w:br w:type="page"/>
      </w:r>
    </w:p>
    <w:p>
      <w:pPr>
        <w:pStyle w:val="Heading1"/>
      </w:pPr>
      <w:r>
        <w:t xml:space="preserve">21.  Strategy Recommendations</w:t>
      </w:r>
    </w:p>
    <w:p>
      <w:pPr>
        <w:pBdr>
          <w:bottom w:val="single" w:color="C2185B" w:sz="4" w:space="3"/>
        </w:pBdr>
        <w:spacing w:after="100" w:before="40"/>
      </w:pPr>
      <w:r>
        <w:rPr>
          <w:i/>
          <w:iCs/>
          <w:color w:val="C2185B"/>
          <w:sz w:val="17"/>
          <w:szCs w:val="17"/>
        </w:rPr>
        <w:t xml:space="preserve">Strategy section — regime-aware trade cards, no-leakage backtest, and ‘what is working’ aggregate.</w:t>
      </w:r>
    </w:p>
    <w:p>
      <w:pPr>
        <w:pStyle w:val="Heading2"/>
      </w:pPr>
      <w:r>
        <w:t xml:space="preserve">21a  Directional Conviction</w:t>
      </w:r>
    </w:p>
    <w:p>
      <w:pPr>
        <w:spacing w:after="140" w:before="0"/>
      </w:pPr>
      <w:r>
        <w:rPr>
          <w:b/>
          <w:bCs/>
          <w:sz w:val="19"/>
          <w:szCs w:val="19"/>
        </w:rPr>
        <w:t xml:space="preserve">Direction: </w:t>
      </w:r>
      <w:r>
        <w:rPr>
          <w:b/>
          <w:bCs/>
          <w:color w:val="548235"/>
          <w:sz w:val="19"/>
          <w:szCs w:val="19"/>
        </w:rPr>
        <w:t xml:space="preserve">LONG</w:t>
      </w:r>
      <w:r>
        <w:rPr>
          <w:sz w:val="19"/>
          <w:szCs w:val="19"/>
        </w:rPr>
        <w:t xml:space="preserve">.  Direction score: </w:t>
      </w:r>
      <w:r>
        <w:rPr>
          <w:b/>
          <w:bCs/>
          <w:sz w:val="19"/>
          <w:szCs w:val="19"/>
        </w:rPr>
        <w:t xml:space="preserve">+0.40</w:t>
      </w:r>
      <w:r>
        <w:rPr>
          <w:sz w:val="19"/>
          <w:szCs w:val="19"/>
        </w:rPr>
        <w:t xml:space="preserve"> (signed scalar, clears the conviction threshold). The three highest-weighted contributing signals are the short-term technical bias (§8) at +0.25, the cross-asset confirmation (§10) at +0.15, and the medium-term regime contribution (§9) at +0.10. The Kaufman signal contributes negatively (−0.15) — the regime conflict described in §9 — and sentiment (§13b) adds +0.05; the score is positive and decisive despite that drag. Weights basis: defaults. Conflict flag: the §21a direction (LONG) and the §17 forecast (mildly higher) point the same way — no conflict to disclose.</w:t>
      </w:r>
    </w:p>
    <w:p>
      <w:pPr>
        <w:pStyle w:val="Heading2"/>
      </w:pPr>
      <w:r>
        <w:t xml:space="preserve">21b  Trade Cards</w:t>
      </w:r>
    </w:p>
    <w:p>
      <w:pPr>
        <w:spacing w:after="60" w:before="120"/>
      </w:pPr>
      <w:r>
        <w:rPr>
          <w:b/>
          <w:bCs/>
          <w:color w:val="C2185B"/>
          <w:sz w:val="20"/>
          <w:szCs w:val="20"/>
        </w:rPr>
        <w:t xml:space="preserve">Trade 1 — Daily Directional</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2500"/>
        <w:gridCol w:w="6860"/>
      </w:tblGrid>
      <w:tr>
        <w:trPr>
          <w:tblHeader/>
        </w:trPr>
        <w:tc>
          <w:tcPr>
            <w:tcW w:type="dxa" w:w="2500"/>
            <w:shd w:fill="1F3A5F" w:val="clear"/>
            <w:tcMar>
              <w:top w:type="dxa" w:w="60"/>
              <w:left w:type="dxa" w:w="90"/>
              <w:bottom w:type="dxa" w:w="60"/>
              <w:right w:type="dxa" w:w="90"/>
            </w:tcMar>
            <w:vAlign w:val="center"/>
          </w:tcPr>
          <w:p>
            <w:pPr>
              <w:spacing w:after="0"/>
              <w:jc w:val="left"/>
            </w:pPr>
            <w:r>
              <w:rPr>
                <w:b/>
                <w:bCs/>
                <w:color w:val="FFFFFF"/>
                <w:sz w:val="17"/>
                <w:szCs w:val="17"/>
              </w:rPr>
              <w:t xml:space="preserve">Field</w:t>
            </w:r>
          </w:p>
        </w:tc>
        <w:tc>
          <w:tcPr>
            <w:tcW w:type="dxa" w:w="6860"/>
            <w:shd w:fill="1F3A5F" w:val="clear"/>
            <w:tcMar>
              <w:top w:type="dxa" w:w="60"/>
              <w:left w:type="dxa" w:w="90"/>
              <w:bottom w:type="dxa" w:w="60"/>
              <w:right w:type="dxa" w:w="90"/>
            </w:tcMar>
            <w:vAlign w:val="center"/>
          </w:tcPr>
          <w:p>
            <w:pPr>
              <w:spacing w:after="0"/>
              <w:jc w:val="left"/>
            </w:pPr>
            <w:r>
              <w:rPr>
                <w:b/>
                <w:bCs/>
                <w:color w:val="FFFFFF"/>
                <w:sz w:val="17"/>
                <w:szCs w:val="17"/>
              </w:rPr>
              <w:t xml:space="preserve">Detail</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Trade type</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Trade 1 — Daily Directional</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Direction</w:t>
            </w:r>
          </w:p>
        </w:tc>
        <w:tc>
          <w:tcPr>
            <w:tcW w:type="dxa" w:w="6860"/>
            <w:shd w:fill="F2F5F8" w:val="clear"/>
            <w:tcMar>
              <w:top w:type="dxa" w:w="60"/>
              <w:left w:type="dxa" w:w="90"/>
              <w:bottom w:type="dxa" w:w="60"/>
              <w:right w:type="dxa" w:w="90"/>
            </w:tcMar>
            <w:vAlign w:val="center"/>
          </w:tcPr>
          <w:p>
            <w:pPr>
              <w:spacing w:after="0"/>
              <w:jc w:val="left"/>
            </w:pPr>
            <w:r>
              <w:rPr>
                <w:b/>
                <w:bCs/>
                <w:color w:val="548235"/>
                <w:sz w:val="18"/>
                <w:szCs w:val="18"/>
              </w:rPr>
              <w:t xml:space="preserve">LONG — direction score +0.40 clears the conviction threshold</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Entry</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Market at the cash-session open following the 00:00 UK anchor — reference 10,466 points. (Anchor override caveat — see Caveats.)</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Stop loss</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10,413 points — 53 points below entry. Structural anchor: the 22 May session low (10,436) less a 0.25×ATR buffer; this is the tighter of the swing-low and nearest-support anchors.</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Risk (R)</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53 points (entry 10,466 → stop 10,413)</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TP1 (Unit 1)</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10,520 points — +1R (+53 points)</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TP2 (Unit 2)</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10,574 points — +2R (+107 points). On fill, Unit 3 stop moves to entry +0.2R (10,477).</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TP3 (Unit 3 — runner)</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Time-stopped at the 25 May session close, or price-stopped at 3×ATR from entry (~10,742), whichever triggers first.</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Tranche management</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Three equal units. Unit 1 exits at TP1, Unit 2 at TP2; on Unit 2 fill, Unit 3 stop trails to entry +0.2R.</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Confluences</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Stop region (10,413) sits near the daily pivot (10,418) — pivot + swing confluence. TP1 (10,520) is just above the daily R2 zone (10,504). Entry sits below the daily R1 / weekly R2 confluence band (10,474–10,489).</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Thesis invalidation</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A daily close below 10,362 (the 21 May low) — breaks the five-session higher-low chain. Sits below the stop; recorded explicitly.</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Caveats</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C0392B"/>
                <w:sz w:val="18"/>
                <w:szCs w:val="18"/>
              </w:rPr>
              <w:t xml:space="preserve">Anchor-override interpretation (00:00 UK anchor applied to a cash index that does not trade at 00:00 — entry taken at the cash-session open); wide-stop check passed (R &lt; 1×ATR); pivot levels referenced are single-source indicative.</w:t>
            </w:r>
          </w:p>
        </w:tc>
      </w:tr>
    </w:tbl>
    <w:p>
      <w:pPr>
        <w:spacing w:after="120"/>
      </w:pPr>
    </w:p>
    <w:p>
      <w:pPr>
        <w:spacing w:after="60" w:before="120"/>
      </w:pPr>
      <w:r>
        <w:rPr>
          <w:b/>
          <w:bCs/>
          <w:color w:val="C2185B"/>
          <w:sz w:val="20"/>
          <w:szCs w:val="20"/>
        </w:rPr>
        <w:t xml:space="preserve">Trade 2 — Pivot (regime-aware)</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2500"/>
        <w:gridCol w:w="6860"/>
      </w:tblGrid>
      <w:tr>
        <w:trPr>
          <w:tblHeader/>
        </w:trPr>
        <w:tc>
          <w:tcPr>
            <w:tcW w:type="dxa" w:w="2500"/>
            <w:shd w:fill="1F3A5F" w:val="clear"/>
            <w:tcMar>
              <w:top w:type="dxa" w:w="60"/>
              <w:left w:type="dxa" w:w="90"/>
              <w:bottom w:type="dxa" w:w="60"/>
              <w:right w:type="dxa" w:w="90"/>
            </w:tcMar>
            <w:vAlign w:val="center"/>
          </w:tcPr>
          <w:p>
            <w:pPr>
              <w:spacing w:after="0"/>
              <w:jc w:val="left"/>
            </w:pPr>
            <w:r>
              <w:rPr>
                <w:b/>
                <w:bCs/>
                <w:color w:val="FFFFFF"/>
                <w:sz w:val="17"/>
                <w:szCs w:val="17"/>
              </w:rPr>
              <w:t xml:space="preserve">Field</w:t>
            </w:r>
          </w:p>
        </w:tc>
        <w:tc>
          <w:tcPr>
            <w:tcW w:type="dxa" w:w="6860"/>
            <w:shd w:fill="1F3A5F" w:val="clear"/>
            <w:tcMar>
              <w:top w:type="dxa" w:w="60"/>
              <w:left w:type="dxa" w:w="90"/>
              <w:bottom w:type="dxa" w:w="60"/>
              <w:right w:type="dxa" w:w="90"/>
            </w:tcMar>
            <w:vAlign w:val="center"/>
          </w:tcPr>
          <w:p>
            <w:pPr>
              <w:spacing w:after="0"/>
              <w:jc w:val="left"/>
            </w:pPr>
            <w:r>
              <w:rPr>
                <w:b/>
                <w:bCs/>
                <w:color w:val="FFFFFF"/>
                <w:sz w:val="17"/>
                <w:szCs w:val="17"/>
              </w:rPr>
              <w:t xml:space="preserve">Detail</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Trade type</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Trade 2 — Pivot (regime-aware). Regime TRANSITION → breakout-side limit only.</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Direction</w:t>
            </w:r>
          </w:p>
        </w:tc>
        <w:tc>
          <w:tcPr>
            <w:tcW w:type="dxa" w:w="6860"/>
            <w:shd w:fill="F2F5F8" w:val="clear"/>
            <w:tcMar>
              <w:top w:type="dxa" w:w="60"/>
              <w:left w:type="dxa" w:w="90"/>
              <w:bottom w:type="dxa" w:w="60"/>
              <w:right w:type="dxa" w:w="90"/>
            </w:tcMar>
            <w:vAlign w:val="center"/>
          </w:tcPr>
          <w:p>
            <w:pPr>
              <w:spacing w:after="0"/>
              <w:jc w:val="left"/>
            </w:pPr>
            <w:r>
              <w:rPr>
                <w:b/>
                <w:bCs/>
                <w:color w:val="548235"/>
                <w:sz w:val="18"/>
                <w:szCs w:val="18"/>
              </w:rPr>
              <w:t xml:space="preserve">LONG — breakout side, aligned with the §21a direction and the upside bias of the Trade 3 momentum card</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Entry</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Stop-entry at 10,424 points — 10% of the way from the daily pivot (10,418) toward daily R1 (10,474), on the upside.</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Stop loss</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10,394 points — 30 points below entry. Anchored at P − 0.8×(P − S1), i.e. just below the daily pivot toward daily S1 (10,388).</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Risk (R)</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30 points (entry 10,424 → stop 10,394)</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TP1 (Unit 1)</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10,474 points — daily R1</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TP2 (Unit 2)</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10,489 points — daily R1.5 midpoint. On fill, Unit 3 stop moves to entry +0.2R (10,430).</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TP3 (Unit 3 — runner)</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10,504 points — daily R2</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Tranche management</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Three equal units; Unit 1 at TP1, Unit 2 at TP2; on Unit 2 fill, Unit 3 stop trails to entry +0.2R.</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Confluences</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BF8F00"/>
                <w:sz w:val="18"/>
                <w:szCs w:val="18"/>
              </w:rPr>
              <w:t xml:space="preserve">Strong confluence at TP1/TP2: daily R1 (10,474), daily R1.5 (10,489) and weekly R2 (10,485) cluster within ~15 points, coinciding with the 22 May high (10,488). Expect genuine resistance through this band.</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Thesis invalidation</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A daily close back through the daily pivot (10,418). Documented even though the stop (10,394) is tighter.</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Caveats</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C0392B"/>
                <w:sz w:val="18"/>
                <w:szCs w:val="18"/>
              </w:rPr>
              <w:t xml:space="preserve">All pivot levels are single-source indicative (§19) — re-verify against a live feed before placing level-based orders; TRANSITION regime restricts Trade 2 to the breakout side only; overhead confluence band may cap the runner.</w:t>
            </w:r>
          </w:p>
        </w:tc>
      </w:tr>
    </w:tbl>
    <w:p>
      <w:pPr>
        <w:spacing w:after="120"/>
      </w:pPr>
    </w:p>
    <w:p>
      <w:pPr>
        <w:spacing w:after="60" w:before="120"/>
      </w:pPr>
      <w:r>
        <w:rPr>
          <w:b/>
          <w:bCs/>
          <w:color w:val="C2185B"/>
          <w:sz w:val="20"/>
          <w:szCs w:val="20"/>
        </w:rPr>
        <w:t xml:space="preserve">Trade 3 — Momentum-Pullback (3A variant)</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2500"/>
        <w:gridCol w:w="6860"/>
      </w:tblGrid>
      <w:tr>
        <w:trPr>
          <w:tblHeader/>
        </w:trPr>
        <w:tc>
          <w:tcPr>
            <w:tcW w:type="dxa" w:w="2500"/>
            <w:shd w:fill="1F3A5F" w:val="clear"/>
            <w:tcMar>
              <w:top w:type="dxa" w:w="60"/>
              <w:left w:type="dxa" w:w="90"/>
              <w:bottom w:type="dxa" w:w="60"/>
              <w:right w:type="dxa" w:w="90"/>
            </w:tcMar>
            <w:vAlign w:val="center"/>
          </w:tcPr>
          <w:p>
            <w:pPr>
              <w:spacing w:after="0"/>
              <w:jc w:val="left"/>
            </w:pPr>
            <w:r>
              <w:rPr>
                <w:b/>
                <w:bCs/>
                <w:color w:val="FFFFFF"/>
                <w:sz w:val="17"/>
                <w:szCs w:val="17"/>
              </w:rPr>
              <w:t xml:space="preserve">Field</w:t>
            </w:r>
          </w:p>
        </w:tc>
        <w:tc>
          <w:tcPr>
            <w:tcW w:type="dxa" w:w="6860"/>
            <w:shd w:fill="1F3A5F" w:val="clear"/>
            <w:tcMar>
              <w:top w:type="dxa" w:w="60"/>
              <w:left w:type="dxa" w:w="90"/>
              <w:bottom w:type="dxa" w:w="60"/>
              <w:right w:type="dxa" w:w="90"/>
            </w:tcMar>
            <w:vAlign w:val="center"/>
          </w:tcPr>
          <w:p>
            <w:pPr>
              <w:spacing w:after="0"/>
              <w:jc w:val="left"/>
            </w:pPr>
            <w:r>
              <w:rPr>
                <w:b/>
                <w:bCs/>
                <w:color w:val="FFFFFF"/>
                <w:sz w:val="17"/>
                <w:szCs w:val="17"/>
              </w:rPr>
              <w:t xml:space="preserve">Detail</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Trade type</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Trade 3 — Momentum-Pullback (3A). Built against the most recent qualifying up-swing; see Caveats for the regime note.</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Direction</w:t>
            </w:r>
          </w:p>
        </w:tc>
        <w:tc>
          <w:tcPr>
            <w:tcW w:type="dxa" w:w="6860"/>
            <w:shd w:fill="F2F5F8" w:val="clear"/>
            <w:tcMar>
              <w:top w:type="dxa" w:w="60"/>
              <w:left w:type="dxa" w:w="90"/>
              <w:bottom w:type="dxa" w:w="60"/>
              <w:right w:type="dxa" w:w="90"/>
            </w:tcMar>
            <w:vAlign w:val="center"/>
          </w:tcPr>
          <w:p>
            <w:pPr>
              <w:spacing w:after="0"/>
              <w:jc w:val="left"/>
            </w:pPr>
            <w:r>
              <w:rPr>
                <w:b/>
                <w:bCs/>
                <w:color w:val="548235"/>
                <w:sz w:val="18"/>
                <w:szCs w:val="18"/>
              </w:rPr>
              <w:t xml:space="preserve">LONG — with the prevailing short-term uptrend</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Fib anchor</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Most recent qualifying swing: low ~10,088 (week of 11–15 May) → high 10,488 (22 May). Magnitude ~400 points ≈ 4.3×ATR — qualifies at the default lookback.</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Entry</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Buy limit at 10,258 points — the 57.5% retracement of the up-swing (midpoint of the 50% and 61.8% retracements).</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Stop loss</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10,065 points — 0.25×ATR below the 0% swing anchor (10,088). Stop distance ~193 points, within the ATR cap.</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Risk (R)</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193 points (entry 10,258 → stop 10,065)</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TP1 (Unit 1)</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10,335 points — the 38.2% retracement (shallow-pullback target)</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TP2 (Unit 2)</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10,488 points — the 0% level, swing origin high. On fill, Unit 3 stop moves to entry +0.2R (10,297).</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TP3 (Unit 3 — runner)</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10,888 points — the 100%+ extension of the swing. Structural runner override: once price prints above the 100% extension, Unit 3 stop moves to the 50% mark of the 1:1 leg (~10,373).</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Tranche management</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Three equal units. Standard tranching; the 100%-extension structural stop pull supersedes the universal trail on Unit 3 only.</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Confluences</w:t>
            </w:r>
          </w:p>
        </w:tc>
        <w:tc>
          <w:tcPr>
            <w:tcW w:type="dxa" w:w="6860"/>
            <w:tcMar>
              <w:top w:type="dxa" w:w="60"/>
              <w:left w:type="dxa" w:w="90"/>
              <w:bottom w:type="dxa" w:w="60"/>
              <w:right w:type="dxa" w:w="90"/>
            </w:tcMar>
            <w:vAlign w:val="center"/>
          </w:tcPr>
          <w:p>
            <w:pPr>
              <w:spacing w:after="0"/>
              <w:jc w:val="left"/>
            </w:pPr>
            <w:r>
              <w:rPr>
                <w:b w:val="false"/>
                <w:bCs w:val="false"/>
                <w:color w:val="1A1A1A"/>
                <w:sz w:val="18"/>
                <w:szCs w:val="18"/>
              </w:rPr>
              <w:t xml:space="preserve">Entry (10,258) sits near the monthly pivot (10,264) — pivot + fib confluence. TP2 (10,488) coincides with the daily R1 / weekly R2 resistance band.</w:t>
            </w:r>
          </w:p>
        </w:tc>
      </w:tr>
      <w:tr>
        <w:tc>
          <w:tcPr>
            <w:tcW w:type="dxa" w:w="250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Thesis invalidation</w:t>
            </w:r>
          </w:p>
        </w:tc>
        <w:tc>
          <w:tcPr>
            <w:tcW w:type="dxa" w:w="686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A daily close below the swing-low anchor (10,088).</w:t>
            </w:r>
          </w:p>
        </w:tc>
      </w:tr>
      <w:tr>
        <w:tc>
          <w:tcPr>
            <w:tcW w:type="dxa" w:w="2500"/>
            <w:tcMar>
              <w:top w:type="dxa" w:w="60"/>
              <w:left w:type="dxa" w:w="90"/>
              <w:bottom w:type="dxa" w:w="60"/>
              <w:right w:type="dxa" w:w="90"/>
            </w:tcMar>
            <w:vAlign w:val="center"/>
          </w:tcPr>
          <w:p>
            <w:pPr>
              <w:spacing w:after="0"/>
              <w:jc w:val="left"/>
            </w:pPr>
            <w:r>
              <w:rPr>
                <w:b w:val="false"/>
                <w:bCs w:val="false"/>
                <w:color w:val="1A1A1A"/>
                <w:sz w:val="18"/>
                <w:szCs w:val="18"/>
              </w:rPr>
              <w:t xml:space="preserve">Caveats</w:t>
            </w:r>
          </w:p>
        </w:tc>
        <w:tc>
          <w:tcPr>
            <w:tcW w:type="dxa" w:w="6860"/>
            <w:tcMar>
              <w:top w:type="dxa" w:w="60"/>
              <w:left w:type="dxa" w:w="90"/>
              <w:bottom w:type="dxa" w:w="60"/>
              <w:right w:type="dxa" w:w="90"/>
            </w:tcMar>
            <w:vAlign w:val="center"/>
          </w:tcPr>
          <w:p>
            <w:pPr>
              <w:spacing w:after="0"/>
              <w:jc w:val="left"/>
            </w:pPr>
            <w:r>
              <w:rPr>
                <w:b w:val="false"/>
                <w:bCs w:val="false"/>
                <w:color w:val="C0392B"/>
                <w:sz w:val="18"/>
                <w:szCs w:val="18"/>
              </w:rPr>
              <w:t xml:space="preserve">This is a pullback-entry card — it triggers only on a retracement toward 10,258 and will not fill if the index continues straight higher; regime is TRANSITION (a 3C breakout would require a confirmed 25-day-range close, which is not present) so a 3A-style momentum-pullback was constructed against the live qualifying swing — flagged as a deviation in §20; swing-low and pivot levels referenced are single-source indicative.</w:t>
            </w:r>
          </w:p>
        </w:tc>
      </w:tr>
    </w:tbl>
    <w:p>
      <w:pPr>
        <w:spacing w:after="120"/>
      </w:pPr>
    </w:p>
    <w:p>
      <w:pPr>
        <w:spacing w:after="60"/>
      </w:pPr>
    </w:p>
    <w:p>
      <w:pPr>
        <w:pStyle w:val="Heading2"/>
      </w:pPr>
      <w:r>
        <w:t xml:space="preserve">21c  Five-Session No-Leakage Backtest</w:t>
      </w:r>
    </w:p>
    <w:p>
      <w:pPr>
        <w:spacing w:after="100" w:before="0"/>
      </w:pPr>
      <w:r>
        <w:rPr>
          <w:sz w:val="18"/>
          <w:szCs w:val="18"/>
        </w:rPr>
        <w:t xml:space="preserve">The prior five sessions reconstructed under the same trade-card logic, using only data available at each prior session’s close. Sentiment, regime, ATR, swings and pivots are recomputed at each t−1 with no forward leakage. Slippage is zero; the conservative stop-first rule applies where both stop and target could fill in one bar.</w:t>
      </w:r>
    </w:p>
    <w:tbl>
      <w:tblPr>
        <w:tblW w:type="dxa" w:w="9360"/>
        <w:tblBorders>
          <w:top w:val="single" w:color="B7C2CE" w:sz="2"/>
          <w:left w:val="single" w:color="B7C2CE" w:sz="2"/>
          <w:bottom w:val="single" w:color="B7C2CE" w:sz="2"/>
          <w:right w:val="single" w:color="B7C2CE" w:sz="2"/>
          <w:insideH w:val="single" w:color="B7C2CE" w:sz="2"/>
          <w:insideV w:val="single" w:color="B7C2CE" w:sz="2"/>
        </w:tblBorders>
      </w:tblPr>
      <w:tblGrid>
        <w:gridCol w:w="1200"/>
        <w:gridCol w:w="1150"/>
        <w:gridCol w:w="1150"/>
        <w:gridCol w:w="1100"/>
        <w:gridCol w:w="2050"/>
        <w:gridCol w:w="1300"/>
        <w:gridCol w:w="1410"/>
      </w:tblGrid>
      <w:tr>
        <w:trPr>
          <w:tblHeader/>
        </w:trPr>
        <w:tc>
          <w:tcPr>
            <w:tcW w:type="dxa" w:w="1200"/>
            <w:shd w:fill="1F3A5F" w:val="clear"/>
            <w:tcMar>
              <w:top w:type="dxa" w:w="60"/>
              <w:left w:type="dxa" w:w="90"/>
              <w:bottom w:type="dxa" w:w="60"/>
              <w:right w:type="dxa" w:w="90"/>
            </w:tcMar>
            <w:vAlign w:val="center"/>
          </w:tcPr>
          <w:p>
            <w:pPr>
              <w:spacing w:after="0"/>
              <w:jc w:val="center"/>
            </w:pPr>
            <w:r>
              <w:rPr>
                <w:b/>
                <w:bCs/>
                <w:color w:val="FFFFFF"/>
                <w:sz w:val="17"/>
                <w:szCs w:val="17"/>
              </w:rPr>
              <w:t xml:space="preserve">Date (t)</w:t>
            </w:r>
          </w:p>
        </w:tc>
        <w:tc>
          <w:tcPr>
            <w:tcW w:type="dxa" w:w="1150"/>
            <w:shd w:fill="1F3A5F" w:val="clear"/>
            <w:tcMar>
              <w:top w:type="dxa" w:w="60"/>
              <w:left w:type="dxa" w:w="90"/>
              <w:bottom w:type="dxa" w:w="60"/>
              <w:right w:type="dxa" w:w="90"/>
            </w:tcMar>
            <w:vAlign w:val="center"/>
          </w:tcPr>
          <w:p>
            <w:pPr>
              <w:spacing w:after="0"/>
              <w:jc w:val="center"/>
            </w:pPr>
            <w:r>
              <w:rPr>
                <w:b/>
                <w:bCs/>
                <w:color w:val="FFFFFF"/>
                <w:sz w:val="17"/>
                <w:szCs w:val="17"/>
              </w:rPr>
              <w:t xml:space="preserve">Strategy</w:t>
            </w:r>
          </w:p>
        </w:tc>
        <w:tc>
          <w:tcPr>
            <w:tcW w:type="dxa" w:w="1150"/>
            <w:shd w:fill="1F3A5F" w:val="clear"/>
            <w:tcMar>
              <w:top w:type="dxa" w:w="60"/>
              <w:left w:type="dxa" w:w="90"/>
              <w:bottom w:type="dxa" w:w="60"/>
              <w:right w:type="dxa" w:w="90"/>
            </w:tcMar>
            <w:vAlign w:val="center"/>
          </w:tcPr>
          <w:p>
            <w:pPr>
              <w:spacing w:after="0"/>
              <w:jc w:val="center"/>
            </w:pPr>
            <w:r>
              <w:rPr>
                <w:b/>
                <w:bCs/>
                <w:color w:val="FFFFFF"/>
                <w:sz w:val="17"/>
                <w:szCs w:val="17"/>
              </w:rPr>
              <w:t xml:space="preserve">Direction</w:t>
            </w:r>
          </w:p>
        </w:tc>
        <w:tc>
          <w:tcPr>
            <w:tcW w:type="dxa" w:w="1100"/>
            <w:shd w:fill="1F3A5F" w:val="clear"/>
            <w:tcMar>
              <w:top w:type="dxa" w:w="60"/>
              <w:left w:type="dxa" w:w="90"/>
              <w:bottom w:type="dxa" w:w="60"/>
              <w:right w:type="dxa" w:w="90"/>
            </w:tcMar>
            <w:vAlign w:val="center"/>
          </w:tcPr>
          <w:p>
            <w:pPr>
              <w:spacing w:after="0"/>
              <w:jc w:val="center"/>
            </w:pPr>
            <w:r>
              <w:rPr>
                <w:b/>
                <w:bCs/>
                <w:color w:val="FFFFFF"/>
                <w:sz w:val="17"/>
                <w:szCs w:val="17"/>
              </w:rPr>
              <w:t xml:space="preserve">Triggered</w:t>
            </w:r>
          </w:p>
        </w:tc>
        <w:tc>
          <w:tcPr>
            <w:tcW w:type="dxa" w:w="2050"/>
            <w:shd w:fill="1F3A5F" w:val="clear"/>
            <w:tcMar>
              <w:top w:type="dxa" w:w="60"/>
              <w:left w:type="dxa" w:w="90"/>
              <w:bottom w:type="dxa" w:w="60"/>
              <w:right w:type="dxa" w:w="90"/>
            </w:tcMar>
            <w:vAlign w:val="center"/>
          </w:tcPr>
          <w:p>
            <w:pPr>
              <w:spacing w:after="0"/>
              <w:jc w:val="center"/>
            </w:pPr>
            <w:r>
              <w:rPr>
                <w:b/>
                <w:bCs/>
                <w:color w:val="FFFFFF"/>
                <w:sz w:val="17"/>
                <w:szCs w:val="17"/>
              </w:rPr>
              <w:t xml:space="preserve">Entry / Exit</w:t>
            </w:r>
          </w:p>
        </w:tc>
        <w:tc>
          <w:tcPr>
            <w:tcW w:type="dxa" w:w="1300"/>
            <w:shd w:fill="1F3A5F" w:val="clear"/>
            <w:tcMar>
              <w:top w:type="dxa" w:w="60"/>
              <w:left w:type="dxa" w:w="90"/>
              <w:bottom w:type="dxa" w:w="60"/>
              <w:right w:type="dxa" w:w="90"/>
            </w:tcMar>
            <w:vAlign w:val="center"/>
          </w:tcPr>
          <w:p>
            <w:pPr>
              <w:spacing w:after="0"/>
              <w:jc w:val="center"/>
            </w:pPr>
            <w:r>
              <w:rPr>
                <w:b/>
                <w:bCs/>
                <w:color w:val="FFFFFF"/>
                <w:sz w:val="17"/>
                <w:szCs w:val="17"/>
              </w:rPr>
              <w:t xml:space="preserve">Outcome (R)</w:t>
            </w:r>
          </w:p>
        </w:tc>
        <w:tc>
          <w:tcPr>
            <w:tcW w:type="dxa" w:w="1410"/>
            <w:shd w:fill="1F3A5F" w:val="clear"/>
            <w:tcMar>
              <w:top w:type="dxa" w:w="60"/>
              <w:left w:type="dxa" w:w="90"/>
              <w:bottom w:type="dxa" w:w="60"/>
              <w:right w:type="dxa" w:w="90"/>
            </w:tcMar>
            <w:vAlign w:val="center"/>
          </w:tcPr>
          <w:p>
            <w:pPr>
              <w:spacing w:after="0"/>
              <w:jc w:val="center"/>
            </w:pPr>
            <w:r>
              <w:rPr>
                <w:b/>
                <w:bCs/>
                <w:color w:val="FFFFFF"/>
                <w:sz w:val="17"/>
                <w:szCs w:val="17"/>
              </w:rPr>
              <w:t xml:space="preserve">Days to res.</w:t>
            </w:r>
          </w:p>
        </w:tc>
      </w:tr>
      <w:tr>
        <w:tc>
          <w:tcPr>
            <w:tcW w:type="dxa" w:w="1200"/>
            <w:tcMar>
              <w:top w:type="dxa" w:w="60"/>
              <w:left w:type="dxa" w:w="90"/>
              <w:bottom w:type="dxa" w:w="60"/>
              <w:right w:type="dxa" w:w="90"/>
            </w:tcMar>
            <w:vAlign w:val="center"/>
          </w:tcPr>
          <w:p>
            <w:pPr>
              <w:spacing w:after="0"/>
              <w:jc w:val="center"/>
            </w:pPr>
            <w:r>
              <w:rPr>
                <w:b w:val="false"/>
                <w:bCs w:val="false"/>
                <w:color w:val="1A1A1A"/>
                <w:sz w:val="18"/>
                <w:szCs w:val="18"/>
              </w:rPr>
              <w:t xml:space="preserve">18 May (t−5)</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Trade 1</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Yes</w:t>
            </w:r>
          </w:p>
        </w:tc>
        <w:tc>
          <w:tcPr>
            <w:tcW w:type="dxa" w:w="2050"/>
            <w:tcMar>
              <w:top w:type="dxa" w:w="60"/>
              <w:left w:type="dxa" w:w="90"/>
              <w:bottom w:type="dxa" w:w="60"/>
              <w:right w:type="dxa" w:w="90"/>
            </w:tcMar>
            <w:vAlign w:val="center"/>
          </w:tcPr>
          <w:p>
            <w:pPr>
              <w:spacing w:after="0"/>
              <w:jc w:val="left"/>
            </w:pPr>
            <w:r>
              <w:rPr>
                <w:b w:val="false"/>
                <w:bCs w:val="false"/>
                <w:color w:val="1A1A1A"/>
                <w:sz w:val="18"/>
                <w:szCs w:val="18"/>
              </w:rPr>
              <w:t xml:space="preserve">Entry 10,204 / partial exits</w:t>
            </w:r>
          </w:p>
        </w:tc>
        <w:tc>
          <w:tcPr>
            <w:tcW w:type="dxa" w:w="1300"/>
            <w:tcMar>
              <w:top w:type="dxa" w:w="60"/>
              <w:left w:type="dxa" w:w="90"/>
              <w:bottom w:type="dxa" w:w="60"/>
              <w:right w:type="dxa" w:w="90"/>
            </w:tcMar>
            <w:vAlign w:val="center"/>
          </w:tcPr>
          <w:p>
            <w:pPr>
              <w:spacing w:after="0"/>
              <w:jc w:val="left"/>
            </w:pPr>
            <w:r>
              <w:rPr>
                <w:b/>
                <w:bCs/>
                <w:color w:val="548235"/>
                <w:sz w:val="18"/>
                <w:szCs w:val="18"/>
              </w:rPr>
              <w:t xml:space="preserve">+1.6R</w:t>
            </w:r>
          </w:p>
        </w:tc>
        <w:tc>
          <w:tcPr>
            <w:tcW w:type="dxa" w:w="1410"/>
            <w:tcMar>
              <w:top w:type="dxa" w:w="60"/>
              <w:left w:type="dxa" w:w="90"/>
              <w:bottom w:type="dxa" w:w="60"/>
              <w:right w:type="dxa" w:w="90"/>
            </w:tcMar>
            <w:vAlign w:val="center"/>
          </w:tcPr>
          <w:p>
            <w:pPr>
              <w:spacing w:after="0"/>
              <w:jc w:val="center"/>
            </w:pPr>
            <w:r>
              <w:rPr>
                <w:b w:val="false"/>
                <w:bCs w:val="false"/>
                <w:color w:val="1A1A1A"/>
                <w:sz w:val="18"/>
                <w:szCs w:val="18"/>
              </w:rPr>
              <w:t xml:space="preserve">1</w:t>
            </w:r>
          </w:p>
        </w:tc>
      </w:tr>
      <w:tr>
        <w:tc>
          <w:tcPr>
            <w:tcW w:type="dxa" w:w="12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18 May (t−5)</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Trade 2</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Yes</w:t>
            </w:r>
          </w:p>
        </w:tc>
        <w:tc>
          <w:tcPr>
            <w:tcW w:type="dxa" w:w="20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Pivot breakout filled</w:t>
            </w:r>
          </w:p>
        </w:tc>
        <w:tc>
          <w:tcPr>
            <w:tcW w:type="dxa" w:w="1300"/>
            <w:shd w:fill="F2F5F8" w:val="clear"/>
            <w:tcMar>
              <w:top w:type="dxa" w:w="60"/>
              <w:left w:type="dxa" w:w="90"/>
              <w:bottom w:type="dxa" w:w="60"/>
              <w:right w:type="dxa" w:w="90"/>
            </w:tcMar>
            <w:vAlign w:val="center"/>
          </w:tcPr>
          <w:p>
            <w:pPr>
              <w:spacing w:after="0"/>
              <w:jc w:val="left"/>
            </w:pPr>
            <w:r>
              <w:rPr>
                <w:b/>
                <w:bCs/>
                <w:color w:val="548235"/>
                <w:sz w:val="18"/>
                <w:szCs w:val="18"/>
              </w:rPr>
              <w:t xml:space="preserve">+1.0R</w:t>
            </w:r>
          </w:p>
        </w:tc>
        <w:tc>
          <w:tcPr>
            <w:tcW w:type="dxa" w:w="141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w:t>
            </w:r>
          </w:p>
        </w:tc>
      </w:tr>
      <w:tr>
        <w:tc>
          <w:tcPr>
            <w:tcW w:type="dxa" w:w="1200"/>
            <w:tcMar>
              <w:top w:type="dxa" w:w="60"/>
              <w:left w:type="dxa" w:w="90"/>
              <w:bottom w:type="dxa" w:w="60"/>
              <w:right w:type="dxa" w:w="90"/>
            </w:tcMar>
            <w:vAlign w:val="center"/>
          </w:tcPr>
          <w:p>
            <w:pPr>
              <w:spacing w:after="0"/>
              <w:jc w:val="center"/>
            </w:pPr>
            <w:r>
              <w:rPr>
                <w:b w:val="false"/>
                <w:bCs w:val="false"/>
                <w:color w:val="1A1A1A"/>
                <w:sz w:val="18"/>
                <w:szCs w:val="18"/>
              </w:rPr>
              <w:t xml:space="preserve">18 May (t−5)</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Trade 3A</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No</w:t>
            </w:r>
          </w:p>
        </w:tc>
        <w:tc>
          <w:tcPr>
            <w:tcW w:type="dxa" w:w="2050"/>
            <w:tcMar>
              <w:top w:type="dxa" w:w="60"/>
              <w:left w:type="dxa" w:w="90"/>
              <w:bottom w:type="dxa" w:w="60"/>
              <w:right w:type="dxa" w:w="90"/>
            </w:tcMar>
            <w:vAlign w:val="center"/>
          </w:tcPr>
          <w:p>
            <w:pPr>
              <w:spacing w:after="0"/>
              <w:jc w:val="left"/>
            </w:pPr>
            <w:r>
              <w:rPr>
                <w:b w:val="false"/>
                <w:bCs w:val="false"/>
                <w:color w:val="1A1A1A"/>
                <w:sz w:val="18"/>
                <w:szCs w:val="18"/>
              </w:rPr>
              <w:t xml:space="preserve">Limit not reached (no pullback)</w:t>
            </w:r>
          </w:p>
        </w:tc>
        <w:tc>
          <w:tcPr>
            <w:tcW w:type="dxa" w:w="1300"/>
            <w:tcMar>
              <w:top w:type="dxa" w:w="60"/>
              <w:left w:type="dxa" w:w="90"/>
              <w:bottom w:type="dxa" w:w="60"/>
              <w:right w:type="dxa" w:w="90"/>
            </w:tcMar>
            <w:vAlign w:val="center"/>
          </w:tcPr>
          <w:p>
            <w:pPr>
              <w:spacing w:after="0"/>
              <w:jc w:val="center"/>
            </w:pPr>
            <w:r>
              <w:rPr>
                <w:b w:val="false"/>
                <w:bCs w:val="false"/>
                <w:color w:val="1A1A1A"/>
                <w:sz w:val="18"/>
                <w:szCs w:val="18"/>
              </w:rPr>
              <w:t xml:space="preserve">—</w:t>
            </w:r>
          </w:p>
        </w:tc>
        <w:tc>
          <w:tcPr>
            <w:tcW w:type="dxa" w:w="1410"/>
            <w:tcMar>
              <w:top w:type="dxa" w:w="60"/>
              <w:left w:type="dxa" w:w="90"/>
              <w:bottom w:type="dxa" w:w="60"/>
              <w:right w:type="dxa" w:w="90"/>
            </w:tcMar>
            <w:vAlign w:val="center"/>
          </w:tcPr>
          <w:p>
            <w:pPr>
              <w:spacing w:after="0"/>
              <w:jc w:val="center"/>
            </w:pPr>
            <w:r>
              <w:rPr>
                <w:b w:val="false"/>
                <w:bCs w:val="false"/>
                <w:color w:val="1A1A1A"/>
                <w:sz w:val="18"/>
                <w:szCs w:val="18"/>
              </w:rPr>
              <w:t xml:space="preserve">—</w:t>
            </w:r>
          </w:p>
        </w:tc>
      </w:tr>
      <w:tr>
        <w:tc>
          <w:tcPr>
            <w:tcW w:type="dxa" w:w="12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19 May (t−4)</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Trade 1</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Yes</w:t>
            </w:r>
          </w:p>
        </w:tc>
        <w:tc>
          <w:tcPr>
            <w:tcW w:type="dxa" w:w="20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Entry 10,271 / TP1 hit</w:t>
            </w:r>
          </w:p>
        </w:tc>
        <w:tc>
          <w:tcPr>
            <w:tcW w:type="dxa" w:w="1300"/>
            <w:shd w:fill="F2F5F8" w:val="clear"/>
            <w:tcMar>
              <w:top w:type="dxa" w:w="60"/>
              <w:left w:type="dxa" w:w="90"/>
              <w:bottom w:type="dxa" w:w="60"/>
              <w:right w:type="dxa" w:w="90"/>
            </w:tcMar>
            <w:vAlign w:val="center"/>
          </w:tcPr>
          <w:p>
            <w:pPr>
              <w:spacing w:after="0"/>
              <w:jc w:val="left"/>
            </w:pPr>
            <w:r>
              <w:rPr>
                <w:b/>
                <w:bCs/>
                <w:color w:val="548235"/>
                <w:sz w:val="18"/>
                <w:szCs w:val="18"/>
              </w:rPr>
              <w:t xml:space="preserve">+0.7R</w:t>
            </w:r>
          </w:p>
        </w:tc>
        <w:tc>
          <w:tcPr>
            <w:tcW w:type="dxa" w:w="141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w:t>
            </w:r>
          </w:p>
        </w:tc>
      </w:tr>
      <w:tr>
        <w:tc>
          <w:tcPr>
            <w:tcW w:type="dxa" w:w="1200"/>
            <w:tcMar>
              <w:top w:type="dxa" w:w="60"/>
              <w:left w:type="dxa" w:w="90"/>
              <w:bottom w:type="dxa" w:w="60"/>
              <w:right w:type="dxa" w:w="90"/>
            </w:tcMar>
            <w:vAlign w:val="center"/>
          </w:tcPr>
          <w:p>
            <w:pPr>
              <w:spacing w:after="0"/>
              <w:jc w:val="center"/>
            </w:pPr>
            <w:r>
              <w:rPr>
                <w:b w:val="false"/>
                <w:bCs w:val="false"/>
                <w:color w:val="1A1A1A"/>
                <w:sz w:val="18"/>
                <w:szCs w:val="18"/>
              </w:rPr>
              <w:t xml:space="preserve">19 May (t−4)</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Trade 2</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Yes</w:t>
            </w:r>
          </w:p>
        </w:tc>
        <w:tc>
          <w:tcPr>
            <w:tcW w:type="dxa" w:w="2050"/>
            <w:tcMar>
              <w:top w:type="dxa" w:w="60"/>
              <w:left w:type="dxa" w:w="90"/>
              <w:bottom w:type="dxa" w:w="60"/>
              <w:right w:type="dxa" w:w="90"/>
            </w:tcMar>
            <w:vAlign w:val="center"/>
          </w:tcPr>
          <w:p>
            <w:pPr>
              <w:spacing w:after="0"/>
              <w:jc w:val="left"/>
            </w:pPr>
            <w:r>
              <w:rPr>
                <w:b w:val="false"/>
                <w:bCs w:val="false"/>
                <w:color w:val="1A1A1A"/>
                <w:sz w:val="18"/>
                <w:szCs w:val="18"/>
              </w:rPr>
              <w:t xml:space="preserve">Breakout filled, TP1 reached</w:t>
            </w:r>
          </w:p>
        </w:tc>
        <w:tc>
          <w:tcPr>
            <w:tcW w:type="dxa" w:w="1300"/>
            <w:tcMar>
              <w:top w:type="dxa" w:w="60"/>
              <w:left w:type="dxa" w:w="90"/>
              <w:bottom w:type="dxa" w:w="60"/>
              <w:right w:type="dxa" w:w="90"/>
            </w:tcMar>
            <w:vAlign w:val="center"/>
          </w:tcPr>
          <w:p>
            <w:pPr>
              <w:spacing w:after="0"/>
              <w:jc w:val="left"/>
            </w:pPr>
            <w:r>
              <w:rPr>
                <w:b/>
                <w:bCs/>
                <w:color w:val="548235"/>
                <w:sz w:val="18"/>
                <w:szCs w:val="18"/>
              </w:rPr>
              <w:t xml:space="preserve">+0.6R</w:t>
            </w:r>
          </w:p>
        </w:tc>
        <w:tc>
          <w:tcPr>
            <w:tcW w:type="dxa" w:w="1410"/>
            <w:tcMar>
              <w:top w:type="dxa" w:w="60"/>
              <w:left w:type="dxa" w:w="90"/>
              <w:bottom w:type="dxa" w:w="60"/>
              <w:right w:type="dxa" w:w="90"/>
            </w:tcMar>
            <w:vAlign w:val="center"/>
          </w:tcPr>
          <w:p>
            <w:pPr>
              <w:spacing w:after="0"/>
              <w:jc w:val="center"/>
            </w:pPr>
            <w:r>
              <w:rPr>
                <w:b w:val="false"/>
                <w:bCs w:val="false"/>
                <w:color w:val="1A1A1A"/>
                <w:sz w:val="18"/>
                <w:szCs w:val="18"/>
              </w:rPr>
              <w:t xml:space="preserve">1</w:t>
            </w:r>
          </w:p>
        </w:tc>
      </w:tr>
      <w:tr>
        <w:tc>
          <w:tcPr>
            <w:tcW w:type="dxa" w:w="12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19 May (t−4)</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Trade 3A</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No</w:t>
            </w:r>
          </w:p>
        </w:tc>
        <w:tc>
          <w:tcPr>
            <w:tcW w:type="dxa" w:w="20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Limit not reached</w:t>
            </w:r>
          </w:p>
        </w:tc>
        <w:tc>
          <w:tcPr>
            <w:tcW w:type="dxa" w:w="13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w:t>
            </w:r>
          </w:p>
        </w:tc>
        <w:tc>
          <w:tcPr>
            <w:tcW w:type="dxa" w:w="141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w:t>
            </w:r>
          </w:p>
        </w:tc>
      </w:tr>
      <w:tr>
        <w:tc>
          <w:tcPr>
            <w:tcW w:type="dxa" w:w="1200"/>
            <w:tcMar>
              <w:top w:type="dxa" w:w="60"/>
              <w:left w:type="dxa" w:w="90"/>
              <w:bottom w:type="dxa" w:w="60"/>
              <w:right w:type="dxa" w:w="90"/>
            </w:tcMar>
            <w:vAlign w:val="center"/>
          </w:tcPr>
          <w:p>
            <w:pPr>
              <w:spacing w:after="0"/>
              <w:jc w:val="center"/>
            </w:pPr>
            <w:r>
              <w:rPr>
                <w:b w:val="false"/>
                <w:bCs w:val="false"/>
                <w:color w:val="1A1A1A"/>
                <w:sz w:val="18"/>
                <w:szCs w:val="18"/>
              </w:rPr>
              <w:t xml:space="preserve">20 May (t−3)</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Trade 1</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Yes</w:t>
            </w:r>
          </w:p>
        </w:tc>
        <w:tc>
          <w:tcPr>
            <w:tcW w:type="dxa" w:w="2050"/>
            <w:tcMar>
              <w:top w:type="dxa" w:w="60"/>
              <w:left w:type="dxa" w:w="90"/>
              <w:bottom w:type="dxa" w:w="60"/>
              <w:right w:type="dxa" w:w="90"/>
            </w:tcMar>
            <w:vAlign w:val="center"/>
          </w:tcPr>
          <w:p>
            <w:pPr>
              <w:spacing w:after="0"/>
              <w:jc w:val="left"/>
            </w:pPr>
            <w:r>
              <w:rPr>
                <w:b w:val="false"/>
                <w:bCs w:val="false"/>
                <w:color w:val="1A1A1A"/>
                <w:sz w:val="18"/>
                <w:szCs w:val="18"/>
              </w:rPr>
              <w:t xml:space="preserve">Entry 10,299 / TP2 hit</w:t>
            </w:r>
          </w:p>
        </w:tc>
        <w:tc>
          <w:tcPr>
            <w:tcW w:type="dxa" w:w="1300"/>
            <w:tcMar>
              <w:top w:type="dxa" w:w="60"/>
              <w:left w:type="dxa" w:w="90"/>
              <w:bottom w:type="dxa" w:w="60"/>
              <w:right w:type="dxa" w:w="90"/>
            </w:tcMar>
            <w:vAlign w:val="center"/>
          </w:tcPr>
          <w:p>
            <w:pPr>
              <w:spacing w:after="0"/>
              <w:jc w:val="left"/>
            </w:pPr>
            <w:r>
              <w:rPr>
                <w:b/>
                <w:bCs/>
                <w:color w:val="548235"/>
                <w:sz w:val="18"/>
                <w:szCs w:val="18"/>
              </w:rPr>
              <w:t xml:space="preserve">+2.0R</w:t>
            </w:r>
          </w:p>
        </w:tc>
        <w:tc>
          <w:tcPr>
            <w:tcW w:type="dxa" w:w="1410"/>
            <w:tcMar>
              <w:top w:type="dxa" w:w="60"/>
              <w:left w:type="dxa" w:w="90"/>
              <w:bottom w:type="dxa" w:w="60"/>
              <w:right w:type="dxa" w:w="90"/>
            </w:tcMar>
            <w:vAlign w:val="center"/>
          </w:tcPr>
          <w:p>
            <w:pPr>
              <w:spacing w:after="0"/>
              <w:jc w:val="center"/>
            </w:pPr>
            <w:r>
              <w:rPr>
                <w:b w:val="false"/>
                <w:bCs w:val="false"/>
                <w:color w:val="1A1A1A"/>
                <w:sz w:val="18"/>
                <w:szCs w:val="18"/>
              </w:rPr>
              <w:t xml:space="preserve">1</w:t>
            </w:r>
          </w:p>
        </w:tc>
      </w:tr>
      <w:tr>
        <w:tc>
          <w:tcPr>
            <w:tcW w:type="dxa" w:w="12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20 May (t−3)</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Trade 2</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Yes</w:t>
            </w:r>
          </w:p>
        </w:tc>
        <w:tc>
          <w:tcPr>
            <w:tcW w:type="dxa" w:w="20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Breakout filled, TP2 reached</w:t>
            </w:r>
          </w:p>
        </w:tc>
        <w:tc>
          <w:tcPr>
            <w:tcW w:type="dxa" w:w="1300"/>
            <w:shd w:fill="F2F5F8" w:val="clear"/>
            <w:tcMar>
              <w:top w:type="dxa" w:w="60"/>
              <w:left w:type="dxa" w:w="90"/>
              <w:bottom w:type="dxa" w:w="60"/>
              <w:right w:type="dxa" w:w="90"/>
            </w:tcMar>
            <w:vAlign w:val="center"/>
          </w:tcPr>
          <w:p>
            <w:pPr>
              <w:spacing w:after="0"/>
              <w:jc w:val="left"/>
            </w:pPr>
            <w:r>
              <w:rPr>
                <w:b/>
                <w:bCs/>
                <w:color w:val="548235"/>
                <w:sz w:val="18"/>
                <w:szCs w:val="18"/>
              </w:rPr>
              <w:t xml:space="preserve">+1.4R</w:t>
            </w:r>
          </w:p>
        </w:tc>
        <w:tc>
          <w:tcPr>
            <w:tcW w:type="dxa" w:w="141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w:t>
            </w:r>
          </w:p>
        </w:tc>
      </w:tr>
      <w:tr>
        <w:tc>
          <w:tcPr>
            <w:tcW w:type="dxa" w:w="1200"/>
            <w:tcMar>
              <w:top w:type="dxa" w:w="60"/>
              <w:left w:type="dxa" w:w="90"/>
              <w:bottom w:type="dxa" w:w="60"/>
              <w:right w:type="dxa" w:w="90"/>
            </w:tcMar>
            <w:vAlign w:val="center"/>
          </w:tcPr>
          <w:p>
            <w:pPr>
              <w:spacing w:after="0"/>
              <w:jc w:val="center"/>
            </w:pPr>
            <w:r>
              <w:rPr>
                <w:b w:val="false"/>
                <w:bCs w:val="false"/>
                <w:color w:val="1A1A1A"/>
                <w:sz w:val="18"/>
                <w:szCs w:val="18"/>
              </w:rPr>
              <w:t xml:space="preserve">20 May (t−3)</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Trade 3A</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No</w:t>
            </w:r>
          </w:p>
        </w:tc>
        <w:tc>
          <w:tcPr>
            <w:tcW w:type="dxa" w:w="2050"/>
            <w:tcMar>
              <w:top w:type="dxa" w:w="60"/>
              <w:left w:type="dxa" w:w="90"/>
              <w:bottom w:type="dxa" w:w="60"/>
              <w:right w:type="dxa" w:w="90"/>
            </w:tcMar>
            <w:vAlign w:val="center"/>
          </w:tcPr>
          <w:p>
            <w:pPr>
              <w:spacing w:after="0"/>
              <w:jc w:val="left"/>
            </w:pPr>
            <w:r>
              <w:rPr>
                <w:b w:val="false"/>
                <w:bCs w:val="false"/>
                <w:color w:val="1A1A1A"/>
                <w:sz w:val="18"/>
                <w:szCs w:val="18"/>
              </w:rPr>
              <w:t xml:space="preserve">Limit not reached</w:t>
            </w:r>
          </w:p>
        </w:tc>
        <w:tc>
          <w:tcPr>
            <w:tcW w:type="dxa" w:w="1300"/>
            <w:tcMar>
              <w:top w:type="dxa" w:w="60"/>
              <w:left w:type="dxa" w:w="90"/>
              <w:bottom w:type="dxa" w:w="60"/>
              <w:right w:type="dxa" w:w="90"/>
            </w:tcMar>
            <w:vAlign w:val="center"/>
          </w:tcPr>
          <w:p>
            <w:pPr>
              <w:spacing w:after="0"/>
              <w:jc w:val="center"/>
            </w:pPr>
            <w:r>
              <w:rPr>
                <w:b w:val="false"/>
                <w:bCs w:val="false"/>
                <w:color w:val="1A1A1A"/>
                <w:sz w:val="18"/>
                <w:szCs w:val="18"/>
              </w:rPr>
              <w:t xml:space="preserve">—</w:t>
            </w:r>
          </w:p>
        </w:tc>
        <w:tc>
          <w:tcPr>
            <w:tcW w:type="dxa" w:w="1410"/>
            <w:tcMar>
              <w:top w:type="dxa" w:w="60"/>
              <w:left w:type="dxa" w:w="90"/>
              <w:bottom w:type="dxa" w:w="60"/>
              <w:right w:type="dxa" w:w="90"/>
            </w:tcMar>
            <w:vAlign w:val="center"/>
          </w:tcPr>
          <w:p>
            <w:pPr>
              <w:spacing w:after="0"/>
              <w:jc w:val="center"/>
            </w:pPr>
            <w:r>
              <w:rPr>
                <w:b w:val="false"/>
                <w:bCs w:val="false"/>
                <w:color w:val="1A1A1A"/>
                <w:sz w:val="18"/>
                <w:szCs w:val="18"/>
              </w:rPr>
              <w:t xml:space="preserve">—</w:t>
            </w:r>
          </w:p>
        </w:tc>
      </w:tr>
      <w:tr>
        <w:tc>
          <w:tcPr>
            <w:tcW w:type="dxa" w:w="12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21 May (t−2)</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Trade 1</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Yes</w:t>
            </w:r>
          </w:p>
        </w:tc>
        <w:tc>
          <w:tcPr>
            <w:tcW w:type="dxa" w:w="20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Entry 10,389 / TP1 hit</w:t>
            </w:r>
          </w:p>
        </w:tc>
        <w:tc>
          <w:tcPr>
            <w:tcW w:type="dxa" w:w="1300"/>
            <w:shd w:fill="F2F5F8" w:val="clear"/>
            <w:tcMar>
              <w:top w:type="dxa" w:w="60"/>
              <w:left w:type="dxa" w:w="90"/>
              <w:bottom w:type="dxa" w:w="60"/>
              <w:right w:type="dxa" w:w="90"/>
            </w:tcMar>
            <w:vAlign w:val="center"/>
          </w:tcPr>
          <w:p>
            <w:pPr>
              <w:spacing w:after="0"/>
              <w:jc w:val="left"/>
            </w:pPr>
            <w:r>
              <w:rPr>
                <w:b/>
                <w:bCs/>
                <w:color w:val="548235"/>
                <w:sz w:val="18"/>
                <w:szCs w:val="18"/>
              </w:rPr>
              <w:t xml:space="preserve">+1.1R</w:t>
            </w:r>
          </w:p>
        </w:tc>
        <w:tc>
          <w:tcPr>
            <w:tcW w:type="dxa" w:w="141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w:t>
            </w:r>
          </w:p>
        </w:tc>
      </w:tr>
      <w:tr>
        <w:tc>
          <w:tcPr>
            <w:tcW w:type="dxa" w:w="1200"/>
            <w:tcMar>
              <w:top w:type="dxa" w:w="60"/>
              <w:left w:type="dxa" w:w="90"/>
              <w:bottom w:type="dxa" w:w="60"/>
              <w:right w:type="dxa" w:w="90"/>
            </w:tcMar>
            <w:vAlign w:val="center"/>
          </w:tcPr>
          <w:p>
            <w:pPr>
              <w:spacing w:after="0"/>
              <w:jc w:val="center"/>
            </w:pPr>
            <w:r>
              <w:rPr>
                <w:b w:val="false"/>
                <w:bCs w:val="false"/>
                <w:color w:val="1A1A1A"/>
                <w:sz w:val="18"/>
                <w:szCs w:val="18"/>
              </w:rPr>
              <w:t xml:space="preserve">21 May (t−2)</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Trade 2</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Yes</w:t>
            </w:r>
          </w:p>
        </w:tc>
        <w:tc>
          <w:tcPr>
            <w:tcW w:type="dxa" w:w="2050"/>
            <w:tcMar>
              <w:top w:type="dxa" w:w="60"/>
              <w:left w:type="dxa" w:w="90"/>
              <w:bottom w:type="dxa" w:w="60"/>
              <w:right w:type="dxa" w:w="90"/>
            </w:tcMar>
            <w:vAlign w:val="center"/>
          </w:tcPr>
          <w:p>
            <w:pPr>
              <w:spacing w:after="0"/>
              <w:jc w:val="left"/>
            </w:pPr>
            <w:r>
              <w:rPr>
                <w:b w:val="false"/>
                <w:bCs w:val="false"/>
                <w:color w:val="1A1A1A"/>
                <w:sz w:val="18"/>
                <w:szCs w:val="18"/>
              </w:rPr>
              <w:t xml:space="preserve">Breakout filled, TP1 reached</w:t>
            </w:r>
          </w:p>
        </w:tc>
        <w:tc>
          <w:tcPr>
            <w:tcW w:type="dxa" w:w="1300"/>
            <w:tcMar>
              <w:top w:type="dxa" w:w="60"/>
              <w:left w:type="dxa" w:w="90"/>
              <w:bottom w:type="dxa" w:w="60"/>
              <w:right w:type="dxa" w:w="90"/>
            </w:tcMar>
            <w:vAlign w:val="center"/>
          </w:tcPr>
          <w:p>
            <w:pPr>
              <w:spacing w:after="0"/>
              <w:jc w:val="left"/>
            </w:pPr>
            <w:r>
              <w:rPr>
                <w:b/>
                <w:bCs/>
                <w:color w:val="548235"/>
                <w:sz w:val="18"/>
                <w:szCs w:val="18"/>
              </w:rPr>
              <w:t xml:space="preserve">+0.7R</w:t>
            </w:r>
          </w:p>
        </w:tc>
        <w:tc>
          <w:tcPr>
            <w:tcW w:type="dxa" w:w="1410"/>
            <w:tcMar>
              <w:top w:type="dxa" w:w="60"/>
              <w:left w:type="dxa" w:w="90"/>
              <w:bottom w:type="dxa" w:w="60"/>
              <w:right w:type="dxa" w:w="90"/>
            </w:tcMar>
            <w:vAlign w:val="center"/>
          </w:tcPr>
          <w:p>
            <w:pPr>
              <w:spacing w:after="0"/>
              <w:jc w:val="center"/>
            </w:pPr>
            <w:r>
              <w:rPr>
                <w:b w:val="false"/>
                <w:bCs w:val="false"/>
                <w:color w:val="1A1A1A"/>
                <w:sz w:val="18"/>
                <w:szCs w:val="18"/>
              </w:rPr>
              <w:t xml:space="preserve">1</w:t>
            </w:r>
          </w:p>
        </w:tc>
      </w:tr>
      <w:tr>
        <w:tc>
          <w:tcPr>
            <w:tcW w:type="dxa" w:w="12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21 May (t−2)</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Trade 3A</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No</w:t>
            </w:r>
          </w:p>
        </w:tc>
        <w:tc>
          <w:tcPr>
            <w:tcW w:type="dxa" w:w="20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Limit not reached</w:t>
            </w:r>
          </w:p>
        </w:tc>
        <w:tc>
          <w:tcPr>
            <w:tcW w:type="dxa" w:w="13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w:t>
            </w:r>
          </w:p>
        </w:tc>
        <w:tc>
          <w:tcPr>
            <w:tcW w:type="dxa" w:w="141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w:t>
            </w:r>
          </w:p>
        </w:tc>
      </w:tr>
      <w:tr>
        <w:tc>
          <w:tcPr>
            <w:tcW w:type="dxa" w:w="1200"/>
            <w:tcMar>
              <w:top w:type="dxa" w:w="60"/>
              <w:left w:type="dxa" w:w="90"/>
              <w:bottom w:type="dxa" w:w="60"/>
              <w:right w:type="dxa" w:w="90"/>
            </w:tcMar>
            <w:vAlign w:val="center"/>
          </w:tcPr>
          <w:p>
            <w:pPr>
              <w:spacing w:after="0"/>
              <w:jc w:val="center"/>
            </w:pPr>
            <w:r>
              <w:rPr>
                <w:b w:val="false"/>
                <w:bCs w:val="false"/>
                <w:color w:val="1A1A1A"/>
                <w:sz w:val="18"/>
                <w:szCs w:val="18"/>
              </w:rPr>
              <w:t xml:space="preserve">22 May (t−1)</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Trade 1</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Yes</w:t>
            </w:r>
          </w:p>
        </w:tc>
        <w:tc>
          <w:tcPr>
            <w:tcW w:type="dxa" w:w="2050"/>
            <w:tcMar>
              <w:top w:type="dxa" w:w="60"/>
              <w:left w:type="dxa" w:w="90"/>
              <w:bottom w:type="dxa" w:w="60"/>
              <w:right w:type="dxa" w:w="90"/>
            </w:tcMar>
            <w:vAlign w:val="center"/>
          </w:tcPr>
          <w:p>
            <w:pPr>
              <w:spacing w:after="0"/>
              <w:jc w:val="left"/>
            </w:pPr>
            <w:r>
              <w:rPr>
                <w:b w:val="false"/>
                <w:bCs w:val="false"/>
                <w:color w:val="1A1A1A"/>
                <w:sz w:val="18"/>
                <w:szCs w:val="18"/>
              </w:rPr>
              <w:t xml:space="preserve">Entry 10,443 / open at +0.5R</w:t>
            </w:r>
          </w:p>
        </w:tc>
        <w:tc>
          <w:tcPr>
            <w:tcW w:type="dxa" w:w="1300"/>
            <w:tcMar>
              <w:top w:type="dxa" w:w="60"/>
              <w:left w:type="dxa" w:w="90"/>
              <w:bottom w:type="dxa" w:w="60"/>
              <w:right w:type="dxa" w:w="90"/>
            </w:tcMar>
            <w:vAlign w:val="center"/>
          </w:tcPr>
          <w:p>
            <w:pPr>
              <w:spacing w:after="0"/>
              <w:jc w:val="left"/>
            </w:pPr>
            <w:r>
              <w:rPr>
                <w:b/>
                <w:bCs/>
                <w:color w:val="BF8F00"/>
                <w:sz w:val="18"/>
                <w:szCs w:val="18"/>
              </w:rPr>
              <w:t xml:space="preserve">OPEN +0.5R</w:t>
            </w:r>
          </w:p>
        </w:tc>
        <w:tc>
          <w:tcPr>
            <w:tcW w:type="dxa" w:w="1410"/>
            <w:tcMar>
              <w:top w:type="dxa" w:w="60"/>
              <w:left w:type="dxa" w:w="90"/>
              <w:bottom w:type="dxa" w:w="60"/>
              <w:right w:type="dxa" w:w="90"/>
            </w:tcMar>
            <w:vAlign w:val="center"/>
          </w:tcPr>
          <w:p>
            <w:pPr>
              <w:spacing w:after="0"/>
              <w:jc w:val="center"/>
            </w:pPr>
            <w:r>
              <w:rPr>
                <w:b w:val="false"/>
                <w:bCs w:val="false"/>
                <w:color w:val="1A1A1A"/>
                <w:sz w:val="18"/>
                <w:szCs w:val="18"/>
              </w:rPr>
              <w:t xml:space="preserve">5+ (open)</w:t>
            </w:r>
          </w:p>
        </w:tc>
      </w:tr>
      <w:tr>
        <w:tc>
          <w:tcPr>
            <w:tcW w:type="dxa" w:w="12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22 May (t−1)</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Trade 2</w:t>
            </w:r>
          </w:p>
        </w:tc>
        <w:tc>
          <w:tcPr>
            <w:tcW w:type="dxa" w:w="115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Yes</w:t>
            </w:r>
          </w:p>
        </w:tc>
        <w:tc>
          <w:tcPr>
            <w:tcW w:type="dxa" w:w="2050"/>
            <w:shd w:fill="F2F5F8" w:val="clear"/>
            <w:tcMar>
              <w:top w:type="dxa" w:w="60"/>
              <w:left w:type="dxa" w:w="90"/>
              <w:bottom w:type="dxa" w:w="60"/>
              <w:right w:type="dxa" w:w="90"/>
            </w:tcMar>
            <w:vAlign w:val="center"/>
          </w:tcPr>
          <w:p>
            <w:pPr>
              <w:spacing w:after="0"/>
              <w:jc w:val="left"/>
            </w:pPr>
            <w:r>
              <w:rPr>
                <w:b w:val="false"/>
                <w:bCs w:val="false"/>
                <w:color w:val="1A1A1A"/>
                <w:sz w:val="18"/>
                <w:szCs w:val="18"/>
              </w:rPr>
              <w:t xml:space="preserve">Breakout filled, TP1 reached</w:t>
            </w:r>
          </w:p>
        </w:tc>
        <w:tc>
          <w:tcPr>
            <w:tcW w:type="dxa" w:w="1300"/>
            <w:shd w:fill="F2F5F8" w:val="clear"/>
            <w:tcMar>
              <w:top w:type="dxa" w:w="60"/>
              <w:left w:type="dxa" w:w="90"/>
              <w:bottom w:type="dxa" w:w="60"/>
              <w:right w:type="dxa" w:w="90"/>
            </w:tcMar>
            <w:vAlign w:val="center"/>
          </w:tcPr>
          <w:p>
            <w:pPr>
              <w:spacing w:after="0"/>
              <w:jc w:val="left"/>
            </w:pPr>
            <w:r>
              <w:rPr>
                <w:b/>
                <w:bCs/>
                <w:color w:val="548235"/>
                <w:sz w:val="18"/>
                <w:szCs w:val="18"/>
              </w:rPr>
              <w:t xml:space="preserve">+1.0R</w:t>
            </w:r>
          </w:p>
        </w:tc>
        <w:tc>
          <w:tcPr>
            <w:tcW w:type="dxa" w:w="1410"/>
            <w:shd w:fill="F2F5F8" w:val="clear"/>
            <w:tcMar>
              <w:top w:type="dxa" w:w="60"/>
              <w:left w:type="dxa" w:w="90"/>
              <w:bottom w:type="dxa" w:w="60"/>
              <w:right w:type="dxa" w:w="90"/>
            </w:tcMar>
            <w:vAlign w:val="center"/>
          </w:tcPr>
          <w:p>
            <w:pPr>
              <w:spacing w:after="0"/>
              <w:jc w:val="center"/>
            </w:pPr>
            <w:r>
              <w:rPr>
                <w:b w:val="false"/>
                <w:bCs w:val="false"/>
                <w:color w:val="1A1A1A"/>
                <w:sz w:val="18"/>
                <w:szCs w:val="18"/>
              </w:rPr>
              <w:t xml:space="preserve">1</w:t>
            </w:r>
          </w:p>
        </w:tc>
      </w:tr>
      <w:tr>
        <w:tc>
          <w:tcPr>
            <w:tcW w:type="dxa" w:w="1200"/>
            <w:tcMar>
              <w:top w:type="dxa" w:w="60"/>
              <w:left w:type="dxa" w:w="90"/>
              <w:bottom w:type="dxa" w:w="60"/>
              <w:right w:type="dxa" w:w="90"/>
            </w:tcMar>
            <w:vAlign w:val="center"/>
          </w:tcPr>
          <w:p>
            <w:pPr>
              <w:spacing w:after="0"/>
              <w:jc w:val="center"/>
            </w:pPr>
            <w:r>
              <w:rPr>
                <w:b w:val="false"/>
                <w:bCs w:val="false"/>
                <w:color w:val="1A1A1A"/>
                <w:sz w:val="18"/>
                <w:szCs w:val="18"/>
              </w:rPr>
              <w:t xml:space="preserve">22 May (t−1)</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Trade 3A</w:t>
            </w:r>
          </w:p>
        </w:tc>
        <w:tc>
          <w:tcPr>
            <w:tcW w:type="dxa" w:w="1150"/>
            <w:tcMar>
              <w:top w:type="dxa" w:w="60"/>
              <w:left w:type="dxa" w:w="90"/>
              <w:bottom w:type="dxa" w:w="60"/>
              <w:right w:type="dxa" w:w="90"/>
            </w:tcMar>
            <w:vAlign w:val="center"/>
          </w:tcPr>
          <w:p>
            <w:pPr>
              <w:spacing w:after="0"/>
              <w:jc w:val="center"/>
            </w:pPr>
            <w:r>
              <w:rPr>
                <w:b w:val="false"/>
                <w:bCs w:val="false"/>
                <w:color w:val="1A1A1A"/>
                <w:sz w:val="18"/>
                <w:szCs w:val="18"/>
              </w:rPr>
              <w:t xml:space="preserve">LONG</w:t>
            </w:r>
          </w:p>
        </w:tc>
        <w:tc>
          <w:tcPr>
            <w:tcW w:type="dxa" w:w="1100"/>
            <w:tcMar>
              <w:top w:type="dxa" w:w="60"/>
              <w:left w:type="dxa" w:w="90"/>
              <w:bottom w:type="dxa" w:w="60"/>
              <w:right w:type="dxa" w:w="90"/>
            </w:tcMar>
            <w:vAlign w:val="center"/>
          </w:tcPr>
          <w:p>
            <w:pPr>
              <w:spacing w:after="0"/>
              <w:jc w:val="center"/>
            </w:pPr>
            <w:r>
              <w:rPr>
                <w:b w:val="false"/>
                <w:bCs w:val="false"/>
                <w:color w:val="1A1A1A"/>
                <w:sz w:val="18"/>
                <w:szCs w:val="18"/>
              </w:rPr>
              <w:t xml:space="preserve">No</w:t>
            </w:r>
          </w:p>
        </w:tc>
        <w:tc>
          <w:tcPr>
            <w:tcW w:type="dxa" w:w="2050"/>
            <w:tcMar>
              <w:top w:type="dxa" w:w="60"/>
              <w:left w:type="dxa" w:w="90"/>
              <w:bottom w:type="dxa" w:w="60"/>
              <w:right w:type="dxa" w:w="90"/>
            </w:tcMar>
            <w:vAlign w:val="center"/>
          </w:tcPr>
          <w:p>
            <w:pPr>
              <w:spacing w:after="0"/>
              <w:jc w:val="left"/>
            </w:pPr>
            <w:r>
              <w:rPr>
                <w:b w:val="false"/>
                <w:bCs w:val="false"/>
                <w:color w:val="1A1A1A"/>
                <w:sz w:val="18"/>
                <w:szCs w:val="18"/>
              </w:rPr>
              <w:t xml:space="preserve">Limit not reached</w:t>
            </w:r>
          </w:p>
        </w:tc>
        <w:tc>
          <w:tcPr>
            <w:tcW w:type="dxa" w:w="1300"/>
            <w:tcMar>
              <w:top w:type="dxa" w:w="60"/>
              <w:left w:type="dxa" w:w="90"/>
              <w:bottom w:type="dxa" w:w="60"/>
              <w:right w:type="dxa" w:w="90"/>
            </w:tcMar>
            <w:vAlign w:val="center"/>
          </w:tcPr>
          <w:p>
            <w:pPr>
              <w:spacing w:after="0"/>
              <w:jc w:val="center"/>
            </w:pPr>
            <w:r>
              <w:rPr>
                <w:b w:val="false"/>
                <w:bCs w:val="false"/>
                <w:color w:val="1A1A1A"/>
                <w:sz w:val="18"/>
                <w:szCs w:val="18"/>
              </w:rPr>
              <w:t xml:space="preserve">—</w:t>
            </w:r>
          </w:p>
        </w:tc>
        <w:tc>
          <w:tcPr>
            <w:tcW w:type="dxa" w:w="1410"/>
            <w:tcMar>
              <w:top w:type="dxa" w:w="60"/>
              <w:left w:type="dxa" w:w="90"/>
              <w:bottom w:type="dxa" w:w="60"/>
              <w:right w:type="dxa" w:w="90"/>
            </w:tcMar>
            <w:vAlign w:val="center"/>
          </w:tcPr>
          <w:p>
            <w:pPr>
              <w:spacing w:after="0"/>
              <w:jc w:val="center"/>
            </w:pPr>
            <w:r>
              <w:rPr>
                <w:b w:val="false"/>
                <w:bCs w:val="false"/>
                <w:color w:val="1A1A1A"/>
                <w:sz w:val="18"/>
                <w:szCs w:val="18"/>
              </w:rPr>
              <w:t xml:space="preserve">—</w:t>
            </w:r>
          </w:p>
        </w:tc>
      </w:tr>
    </w:tbl>
    <w:p>
      <w:pPr>
        <w:spacing w:after="100"/>
      </w:pPr>
    </w:p>
    <w:p>
      <w:pPr>
        <w:pStyle w:val="Heading2"/>
      </w:pPr>
      <w:r>
        <w:t xml:space="preserve">21d  ‘What Is Working’ Aggregate</w:t>
      </w:r>
    </w:p>
    <w:p>
      <w:pPr>
        <w:spacing w:after="100" w:before="0"/>
      </w:pPr>
      <w:r>
        <w:rPr>
          <w:b/>
          <w:bCs/>
          <w:sz w:val="19"/>
          <w:szCs w:val="19"/>
        </w:rPr>
        <w:t xml:space="preserve">Over the last five sessions: </w:t>
      </w:r>
      <w:r>
        <w:rPr>
          <w:sz w:val="19"/>
          <w:szCs w:val="19"/>
        </w:rPr>
        <w:t xml:space="preserve">Trade 1 (Daily Directional) triggered 5/5 times, mean R = +1.18 across closed positions (one position open at +0.5R), with TP1/TP2/TP3 hit rates of approximately 100% / 40% / 0%. Trade 2 (Pivot) triggered 5/5 times, mean R = +0.94, TP1/TP2/TP3 hit rates of approximately 100% / 40% / 0%. Trade 3A (Momentum-Pullback) triggered 0/5 times — in a clean one-directional advance the 57.5% retracement entry was never reached, so it has no realised outcomes to rank.</w:t>
      </w:r>
    </w:p>
    <w:p>
      <w:pPr>
        <w:spacing w:after="100" w:before="0"/>
      </w:pPr>
      <w:r>
        <w:rPr>
          <w:b/>
          <w:bCs/>
          <w:sz w:val="19"/>
          <w:szCs w:val="19"/>
        </w:rPr>
        <w:t xml:space="preserve">Strongest performer: </w:t>
      </w:r>
      <w:r>
        <w:rPr>
          <w:sz w:val="19"/>
          <w:szCs w:val="19"/>
        </w:rPr>
        <w:t xml:space="preserve">Trade 1 — Daily Directional, mean R = +1.18 across closed positions. </w:t>
      </w:r>
      <w:r>
        <w:rPr>
          <w:b/>
          <w:bCs/>
          <w:sz w:val="19"/>
          <w:szCs w:val="19"/>
        </w:rPr>
        <w:t xml:space="preserve">Weakest / unranked: </w:t>
      </w:r>
      <w:r>
        <w:rPr>
          <w:sz w:val="19"/>
          <w:szCs w:val="19"/>
        </w:rPr>
        <w:t xml:space="preserve">Trade 3A — insufficient triggers to rank (0/5 fills). This is expected behaviour: a pullback-entry strategy does not fill during an uninterrupted trend, and its value would appear only if the index retraces toward the 10,258 zone.</w:t>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W w:type="dxa" w:w="9360"/>
            <w:shd w:fill="FCE4EC" w:val="clear"/>
            <w:tcMar>
              <w:top w:type="dxa" w:w="120"/>
              <w:left w:type="dxa" w:w="160"/>
              <w:bottom w:type="dxa" w:w="120"/>
              <w:right w:type="dxa" w:w="160"/>
            </w:tcMar>
          </w:tcPr>
          <w:p>
            <w:pPr>
              <w:spacing w:after="80"/>
            </w:pPr>
            <w:r>
              <w:rPr>
                <w:b/>
                <w:bCs/>
                <w:sz w:val="18"/>
                <w:szCs w:val="18"/>
              </w:rPr>
              <w:t xml:space="preserve">Limitations. </w:t>
            </w:r>
            <w:r>
              <w:rPr>
                <w:sz w:val="18"/>
                <w:szCs w:val="18"/>
              </w:rPr>
              <w:t xml:space="preserve">Five-session windows are too small to support statistical claims. The backtest cannot model intraday tick-level fills, slippage, or commission. Treat as a directional sanity-check, not a strategy-validation framework.</w:t>
            </w:r>
          </w:p>
          <w:p>
            <w:pPr>
              <w:spacing w:after="0"/>
            </w:pPr>
            <w:r>
              <w:rPr>
                <w:b/>
                <w:bCs/>
                <w:sz w:val="18"/>
                <w:szCs w:val="18"/>
              </w:rPr>
              <w:t xml:space="preserve">Additional caveat for this run. </w:t>
            </w:r>
            <w:r>
              <w:rPr>
                <w:sz w:val="18"/>
                <w:szCs w:val="18"/>
              </w:rPr>
              <w:t xml:space="preserve">The reconstructed sessions used the same indicative intraday OHLC fields flagged in §6 and §19; the backtest R-multiples are therefore directional approximations. Re-verify the underlying levels against a live feed before relying on the trade cards in §21b.</w:t>
            </w:r>
          </w:p>
        </w:tc>
      </w:tr>
    </w:tbl>
    <w:p>
      <w:pPr>
        <w:spacing w:after="120"/>
      </w:pP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3" w:space="2"/>
      </w:pBdr>
      <w:tabs>
        <w:tab w:val="right" w:pos="9360"/>
      </w:tabs>
      <w:spacing w:before="0"/>
    </w:pPr>
    <w:r>
      <w:rPr>
        <w:color w:val="8A8A8A"/>
        <w:sz w:val="15"/>
        <w:szCs w:val="15"/>
      </w:rPr>
      <w:t xml:space="preserve">FTSE 100 Daily Report  │  22 May 2026 as-of  │  Senior European Equity Strategist</w:t>
    </w:r>
    <w:r>
      <w:rPr>
        <w:color w:val="8A8A8A"/>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FDB" w:sz="3" w:space="2"/>
      </w:pBdr>
      <w:tabs>
        <w:tab w:val="right" w:pos="9360"/>
      </w:tabs>
      <w:spacing w:after="0"/>
    </w:pPr>
    <w:r>
      <w:rPr>
        <w:color w:val="8A8A8A"/>
        <w:sz w:val="16"/>
        <w:szCs w:val="16"/>
      </w:rPr>
      <w:t xml:space="preserve">FTSE 100 — Daily Report</w:t>
    </w:r>
    <w:r>
      <w:rPr>
        <w:color w:val="8A8A8A"/>
        <w:sz w:val="16"/>
        <w:szCs w:val="16"/>
      </w:rPr>
      <w:t xml:space="preserve">	25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6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180"/>
      <w:outlineLvl w:val="1"/>
    </w:pPr>
    <w:rPr>
      <w:rFonts w:ascii="Calibri" w:cs="Calibri" w:eastAsia="Calibri" w:hAnsi="Calibri"/>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FTSE 100 Report — Daily: 25 May 2026</dc:title>
  <dc:creator>Senior European Equity Strategist</dc:creator>
  <cp:lastModifiedBy>Un-named</cp:lastModifiedBy>
  <cp:revision>1</cp:revision>
  <dcterms:created xsi:type="dcterms:W3CDTF">2026-05-24T21:59:24.162Z</dcterms:created>
  <dcterms:modified xsi:type="dcterms:W3CDTF">2026-05-24T21:59:24.162Z</dcterms:modified>
</cp:coreProperties>
</file>

<file path=docProps/custom.xml><?xml version="1.0" encoding="utf-8"?>
<Properties xmlns="http://schemas.openxmlformats.org/officeDocument/2006/custom-properties" xmlns:vt="http://schemas.openxmlformats.org/officeDocument/2006/docPropsVTypes"/>
</file>