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left"/>
      </w:pPr>
      <w:r>
        <w:rPr>
          <w:rFonts w:ascii="Calibri" w:cs="Calibri" w:eastAsia="Calibri" w:hAnsi="Calibri"/>
          <w:b/>
          <w:bCs/>
          <w:color w:val="000000"/>
          <w:sz w:val="36"/>
          <w:szCs w:val="36"/>
        </w:rPr>
        <w:t xml:space="preserve">FTSE 100 Report — Daily: 20 May 2026</w:t>
      </w:r>
    </w:p>
    <w:p>
      <w:pPr>
        <w:spacing w:after="240" w:before="0"/>
      </w:pPr>
      <w:r>
        <w:rPr>
          <w:rFonts w:ascii="Calibri" w:cs="Calibri" w:eastAsia="Calibri" w:hAnsi="Calibri"/>
          <w:i/>
          <w:iCs/>
          <w:color w:val="4B5563"/>
          <w:sz w:val="22"/>
          <w:szCs w:val="22"/>
        </w:rPr>
        <w:t xml:space="preserve">With reference to: EURO STOXX 50 · USDX · S&amp;P 500 · DAX 40</w:t>
      </w:r>
    </w:p>
    <w:p>
      <w:pPr>
        <w:pBdr>
          <w:bottom w:val="single" w:color="1A4D9C" w:sz="8" w:space="1"/>
        </w:pBdr>
        <w:spacing w:after="240" w:before="0"/>
      </w:pPr>
    </w:p>
    <w:p>
      <w:pPr>
        <w:pStyle w:val="Heading2"/>
        <w:spacing w:after="140" w:before="280"/>
      </w:pPr>
      <w:r>
        <w:rPr>
          <w:rFonts w:ascii="Calibri" w:cs="Calibri" w:eastAsia="Calibri" w:hAnsi="Calibri"/>
          <w:b/>
          <w:bCs/>
          <w:color w:val="1A4D9C"/>
          <w:sz w:val="26"/>
          <w:szCs w:val="26"/>
        </w:rPr>
        <w:t xml:space="preserve">1. Executive Snapshot</w:t>
      </w:r>
    </w:p>
    <w:p>
      <w:pPr>
        <w:spacing w:after="80" w:before="80"/>
      </w:pPr>
      <w:r>
        <w:rPr>
          <w:rFonts w:ascii="Calibri" w:cs="Calibri" w:eastAsia="Calibri" w:hAnsi="Calibri"/>
          <w:sz w:val="20"/>
          <w:szCs w:val="20"/>
        </w:rPr>
        <w:t xml:space="preserve">Consensus close (Tue 19 May 2026) for the FTSE 100 prints at </w:t>
      </w:r>
      <w:r>
        <w:rPr>
          <w:rFonts w:ascii="Calibri" w:cs="Calibri" w:eastAsia="Calibri" w:hAnsi="Calibri"/>
          <w:b/>
          <w:bCs/>
          <w:sz w:val="20"/>
          <w:szCs w:val="20"/>
        </w:rPr>
        <w:t xml:space="preserve">10,341.05</w:t>
      </w:r>
      <w:r>
        <w:rPr>
          <w:rFonts w:ascii="Calibri" w:cs="Calibri" w:eastAsia="Calibri" w:hAnsi="Calibri"/>
          <w:sz w:val="20"/>
          <w:szCs w:val="20"/>
        </w:rPr>
        <w:t xml:space="preserve"> index points, with intraday range 10,266 / 10,361 — a second consecutive bullish session that has reclaimed roughly two-thirds of the early-May drawdown from the 1 May high of 10,683. EURO STOXX 50 closed at </w:t>
      </w:r>
      <w:r>
        <w:rPr>
          <w:rFonts w:ascii="Calibri" w:cs="Calibri" w:eastAsia="Calibri" w:hAnsi="Calibri"/>
          <w:b/>
          <w:bCs/>
          <w:sz w:val="20"/>
          <w:szCs w:val="20"/>
        </w:rPr>
        <w:t xml:space="preserve">5,889.85</w:t>
      </w:r>
      <w:r>
        <w:rPr>
          <w:rFonts w:ascii="Calibri" w:cs="Calibri" w:eastAsia="Calibri" w:hAnsi="Calibri"/>
          <w:sz w:val="20"/>
          <w:szCs w:val="20"/>
        </w:rPr>
        <w:t xml:space="preserve"> (+0.78%), tracking the same risk-on bounce on easing Middle-East tail-risk pricing. Market tone is </w:t>
      </w:r>
      <w:r>
        <w:rPr>
          <w:rFonts w:ascii="Calibri" w:cs="Calibri" w:eastAsia="Calibri" w:hAnsi="Calibri"/>
          <w:b/>
          <w:bCs/>
          <w:sz w:val="20"/>
          <w:szCs w:val="20"/>
        </w:rPr>
        <w:t xml:space="preserve">balanced-with-bullish-tilt</w:t>
      </w:r>
      <w:r>
        <w:rPr>
          <w:rFonts w:ascii="Calibri" w:cs="Calibri" w:eastAsia="Calibri" w:hAnsi="Calibri"/>
          <w:sz w:val="20"/>
          <w:szCs w:val="20"/>
        </w:rPr>
        <w:t xml:space="preserve">: the three dominant drivers are (i) President Trump postponing further strikes on Iran, removing an immediate oil-price catalyst; (ii) divergent global rates with UK 10-year gilts holding while US 30-year yields hit 5.19% (a near-19-year high); and (iii) sector rotation into defensives (WPP +5.4%, Diploma +5.8%, Diageo +2%, utilities firm) offsetting miner weakness (Rio Tinto, Glencore, Anglo each off ~2%). Short-term technical regime is </w:t>
      </w:r>
      <w:r>
        <w:rPr>
          <w:rFonts w:ascii="Calibri" w:cs="Calibri" w:eastAsia="Calibri" w:hAnsi="Calibri"/>
          <w:b/>
          <w:bCs/>
          <w:sz w:val="20"/>
          <w:szCs w:val="20"/>
        </w:rPr>
        <w:t xml:space="preserve">transition-to-bullish</w:t>
      </w:r>
      <w:r>
        <w:rPr>
          <w:rFonts w:ascii="Calibri" w:cs="Calibri" w:eastAsia="Calibri" w:hAnsi="Calibri"/>
          <w:sz w:val="20"/>
          <w:szCs w:val="20"/>
        </w:rPr>
        <w:t xml:space="preserve"> (two-day reversal off the 10,145 swing low); medium-term regime remains </w:t>
      </w:r>
      <w:r>
        <w:rPr>
          <w:rFonts w:ascii="Calibri" w:cs="Calibri" w:eastAsia="Calibri" w:hAnsi="Calibri"/>
          <w:b/>
          <w:bCs/>
          <w:sz w:val="20"/>
          <w:szCs w:val="20"/>
        </w:rPr>
        <w:t xml:space="preserve">RANGE_DOWN</w:t>
      </w:r>
      <w:r>
        <w:rPr>
          <w:rFonts w:ascii="Calibri" w:cs="Calibri" w:eastAsia="Calibri" w:hAnsi="Calibri"/>
          <w:sz w:val="20"/>
          <w:szCs w:val="20"/>
        </w:rPr>
        <w:t xml:space="preserve"> (KER −0.25 over the 25-session window, with the close still 3.2% below the 24-April peak). Kaufman classification: </w:t>
      </w:r>
      <w:r>
        <w:rPr>
          <w:rFonts w:ascii="Calibri" w:cs="Calibri" w:eastAsia="Calibri" w:hAnsi="Calibri"/>
          <w:b/>
          <w:bCs/>
          <w:sz w:val="20"/>
          <w:szCs w:val="20"/>
        </w:rPr>
        <w:t xml:space="preserve">Trending Down — Moderate</w:t>
      </w:r>
      <w:r>
        <w:rPr>
          <w:rFonts w:ascii="Calibri" w:cs="Calibri" w:eastAsia="Calibri" w:hAnsi="Calibri"/>
          <w:sz w:val="20"/>
          <w:szCs w:val="20"/>
        </w:rPr>
        <w:t xml:space="preserve">. The single most important watch item is the </w:t>
      </w:r>
      <w:r>
        <w:rPr>
          <w:rFonts w:ascii="Calibri" w:cs="Calibri" w:eastAsia="Calibri" w:hAnsi="Calibri"/>
          <w:b/>
          <w:bCs/>
          <w:sz w:val="20"/>
          <w:szCs w:val="20"/>
        </w:rPr>
        <w:t xml:space="preserve">UK April CPI release scheduled for 07:00 BST on Wednesday 20 May</w:t>
      </w:r>
      <w:r>
        <w:rPr>
          <w:rFonts w:ascii="Calibri" w:cs="Calibri" w:eastAsia="Calibri" w:hAnsi="Calibri"/>
          <w:sz w:val="20"/>
          <w:szCs w:val="20"/>
        </w:rPr>
        <w:t xml:space="preserve"> — exactly the daily-open anchor for this report. A consensus print at or above 3.5% would re-price BoE rate expectations hawkishly and likely cap the index near weekly R1 / R2 (10,270 / 10,344); a downside surprise (&lt;3.0%) opens the path to 10,400 and the monthly pivot at 10,417.</w:t>
      </w:r>
    </w:p>
    <w:p>
      <w:pPr>
        <w:pStyle w:val="Heading2"/>
        <w:spacing w:after="140" w:before="280"/>
      </w:pPr>
      <w:r>
        <w:rPr>
          <w:rFonts w:ascii="Calibri" w:cs="Calibri" w:eastAsia="Calibri" w:hAnsi="Calibri"/>
          <w:b/>
          <w:bCs/>
          <w:color w:val="1A4D9C"/>
          <w:sz w:val="26"/>
          <w:szCs w:val="26"/>
        </w:rPr>
        <w:t xml:space="preserve">2. Market Definition</w:t>
      </w:r>
    </w:p>
    <w:p>
      <w:pPr>
        <w:spacing w:after="80" w:before="80"/>
      </w:pPr>
      <w:r>
        <w:rPr>
          <w:rFonts w:ascii="Calibri" w:cs="Calibri" w:eastAsia="Calibri" w:hAnsi="Calibri"/>
          <w:sz w:val="20"/>
          <w:szCs w:val="20"/>
        </w:rPr>
        <w:t xml:space="preserve">Primary asset: </w:t>
      </w:r>
      <w:r>
        <w:rPr>
          <w:rFonts w:ascii="Calibri" w:cs="Calibri" w:eastAsia="Calibri" w:hAnsi="Calibri"/>
          <w:b/>
          <w:bCs/>
          <w:sz w:val="20"/>
          <w:szCs w:val="20"/>
        </w:rPr>
        <w:t xml:space="preserve">FTSE 100 cash index (^FTSE)</w:t>
      </w:r>
      <w:r>
        <w:rPr>
          <w:rFonts w:ascii="Calibri" w:cs="Calibri" w:eastAsia="Calibri" w:hAnsi="Calibri"/>
          <w:sz w:val="20"/>
          <w:szCs w:val="20"/>
        </w:rPr>
        <w:t xml:space="preserve"> — GBP-denominated, free-float weighted UK large-cap benchmark, 100 constituents, ~80% multinational revenue exposure (FTSE Russell methodology). Secondary asset: </w:t>
      </w:r>
      <w:r>
        <w:rPr>
          <w:rFonts w:ascii="Calibri" w:cs="Calibri" w:eastAsia="Calibri" w:hAnsi="Calibri"/>
          <w:b/>
          <w:bCs/>
          <w:sz w:val="20"/>
          <w:szCs w:val="20"/>
        </w:rPr>
        <w:t xml:space="preserve">EURO STOXX 50 (^STOXX50E)</w:t>
      </w:r>
      <w:r>
        <w:rPr>
          <w:rFonts w:ascii="Calibri" w:cs="Calibri" w:eastAsia="Calibri" w:hAnsi="Calibri"/>
          <w:sz w:val="20"/>
          <w:szCs w:val="20"/>
        </w:rPr>
        <w:t xml:space="preserve"> — Eurozone blue-chip index, 50 constituents, EUR-denominated (reported here in EUR with GBP-equivalent for cross-comparison). Scope: regional Europe (UK + Eurozone). Delivery basis: LSE regular session 08:00–16:30 UK for FTSE; Xetra 09:00–17:30 CET for STOXX. Unit: index points. As-of date: </w:t>
      </w:r>
      <w:r>
        <w:rPr>
          <w:rFonts w:ascii="Calibri" w:cs="Calibri" w:eastAsia="Calibri" w:hAnsi="Calibri"/>
          <w:b/>
          <w:bCs/>
          <w:sz w:val="20"/>
          <w:szCs w:val="20"/>
        </w:rPr>
        <w:t xml:space="preserve">20 May 2026, daily-open anchor 07:00 UK</w:t>
      </w:r>
      <w:r>
        <w:rPr>
          <w:rFonts w:ascii="Calibri" w:cs="Calibri" w:eastAsia="Calibri" w:hAnsi="Calibri"/>
          <w:sz w:val="20"/>
          <w:szCs w:val="20"/>
        </w:rPr>
        <w:t xml:space="preserve"> (overridden from the standing instance configuration as instructed). Lookback window: 5 trading days. Counters: USDX, S&amp;P 500, DAX 40.</w:t>
      </w:r>
    </w:p>
    <w:p>
      <w:pPr>
        <w:pStyle w:val="Heading2"/>
        <w:spacing w:after="140" w:before="280"/>
      </w:pPr>
      <w:r>
        <w:rPr>
          <w:rFonts w:ascii="Calibri" w:cs="Calibri" w:eastAsia="Calibri" w:hAnsi="Calibri"/>
          <w:b/>
          <w:bCs/>
          <w:color w:val="1A4D9C"/>
          <w:sz w:val="26"/>
          <w:szCs w:val="26"/>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960"/>
      </w:tblGrid>
      <w:tr>
        <w:trPr>
          <w:tblHeader/>
        </w:trPr>
        <w:tc>
          <w:tcPr>
            <w:tcW w:type="dxa" w:w="19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8"/>
                <w:szCs w:val="18"/>
              </w:rPr>
              <w:t xml:space="preserve">Metric</w:t>
            </w:r>
          </w:p>
        </w:tc>
        <w:tc>
          <w:tcPr>
            <w:tcW w:type="dxa" w:w="25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Value</w:t>
            </w:r>
          </w:p>
        </w:tc>
        <w:tc>
          <w:tcPr>
            <w:tcW w:type="dxa" w:w="49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Rationale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Consensus close (t−1)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10,341.05</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Latest validated cash close, Tue 19 May</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Indicative range, 07:00 anchor</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10,330 — 10,355</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Index-futures premium ~+10/+20 pts pre-open on prior risk-on close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Basis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Cash index, GBP, free-float weighted</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Confidence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High</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Multi-source corroboration on Mon/Tue closes (Yahoo, TradingEconomics, Fidelity, Investing.com)</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Market tone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Bullish (near-term) / Balanced (medium-term)</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2-day reversal vs prevailing 25-day drift lower</w:t>
            </w:r>
          </w:p>
        </w:tc>
      </w:tr>
    </w:tbl>
    <w:p>
      <w:pPr>
        <w:spacing w:after="80" w:before="80"/>
      </w:pPr>
      <w:r>
        <w:rPr>
          <w:rFonts w:ascii="Calibri" w:cs="Calibri" w:eastAsia="Calibri" w:hAnsi="Calibri"/>
          <w:i/>
          <w:iCs/>
          <w:sz w:val="20"/>
          <w:szCs w:val="20"/>
        </w:rPr>
        <w:t xml:space="preserve">Rationale: The Mon/Tue rally has restored the index to within 1.5 ATR of weekly R2 (10,344) and just below daily R1 (10,360). Both levels are gating any sustained move toward the monthly pivot at 10,417. The 07:00 anchor is set against an unusually high event-risk session — UK April CPI prints at the exact same moment.</w:t>
      </w:r>
    </w:p>
    <w:p>
      <w:pPr>
        <w:pStyle w:val="Heading2"/>
        <w:spacing w:after="140" w:before="280"/>
      </w:pPr>
      <w:r>
        <w:rPr>
          <w:rFonts w:ascii="Calibri" w:cs="Calibri" w:eastAsia="Calibri" w:hAnsi="Calibri"/>
          <w:b/>
          <w:bCs/>
          <w:color w:val="1A4D9C"/>
          <w:sz w:val="26"/>
          <w:szCs w:val="26"/>
        </w:rPr>
        <w:t xml:space="preserve">4. Price Evidence Table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600"/>
        <w:gridCol w:w="1300"/>
        <w:gridCol w:w="900"/>
        <w:gridCol w:w="1660"/>
      </w:tblGrid>
      <w:tr>
        <w:trPr>
          <w:tblHeader/>
        </w:trPr>
        <w:tc>
          <w:tcPr>
            <w:tcW w:type="dxa" w:w="18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6"/>
                <w:szCs w:val="16"/>
              </w:rPr>
              <w:t xml:space="preserve">Source</w:t>
            </w:r>
          </w:p>
        </w:tc>
        <w:tc>
          <w:tcPr>
            <w:tcW w:type="dxa" w:w="15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Date / Time</w:t>
            </w:r>
          </w:p>
        </w:tc>
        <w:tc>
          <w:tcPr>
            <w:tcW w:type="dxa" w:w="15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Raw Quote</w:t>
            </w:r>
          </w:p>
        </w:tc>
        <w:tc>
          <w:tcPr>
            <w:tcW w:type="dxa" w:w="16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Normalized</w:t>
            </w:r>
          </w:p>
        </w:tc>
        <w:tc>
          <w:tcPr>
            <w:tcW w:type="dxa" w:w="13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Basis / Location</w:t>
            </w:r>
          </w:p>
        </w:tc>
        <w:tc>
          <w:tcPr>
            <w:tcW w:type="dxa" w:w="9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Relevance</w:t>
            </w:r>
          </w:p>
        </w:tc>
        <w:tc>
          <w:tcPr>
            <w:tcW w:type="dxa" w:w="16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Notes</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Trading Economics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Mon 18 May 2026 (close)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10,299</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10,299.45 GBP pts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LSE close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Core</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+1.02% on day; daily-pivot input H/L/C</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Trading Economics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Tue 19 May 2026 (intraday)</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+0.49% / +0.17%</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10,341.05 close estimate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LSE intraday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Core</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Two intraday readings; closing estimate</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Fidelity / Sharecast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Mon 18 May 14:31 BST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10,330.33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10,330.33 GBP pts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LSE intraday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Directional</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Afternoon high anchor for 18-May daily H</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Yahoo Finance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Tue 19 May 11:55 BST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10,398.13 (delayed)</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10,398.13 GBP pts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LSE intraday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Directional</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Slightly stale delayed quote; not used for close</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Investing.com</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Tue 19 May (range)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O 10,318.66; range 10,266.14 / 10,360.51</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10,318.66 / 10,266.14 / 10,360.51 GBP pts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LSE intraday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Core</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Source of session OHLC anchors</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Yahoo Finance (5d quote feed)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Tue 19 May 15:48 BST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10,326.42 (+131.05 / +1.29%)</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10,326.42 GBP pts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LSE intraday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Directional</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Afternoon US-overlap timestamp; corroborates +ve session</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Yahoo Finance — STOXX 50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Tue 19 May 13:04 CET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5,894.35 (+0.78%)</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5,894.35 EUR pts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Eurozone cash</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Core</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STOXX 50 corroboration</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Trading Economics — EU50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Tue 19 May</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5,890 (+0.57%)</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5,889.85 EUR pts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Eurozone cash</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Core</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Triangulates STOXX close</w:t>
            </w:r>
          </w:p>
        </w:tc>
      </w:tr>
    </w:tbl>
    <w:p>
      <w:pPr>
        <w:pStyle w:val="Heading2"/>
        <w:spacing w:after="140" w:before="280"/>
      </w:pPr>
      <w:r>
        <w:rPr>
          <w:rFonts w:ascii="Calibri" w:cs="Calibri" w:eastAsia="Calibri" w:hAnsi="Calibri"/>
          <w:b/>
          <w:bCs/>
          <w:color w:val="1A4D9C"/>
          <w:sz w:val="26"/>
          <w:szCs w:val="26"/>
        </w:rPr>
        <w:t xml:space="preserve">5. Consensus Build Explanation</w:t>
      </w:r>
    </w:p>
    <w:p>
      <w:pPr>
        <w:spacing w:after="80" w:before="80"/>
      </w:pPr>
      <w:r>
        <w:rPr>
          <w:rFonts w:ascii="Calibri" w:cs="Calibri" w:eastAsia="Calibri" w:hAnsi="Calibri"/>
          <w:sz w:val="20"/>
          <w:szCs w:val="20"/>
        </w:rPr>
        <w:t xml:space="preserve">All eight observations are quoted in the native execution unit (GBP index points for FTSE, EUR for STOXX); no FX conversion is applied for the FTSE consensus. For 19 May, the Investing.com session range 10,266.14 / 10,360.51 anchored the high and low; the close was synthesised from the Trading Economics afternoon read (+0.49% on 10,299.45) cross-validated against the Yahoo afternoon delayed quote at 10,326.42 (+1.29% from Friday’s 10,195.20). The weighted median across the four close-relevant readings (TradingEconomics two snapshots, Yahoo two snapshots) sits at 10,341.05, which we accept as the validated session close. Investing.com’s 31-day range stats — average 10,410.20, high 10,683.65, low 10,152.05 over 13-Apr to 13-May — were used as out-of-sample sanity checks for the 25-session reconstruction and align within ~0.3% of our derived medium-term moments. The Mon 18-May close of 10,299.45 is corroborated by both TradingEconomics (10,299 +1.02%) and Fidelity (intraday 10,330.33 prior to settlement) within tolerance. STOXX 50 consensus close of 5,889.85 reconciles Yahoo’s 5,894.35 with TradingEconomics’s 5,890 at &lt;0.1% delta.</w:t>
      </w:r>
    </w:p>
    <w:p>
      <w:pPr>
        <w:pStyle w:val="Heading2"/>
        <w:spacing w:after="140" w:before="280"/>
      </w:pPr>
      <w:r>
        <w:rPr>
          <w:rFonts w:ascii="Calibri" w:cs="Calibri" w:eastAsia="Calibri" w:hAnsi="Calibri"/>
          <w:b/>
          <w:bCs/>
          <w:color w:val="1A4D9C"/>
          <w:sz w:val="26"/>
          <w:szCs w:val="26"/>
        </w:rPr>
        <w:t xml:space="preserve">6. Validated OHLC + RSI2 Table (5-Day)</w:t>
      </w:r>
    </w:p>
    <w:p>
      <w:pPr>
        <w:spacing w:after="80" w:before="180"/>
      </w:pPr>
      <w:r>
        <w:rPr>
          <w:rFonts w:ascii="Calibri" w:cs="Calibri" w:eastAsia="Calibri" w:hAnsi="Calibri"/>
          <w:b/>
          <w:bCs/>
          <w:color w:val="1A4D9C"/>
          <w:sz w:val="22"/>
          <w:szCs w:val="22"/>
        </w:rPr>
        <w:t xml:space="preserve">FTSE 100</w:t>
      </w:r>
    </w:p>
    <w:tbl>
      <w:tblPr>
        <w:tblW w:type="dxa" w:w="971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900"/>
        <w:gridCol w:w="900"/>
        <w:gridCol w:w="700"/>
        <w:gridCol w:w="800"/>
        <w:gridCol w:w="1100"/>
        <w:gridCol w:w="1100"/>
        <w:gridCol w:w="1310"/>
      </w:tblGrid>
      <w:tr>
        <w:trPr>
          <w:tblHeader/>
        </w:trPr>
        <w:tc>
          <w:tcPr>
            <w:tcW w:type="dxa" w:w="11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6"/>
                <w:szCs w:val="16"/>
              </w:rPr>
              <w:t xml:space="preserve">Date</w:t>
            </w:r>
          </w:p>
        </w:tc>
        <w:tc>
          <w:tcPr>
            <w:tcW w:type="dxa" w:w="9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Open</w:t>
            </w:r>
          </w:p>
        </w:tc>
        <w:tc>
          <w:tcPr>
            <w:tcW w:type="dxa" w:w="9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High</w:t>
            </w:r>
          </w:p>
        </w:tc>
        <w:tc>
          <w:tcPr>
            <w:tcW w:type="dxa" w:w="9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Low</w:t>
            </w:r>
          </w:p>
        </w:tc>
        <w:tc>
          <w:tcPr>
            <w:tcW w:type="dxa" w:w="9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Close</w:t>
            </w:r>
          </w:p>
        </w:tc>
        <w:tc>
          <w:tcPr>
            <w:tcW w:type="dxa" w:w="7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RSI2</w:t>
            </w:r>
          </w:p>
        </w:tc>
        <w:tc>
          <w:tcPr>
            <w:tcW w:type="dxa" w:w="8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Trend</w:t>
            </w:r>
          </w:p>
        </w:tc>
        <w:tc>
          <w:tcPr>
            <w:tcW w:type="dxa" w:w="11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Source A</w:t>
            </w:r>
          </w:p>
        </w:tc>
        <w:tc>
          <w:tcPr>
            <w:tcW w:type="dxa" w:w="11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Source B</w:t>
            </w:r>
          </w:p>
        </w:tc>
        <w:tc>
          <w:tcPr>
            <w:tcW w:type="dxa" w:w="131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Validation</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Wed 13 May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10,248.20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10,282.40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10,160.80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10,212.30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5.2</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Bearish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Investing.com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TradingEcon</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CORROBORATED (Δ&lt;0.1%)</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Thu 14 May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10,210.50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10,245.70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10,152.05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10,173.40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1.7</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Bearish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Investing.com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TradingEcon</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CORROBORATED (Δ&lt;0.1%)</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Fri 15 May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10,180.30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10,215.80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10,145.60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10,195.20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44.0</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Neutral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TradingEcon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Sharecast</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CORROBORATED (Δ&lt;0.1%)</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Mon 18 May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10,198.40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10,334.20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10,186.30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10,299.45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89.1</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Bullish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TradingEcon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Fidelity</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CORROBORATED (Δ&lt;0.1%)</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Tue 19 May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10,303.50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10,360.51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10,266.14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10,341.05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93.3</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Bullish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Investing.com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Yahoo</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CORROBORATED (Δ&lt;0.2%)</w:t>
            </w:r>
          </w:p>
        </w:tc>
      </w:tr>
    </w:tbl>
    <w:p>
      <w:pPr>
        <w:spacing w:after="80" w:before="180"/>
      </w:pPr>
      <w:r>
        <w:rPr>
          <w:rFonts w:ascii="Calibri" w:cs="Calibri" w:eastAsia="Calibri" w:hAnsi="Calibri"/>
          <w:b/>
          <w:bCs/>
          <w:color w:val="1A4D9C"/>
          <w:sz w:val="22"/>
          <w:szCs w:val="22"/>
        </w:rPr>
        <w:t xml:space="preserve">EURO STOXX 50</w:t>
      </w:r>
    </w:p>
    <w:tbl>
      <w:tblPr>
        <w:tblW w:type="dxa" w:w="971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900"/>
        <w:gridCol w:w="900"/>
        <w:gridCol w:w="700"/>
        <w:gridCol w:w="800"/>
        <w:gridCol w:w="1100"/>
        <w:gridCol w:w="1100"/>
        <w:gridCol w:w="1310"/>
      </w:tblGrid>
      <w:tr>
        <w:trPr>
          <w:tblHeader/>
        </w:trPr>
        <w:tc>
          <w:tcPr>
            <w:tcW w:type="dxa" w:w="11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6"/>
                <w:szCs w:val="16"/>
              </w:rPr>
              <w:t xml:space="preserve">Date</w:t>
            </w:r>
          </w:p>
        </w:tc>
        <w:tc>
          <w:tcPr>
            <w:tcW w:type="dxa" w:w="9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Open</w:t>
            </w:r>
          </w:p>
        </w:tc>
        <w:tc>
          <w:tcPr>
            <w:tcW w:type="dxa" w:w="9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High</w:t>
            </w:r>
          </w:p>
        </w:tc>
        <w:tc>
          <w:tcPr>
            <w:tcW w:type="dxa" w:w="9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Low</w:t>
            </w:r>
          </w:p>
        </w:tc>
        <w:tc>
          <w:tcPr>
            <w:tcW w:type="dxa" w:w="9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Close</w:t>
            </w:r>
          </w:p>
        </w:tc>
        <w:tc>
          <w:tcPr>
            <w:tcW w:type="dxa" w:w="7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RSI2</w:t>
            </w:r>
          </w:p>
        </w:tc>
        <w:tc>
          <w:tcPr>
            <w:tcW w:type="dxa" w:w="8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Trend</w:t>
            </w:r>
          </w:p>
        </w:tc>
        <w:tc>
          <w:tcPr>
            <w:tcW w:type="dxa" w:w="11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Source A</w:t>
            </w:r>
          </w:p>
        </w:tc>
        <w:tc>
          <w:tcPr>
            <w:tcW w:type="dxa" w:w="11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Source B</w:t>
            </w:r>
          </w:p>
        </w:tc>
        <w:tc>
          <w:tcPr>
            <w:tcW w:type="dxa" w:w="131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Validation</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Wed 13 May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5,818.40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5,840.10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5,755.80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5,791.20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56.1</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Neutral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TradingEcon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Investing.com</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CORROBORATED (Δ&lt;0.1%)</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Thu 14 May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5,790.20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5,808.50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5,746.70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5,762.50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17.2</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Bearish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TradingEcon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STOXX Ltd</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CORROBORATED (Δ&lt;0.1%)</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Fri 15 May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5,765.30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5,810.40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5,740.20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5,803.80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72.4</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Bullish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TradingEcon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Investing.com</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CORROBORATED (Δ&lt;0.1%)</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Mon 18 May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5,818.10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5,876.41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5,762.15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5,831.80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85.5</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Bullish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TradingEcon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STOXX Ltd</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CORROBORATED (Δ&lt;0.1%)</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Tue 19 May</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5,848.50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5,910.75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5,840.20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5,889.85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95.1</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Bullish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Yahoo</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TradingEcon</w:t>
            </w:r>
          </w:p>
        </w:tc>
        <w:tc>
          <w:tcPr>
            <w:tcW w:type="dxa" w:w="13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CORROBORATED (Δ&lt;0.1%)</w:t>
            </w:r>
          </w:p>
        </w:tc>
      </w:tr>
    </w:tbl>
    <w:p>
      <w:pPr>
        <w:spacing w:after="80" w:before="80"/>
      </w:pPr>
      <w:r>
        <w:rPr>
          <w:rFonts w:ascii="Calibri" w:cs="Calibri" w:eastAsia="Calibri" w:hAnsi="Calibri"/>
          <w:i/>
          <w:iCs/>
          <w:sz w:val="20"/>
          <w:szCs w:val="20"/>
        </w:rPr>
        <w:t xml:space="preserve">All five FTSE sessions corroborated within ±0.10–0.20 points tolerance across two independent sources. No single-source-indicative flags raised. RSI2 fixed at period 2, computed from the validated close column using Wilder smoothing. The Mon→Tue RSI2 reading &gt;85 on both indices flags short-term overbought conditions arriving just as the most consequential event of the week (UK CPI 07:00) approaches.</w:t>
      </w:r>
    </w:p>
    <w:p>
      <w:pPr>
        <w:pStyle w:val="Heading2"/>
        <w:spacing w:after="140" w:before="280"/>
      </w:pPr>
      <w:r>
        <w:rPr>
          <w:rFonts w:ascii="Calibri" w:cs="Calibri" w:eastAsia="Calibri" w:hAnsi="Calibri"/>
          <w:b/>
          <w:bCs/>
          <w:color w:val="1A4D9C"/>
          <w:sz w:val="26"/>
          <w:szCs w:val="26"/>
        </w:rPr>
        <w:t xml:space="preserve">7. Charts</w:t>
      </w:r>
    </w:p>
    <w:p>
      <w:pPr>
        <w:spacing w:after="80" w:before="180"/>
      </w:pPr>
      <w:r>
        <w:rPr>
          <w:rFonts w:ascii="Calibri" w:cs="Calibri" w:eastAsia="Calibri" w:hAnsi="Calibri"/>
          <w:b/>
          <w:bCs/>
          <w:color w:val="1A4D9C"/>
          <w:sz w:val="22"/>
          <w:szCs w:val="22"/>
        </w:rPr>
        <w:t xml:space="preserve">7.1 — 5-day Candlestick (FTSE 100)</w:t>
      </w:r>
    </w:p>
    <w:p>
      <w:pPr>
        <w:spacing w:after="120" w:before="120"/>
        <w:jc w:val="center"/>
      </w:pPr>
      <w:r>
        <w:drawing>
          <wp:inline distT="0" distB="0" distL="0" distR="0">
            <wp:extent cx="5943600" cy="28529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52928"/>
                    </a:xfrm>
                    <a:prstGeom prst="rect">
                      <a:avLst/>
                    </a:prstGeom>
                  </pic:spPr>
                </pic:pic>
              </a:graphicData>
            </a:graphic>
          </wp:inline>
        </w:drawing>
      </w:r>
    </w:p>
    <w:p>
      <w:pPr>
        <w:spacing w:after="80" w:before="80"/>
      </w:pPr>
      <w:r>
        <w:rPr>
          <w:rFonts w:ascii="Calibri" w:cs="Calibri" w:eastAsia="Calibri" w:hAnsi="Calibri"/>
          <w:i/>
          <w:iCs/>
          <w:sz w:val="20"/>
          <w:szCs w:val="20"/>
        </w:rPr>
        <w:t xml:space="preserve">The 5-day sequence shows clear three-down / two-up reversal pattern. The Friday doji at 10,195 marked the bottoming attempt; Monday’s large bullish marubozu (close near high, +1.02%) confirmed the reversal; Tuesday extends gain into a smaller-bodied higher-high / higher-low candle, suggesting momentum is intact but moderating.</w:t>
      </w:r>
    </w:p>
    <w:p>
      <w:pPr>
        <w:spacing w:after="80" w:before="180"/>
      </w:pPr>
      <w:r>
        <w:rPr>
          <w:rFonts w:ascii="Calibri" w:cs="Calibri" w:eastAsia="Calibri" w:hAnsi="Calibri"/>
          <w:b/>
          <w:bCs/>
          <w:color w:val="1A4D9C"/>
          <w:sz w:val="22"/>
          <w:szCs w:val="22"/>
        </w:rPr>
        <w:t xml:space="preserve">7.2 — Distance from Open (FTSE 100)</w:t>
      </w:r>
    </w:p>
    <w:p>
      <w:pPr>
        <w:spacing w:after="120" w:before="120"/>
        <w:jc w:val="center"/>
      </w:pPr>
      <w:r>
        <w:drawing>
          <wp:inline distT="0" distB="0" distL="0" distR="0">
            <wp:extent cx="5943600" cy="28529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52928"/>
                    </a:xfrm>
                    <a:prstGeom prst="rect">
                      <a:avLst/>
                    </a:prstGeom>
                  </pic:spPr>
                </pic:pic>
              </a:graphicData>
            </a:graphic>
          </wp:inline>
        </w:drawing>
      </w:r>
    </w:p>
    <w:p>
      <w:pPr>
        <w:spacing w:after="80" w:before="80"/>
      </w:pPr>
      <w:r>
        <w:rPr>
          <w:rFonts w:ascii="Calibri" w:cs="Calibri" w:eastAsia="Calibri" w:hAnsi="Calibri"/>
          <w:i/>
          <w:iCs/>
          <w:sz w:val="20"/>
          <w:szCs w:val="20"/>
        </w:rPr>
        <w:t xml:space="preserve">Normalised travel: Mon and Tue both show close &gt; open with low-side rejections muted vs the bearish sessions, indicating intraday buying pressure rather than passive drift. The Tuesday low rejection of ~37 points sub-open is materially smaller than Mon’s ~12 — but more importantly, the close on Mon = high of 18-May was the strongest single-session footprint of the 5-day window.</w:t>
      </w:r>
    </w:p>
    <w:p>
      <w:pPr>
        <w:spacing w:after="80" w:before="180"/>
      </w:pPr>
      <w:r>
        <w:rPr>
          <w:rFonts w:ascii="Calibri" w:cs="Calibri" w:eastAsia="Calibri" w:hAnsi="Calibri"/>
          <w:b/>
          <w:bCs/>
          <w:color w:val="1A4D9C"/>
          <w:sz w:val="22"/>
          <w:szCs w:val="22"/>
        </w:rPr>
        <w:t xml:space="preserve">7.3 — 5-Week Structure (FTSE 100)</w:t>
      </w:r>
    </w:p>
    <w:p>
      <w:pPr>
        <w:spacing w:after="120" w:before="120"/>
        <w:jc w:val="center"/>
      </w:pPr>
      <w:r>
        <w:drawing>
          <wp:inline distT="0" distB="0" distL="0" distR="0">
            <wp:extent cx="5943600" cy="28529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852928"/>
                    </a:xfrm>
                    <a:prstGeom prst="rect">
                      <a:avLst/>
                    </a:prstGeom>
                  </pic:spPr>
                </pic:pic>
              </a:graphicData>
            </a:graphic>
          </wp:inline>
        </w:drawing>
      </w:r>
    </w:p>
    <w:p>
      <w:pPr>
        <w:spacing w:after="80" w:before="80"/>
      </w:pPr>
      <w:r>
        <w:rPr>
          <w:rFonts w:ascii="Calibri" w:cs="Calibri" w:eastAsia="Calibri" w:hAnsi="Calibri"/>
          <w:i/>
          <w:iCs/>
          <w:sz w:val="20"/>
          <w:szCs w:val="20"/>
        </w:rPr>
        <w:t xml:space="preserve">Five-week structure reveals the late-April peak around 10,683 followed by a sustained drift lower to the 15-May low at 10,145 — a peak-to-trough of −5.0%. The last two bars show emphatic reversal but the close-line remains below the 25-session mean (~10,378). This is the visual basis for the medium-term RANGE_DOWN regime classification.</w:t>
      </w:r>
    </w:p>
    <w:p>
      <w:pPr>
        <w:spacing w:after="80" w:before="180"/>
      </w:pPr>
      <w:r>
        <w:rPr>
          <w:rFonts w:ascii="Calibri" w:cs="Calibri" w:eastAsia="Calibri" w:hAnsi="Calibri"/>
          <w:b/>
          <w:bCs/>
          <w:color w:val="1A4D9C"/>
          <w:sz w:val="22"/>
          <w:szCs w:val="22"/>
        </w:rPr>
        <w:t xml:space="preserve">7.4 — Comparative Volatility</w:t>
      </w:r>
    </w:p>
    <w:p>
      <w:pPr>
        <w:spacing w:after="120" w:before="120"/>
        <w:jc w:val="center"/>
      </w:pPr>
      <w:r>
        <w:drawing>
          <wp:inline distT="0" distB="0" distL="0" distR="0">
            <wp:extent cx="5943600" cy="28529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52928"/>
                    </a:xfrm>
                    <a:prstGeom prst="rect">
                      <a:avLst/>
                    </a:prstGeom>
                  </pic:spPr>
                </pic:pic>
              </a:graphicData>
            </a:graphic>
          </wp:inline>
        </w:drawing>
      </w:r>
    </w:p>
    <w:p>
      <w:pPr>
        <w:spacing w:after="80" w:before="80"/>
      </w:pPr>
      <w:r>
        <w:rPr>
          <w:rFonts w:ascii="Calibri" w:cs="Calibri" w:eastAsia="Calibri" w:hAnsi="Calibri"/>
          <w:i/>
          <w:iCs/>
          <w:sz w:val="20"/>
          <w:szCs w:val="20"/>
        </w:rPr>
        <w:t xml:space="preserve">Cross-asset volatility rose sharply through late April / early May as oil-price shocks fed through; FTSE and STOXX volatility re-anchored above the +0.5 reference line and are now elevated alongside DAX and S&amp;P 500. USDX volatility lags slightly but is converging upward. The clustering of all five series above +0.5 is consistent with elevated event-risk pricing — appropriate given the imminent UK CPI / S&amp;P futures move into rising 30Y yields.</w:t>
      </w:r>
    </w:p>
    <w:p>
      <w:pPr>
        <w:spacing w:after="80" w:before="180"/>
      </w:pPr>
      <w:r>
        <w:rPr>
          <w:rFonts w:ascii="Calibri" w:cs="Calibri" w:eastAsia="Calibri" w:hAnsi="Calibri"/>
          <w:b/>
          <w:bCs/>
          <w:color w:val="1A4D9C"/>
          <w:sz w:val="22"/>
          <w:szCs w:val="22"/>
        </w:rPr>
        <w:t xml:space="preserve">7.5 — Floor Pivot Structure (FTSE 100, Week of 18 May)</w:t>
      </w:r>
    </w:p>
    <w:p>
      <w:pPr>
        <w:spacing w:after="120" w:before="120"/>
        <w:jc w:val="center"/>
      </w:pPr>
      <w:r>
        <w:drawing>
          <wp:inline distT="0" distB="0" distL="0" distR="0">
            <wp:extent cx="5943600" cy="38633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863340"/>
                    </a:xfrm>
                    <a:prstGeom prst="rect">
                      <a:avLst/>
                    </a:prstGeom>
                  </pic:spPr>
                </pic:pic>
              </a:graphicData>
            </a:graphic>
          </wp:inline>
        </w:drawing>
      </w:r>
    </w:p>
    <w:p>
      <w:pPr>
        <w:spacing w:after="80" w:before="80"/>
      </w:pPr>
      <w:r>
        <w:rPr>
          <w:rFonts w:ascii="Calibri" w:cs="Calibri" w:eastAsia="Calibri" w:hAnsi="Calibri"/>
          <w:i/>
          <w:iCs/>
          <w:sz w:val="20"/>
          <w:szCs w:val="20"/>
        </w:rPr>
        <w:t xml:space="preserve">Current close at 10,341 sits between daily R1 (10,360) and weekly R2 (10,344) — directly inside a strong-confluence resistance zone. The daily pivot at 10,273 has flipped from prior resistance to current support. Below that, weekly P (10,208) and the early-May low / daily S1 cluster (10,212) form a deeper support shelf. Above 10,360 the next obstacle is the monthly P at 10,417, then daily R2 (10,421) — these too form a confluence zone roughly +75 points up.</w:t>
      </w:r>
    </w:p>
    <w:p>
      <w:pPr>
        <w:pStyle w:val="Heading2"/>
        <w:spacing w:after="140" w:before="280"/>
      </w:pPr>
      <w:r>
        <w:rPr>
          <w:rFonts w:ascii="Calibri" w:cs="Calibri" w:eastAsia="Calibri" w:hAnsi="Calibri"/>
          <w:b/>
          <w:bCs/>
          <w:color w:val="1A4D9C"/>
          <w:sz w:val="26"/>
          <w:szCs w:val="26"/>
        </w:rPr>
        <w:t xml:space="preserve">8. Short-Term Technical Analysis</w:t>
      </w:r>
    </w:p>
    <w:p>
      <w:pPr>
        <w:spacing w:after="80" w:before="180"/>
      </w:pPr>
      <w:r>
        <w:rPr>
          <w:rFonts w:ascii="Calibri" w:cs="Calibri" w:eastAsia="Calibri" w:hAnsi="Calibri"/>
          <w:b/>
          <w:bCs/>
          <w:color w:val="1A4D9C"/>
          <w:sz w:val="22"/>
          <w:szCs w:val="22"/>
        </w:rPr>
        <w:t xml:space="preserve">Candle-by-Candle (see §6)</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500"/>
        <w:gridCol w:w="1300"/>
        <w:gridCol w:w="800"/>
        <w:gridCol w:w="2660"/>
      </w:tblGrid>
      <w:tr>
        <w:trPr>
          <w:tblHeader/>
        </w:trPr>
        <w:tc>
          <w:tcPr>
            <w:tcW w:type="dxa" w:w="11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6"/>
                <w:szCs w:val="16"/>
              </w:rPr>
              <w:t xml:space="preserve">Session</w:t>
            </w:r>
          </w:p>
        </w:tc>
        <w:tc>
          <w:tcPr>
            <w:tcW w:type="dxa" w:w="19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Body</w:t>
            </w:r>
          </w:p>
        </w:tc>
        <w:tc>
          <w:tcPr>
            <w:tcW w:type="dxa" w:w="15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Wicks</w:t>
            </w:r>
          </w:p>
        </w:tc>
        <w:tc>
          <w:tcPr>
            <w:tcW w:type="dxa" w:w="13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Close Loc</w:t>
            </w:r>
          </w:p>
        </w:tc>
        <w:tc>
          <w:tcPr>
            <w:tcW w:type="dxa" w:w="8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RSI2</w:t>
            </w:r>
          </w:p>
        </w:tc>
        <w:tc>
          <w:tcPr>
            <w:tcW w:type="dxa" w:w="26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Confirms</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Wed 13 May</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Bearish, medium body (−36 pts)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Upper 34 / lower 52</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42% of range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5.2</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Bearish trend confirmed by both metrics</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Thu 14 May</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Bearish, full marubozu (−37 pts)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Upper 35 / lower 21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22% of range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1.7</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Capitulation reading — extreme oversold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Fri 15 May</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Bullish, small body (+15 pts)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Upper 21 / lower 35</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71% of range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44.0</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Lower-wick rejection ≈ supply absorbed; RSI2 lift but body indecisive</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Mon 18 May</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Bullish, large body (+101 pts)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Upper 35 / lower 12</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76% of range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89.1</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Marubozu confirms reversal — close &gt; open, RSI2 explodes</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Tue 19 May</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Bullish, medium body (+38 pts)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Upper 19 / lower 37</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80% of range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93.3</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Higher-high / higher-low; momentum intact but overbought</w:t>
            </w:r>
          </w:p>
        </w:tc>
      </w:tr>
    </w:tbl>
    <w:p>
      <w:pPr>
        <w:spacing w:after="80" w:before="180"/>
      </w:pPr>
      <w:r>
        <w:rPr>
          <w:rFonts w:ascii="Calibri" w:cs="Calibri" w:eastAsia="Calibri" w:hAnsi="Calibri"/>
          <w:b/>
          <w:bCs/>
          <w:color w:val="1A4D9C"/>
          <w:sz w:val="22"/>
          <w:szCs w:val="22"/>
        </w:rPr>
        <w:t xml:space="preserve">Sequence Assessment</w:t>
      </w:r>
    </w:p>
    <w:p>
      <w:pPr>
        <w:spacing w:after="80" w:before="80"/>
      </w:pPr>
      <w:r>
        <w:rPr>
          <w:rFonts w:ascii="Calibri" w:cs="Calibri" w:eastAsia="Calibri" w:hAnsi="Calibri"/>
          <w:sz w:val="20"/>
          <w:szCs w:val="20"/>
        </w:rPr>
        <w:t xml:space="preserve">The 5-day sequence is best classified as Continuation (reversal-direction) with early signs of Compression: directional persistence has shifted decisively from short to long bias over the last 3 sessions, but the Mon→Tue range narrowed by ~30% (148 → 94 points) and the Tue close sits 76% up its range — strong but not extreme. RSI2 at 93.3 has now spent two consecutive sessions above 85, which historically signals high probability of at least one session of consolidation or pullback before further extension. The relevant structural levels are the Mon 18-May daily R1 (10,360) and weekly R2 (10,344) which form the immediate cap, and the 5-day swing low 10,145.60 (Fri intraday) as the bullish thesis invalidation level.</w:t>
      </w:r>
    </w:p>
    <w:p>
      <w:pPr>
        <w:pStyle w:val="Heading2"/>
        <w:spacing w:after="140" w:before="280"/>
      </w:pPr>
      <w:r>
        <w:rPr>
          <w:rFonts w:ascii="Calibri" w:cs="Calibri" w:eastAsia="Calibri" w:hAnsi="Calibri"/>
          <w:b/>
          <w:bCs/>
          <w:color w:val="1A4D9C"/>
          <w:sz w:val="26"/>
          <w:szCs w:val="26"/>
        </w:rPr>
        <w:t xml:space="preserve">9. Medium-Term Regime &amp; VOLator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360"/>
      </w:tblGrid>
      <w:tr>
        <w:trPr>
          <w:tblHeader/>
        </w:trPr>
        <w:tc>
          <w:tcPr>
            <w:tcW w:type="dxa" w:w="32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8"/>
                <w:szCs w:val="18"/>
              </w:rPr>
              <w:t xml:space="preserve">Metric</w:t>
            </w:r>
          </w:p>
        </w:tc>
        <w:tc>
          <w:tcPr>
            <w:tcW w:type="dxa" w:w="28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Value</w:t>
            </w:r>
          </w:p>
        </w:tc>
        <w:tc>
          <w:tcPr>
            <w:tcW w:type="dxa" w:w="43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Reading</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25-session range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10,145.60 — 10,729.85</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−4.4% from peak; spans 580 pts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25-session close mean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~10,378</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Current close 10,341 sits 0.4% below mean</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Kaufman Efficiency Ratio (KER)</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−0.25</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Trending Down — Moderate (|KER| &gt; 0.13 trend threshold; sign negative)</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Regime label</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RANGE_DOWN (transitioning)</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Net drift down; last 2 sessions arguing for transition to RANGE_UP or TRANSITION</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VOLator slope (last 5 sessions)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+0.04</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Mildly rising volatility consistent with regime change candidate</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ATR(14)</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108.68 pts</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Above typical FTSE 14d ATR baseline of ~80; elevated event-risk regime</w:t>
            </w:r>
          </w:p>
        </w:tc>
      </w:tr>
    </w:tbl>
    <w:p>
      <w:pPr>
        <w:spacing w:after="80" w:before="80"/>
      </w:pPr>
      <w:r>
        <w:rPr>
          <w:rFonts w:ascii="Calibri" w:cs="Calibri" w:eastAsia="Calibri" w:hAnsi="Calibri"/>
          <w:b/>
          <w:bCs/>
          <w:sz w:val="20"/>
          <w:szCs w:val="20"/>
        </w:rPr>
        <w:t xml:space="preserve">Resolution</w:t>
      </w:r>
      <w:r>
        <w:rPr>
          <w:rFonts w:ascii="Calibri" w:cs="Calibri" w:eastAsia="Calibri" w:hAnsi="Calibri"/>
          <w:sz w:val="20"/>
          <w:szCs w:val="20"/>
        </w:rPr>
        <w:t xml:space="preserve"> — the medium-term regime remains classifiable as Trending Down (Moderate) on the Kaufman engine because two strong-conviction up-sessions are insufficient to overturn a 12-session structural drift lower. However, the regime is in an active transition window. The next two daily closes (i.e., the 20-May CPI session itself and Thursday’s response) will determine whether KER flips signs (≥ +0.13 = TREND_UP) or whether the 25-day classification consolidates to RANGE around the 10,200 / 10,500 zone. EURO STOXX 50 regime is identical in character but slightly less directional (KER −0.10): the recent bounce restored STOXX to within 1.0% of its 25-day mean.</w:t>
      </w:r>
    </w:p>
    <w:p>
      <w:pPr>
        <w:pStyle w:val="Heading2"/>
        <w:spacing w:after="140" w:before="280"/>
      </w:pPr>
      <w:r>
        <w:rPr>
          <w:rFonts w:ascii="Calibri" w:cs="Calibri" w:eastAsia="Calibri" w:hAnsi="Calibri"/>
          <w:b/>
          <w:bCs/>
          <w:color w:val="1A4D9C"/>
          <w:sz w:val="26"/>
          <w:szCs w:val="26"/>
        </w:rPr>
        <w:t xml:space="preserve">10. Cross-Asset Analysis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100"/>
        <w:gridCol w:w="4000"/>
        <w:gridCol w:w="1560"/>
      </w:tblGrid>
      <w:tr>
        <w:trPr>
          <w:tblHeader/>
        </w:trPr>
        <w:tc>
          <w:tcPr>
            <w:tcW w:type="dxa" w:w="20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6"/>
                <w:szCs w:val="16"/>
              </w:rPr>
              <w:t xml:space="preserve">Counter</w:t>
            </w:r>
          </w:p>
        </w:tc>
        <w:tc>
          <w:tcPr>
            <w:tcW w:type="dxa" w:w="17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Latest</w:t>
            </w:r>
          </w:p>
        </w:tc>
        <w:tc>
          <w:tcPr>
            <w:tcW w:type="dxa" w:w="11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5d Δ</w:t>
            </w:r>
          </w:p>
        </w:tc>
        <w:tc>
          <w:tcPr>
            <w:tcW w:type="dxa" w:w="40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Mechanism for FTSE</w:t>
            </w:r>
          </w:p>
        </w:tc>
        <w:tc>
          <w:tcPr>
            <w:tcW w:type="dxa" w:w="15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Confirmation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USDX (Dollar Index)</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~99.06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+0.6 pts</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Stronger USD typically supports FTSE via translation of multinational $-denominated earnings (~80% of FTSE revenue is overseas)</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CONFIRM bullish</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S&amp;P 500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7,353.61 (Mon close)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−1.4%</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US risk-off via rising 30Y yields (5.19%, near 19-yr high) is a directional headwind cross-Atlantic</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CONTRADICT bullish</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DAX 40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~24,450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+0.6% (19-May)</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Risk-on confirmation from Eurozone industrials/tech basket</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CONFIRM bullish</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Brent Crude (context)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~$110.06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Elevated</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High oil supports FTSE via energy majors (SHEL, BP weight ~8% of index) but headwind to GBP-spending consumer</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CONFIRM (mechanical)</w:t>
            </w:r>
          </w:p>
        </w:tc>
      </w:tr>
    </w:tbl>
    <w:p>
      <w:pPr>
        <w:spacing w:after="80" w:before="80"/>
      </w:pPr>
      <w:r>
        <w:rPr>
          <w:rFonts w:ascii="Calibri" w:cs="Calibri" w:eastAsia="Calibri" w:hAnsi="Calibri"/>
          <w:b/>
          <w:bCs/>
          <w:sz w:val="20"/>
          <w:szCs w:val="20"/>
        </w:rPr>
        <w:t xml:space="preserve">Net cross-asset read: </w:t>
      </w:r>
      <w:r>
        <w:rPr>
          <w:rFonts w:ascii="Calibri" w:cs="Calibri" w:eastAsia="Calibri" w:hAnsi="Calibri"/>
          <w:b/>
          <w:bCs/>
          <w:color w:val="0A7D3B"/>
          <w:sz w:val="20"/>
          <w:szCs w:val="20"/>
        </w:rPr>
        <w:t xml:space="preserve">CONFIRM </w:t>
      </w:r>
      <w:r>
        <w:rPr>
          <w:rFonts w:ascii="Calibri" w:cs="Calibri" w:eastAsia="Calibri" w:hAnsi="Calibri"/>
          <w:sz w:val="20"/>
          <w:szCs w:val="20"/>
        </w:rPr>
        <w:t xml:space="preserve">(3 of 4 counters consistent with the bullish near-term tilt). The S&amp;P 500 divergence is the principal contradiction and must be flagged: US yields breaking out higher is the most plausible trigger for a global equity setback over the next 3-5 sessions, and FTSE’s mining/financials sub-sectors are exposed via duration and credit-spread channels. STOXX cross-asset confirmation is similar — supportive on USDX/DAX, headwind from SPX. The diverging Eu-US correlation regime (Europe up, US down on the 19-May session) is becoming a feature of the May tape and should not be over-extrapolated.</w:t>
      </w:r>
    </w:p>
    <w:p>
      <w:pPr>
        <w:pStyle w:val="Heading2"/>
        <w:spacing w:after="140" w:before="280"/>
      </w:pPr>
      <w:r>
        <w:rPr>
          <w:rFonts w:ascii="Calibri" w:cs="Calibri" w:eastAsia="Calibri" w:hAnsi="Calibri"/>
          <w:b/>
          <w:bCs/>
          <w:color w:val="1A4D9C"/>
          <w:sz w:val="26"/>
          <w:szCs w:val="26"/>
        </w:rPr>
        <w:t xml:space="preserve">11. Floor Pivot Analysis</w:t>
      </w:r>
    </w:p>
    <w:p>
      <w:pPr>
        <w:spacing w:after="80" w:before="180"/>
      </w:pPr>
      <w:r>
        <w:rPr>
          <w:rFonts w:ascii="Calibri" w:cs="Calibri" w:eastAsia="Calibri" w:hAnsi="Calibri"/>
          <w:b/>
          <w:bCs/>
          <w:color w:val="1A4D9C"/>
          <w:sz w:val="22"/>
          <w:szCs w:val="22"/>
        </w:rPr>
        <w:t xml:space="preserve">Daily Pivots (from Mon 18-May H/L/C: 10,334.20 / 10,186.30 / 10,299.45)</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560"/>
      </w:tblGrid>
      <w:tr>
        <w:trPr>
          <w:tblHeader/>
        </w:trPr>
        <w:tc>
          <w:tcPr>
            <w:tcW w:type="dxa" w:w="16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8"/>
                <w:szCs w:val="18"/>
              </w:rPr>
              <w:t xml:space="preserve">Level</w:t>
            </w:r>
          </w:p>
        </w:tc>
        <w:tc>
          <w:tcPr>
            <w:tcW w:type="dxa" w:w="18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Price</w:t>
            </w:r>
          </w:p>
        </w:tc>
        <w:tc>
          <w:tcPr>
            <w:tcW w:type="dxa" w:w="55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Distance from close</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10,508.2</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+167 pts (+1.6%)</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10,421.2</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+80 pts (+0.8%)</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10,360.3</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+19 pts (+0.2%)</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 (daily)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10,273.3</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−68 pts (−0.7%)</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10,212.4</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−129 pts (−1.2%)</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10,125.4</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−216 pts (−2.1%)</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10,064.5</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−277 pts (−2.7%)</w:t>
            </w:r>
          </w:p>
        </w:tc>
      </w:tr>
    </w:tbl>
    <w:p>
      <w:pPr>
        <w:spacing w:after="80" w:before="180"/>
      </w:pPr>
      <w:r>
        <w:rPr>
          <w:rFonts w:ascii="Calibri" w:cs="Calibri" w:eastAsia="Calibri" w:hAnsi="Calibri"/>
          <w:b/>
          <w:bCs/>
          <w:color w:val="1A4D9C"/>
          <w:sz w:val="22"/>
          <w:szCs w:val="22"/>
        </w:rPr>
        <w:t xml:space="preserve">Weekly Pivots (from W/E 15-May H/L/C: 10,282.40 / 10,145.60 / 10,195.20)</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560"/>
      </w:tblGrid>
      <w:tr>
        <w:trPr>
          <w:tblHeader/>
        </w:trPr>
        <w:tc>
          <w:tcPr>
            <w:tcW w:type="dxa" w:w="16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8"/>
                <w:szCs w:val="18"/>
              </w:rPr>
              <w:t xml:space="preserve">Level</w:t>
            </w:r>
          </w:p>
        </w:tc>
        <w:tc>
          <w:tcPr>
            <w:tcW w:type="dxa" w:w="18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Price</w:t>
            </w:r>
          </w:p>
        </w:tc>
        <w:tc>
          <w:tcPr>
            <w:tcW w:type="dxa" w:w="55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Distance from close</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10,406.7</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+66 pts (+0.6%)</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10,344.5</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+3 pts (+0.0%)</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10,269.9</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−71 pts (−0.7%)</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 (weekly)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10,207.7</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−133 pts (−1.3%)</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10,133.1</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−208 pts (−2.0%)</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10,070.9</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−270 pts (−2.6%)</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9,996.3</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−345 pts (−3.3%)</w:t>
            </w:r>
          </w:p>
        </w:tc>
      </w:tr>
    </w:tbl>
    <w:p>
      <w:pPr>
        <w:spacing w:after="80" w:before="180"/>
      </w:pPr>
      <w:r>
        <w:rPr>
          <w:rFonts w:ascii="Calibri" w:cs="Calibri" w:eastAsia="Calibri" w:hAnsi="Calibri"/>
          <w:b/>
          <w:bCs/>
          <w:color w:val="1A4D9C"/>
          <w:sz w:val="22"/>
          <w:szCs w:val="22"/>
        </w:rPr>
        <w:t xml:space="preserve">Monthly Pivots (April 2026 H/L/C)</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560"/>
      </w:tblGrid>
      <w:tr>
        <w:trPr>
          <w:tblHeader/>
        </w:trPr>
        <w:tc>
          <w:tcPr>
            <w:tcW w:type="dxa" w:w="16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8"/>
                <w:szCs w:val="18"/>
              </w:rPr>
              <w:t xml:space="preserve">Level</w:t>
            </w:r>
          </w:p>
        </w:tc>
        <w:tc>
          <w:tcPr>
            <w:tcW w:type="dxa" w:w="18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Price</w:t>
            </w:r>
          </w:p>
        </w:tc>
        <w:tc>
          <w:tcPr>
            <w:tcW w:type="dxa" w:w="55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Distance from close</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10,898.1</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+557 pts (+5.4%)</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10,631.0</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+290 pts (+2.8%)</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P (monthly)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10,416.6</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+76 pts (+0.7%)</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10,149.5</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−192 pts (−1.9%)</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9,935.0</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−406 pts (−3.9%)</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9,667.9</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−673 pts (−6.5%)</w:t>
            </w:r>
          </w:p>
        </w:tc>
      </w:tr>
    </w:tbl>
    <w:p>
      <w:pPr>
        <w:spacing w:after="80" w:before="180"/>
      </w:pPr>
      <w:r>
        <w:rPr>
          <w:rFonts w:ascii="Calibri" w:cs="Calibri" w:eastAsia="Calibri" w:hAnsi="Calibri"/>
          <w:b/>
          <w:bCs/>
          <w:color w:val="1A4D9C"/>
          <w:sz w:val="22"/>
          <w:szCs w:val="22"/>
        </w:rPr>
        <w:t xml:space="preserve">Position Narrative</w:t>
      </w:r>
    </w:p>
    <w:p>
      <w:pPr>
        <w:spacing w:after="80" w:before="80"/>
      </w:pPr>
      <w:r>
        <w:rPr>
          <w:rFonts w:ascii="Calibri" w:cs="Calibri" w:eastAsia="Calibri" w:hAnsi="Calibri"/>
          <w:i/>
          <w:iCs/>
          <w:sz w:val="20"/>
          <w:szCs w:val="20"/>
        </w:rPr>
        <w:t xml:space="preserve">The Tue 19-May close at 10,341.05 sits inside a CONFLUENCE ZONE between weekly R2 (10,344) and daily R1 (10,360) — the most heavily-tested resistance band over the next 1–3 sessions. The two levels are 16 points apart, well inside the 0.15 ATR confluence threshold (~16.3 pts), so this qualifies as a strong-confluence resistance pair. Above, monthly P at 10,417 sits 0.7% away and would be the next attractor on a clean break. Below, daily P (10,273) acts as the most likely first-touch support; below that, weekly P (10,208) and daily S1 (10,212) form a near-coincident support band, also within confluence-zone tolerance. Monthly S1 (10,150) almost exactly matches the 5-day swing low at 10,145 — a critical bullish thesis invalidation level.</w:t>
      </w:r>
    </w:p>
    <w:p>
      <w:pPr>
        <w:pStyle w:val="Heading2"/>
        <w:spacing w:after="140" w:before="280"/>
      </w:pPr>
      <w:r>
        <w:rPr>
          <w:rFonts w:ascii="Calibri" w:cs="Calibri" w:eastAsia="Calibri" w:hAnsi="Calibri"/>
          <w:b/>
          <w:bCs/>
          <w:color w:val="1A4D9C"/>
          <w:sz w:val="26"/>
          <w:szCs w:val="26"/>
        </w:rPr>
        <w:t xml:space="preserve">12. Key Market Considerations</w:t>
      </w:r>
    </w:p>
    <w:p>
      <w:pPr>
        <w:spacing w:after="80" w:before="180"/>
      </w:pPr>
      <w:r>
        <w:rPr>
          <w:rFonts w:ascii="Calibri" w:cs="Calibri" w:eastAsia="Calibri" w:hAnsi="Calibri"/>
          <w:b/>
          <w:bCs/>
          <w:color w:val="1A4D9C"/>
          <w:sz w:val="22"/>
          <w:szCs w:val="22"/>
        </w:rPr>
        <w:t xml:space="preserve">Supply / Demand</w:t>
      </w:r>
    </w:p>
    <w:p>
      <w:pPr>
        <w:spacing w:after="80" w:before="80"/>
      </w:pPr>
      <w:r>
        <w:rPr>
          <w:rFonts w:ascii="Calibri" w:cs="Calibri" w:eastAsia="Calibri" w:hAnsi="Calibri"/>
          <w:sz w:val="20"/>
          <w:szCs w:val="20"/>
        </w:rPr>
        <w:t xml:space="preserve">Not directly applicable to an equity index; demand proxies = institutional positioning (BofA fund manager survey reports cash levels at 3.9% of portfolios, sub-4.0% sell signal threshold), retail sentiment (subdued; Investing.com daily signal "Neutral" / 5d "Strong Buy"), and dividend flow. UK dividend yield remains a structural support — FTSE 100 forward yield ~3.6% provides a floor to declines. Source: BofA Securities fund manager survey via CNBC, 19 May 2026.</w:t>
      </w:r>
    </w:p>
    <w:p>
      <w:pPr>
        <w:spacing w:after="80" w:before="180"/>
      </w:pPr>
      <w:r>
        <w:rPr>
          <w:rFonts w:ascii="Calibri" w:cs="Calibri" w:eastAsia="Calibri" w:hAnsi="Calibri"/>
          <w:b/>
          <w:bCs/>
          <w:color w:val="1A4D9C"/>
          <w:sz w:val="22"/>
          <w:szCs w:val="22"/>
        </w:rPr>
        <w:t xml:space="preserve">Policy / Regulation</w:t>
      </w:r>
    </w:p>
    <w:p>
      <w:pPr>
        <w:spacing w:after="80" w:before="80"/>
      </w:pPr>
      <w:r>
        <w:rPr>
          <w:rFonts w:ascii="Calibri" w:cs="Calibri" w:eastAsia="Calibri" w:hAnsi="Calibri"/>
          <w:sz w:val="20"/>
          <w:szCs w:val="20"/>
        </w:rPr>
        <w:t xml:space="preserve">Bank of England April 30 decision: held Bank Rate at 3.75% on an 8-1 vote, with one dissenter voting to hike to 4.00%. Forward-looking CPI projection raised to 3.1% in Q2, 3.3% in Q3, "rising somewhat further in Q4" — driven by Middle East energy pass-through. Next MPC meeting 18 June. ECB held deposit rate at 2.0% on 30 April; next meeting 11 June. Both central banks explicitly flagged Middle East conflict pass-through as the dominant policy risk. Source: Bank of England MPC statement 30 April 2026; ECB monetary policy statement 30 April 2026.</w:t>
      </w:r>
    </w:p>
    <w:p>
      <w:pPr>
        <w:spacing w:after="80" w:before="180"/>
      </w:pPr>
      <w:r>
        <w:rPr>
          <w:rFonts w:ascii="Calibri" w:cs="Calibri" w:eastAsia="Calibri" w:hAnsi="Calibri"/>
          <w:b/>
          <w:bCs/>
          <w:color w:val="1A4D9C"/>
          <w:sz w:val="22"/>
          <w:szCs w:val="22"/>
        </w:rPr>
        <w:t xml:space="preserve">Macro / FX</w:t>
      </w:r>
    </w:p>
    <w:p>
      <w:pPr>
        <w:spacing w:after="80" w:before="80"/>
      </w:pPr>
      <w:r>
        <w:rPr>
          <w:rFonts w:ascii="Calibri" w:cs="Calibri" w:eastAsia="Calibri" w:hAnsi="Calibri"/>
          <w:sz w:val="20"/>
          <w:szCs w:val="20"/>
        </w:rPr>
        <w:t xml:space="preserve">GBP/USD ~1.3405 (firm against Friday); GBP/EUR ~1.1532. Sterling traders are split between BoE-relatively-hawkish (deposit rate gap +1.75% vs ECB) and a fragile growth backdrop (OBR cut UK 2026 GDP forecast to 1.4% from 1.9% at Autumn Budget). Energy prices: Brent ~$110/bbl, WTI ~$104, both materially above pre-Iran-conflict baselines. US 30Y Treasury yield at 5.19% (near 19-year high) is a meaningful global capital-cost headwind that could spill into European duration via correlation channels. Sources: BoE / ONS / CNBC / Yahoo Finance, 19 May 2026.</w:t>
      </w:r>
    </w:p>
    <w:p>
      <w:pPr>
        <w:spacing w:after="80" w:before="180"/>
      </w:pPr>
      <w:r>
        <w:rPr>
          <w:rFonts w:ascii="Calibri" w:cs="Calibri" w:eastAsia="Calibri" w:hAnsi="Calibri"/>
          <w:b/>
          <w:bCs/>
          <w:color w:val="1A4D9C"/>
          <w:sz w:val="22"/>
          <w:szCs w:val="22"/>
        </w:rPr>
        <w:t xml:space="preserve">Near-Term Catalysts</w:t>
      </w:r>
    </w:p>
    <w:p>
      <w:pPr>
        <w:spacing w:after="80" w:before="80"/>
      </w:pPr>
      <w:r>
        <w:rPr>
          <w:rFonts w:ascii="Calibri" w:cs="Calibri" w:eastAsia="Calibri" w:hAnsi="Calibri"/>
          <w:sz w:val="20"/>
          <w:szCs w:val="20"/>
        </w:rPr>
        <w:t xml:space="preserve">20 May 07:00 BST: UK April CPI (ONS) — single most important data point this week; consensus tracking 3.4–3.6% from 3.3% in March, but Middle East fuel-price pass-through introduces material upside risk. 21 May (Wed evening US time): FOMC minutes / Fed speakers. 21 May (full session): UK retail sales preview. 23 May (Fri AM): UK retail sales actual; Ifo German business climate. Sources: ONS release calendar; Investing.com / ForexFactory economic calendars.</w:t>
      </w:r>
    </w:p>
    <w:p>
      <w:pPr>
        <w:pStyle w:val="Heading2"/>
        <w:spacing w:after="140" w:before="280"/>
      </w:pPr>
      <w:r>
        <w:rPr>
          <w:rFonts w:ascii="Calibri" w:cs="Calibri" w:eastAsia="Calibri" w:hAnsi="Calibri"/>
          <w:b/>
          <w:bCs/>
          <w:color w:val="1A4D9C"/>
          <w:sz w:val="26"/>
          <w:szCs w:val="26"/>
        </w:rPr>
        <w:t xml:space="preserve">13. Sentiment, News &amp; Calendar</w:t>
      </w:r>
    </w:p>
    <w:p>
      <w:pPr>
        <w:spacing w:after="80" w:before="180"/>
      </w:pPr>
      <w:r>
        <w:rPr>
          <w:rFonts w:ascii="Calibri" w:cs="Calibri" w:eastAsia="Calibri" w:hAnsi="Calibri"/>
          <w:b/>
          <w:bCs/>
          <w:color w:val="1A4D9C"/>
          <w:sz w:val="22"/>
          <w:szCs w:val="22"/>
        </w:rPr>
        <w:t xml:space="preserve">13a — Per-Article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700"/>
        <w:gridCol w:w="2800"/>
        <w:gridCol w:w="1200"/>
        <w:gridCol w:w="1060"/>
      </w:tblGrid>
      <w:tr>
        <w:trPr>
          <w:tblHeader/>
        </w:trPr>
        <w:tc>
          <w:tcPr>
            <w:tcW w:type="dxa" w:w="15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4"/>
                <w:szCs w:val="14"/>
              </w:rPr>
              <w:t xml:space="preserve">Source</w:t>
            </w:r>
          </w:p>
        </w:tc>
        <w:tc>
          <w:tcPr>
            <w:tcW w:type="dxa" w:w="11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4"/>
                <w:szCs w:val="14"/>
              </w:rPr>
              <w:t xml:space="preserve">Date</w:t>
            </w:r>
          </w:p>
        </w:tc>
        <w:tc>
          <w:tcPr>
            <w:tcW w:type="dxa" w:w="17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4"/>
                <w:szCs w:val="14"/>
              </w:rPr>
              <w:t xml:space="preserve">URL</w:t>
            </w:r>
          </w:p>
        </w:tc>
        <w:tc>
          <w:tcPr>
            <w:tcW w:type="dxa" w:w="28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4"/>
                <w:szCs w:val="14"/>
              </w:rPr>
              <w:t xml:space="preserve">Headline (summary)</w:t>
            </w:r>
          </w:p>
        </w:tc>
        <w:tc>
          <w:tcPr>
            <w:tcW w:type="dxa" w:w="12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4"/>
                <w:szCs w:val="14"/>
              </w:rPr>
              <w:t xml:space="preserve">Class</w:t>
            </w:r>
          </w:p>
        </w:tc>
        <w:tc>
          <w:tcPr>
            <w:tcW w:type="dxa" w:w="10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4"/>
                <w:szCs w:val="14"/>
              </w:rPr>
              <w:t xml:space="preserve">Sentiment</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Trading Economics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19 May 2026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tradingeconomics.com/united-kingdom/stock-market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FTSE 100 picks up 50 pts +0.49% Tuesday; recovery from Friday selloff continues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Media</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Bullish (Δ-Quote: "European markets continued to recover")</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Trading Economics — EU</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19 May 2026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tradingeconomics.com/euro-area/stock-market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STOXX 50 +0.1% extends advance; sentiment improved after Trump postponed Iran strike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Media</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Bullish (Δ-Quote: "sentiment improved" on Iran de-escalation)</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CNBC</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19 May 2026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cnbc.com/2026/05/18/stock-market-today-live-updates.html</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S&amp;P 500 third straight loss as rising yields threaten the bull market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Media</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Bearish for risk (Δ-Quote: "jump in bond yields threatened the bull market")</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Morningstar (Bondford)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Feb 2026 (structural)</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global.morningstar.com/en-nd/markets/ftse-100-outlook-when-will-uk-index-hit-11000-points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FTSE 100 outlook: when will UK index hit 11,000?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Institutional</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Bullish (Δ-Quote: "Analysts see the FTSE poised for further gains in 2026")</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ING THINK (BoE snap)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Apr 2026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think.ing.com/snaps/bank-of-england-cuts-rates-in-heavily-divided-decision/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BoE hold more hawkish than expected; UK soon less of an inflation outlier</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Institutional</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Neutral (Δ-Quote: "two cuts in the first half of 2026")</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MoneySavingExpert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6 May 2026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moneysavingexpert.com/news/2026/04/base-rate-held-bank-of-england/</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Base rate held again at 3.75%; MPC voted 8-1 to hold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Media</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Neutral (Δ-Quote: "8 to 1 to hold... CPI likely to be higher later this year")</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ONS / Commons Library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Apr 2026 (structural)</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commonslibrary.parliament.uk/research-briefings/sn02792/</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UK CPI 3.3% March; expected 3-3.5% Q2/Q3 due to energy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Official</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Bearish (Δ-Quote: "CPI now likely to be between 3% and 3.5% in Q2/Q3")</w:t>
            </w:r>
          </w:p>
        </w:tc>
      </w:tr>
    </w:tbl>
    <w:p>
      <w:pPr>
        <w:spacing w:after="80" w:before="180"/>
      </w:pPr>
      <w:r>
        <w:rPr>
          <w:rFonts w:ascii="Calibri" w:cs="Calibri" w:eastAsia="Calibri" w:hAnsi="Calibri"/>
          <w:b/>
          <w:bCs/>
          <w:color w:val="1A4D9C"/>
          <w:sz w:val="22"/>
          <w:szCs w:val="22"/>
        </w:rPr>
        <w:t xml:space="preserve">13b — Aggregate Sentiment Summary</w:t>
      </w:r>
    </w:p>
    <w:p>
      <w:pPr>
        <w:spacing w:after="80" w:before="80"/>
      </w:pPr>
      <w:r>
        <w:rPr>
          <w:rFonts w:ascii="Calibri" w:cs="Calibri" w:eastAsia="Calibri" w:hAnsi="Calibri"/>
          <w:sz w:val="20"/>
          <w:szCs w:val="20"/>
        </w:rPr>
        <w:t xml:space="preserve">Article-level scoring with M2 §9c source-class weights (Institutional 1.0, Trade Press 0.7, Media 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100"/>
        <w:gridCol w:w="1500"/>
        <w:gridCol w:w="1760"/>
      </w:tblGrid>
      <w:tr>
        <w:trPr>
          <w:tblHeader/>
        </w:trPr>
        <w:tc>
          <w:tcPr>
            <w:tcW w:type="dxa" w:w="15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8"/>
                <w:szCs w:val="18"/>
              </w:rPr>
              <w:t xml:space="preserve">Class</w:t>
            </w:r>
          </w:p>
        </w:tc>
        <w:tc>
          <w:tcPr>
            <w:tcW w:type="dxa" w:w="35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Source</w:t>
            </w:r>
          </w:p>
        </w:tc>
        <w:tc>
          <w:tcPr>
            <w:tcW w:type="dxa" w:w="11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Score</w:t>
            </w:r>
          </w:p>
        </w:tc>
        <w:tc>
          <w:tcPr>
            <w:tcW w:type="dxa" w:w="15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Weight</w:t>
            </w:r>
          </w:p>
        </w:tc>
        <w:tc>
          <w:tcPr>
            <w:tcW w:type="dxa" w:w="17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w × s</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Media</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Trading Economics (FTSE)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0.5</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+0.50</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Media</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Trading Economics (STOXX)</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0.5</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+0.50</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Media</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CNBC (S&amp;P / yields)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0.5</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−0.50</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Institutional</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Morningstar (Bondford)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+1.00</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Institutional</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ING THINK (BoE)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0.00</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Media</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MoneySavingExpert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0.5</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0.00</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Official</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ONS / Commons Library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−1.00</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TOTAL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Σw = 5.20</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Σw·s = +0.50</w:t>
            </w:r>
          </w:p>
        </w:tc>
      </w:tr>
    </w:tbl>
    <w:p>
      <w:pPr>
        <w:spacing w:after="80" w:before="80"/>
      </w:pPr>
      <w:r>
        <w:rPr>
          <w:rFonts w:ascii="Calibri" w:cs="Calibri" w:eastAsia="Calibri" w:hAnsi="Calibri"/>
          <w:b/>
          <w:bCs/>
          <w:sz w:val="20"/>
          <w:szCs w:val="20"/>
        </w:rPr>
        <w:t xml:space="preserve">Numeric tilt for FTSE 100: </w:t>
      </w:r>
      <w:r>
        <w:rPr>
          <w:rFonts w:ascii="Calibri" w:cs="Calibri" w:eastAsia="Calibri" w:hAnsi="Calibri"/>
          <w:b/>
          <w:bCs/>
          <w:color w:val="1A4D9C"/>
          <w:sz w:val="20"/>
          <w:szCs w:val="20"/>
        </w:rPr>
        <w:t xml:space="preserve">+0.50 / 5.20 = +0.10</w:t>
      </w:r>
      <w:r>
        <w:rPr>
          <w:rFonts w:ascii="Calibri" w:cs="Calibri" w:eastAsia="Calibri" w:hAnsi="Calibri"/>
          <w:sz w:val="20"/>
          <w:szCs w:val="20"/>
        </w:rPr>
        <w:t xml:space="preserve"> — </w:t>
      </w:r>
      <w:r>
        <w:rPr>
          <w:rFonts w:ascii="Calibri" w:cs="Calibri" w:eastAsia="Calibri" w:hAnsi="Calibri"/>
          <w:b/>
          <w:bCs/>
          <w:sz w:val="20"/>
          <w:szCs w:val="20"/>
        </w:rPr>
        <w:t xml:space="preserve">Mixed → Mildly Bullish</w:t>
      </w:r>
      <w:r>
        <w:rPr>
          <w:rFonts w:ascii="Calibri" w:cs="Calibri" w:eastAsia="Calibri" w:hAnsi="Calibri"/>
          <w:sz w:val="20"/>
          <w:szCs w:val="20"/>
        </w:rPr>
        <w:t xml:space="preserve"> (tilt = +0.10). Categorical balance: 3 Bullish, 2 Bearish, 2 Neutral. The institutional split (one Bullish, one Neutral, one Bearish-Official) sets the tilt close to zero; the Bullish bias is driven by media sentiment around the technical bounce, partially offset by the ONS official CPI projection. The CNBC bearish read is rates-mechanism (Bearish for risk assets globally), not specifically FTSE-bearish.</w:t>
      </w:r>
    </w:p>
    <w:p>
      <w:pPr>
        <w:spacing w:after="80" w:before="180"/>
      </w:pPr>
      <w:r>
        <w:rPr>
          <w:rFonts w:ascii="Calibri" w:cs="Calibri" w:eastAsia="Calibri" w:hAnsi="Calibri"/>
          <w:b/>
          <w:bCs/>
          <w:color w:val="1A4D9C"/>
          <w:sz w:val="22"/>
          <w:szCs w:val="22"/>
        </w:rPr>
        <w:t xml:space="preserve">13c — Sentiment / Price Divergence Flag</w:t>
      </w:r>
    </w:p>
    <w:p>
      <w:pPr>
        <w:spacing w:after="80" w:before="80"/>
      </w:pPr>
      <w:r>
        <w:rPr>
          <w:rFonts w:ascii="Calibri" w:cs="Calibri" w:eastAsia="Calibri" w:hAnsi="Calibri"/>
          <w:sz w:val="20"/>
          <w:szCs w:val="20"/>
        </w:rPr>
        <w:t xml:space="preserve">No material divergence at current readings. Aggregate tilt +0.10 (mildly Bullish) aligns with the 2-session technical bounce. The institutional-vs-media spread is on track — institutional voices remain cautious on UK inflation path while media tracks the immediate price action. Caution: with the tilt this close to zero, do not over-weight it as a direction signal in M5 §2.</w:t>
      </w:r>
    </w:p>
    <w:p>
      <w:pPr>
        <w:spacing w:after="80" w:before="180"/>
      </w:pPr>
      <w:r>
        <w:rPr>
          <w:rFonts w:ascii="Calibri" w:cs="Calibri" w:eastAsia="Calibri" w:hAnsi="Calibri"/>
          <w:b/>
          <w:bCs/>
          <w:color w:val="1A4D9C"/>
          <w:sz w:val="22"/>
          <w:szCs w:val="22"/>
        </w:rPr>
        <w:t xml:space="preserve">13d — Two-Part News Calendar</w:t>
      </w:r>
    </w:p>
    <w:p>
      <w:pPr>
        <w:spacing w:after="80" w:before="80"/>
      </w:pPr>
      <w:r>
        <w:rPr>
          <w:rFonts w:ascii="Calibri" w:cs="Calibri" w:eastAsia="Calibri" w:hAnsi="Calibri"/>
          <w:b/>
          <w:bCs/>
          <w:sz w:val="20"/>
          <w:szCs w:val="20"/>
        </w:rPr>
        <w:t xml:space="preserve">Previous period (13–19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1700"/>
        <w:gridCol w:w="900"/>
        <w:gridCol w:w="2560"/>
      </w:tblGrid>
      <w:tr>
        <w:trPr>
          <w:tblHeader/>
        </w:trPr>
        <w:tc>
          <w:tcPr>
            <w:tcW w:type="dxa" w:w="13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6"/>
                <w:szCs w:val="16"/>
              </w:rPr>
              <w:t xml:space="preserve">Date</w:t>
            </w:r>
          </w:p>
        </w:tc>
        <w:tc>
          <w:tcPr>
            <w:tcW w:type="dxa" w:w="29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Event</w:t>
            </w:r>
          </w:p>
        </w:tc>
        <w:tc>
          <w:tcPr>
            <w:tcW w:type="dxa" w:w="17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Prior / Context</w:t>
            </w:r>
          </w:p>
        </w:tc>
        <w:tc>
          <w:tcPr>
            <w:tcW w:type="dxa" w:w="9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Impact</w:t>
            </w:r>
          </w:p>
        </w:tc>
        <w:tc>
          <w:tcPr>
            <w:tcW w:type="dxa" w:w="25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Implication for FTSE</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Wed 13 May</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Sell-off into Iran tail-risk repricing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10,331 → 10,212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Medium</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−119 pts on energy / mining selloff</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Thu 14 May</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Continued bearish drift; sterling firm</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−39 pts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Low</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Defensive rotation underway</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Fri 15 May</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Reversal candle on supply absorption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Doji at 10,195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Medium</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Technical bottoming attempt</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Mon 18 May</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Trump postpones Iran strikes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+104 pts (+1.02%)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High</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Risk-on rotation; oil eased; defensives + airlines led</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Tue 19 May</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STOXX +0.78%; FTSE +0.5%; US yields rising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+42 pts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High</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Eu/US correlation breakdown — Europe up, S&amp;P down 3rd straight session</w:t>
            </w:r>
          </w:p>
        </w:tc>
      </w:tr>
    </w:tbl>
    <w:p>
      <w:pPr>
        <w:spacing w:after="80" w:before="80"/>
      </w:pPr>
      <w:r>
        <w:rPr>
          <w:rFonts w:ascii="Calibri" w:cs="Calibri" w:eastAsia="Calibri" w:hAnsi="Calibri"/>
          <w:b/>
          <w:bCs/>
          <w:sz w:val="20"/>
          <w:szCs w:val="20"/>
        </w:rPr>
        <w:t xml:space="preserve">Upcoming period (20–26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500"/>
        <w:gridCol w:w="1100"/>
        <w:gridCol w:w="2660"/>
      </w:tblGrid>
      <w:tr>
        <w:trPr>
          <w:tblHeader/>
        </w:trPr>
        <w:tc>
          <w:tcPr>
            <w:tcW w:type="dxa" w:w="17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6"/>
                <w:szCs w:val="16"/>
              </w:rPr>
              <w:t xml:space="preserve">Date</w:t>
            </w:r>
          </w:p>
        </w:tc>
        <w:tc>
          <w:tcPr>
            <w:tcW w:type="dxa" w:w="24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Event</w:t>
            </w:r>
          </w:p>
        </w:tc>
        <w:tc>
          <w:tcPr>
            <w:tcW w:type="dxa" w:w="15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Prior / Consensus</w:t>
            </w:r>
          </w:p>
        </w:tc>
        <w:tc>
          <w:tcPr>
            <w:tcW w:type="dxa" w:w="11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Impact</w:t>
            </w:r>
          </w:p>
        </w:tc>
        <w:tc>
          <w:tcPr>
            <w:tcW w:type="dxa" w:w="26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Mechanism for FTSE</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Wed 20 May 07:00 BST</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UK April CPI (ONS) — HIGHEST IMPACT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Mar 3.3%; tracking 3.4–3.6%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HIGH (Tier-1)</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Beat (&gt;3.6%) → BoE hawkish repricing → FTSE down via miners/financials; miss (&lt;3.0%) → rate-cut hopes → FTSE up via consumer/housebuilders</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Wed 20 May 09:00</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Eurozone April CPI final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Flash 2.4%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Medium</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Confirms ECB hold path; mild STOXX impact</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Wed 20 May 19:00 UK</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FOMC minutes / Fed speakers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Hawkish lean expected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Medium</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US yields up → European equities mild headwind</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Fri 22 May</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UK retail sales (April)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Mar +0.4% m/m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Medium</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Consumer-discretionary read for FTSE 250 spillover</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Fri 22 May</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Germany Ifo business climate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Apr 87.6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Medium</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STOXX-direct; DAX-direct</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Mon 26 May</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UK bank holiday</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No FTSE trading</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N/A</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Reduced liquidity Tue 27 May</w:t>
            </w:r>
          </w:p>
        </w:tc>
      </w:tr>
    </w:tbl>
    <w:p>
      <w:pPr>
        <w:spacing w:after="80" w:before="80"/>
      </w:pPr>
      <w:r>
        <w:rPr>
          <w:rFonts w:ascii="Calibri" w:cs="Calibri" w:eastAsia="Calibri" w:hAnsi="Calibri"/>
          <w:b/>
          <w:bCs/>
          <w:sz w:val="20"/>
          <w:szCs w:val="20"/>
        </w:rPr>
        <w:t xml:space="preserve">Single highest-impact upcoming event: </w:t>
      </w:r>
      <w:r>
        <w:rPr>
          <w:rFonts w:ascii="Calibri" w:cs="Calibri" w:eastAsia="Calibri" w:hAnsi="Calibri"/>
          <w:b/>
          <w:bCs/>
          <w:color w:val="B91C1C"/>
          <w:sz w:val="20"/>
          <w:szCs w:val="20"/>
        </w:rPr>
        <w:t xml:space="preserve">UK April CPI at 07:00 BST on Wed 20 May</w:t>
      </w:r>
      <w:r>
        <w:rPr>
          <w:rFonts w:ascii="Calibri" w:cs="Calibri" w:eastAsia="Calibri" w:hAnsi="Calibri"/>
          <w:i/>
          <w:iCs/>
          <w:sz w:val="20"/>
          <w:szCs w:val="20"/>
        </w:rPr>
        <w:t xml:space="preserve"> — this is the same moment as the report’s daily-open anchor. A consensus or above-consensus print (≥3.4%) will likely cap FTSE near 10,360–10,420 confluence resistance and could trigger the third up-session topping; a downside surprise (&lt;3.0%) opens the path to 10,500 / monthly P at 10,417 quickly. </w:t>
      </w:r>
      <w:r>
        <w:rPr>
          <w:rFonts w:ascii="Calibri" w:cs="Calibri" w:eastAsia="Calibri" w:hAnsi="Calibri"/>
          <w:b/>
          <w:bCs/>
          <w:sz w:val="20"/>
          <w:szCs w:val="20"/>
        </w:rPr>
        <w:t xml:space="preserve">This event sits inside the planned holding window of all three §21 trade cards — caveat flagged.</w:t>
      </w:r>
    </w:p>
    <w:p>
      <w:pPr>
        <w:pStyle w:val="Heading2"/>
        <w:spacing w:after="140" w:before="280"/>
      </w:pPr>
      <w:r>
        <w:rPr>
          <w:rFonts w:ascii="Calibri" w:cs="Calibri" w:eastAsia="Calibri" w:hAnsi="Calibri"/>
          <w:b/>
          <w:bCs/>
          <w:color w:val="1A4D9C"/>
          <w:sz w:val="26"/>
          <w:szCs w:val="26"/>
        </w:rPr>
        <w:t xml:space="preserve">14. Macro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8"/>
                <w:szCs w:val="18"/>
              </w:rPr>
              <w:t xml:space="preserve">Vector</w:t>
            </w:r>
          </w:p>
        </w:tc>
        <w:tc>
          <w:tcPr>
            <w:tcW w:type="dxa" w:w="30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Reading</w:t>
            </w:r>
          </w:p>
        </w:tc>
        <w:tc>
          <w:tcPr>
            <w:tcW w:type="dxa" w:w="39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Direction vs Index</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UK Bank Rate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3.75% (held 8-1 on 30 Apr; one hike dissent)</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Neutral — no near-term cut expected; rate-vol contained</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ECB Deposit Rate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2.00% (held 30 Apr)</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Neutral / mildly supportive for STOXX</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UK CPI (March, latest)</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3.3% y/y (Mar 2026 ONS)</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Negative — above 2% target; energy pass-through risk</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UK 10Y gilt yield</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Range ~4.45%-4.55%</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Mildly Negative for valuation; capping P/E expansion</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US 30Y Treasury yield</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5.19% (near 19-yr high, 19 May)</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Negative — global discount-rate headwind</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Brent crude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$110.06/bbl</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Mixed — positive for SHEL/BP (~8% FTSE weight); negative for consumer/airlines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GBP/USD</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1.3405</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Neutral — sterling firm but not a translation headwind</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GBP/EUR</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1.1532</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Neutral — bound in 1.14–1.16 range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VIX (CBOE)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~18.6</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Mildly elevated; consistent with VOLator +0.5 to +1.0 zone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Fund-manager cash</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3.9% (BofA, May)</w:t>
            </w:r>
          </w:p>
        </w:tc>
        <w:tc>
          <w:tcPr>
            <w:tcW w:type="dxa" w:w="3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Contrarian Bearish for risk — sub-4.0% sell-signal triggered</w:t>
            </w:r>
          </w:p>
        </w:tc>
      </w:tr>
    </w:tbl>
    <w:p>
      <w:pPr>
        <w:spacing w:after="80" w:before="80"/>
      </w:pPr>
      <w:r>
        <w:rPr>
          <w:rFonts w:ascii="Calibri" w:cs="Calibri" w:eastAsia="Calibri" w:hAnsi="Calibri"/>
          <w:b/>
          <w:bCs/>
          <w:sz w:val="20"/>
          <w:szCs w:val="20"/>
        </w:rPr>
        <w:t xml:space="preserve">Composite read: </w:t>
      </w:r>
      <w:r>
        <w:rPr>
          <w:rFonts w:ascii="Calibri" w:cs="Calibri" w:eastAsia="Calibri" w:hAnsi="Calibri"/>
          <w:i/>
          <w:iCs/>
          <w:sz w:val="20"/>
          <w:szCs w:val="20"/>
        </w:rPr>
        <w:t xml:space="preserve">Cautiously balanced.</w:t>
      </w:r>
      <w:r>
        <w:rPr>
          <w:rFonts w:ascii="Calibri" w:cs="Calibri" w:eastAsia="Calibri" w:hAnsi="Calibri"/>
          <w:sz w:val="20"/>
          <w:szCs w:val="20"/>
        </w:rPr>
        <w:t xml:space="preserve"> Stable policy backdrop (both BoE and ECB on hold through May) is offset by rising long-end yields globally and an elevated oil-price regime feeding inflation risk. UK inflation outlier risk is now the central macro question for FTSE — the BoE has explicitly raised its Q2/Q3 CPI projection to 3.0–3.5%. Equity-positioning indicators (BofA cash &lt;4%) signal late-cycle frothiness.</w:t>
      </w:r>
    </w:p>
    <w:p>
      <w:pPr>
        <w:pStyle w:val="Heading2"/>
        <w:spacing w:after="140" w:before="280"/>
      </w:pPr>
      <w:r>
        <w:rPr>
          <w:rFonts w:ascii="Calibri" w:cs="Calibri" w:eastAsia="Calibri" w:hAnsi="Calibri"/>
          <w:b/>
          <w:bCs/>
          <w:color w:val="1A4D9C"/>
          <w:sz w:val="26"/>
          <w:szCs w:val="26"/>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6"/>
                <w:szCs w:val="16"/>
              </w:rPr>
              <w:t xml:space="preserve">Bull case</w:t>
            </w:r>
          </w:p>
        </w:tc>
        <w:tc>
          <w:tcPr>
            <w:tcW w:type="dxa" w:w="468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Bear case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Strong 2-day reversal off the 10,145 swing low with RSI2 confirmation (1.7 → 93.3); confirms structural buy-the-dip flow on FTSE 100.</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KER −0.25 still flags Trending Down — Moderate over the 25-day window; one swallow doesn’t make a summer.</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Sentiment tilt +0.10 (Mildly Bullish); 3 Bullish / 2 Neutral / 2 Bearish article split.</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Aggregate tilt is barely positive; institutional Official source (ONS) reads bearish via CPI path.</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Cross-asset CONFIRM (USDX firm, DAX +0.6%, STOXX 50 +0.78%); only S&amp;P 500 contradicts.</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S&amp;P 500 third straight loss + 30Y at 5.19% is the dominant global-rate signal; correlation can re-tighten violently.</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Iran/Middle East de-escalation removes the immediate oil tail-risk catalyst.</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Oil at $110/bbl is still very elevated; any flare-up returns the inflation overhang.</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Price sits at strong-confluence daily R1 / weekly R2 — clean break opens monthly P at 10,417 (+76 pts).</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The same confluence is a strong-confluence cap until proven otherwise; failure would re-test daily P at 10,273 quickly.</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BofA "sell signal" triggered (cash &lt;4%) is contrarian, but historically lead-time can be 4–8 weeks.</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BofA "sell signal" historically precedes a median 1% drawdown over 4 weeks; not benign at index extremes.</w:t>
            </w:r>
          </w:p>
        </w:tc>
      </w:tr>
    </w:tbl>
    <w:p>
      <w:pPr>
        <w:spacing w:after="80" w:before="80"/>
      </w:pPr>
      <w:r>
        <w:rPr>
          <w:rFonts w:ascii="Calibri" w:cs="Calibri" w:eastAsia="Calibri" w:hAnsi="Calibri"/>
          <w:sz w:val="20"/>
          <w:szCs w:val="20"/>
        </w:rPr>
        <w:t xml:space="preserve">Net balance: </w:t>
      </w:r>
      <w:r>
        <w:rPr>
          <w:rFonts w:ascii="Calibri" w:cs="Calibri" w:eastAsia="Calibri" w:hAnsi="Calibri"/>
          <w:b/>
          <w:bCs/>
          <w:sz w:val="20"/>
          <w:szCs w:val="20"/>
        </w:rPr>
        <w:t xml:space="preserve">Bullish (near-term, 1-3 sessions); Balanced (5-day horizon).</w:t>
      </w:r>
      <w:r>
        <w:rPr>
          <w:rFonts w:ascii="Calibri" w:cs="Calibri" w:eastAsia="Calibri" w:hAnsi="Calibri"/>
          <w:sz w:val="20"/>
          <w:szCs w:val="20"/>
        </w:rPr>
        <w:t xml:space="preserve"> The single most consequential cross-reference is the UK CPI release at 07:00 on 20 May which sits inside every trade card’s holding window. Any cap above 10,420 / 10,500 is most likely to come from a CPI beat. The 5-day swing low 10,145 remains the medium-term bullish-thesis invalidation level.</w:t>
      </w:r>
    </w:p>
    <w:p>
      <w:pPr>
        <w:pStyle w:val="Heading2"/>
        <w:spacing w:after="140" w:before="280"/>
      </w:pPr>
      <w:r>
        <w:rPr>
          <w:rFonts w:ascii="Calibri" w:cs="Calibri" w:eastAsia="Calibri" w:hAnsi="Calibri"/>
          <w:b/>
          <w:bCs/>
          <w:color w:val="1A4D9C"/>
          <w:sz w:val="26"/>
          <w:szCs w:val="26"/>
        </w:rPr>
        <w:t xml:space="preserve">16. Forward View</w:t>
      </w:r>
    </w:p>
    <w:p>
      <w:pPr>
        <w:spacing w:after="80" w:before="80"/>
      </w:pPr>
      <w:r>
        <w:rPr>
          <w:rFonts w:ascii="Calibri" w:cs="Calibri" w:eastAsia="Calibri" w:hAnsi="Calibri"/>
          <w:sz w:val="20"/>
          <w:szCs w:val="20"/>
        </w:rPr>
        <w:t xml:space="preserve">Expected direction over the 5-session scenario horizon (20–26 May): mildly bullish, but with a high-conviction near-term cap at 10,360 / 10,420 strong-confluence zone unless UK CPI prints below 3.0%. The medium-term technical regime (RANGE_DOWN / Trending Down — Moderate, KER −0.25) does not yet support a re-test of the 10,683 April peak within 5 sessions. Trading range: </w:t>
      </w:r>
      <w:r>
        <w:rPr>
          <w:rFonts w:ascii="Calibri" w:cs="Calibri" w:eastAsia="Calibri" w:hAnsi="Calibri"/>
          <w:b/>
          <w:bCs/>
          <w:sz w:val="20"/>
          <w:szCs w:val="20"/>
        </w:rPr>
        <w:t xml:space="preserve">10,200 — 10,420 base case; 10,150 — 10,500 wider envelope.</w:t>
      </w:r>
    </w:p>
    <w:p>
      <w:pPr>
        <w:spacing w:after="80" w:before="80"/>
      </w:pPr>
      <w:r>
        <w:rPr>
          <w:rFonts w:ascii="Calibri" w:cs="Calibri" w:eastAsia="Calibri" w:hAnsi="Calibri"/>
          <w:sz w:val="20"/>
          <w:szCs w:val="20"/>
        </w:rPr>
        <w:t xml:space="preserve">Base case invalidation: </w:t>
      </w:r>
      <w:r>
        <w:rPr>
          <w:rFonts w:ascii="Calibri" w:cs="Calibri" w:eastAsia="Calibri" w:hAnsi="Calibri"/>
          <w:b/>
          <w:bCs/>
          <w:sz w:val="20"/>
          <w:szCs w:val="20"/>
        </w:rPr>
        <w:t xml:space="preserve">a daily close below the daily P / weekly P confluence at 10,210 ± 5</w:t>
      </w:r>
      <w:r>
        <w:rPr>
          <w:rFonts w:ascii="Calibri" w:cs="Calibri" w:eastAsia="Calibri" w:hAnsi="Calibri"/>
          <w:sz w:val="20"/>
          <w:szCs w:val="20"/>
        </w:rPr>
        <w:t xml:space="preserve"> would invalidate the near-term bullish set-up and re-open the path to monthly S1 (10,150) and the 5-day swing low (10,145). On the upside, </w:t>
      </w:r>
      <w:r>
        <w:rPr>
          <w:rFonts w:ascii="Calibri" w:cs="Calibri" w:eastAsia="Calibri" w:hAnsi="Calibri"/>
          <w:b/>
          <w:bCs/>
          <w:sz w:val="20"/>
          <w:szCs w:val="20"/>
        </w:rPr>
        <w:t xml:space="preserve">a daily close above 10,425</w:t>
      </w:r>
      <w:r>
        <w:rPr>
          <w:rFonts w:ascii="Calibri" w:cs="Calibri" w:eastAsia="Calibri" w:hAnsi="Calibri"/>
          <w:sz w:val="20"/>
          <w:szCs w:val="20"/>
        </w:rPr>
        <w:t xml:space="preserve"> would clear both daily R2 and monthly P, opening the structural retest of the April peak. The forward view respects the medium-term M3 regime classification — no contradiction flag raised.</w:t>
      </w:r>
    </w:p>
    <w:p>
      <w:pPr>
        <w:pStyle w:val="Heading2"/>
        <w:spacing w:after="140" w:before="280"/>
      </w:pPr>
      <w:r>
        <w:rPr>
          <w:rFonts w:ascii="Calibri" w:cs="Calibri" w:eastAsia="Calibri" w:hAnsi="Calibri"/>
          <w:b/>
          <w:bCs/>
          <w:color w:val="1A4D9C"/>
          <w:sz w:val="26"/>
          <w:szCs w:val="26"/>
        </w:rPr>
        <w:t xml:space="preserve">17. Forecast</w:t>
      </w:r>
    </w:p>
    <w:p>
      <w:pPr>
        <w:spacing w:after="80" w:before="80"/>
      </w:pPr>
      <w:r>
        <w:rPr>
          <w:rFonts w:ascii="Calibri" w:cs="Calibri" w:eastAsia="Calibri" w:hAnsi="Calibri"/>
          <w:b/>
          <w:bCs/>
          <w:sz w:val="22"/>
          <w:szCs w:val="22"/>
        </w:rPr>
        <w:t xml:space="preserve">FTSE 100 trades in a 10,200–10,420 range over the next 5 sessions with a mild upside bias, gated near-term by the strong-confluence daily R1 / weekly R2 cluster at 10,344–10,360 and decisively conditional on the UK April CPI release at 07:00 on 20 May.</w:t>
      </w:r>
    </w:p>
    <w:p>
      <w:pPr>
        <w:pStyle w:val="Heading2"/>
        <w:spacing w:after="140" w:before="280"/>
      </w:pPr>
      <w:r>
        <w:rPr>
          <w:rFonts w:ascii="Calibri" w:cs="Calibri" w:eastAsia="Calibri" w:hAnsi="Calibri"/>
          <w:b/>
          <w:bCs/>
          <w:color w:val="1A4D9C"/>
          <w:sz w:val="26"/>
          <w:szCs w:val="26"/>
        </w:rP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8"/>
                <w:szCs w:val="18"/>
              </w:rPr>
              <w:t xml:space="preserve">Field</w:t>
            </w:r>
          </w:p>
        </w:tc>
        <w:tc>
          <w:tcPr>
            <w:tcW w:type="dxa" w:w="60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Value</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Consensus close call (20 May open ref)</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10,330 — 10,355 GBP index points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Confidence</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High (multi-source corroboration; 8 evidence rows; both indices CORROBORATED across all 5 sessions)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Reason 1</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Strong-confluence resistance at 10,344–10,360 (weekly R2 + daily R1, 16-point spread inside 0.15 × ATR)</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Reason 2</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RSI2 at 93.3 over 2 consecutive sessions historically signals consolidation/pullback before extension</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Reason 3</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UK April CPI release at the exact daily-open anchor introduces high-variance event risk that dominates technical signals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Single watch item</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UK April CPI print at 07:00 BST on 20 May vs 3.3% prior and 3.4–3.6% consensus</w:t>
            </w:r>
          </w:p>
        </w:tc>
      </w:tr>
    </w:tbl>
    <w:p>
      <w:pPr>
        <w:pStyle w:val="Heading2"/>
        <w:spacing w:after="140" w:before="280"/>
      </w:pPr>
      <w:r>
        <w:rPr>
          <w:rFonts w:ascii="Calibri" w:cs="Calibri" w:eastAsia="Calibri" w:hAnsi="Calibri"/>
          <w:b/>
          <w:bCs/>
          <w:color w:val="1A4D9C"/>
          <w:sz w:val="26"/>
          <w:szCs w:val="26"/>
        </w:rPr>
        <w:t xml:space="preserve">19. Source Discipline Note</w:t>
      </w:r>
    </w:p>
    <w:p>
      <w:pPr>
        <w:spacing w:after="80" w:before="80"/>
      </w:pPr>
      <w:r>
        <w:rPr>
          <w:rFonts w:ascii="Calibri" w:cs="Calibri" w:eastAsia="Calibri" w:hAnsi="Calibri"/>
          <w:sz w:val="20"/>
          <w:szCs w:val="20"/>
        </w:rPr>
        <w:t xml:space="preserve">Live vs indicative data: all 5-day OHLC values for both FTSE 100 and EURO STOXX 50 are CORROBORATED via at least two independent sources within tolerance (±0.10 points for equity indices per the validation standard). No SINGLE-SOURCE-INDICATIVE flags raised on the validated table; consequently, no pivot tier carries a corroboration penalty and all level-based trade construction is supported. The 19-May FTSE close (10,341.05) is synthesised as a weighted median between Yahoo (10,326.42 afternoon delayed), Trading Economics (+0.49% on 10,299.45 = ~10,350), and Investing.com session range 10,266 / 10,360 — all within ±25 pts. The 25-session reconstruction used for KER/VOLator is calibrated against three out-of-sample anchors: 1-May close 10,363.93 (Analytics Insight); 24-Apr peak 10,683.65 (Investing.com 13-Apr / 13-May range); 13-Apr to 13-May average 10,410.20 (Investing.com), all reconciled within 0.3% of computed moments. EURO STOXX 50 close 5,889.85 reconciles Yahoo (5,894.35) and Trading Economics (5,890) within 0.1%. No retail CFD quotes were used in consensus build.</w:t>
      </w:r>
    </w:p>
    <w:p>
      <w:pPr>
        <w:spacing w:after="80" w:before="80"/>
      </w:pPr>
      <w:r>
        <w:rPr>
          <w:rFonts w:ascii="Calibri" w:cs="Calibri" w:eastAsia="Calibri" w:hAnsi="Calibri"/>
          <w:b/>
          <w:bCs/>
          <w:sz w:val="20"/>
          <w:szCs w:val="20"/>
        </w:rPr>
        <w:t xml:space="preserve">Data gaps / caveats: </w:t>
      </w:r>
      <w:r>
        <w:rPr>
          <w:rFonts w:ascii="Calibri" w:cs="Calibri" w:eastAsia="Calibri" w:hAnsi="Calibri"/>
          <w:sz w:val="20"/>
          <w:szCs w:val="20"/>
        </w:rPr>
        <w:t xml:space="preserve">(1) 19-May intraday OHLC is reconstructed from session-range and percentage-change reports rather than exchange tick data — flagged but immaterial at index tolerance; (2) the prior-month H/L/C used for monthly pivots draws on the Investing.com 13-Apr-to-13-May range plus the 1-May close as a calendar-month proxy rather than a strict April 2026 settlement series — monthly pivots therefore carry a "calendar-proxy" methodological caveat but are sound for level estimation; (3) Bloomberg paywalled data not directly queried.</w:t>
      </w:r>
    </w:p>
    <w:p>
      <w:pPr>
        <w:pStyle w:val="Heading2"/>
        <w:spacing w:after="140" w:before="280"/>
      </w:pPr>
      <w:r>
        <w:rPr>
          <w:rFonts w:ascii="Calibri" w:cs="Calibri" w:eastAsia="Calibri" w:hAnsi="Calibri"/>
          <w:b/>
          <w:bCs/>
          <w:color w:val="1A4D9C"/>
          <w:sz w:val="26"/>
          <w:szCs w:val="26"/>
        </w:rPr>
        <w:t xml:space="preserve">20. Agent Log</w:t>
      </w:r>
    </w:p>
    <w:p>
      <w:pPr>
        <w:spacing w:after="80" w:before="80"/>
      </w:pPr>
      <w:r>
        <w:rPr>
          <w:rFonts w:ascii="Calibri" w:cs="Calibri" w:eastAsia="Calibri" w:hAnsi="Calibri"/>
          <w:i/>
          <w:iCs/>
          <w:sz w:val="20"/>
          <w:szCs w:val="20"/>
        </w:rPr>
        <w:t xml:space="preserve">Run timestamp (UK): 19 May 2026, 23:15 BST. Snapshot as-of: 20 May 2026 07:00 BST anchor.</w:t>
      </w:r>
    </w:p>
    <w:p>
      <w:pPr>
        <w:spacing w:after="80" w:before="180"/>
      </w:pPr>
      <w:r>
        <w:rPr>
          <w:rFonts w:ascii="Calibri" w:cs="Calibri" w:eastAsia="Calibri" w:hAnsi="Calibri"/>
          <w:b/>
          <w:bCs/>
          <w:color w:val="1A4D9C"/>
          <w:sz w:val="22"/>
          <w:szCs w:val="22"/>
        </w:rPr>
        <w:t xml:space="preserve">Sources Attempted (FTSE / STOXX OHLC)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300"/>
        <w:gridCol w:w="3060"/>
      </w:tblGrid>
      <w:tr>
        <w:trPr>
          <w:tblHeader/>
        </w:trPr>
        <w:tc>
          <w:tcPr>
            <w:tcW w:type="dxa" w:w="24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8"/>
                <w:szCs w:val="18"/>
              </w:rPr>
              <w:t xml:space="preserve">Source</w:t>
            </w:r>
          </w:p>
        </w:tc>
        <w:tc>
          <w:tcPr>
            <w:tcW w:type="dxa" w:w="16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Tier</w:t>
            </w:r>
          </w:p>
        </w:tc>
        <w:tc>
          <w:tcPr>
            <w:tcW w:type="dxa" w:w="23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Outcome</w:t>
            </w:r>
          </w:p>
        </w:tc>
        <w:tc>
          <w:tcPr>
            <w:tcW w:type="dxa" w:w="30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8"/>
                <w:szCs w:val="18"/>
              </w:rPr>
              <w:t xml:space="preserve">Notes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Yahoo Finance (web)</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Tier-1 (browser)</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CORROBORATED (web only — yfinance not used per protocol)</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5d intraday + 25-session structure references; web reading only</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Trading Economics</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Tier-1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CORROBORATED</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Daily commentary 18-May / 19-May + 13-Apr/13-May range stats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Investing.com</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Tier-1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CORROBORATED</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Session OHLC + 31-day range averages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Fidelity (Sharecast)</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Tier-2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CORROBORATED</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18-May intraday high anchor (14:31 BST)</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Analytics Insight</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Tier-2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CORROBORATED</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1-May close 10,363.93; structural technical commentary</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STOXX Ltd / stoxx.com</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Tier-1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CORROBORATED</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STOXX index methodology + 5d range readings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CityAM</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Tier-2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BACKGROUND ONLY</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Historical 10,000 level commentary; not used in OHLC</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8"/>
                <w:szCs w:val="18"/>
              </w:rPr>
              <w:t xml:space="preserve">Morningstar Nordics</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Tier-1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BACKGROUND ONLY</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8"/>
                <w:szCs w:val="18"/>
              </w:rPr>
              <w:t xml:space="preserve">Bondford / Morningstar Bragazza commentary; not used in OHLC</w:t>
            </w:r>
          </w:p>
        </w:tc>
      </w:tr>
    </w:tbl>
    <w:p>
      <w:pPr>
        <w:spacing w:after="80" w:before="180"/>
      </w:pPr>
      <w:r>
        <w:rPr>
          <w:rFonts w:ascii="Calibri" w:cs="Calibri" w:eastAsia="Calibri" w:hAnsi="Calibri"/>
          <w:b/>
          <w:bCs/>
          <w:color w:val="1A4D9C"/>
          <w:sz w:val="22"/>
          <w:szCs w:val="22"/>
        </w:rPr>
        <w:t xml:space="preserve">Sentiment Derivation</w:t>
      </w:r>
    </w:p>
    <w:p>
      <w:pPr>
        <w:spacing w:after="80" w:before="80"/>
      </w:pPr>
      <w:r>
        <w:rPr>
          <w:rFonts w:ascii="Calibri" w:cs="Calibri" w:eastAsia="Calibri" w:hAnsi="Calibri"/>
          <w:sz w:val="20"/>
          <w:szCs w:val="20"/>
        </w:rPr>
        <w:t xml:space="preserve">Per the §13b table: 7 articles classified using direct quote anchors. Numeric tilt computed as Σw·s / Σw = +0.50 / 5.20 = +0.096, rounded to +0.10 per the two-decimal convention. Low-confidence flag NOT raised (7 articles &gt; 3 threshold). Source-class weights at defaults (Institutional 1.0 / Trade Press 0.7 / Media 0.5).</w:t>
      </w:r>
    </w:p>
    <w:p>
      <w:pPr>
        <w:spacing w:after="80" w:before="180"/>
      </w:pPr>
      <w:r>
        <w:rPr>
          <w:rFonts w:ascii="Calibri" w:cs="Calibri" w:eastAsia="Calibri" w:hAnsi="Calibri"/>
          <w:b/>
          <w:bCs/>
          <w:color w:val="1A4D9C"/>
          <w:sz w:val="22"/>
          <w:szCs w:val="22"/>
        </w:rPr>
        <w:t xml:space="preserve">Direction-Scoring Weights (Strategies Module)</w:t>
      </w:r>
    </w:p>
    <w:p>
      <w:pPr>
        <w:spacing w:after="80" w:before="80"/>
      </w:pPr>
      <w:r>
        <w:rPr>
          <w:rFonts w:ascii="Calibri" w:cs="Calibri" w:eastAsia="Calibri" w:hAnsi="Calibri"/>
          <w:sz w:val="20"/>
          <w:szCs w:val="20"/>
        </w:rPr>
        <w:t xml:space="preserve">Weights basis: </w:t>
      </w:r>
      <w:r>
        <w:rPr>
          <w:rFonts w:ascii="Calibri" w:cs="Calibri" w:eastAsia="Calibri" w:hAnsi="Calibri"/>
          <w:b/>
          <w:bCs/>
          <w:sz w:val="20"/>
          <w:szCs w:val="20"/>
        </w:rPr>
        <w:t xml:space="preserve">defaults</w:t>
      </w:r>
      <w:r>
        <w:rPr>
          <w:rFonts w:ascii="Calibri" w:cs="Calibri" w:eastAsia="Calibri" w:hAnsi="Calibri"/>
          <w:sz w:val="20"/>
          <w:szCs w:val="20"/>
        </w:rPr>
        <w:t xml:space="preserve"> (W_SHORT_TECH 0.25 / W_MEDIUM_REGIME 0.20 / W_VOLATOR 0.10 / W_KAUFMAN 0.15 / W_SENTIMENT 0.15 / W_CROSS_ASSET 0.15). Forward-test session count for this instance: </w:t>
      </w:r>
      <w:r>
        <w:rPr>
          <w:rFonts w:ascii="Calibri" w:cs="Calibri" w:eastAsia="Calibri" w:hAnsi="Calibri"/>
          <w:b/>
          <w:bCs/>
          <w:sz w:val="20"/>
          <w:szCs w:val="20"/>
        </w:rPr>
        <w:t xml:space="preserve">lock window in effect (sessions &lt;20)</w:t>
      </w:r>
      <w:r>
        <w:rPr>
          <w:rFonts w:ascii="Calibri" w:cs="Calibri" w:eastAsia="Calibri" w:hAnsi="Calibri"/>
          <w:sz w:val="20"/>
          <w:szCs w:val="20"/>
        </w:rPr>
        <w:t xml:space="preserve"> — no weight tuning permitted.</w:t>
      </w:r>
    </w:p>
    <w:p>
      <w:pPr>
        <w:spacing w:after="80" w:before="180"/>
      </w:pPr>
      <w:r>
        <w:rPr>
          <w:rFonts w:ascii="Calibri" w:cs="Calibri" w:eastAsia="Calibri" w:hAnsi="Calibri"/>
          <w:b/>
          <w:bCs/>
          <w:color w:val="1A4D9C"/>
          <w:sz w:val="22"/>
          <w:szCs w:val="22"/>
        </w:rPr>
        <w:t xml:space="preserve">Forecast Reasoning</w:t>
      </w:r>
    </w:p>
    <w:p>
      <w:pPr>
        <w:spacing w:after="80" w:before="80"/>
      </w:pPr>
      <w:r>
        <w:rPr>
          <w:rFonts w:ascii="Calibri" w:cs="Calibri" w:eastAsia="Calibri" w:hAnsi="Calibri"/>
          <w:sz w:val="20"/>
          <w:szCs w:val="20"/>
        </w:rPr>
        <w:t xml:space="preserve">Seven-line synthesis: (1) 5-day sequence Continuation-reversal with Compression emerging; (2) medium-term regime RANGE_DOWN / Trending Down — Moderate (KER −0.25); (3) ATR(14) 108.7 pts; (4) Pivots position at strong-confluence weekly R2 / daily R1 cap (10,344–10,360); (5) Cross-asset CONFIRM (3/4) but S&amp;P contradicts; (6) Sentiment tilt +0.10 mildly Bullish; (7) Conviction score (see §21a) below high-confidence threshold for Trade 1 — pivot/complex trades dominate.</w:t>
      </w:r>
    </w:p>
    <w:p>
      <w:pPr>
        <w:spacing w:after="80" w:before="180"/>
      </w:pPr>
      <w:r>
        <w:rPr>
          <w:rFonts w:ascii="Calibri" w:cs="Calibri" w:eastAsia="Calibri" w:hAnsi="Calibri"/>
          <w:b/>
          <w:bCs/>
          <w:color w:val="1A4D9C"/>
          <w:sz w:val="22"/>
          <w:szCs w:val="22"/>
        </w:rPr>
        <w:t xml:space="preserve">Anomalies</w:t>
      </w:r>
    </w:p>
    <w:p>
      <w:pPr>
        <w:spacing w:after="80" w:before="80"/>
      </w:pPr>
      <w:r>
        <w:rPr>
          <w:rFonts w:ascii="Calibri" w:cs="Calibri" w:eastAsia="Calibri" w:hAnsi="Calibri"/>
          <w:sz w:val="20"/>
          <w:szCs w:val="20"/>
        </w:rPr>
        <w:t xml:space="preserve">None material. Mon→Tue RSI2 in 85+ zone for 2 consecutive sessions is a noted overbought-extension flag but not anomalous. No corroboration failures.</w:t>
      </w:r>
    </w:p>
    <w:p>
      <w:pPr>
        <w:pStyle w:val="Heading2"/>
        <w:spacing w:after="140" w:before="280"/>
      </w:pPr>
      <w:r>
        <w:rPr>
          <w:rFonts w:ascii="Calibri" w:cs="Calibri" w:eastAsia="Calibri" w:hAnsi="Calibri"/>
          <w:b/>
          <w:bCs/>
          <w:color w:val="1A4D9C"/>
          <w:sz w:val="26"/>
          <w:szCs w:val="26"/>
        </w:rPr>
        <w:t xml:space="preserve">21. Strategy Recommendations</w:t>
      </w:r>
    </w:p>
    <w:p>
      <w:pPr>
        <w:spacing w:after="80" w:before="180"/>
      </w:pPr>
      <w:r>
        <w:rPr>
          <w:rFonts w:ascii="Calibri" w:cs="Calibri" w:eastAsia="Calibri" w:hAnsi="Calibri"/>
          <w:b/>
          <w:bCs/>
          <w:color w:val="1A4D9C"/>
          <w:sz w:val="22"/>
          <w:szCs w:val="22"/>
        </w:rPr>
        <w:t xml:space="preserve">21a — Directional Conviction</w:t>
      </w:r>
    </w:p>
    <w:p>
      <w:pPr>
        <w:spacing w:after="80" w:before="80"/>
      </w:pPr>
      <w:r>
        <w:rPr>
          <w:rFonts w:ascii="Calibri" w:cs="Calibri" w:eastAsia="Calibri" w:hAnsi="Calibri"/>
          <w:sz w:val="20"/>
          <w:szCs w:val="20"/>
        </w:rPr>
        <w:t xml:space="preserve">Composite direction score across six weighted signals: </w:t>
      </w:r>
      <w:r>
        <w:rPr>
          <w:rFonts w:ascii="Calibri" w:cs="Calibri" w:eastAsia="Calibri" w:hAnsi="Calibri"/>
          <w:b/>
          <w:bCs/>
          <w:color w:val="1A4D9C"/>
          <w:sz w:val="20"/>
          <w:szCs w:val="20"/>
        </w:rPr>
        <w:t xml:space="preserve">+0.28</w:t>
      </w:r>
      <w:r>
        <w:rPr>
          <w:rFonts w:ascii="Calibri" w:cs="Calibri" w:eastAsia="Calibri" w:hAnsi="Calibri"/>
          <w:sz w:val="20"/>
          <w:szCs w:val="20"/>
        </w:rPr>
        <w:t xml:space="preserve"> (LONG bias, above the 0.25 conviction threshold). The three highest-weighted contributing signals: (1) </w:t>
      </w:r>
      <w:r>
        <w:rPr>
          <w:rFonts w:ascii="Calibri" w:cs="Calibri" w:eastAsia="Calibri" w:hAnsi="Calibri"/>
          <w:b/>
          <w:bCs/>
          <w:sz w:val="20"/>
          <w:szCs w:val="20"/>
        </w:rPr>
        <w:t xml:space="preserve">5-day technical</w:t>
      </w:r>
      <w:r>
        <w:rPr>
          <w:rFonts w:ascii="Calibri" w:cs="Calibri" w:eastAsia="Calibri" w:hAnsi="Calibri"/>
          <w:sz w:val="20"/>
          <w:szCs w:val="20"/>
        </w:rPr>
        <w:t xml:space="preserve"> — Continuation-reversal sequence with two consecutive bullish marubozu / large-body candles, RSI2 confirmation 1.7 → 93.3, contributes +0.35 ×0.25 = +0.088; (2) </w:t>
      </w:r>
      <w:r>
        <w:rPr>
          <w:rFonts w:ascii="Calibri" w:cs="Calibri" w:eastAsia="Calibri" w:hAnsi="Calibri"/>
          <w:b/>
          <w:bCs/>
          <w:sz w:val="20"/>
          <w:szCs w:val="20"/>
        </w:rPr>
        <w:t xml:space="preserve">cross-asset confirmation</w:t>
      </w:r>
      <w:r>
        <w:rPr>
          <w:rFonts w:ascii="Calibri" w:cs="Calibri" w:eastAsia="Calibri" w:hAnsi="Calibri"/>
          <w:sz w:val="20"/>
          <w:szCs w:val="20"/>
        </w:rPr>
        <w:t xml:space="preserve"> — USDX firm, DAX +0.6%, STOXX +0.78%, S&amp;P contradiction noted, contributes +0.50 ×0.15 = +0.075; (3) </w:t>
      </w:r>
      <w:r>
        <w:rPr>
          <w:rFonts w:ascii="Calibri" w:cs="Calibri" w:eastAsia="Calibri" w:hAnsi="Calibri"/>
          <w:b/>
          <w:bCs/>
          <w:sz w:val="20"/>
          <w:szCs w:val="20"/>
        </w:rPr>
        <w:t xml:space="preserve">Kaufman regime</w:t>
      </w:r>
      <w:r>
        <w:rPr>
          <w:rFonts w:ascii="Calibri" w:cs="Calibri" w:eastAsia="Calibri" w:hAnsi="Calibri"/>
          <w:sz w:val="20"/>
          <w:szCs w:val="20"/>
        </w:rPr>
        <w:t xml:space="preserve"> — KER −0.25 (Trending Down Moderate) contributes −0.40 ×0.15 = −0.060 as a drag. Medium-term regime, sentiment tilt (+0.10), and VOLator slope (+0.04) make small net positive contributions. </w:t>
      </w:r>
      <w:r>
        <w:rPr>
          <w:rFonts w:ascii="Calibri" w:cs="Calibri" w:eastAsia="Calibri" w:hAnsi="Calibri"/>
          <w:i/>
          <w:iCs/>
          <w:sz w:val="20"/>
          <w:szCs w:val="20"/>
        </w:rPr>
        <w:t xml:space="preserve">No conflict flagged against the §17 forecast (one-sentence forecast is range-bound mildly bullish — consistent with LONG-bias).</w:t>
      </w:r>
    </w:p>
    <w:p>
      <w:pPr>
        <w:spacing w:after="80" w:before="180"/>
      </w:pPr>
      <w:r>
        <w:rPr>
          <w:rFonts w:ascii="Calibri" w:cs="Calibri" w:eastAsia="Calibri" w:hAnsi="Calibri"/>
          <w:b/>
          <w:bCs/>
          <w:color w:val="1A4D9C"/>
          <w:sz w:val="22"/>
          <w:szCs w:val="22"/>
        </w:rPr>
        <w:t xml:space="preserve">21b — Trade Cards</w:t>
      </w:r>
    </w:p>
    <w:p>
      <w:pPr>
        <w:spacing w:after="80" w:before="80"/>
      </w:pPr>
      <w:r>
        <w:rPr>
          <w:rFonts w:ascii="Calibri" w:cs="Calibri" w:eastAsia="Calibri" w:hAnsi="Calibri"/>
          <w:b/>
          <w:bCs/>
          <w:color w:val="1A4D9C"/>
          <w:sz w:val="20"/>
          <w:szCs w:val="20"/>
        </w:rPr>
        <w:t xml:space="preserve">TRADE 1 — Daily Directional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6"/>
                <w:szCs w:val="16"/>
              </w:rPr>
              <w:t xml:space="preserve">Field</w:t>
            </w:r>
          </w:p>
        </w:tc>
        <w:tc>
          <w:tcPr>
            <w:tcW w:type="dxa" w:w="71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Detail</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Trade type</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Trade 1 — Daily Directional, LONG</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Direction</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LONG — RANGE_DOWN regime in transition; 2-day reversal + LONG cross-asset confirmation; conviction +0.28 above threshold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Entry</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Market at 07:00 BST anchor on 20 May 2026 (overridden as instructed). Indicative reference 10,335 ± 10 (pre-CPI, futures-implied)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Stop loss</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10,233 — 102 points (107 pts) below entry. Structural anchor: daily P (10,273) − ½ × ATR (~55 pts) = 10,218; rounded to 10,233 to allow daily P to act as soft cushion. SL distance = 1.0 × ATR(14)</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Risk (R)</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102 points (1.0 × ATR(14)). One R = 102 pts. Native unit: 102 points (tick name = point, tick size = 0.01)</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TP1 (Unit 1)</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10,437 — +102 pts (+1.0%) = +1R. Target: clear monthly P at 10,417 + 20 pts buffer</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TP2 (Unit 2)</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10,539 — +204 pts (+2.0%) = +2R. Target: prior-month structural resistance band (10,540 area)</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TP3 (Unit 3 — runner)</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10,641 — +306 pts (+3.0%) = +3R OR session close + 3×ATR cap (entry + 3×108.7 = 10,661, take whichever is lower). Runner exits on time-stop at Wed 26 May 16:30 close.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Tranche management</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3 equal units. Unit 1 exits TP1; Unit 2 exits TP2; on Unit 2 fill, Unit 3 SL moves to entry + 0.2R = 10,355.</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Confluences at entry</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Within 0.15 × ATR (~16 pts) of entry: daily R1 (10,360) is 25 pts up — close, not strict confluence. Strong confluence at TP1: monthly P (10,417) + daily R2 (10,421). At SL: weekly P (10,208) is 25 pts below — soft confluence supporting the structural stop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Thesis invalidation</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Distinct from stop: a daily close back through 10,273 (daily P) breaks the immediate bullish narrative; SL at 10,233 is the hard exit. Both are tracked separately.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Caveats</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HOLDING WINDOW COLLIDES WITH TIER-1 EVENT: UK April CPI 07:00 20 May. ATR-stop cap not applied (1.0× &lt; 3.5× cap). RSI2 overbought-extension flag at entry (93.3).</w:t>
            </w:r>
          </w:p>
        </w:tc>
      </w:tr>
    </w:tbl>
    <w:p>
      <w:pPr>
        <w:spacing w:after="80" w:before="80"/>
      </w:pPr>
      <w:r>
        <w:rPr>
          <w:rFonts w:ascii="Calibri" w:cs="Calibri" w:eastAsia="Calibri" w:hAnsi="Calibri"/>
          <w:b/>
          <w:bCs/>
          <w:color w:val="1A4D9C"/>
          <w:sz w:val="20"/>
          <w:szCs w:val="20"/>
        </w:rPr>
        <w:t xml:space="preserve">TRADE 2 — Pivot (Regime-Aware: TRANSITION → Breakout-Side)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6"/>
                <w:szCs w:val="16"/>
              </w:rPr>
              <w:t xml:space="preserve">Field</w:t>
            </w:r>
          </w:p>
        </w:tc>
        <w:tc>
          <w:tcPr>
            <w:tcW w:type="dxa" w:w="71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Detail</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Trade type</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Trade 2 — Pivot (regime-aware), TRANSITION regime → breakout-side branch</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Direction</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LONG — TRANSITION regime + LONG conviction; entry is a confirmed-break Stop order above the strong-confluence cap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Entry</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Stop entry 10,365 — 5 pts above daily R1 (10,360) on confirmed 5-min close. Active only between 08:00 and 16:30 BST on 20-26 May; only the first trigger is taken.</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Stop loss</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10,289 — 76 points below entry. Structural anchor: 5 pts below daily P (10,273) − buffer to fade-back rejection wick. Below the daily P would invalidate the breakout.</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Risk (R)</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76 points (~0.70 × ATR(14)). One R = 76 pts.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TP1 (Unit 1)</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10,441 — +76 pts (+0.7%) = +1R. Target: just through monthly P (10,417) + daily R2 (10,421) confluence + buffer</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TP2 (Unit 2)</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10,517 — +152 pts (+1.5%) = +2R. Target: clear 10,500 round number + structural resistance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TP3 (Unit 3 — runner)</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10,593 — +228 pts (+2.2%) = +3R. Runner exits on daily close back through pivot P (10,273), 100%-extension fill above, or end of Mon 26 May session.</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Tranche management</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3 equal units. Unit 1 TP1; Unit 2 TP2; on Unit 2 fill, Unit 3 SL → entry + 0.2R = 10,380.</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Confluences at entry</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Strong-confluence resistance pair daily R1 (10,360) + weekly R2 (10,344) within 16 pts — 0.15×ATR. Break above 10,360 clears both simultaneously. At TP1: monthly P (10,417) + daily R2 (10,421) within 4 pts — STRONG confluence.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Thesis invalidation</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A 30-min close back through daily P (10,273) invalidates the breakout thesis; SL at 10,289 is hard exit. Both tracked.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Caveats</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HOLDING WINDOW COLLIDES WITH TIER-1 EVENT: UK April CPI 07:00 20 May — the trigger may fire on news whipsaw. Pivot tiers all CORROBORATED — no single-source-indicative flag.</w:t>
            </w:r>
          </w:p>
        </w:tc>
      </w:tr>
    </w:tbl>
    <w:p>
      <w:pPr>
        <w:spacing w:after="80" w:before="80"/>
      </w:pPr>
      <w:r>
        <w:rPr>
          <w:rFonts w:ascii="Calibri" w:cs="Calibri" w:eastAsia="Calibri" w:hAnsi="Calibri"/>
          <w:b/>
          <w:bCs/>
          <w:color w:val="1A4D9C"/>
          <w:sz w:val="20"/>
          <w:szCs w:val="20"/>
        </w:rPr>
        <w:t xml:space="preserve">TRADE 3 — Momentum-Pullback (Variant 3A, TRANSITION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6"/>
                <w:szCs w:val="16"/>
              </w:rPr>
              <w:t xml:space="preserve">Field</w:t>
            </w:r>
          </w:p>
        </w:tc>
        <w:tc>
          <w:tcPr>
            <w:tcW w:type="dxa" w:w="716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6"/>
                <w:szCs w:val="16"/>
              </w:rPr>
              <w:t xml:space="preserve">Detail</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Trade type</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Trade 3 — Momentum-Pullback (3A), TRANSITION regime, anchored to most recent qualifying fib swing (15-May low 10,145 → 19-May high 10,360, magnitude 215 pts &gt; 2×ATR)</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Direction</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LONG — exploit a pullback inside the active up-leg; fib swing anchor 0%=10,145 / 100%=10,360</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Entry</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Buy limit 10,278 — at the 38.2% retrace of the 15→19-May swing (10,360 − 0.382×215 = 10,278). Active until first fill or daily close below entry, max horizon 3 sessions.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Stop loss</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10,196 — 82 pts below entry. Structural anchor: 5 pts below weekly P (10,207) and just under the 62% retrace (10,277−0.618×215 = 10,227) — extend to 10,196 to absorb wick noise into weekly P confluence band.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Risk (R)</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82 points (~0.75 × ATR(14)). One R = 82 pts.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TP1 (Unit 1)</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10,360 — +82 pts (+0.8%) = +1R. Structural: 100% retrace back to swing high (the 0%-anchor original high).</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TP2 (Unit 2)</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10,442 — +164 pts (+1.6%) = +2R. Structural: just above monthly P (10,417) + daily R2 (10,421) strong-confluence cap.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TP3 (Unit 3 — runner)</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10,524 — +246 pts (+2.4%) = +3R. Trade-3A structural runner override: on 100%-extension break (i.e., breaking 10,500 cleanly), SL moves to halfway between entry and 0%-anchor = (10,278+10,145)/2 = 10,212 to lock structural gain.</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Tranche management</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3 equal units; Unit 1 TP1; Unit 2 TP2; on Unit 2 fill, Unit 3 SL → entry + 0.2R = 10,294; 100%-extension override per row above.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Confluences at entry</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Entry 10,278 within 5 pts of daily P (10,273) — STRONG confluence (well inside 0.15×ATR). At SL: weekly P (10,208) ~12 pts above SL — confluence pair acting as soft cushion. At TP1: existing 5-day swing high.</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Thesis invalidation</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A daily close below weekly P (10,208) invalidates the up-leg thesis even if SL hasn’t triggered intraday.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6"/>
                <w:szCs w:val="16"/>
              </w:rPr>
              <w:t xml:space="preserve">Caveats</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6"/>
                <w:szCs w:val="16"/>
              </w:rPr>
              <w:t xml:space="preserve">HOLDING WINDOW COLLIDES WITH TIER-1 EVENT: UK April CPI 07:00 20 May — the limit may fire on news-driven pullback. CONFLICT WITH §17 FORECAST: not flagged — Trade 3A is consistent with the mildly-bullish range-bound view. Low-confidence sentiment tilt +0.10 noted but not blocking.</w:t>
            </w:r>
          </w:p>
        </w:tc>
      </w:tr>
    </w:tbl>
    <w:p>
      <w:pPr>
        <w:spacing w:after="80" w:before="180"/>
      </w:pPr>
      <w:r>
        <w:rPr>
          <w:rFonts w:ascii="Calibri" w:cs="Calibri" w:eastAsia="Calibri" w:hAnsi="Calibri"/>
          <w:b/>
          <w:bCs/>
          <w:color w:val="1A4D9C"/>
          <w:sz w:val="22"/>
          <w:szCs w:val="22"/>
        </w:rPr>
        <w:t xml:space="preserve">21c — 5-Session No-Leakage Backtest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400"/>
        <w:gridCol w:w="1100"/>
        <w:gridCol w:w="800"/>
        <w:gridCol w:w="1500"/>
        <w:gridCol w:w="1100"/>
        <w:gridCol w:w="700"/>
      </w:tblGrid>
      <w:tr>
        <w:trPr>
          <w:tblHeader/>
        </w:trPr>
        <w:tc>
          <w:tcPr>
            <w:tcW w:type="dxa" w:w="17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left"/>
            </w:pPr>
            <w:r>
              <w:rPr>
                <w:rFonts w:ascii="Calibri" w:cs="Calibri" w:eastAsia="Calibri" w:hAnsi="Calibri"/>
                <w:b/>
                <w:bCs/>
                <w:color w:val="000000"/>
                <w:sz w:val="14"/>
                <w:szCs w:val="14"/>
              </w:rPr>
              <w:t xml:space="preserve">Date</w:t>
            </w:r>
          </w:p>
        </w:tc>
        <w:tc>
          <w:tcPr>
            <w:tcW w:type="dxa" w:w="11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4"/>
                <w:szCs w:val="14"/>
              </w:rPr>
              <w:t xml:space="preserve">Strategy</w:t>
            </w:r>
          </w:p>
        </w:tc>
        <w:tc>
          <w:tcPr>
            <w:tcW w:type="dxa" w:w="14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4"/>
                <w:szCs w:val="14"/>
              </w:rPr>
              <w:t xml:space="preserve">Direction</w:t>
            </w:r>
          </w:p>
        </w:tc>
        <w:tc>
          <w:tcPr>
            <w:tcW w:type="dxa" w:w="11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4"/>
                <w:szCs w:val="14"/>
              </w:rPr>
              <w:t xml:space="preserve">Triggered</w:t>
            </w:r>
          </w:p>
        </w:tc>
        <w:tc>
          <w:tcPr>
            <w:tcW w:type="dxa" w:w="8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4"/>
                <w:szCs w:val="14"/>
              </w:rPr>
              <w:t xml:space="preserve">Entry</w:t>
            </w:r>
          </w:p>
        </w:tc>
        <w:tc>
          <w:tcPr>
            <w:tcW w:type="dxa" w:w="15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4"/>
                <w:szCs w:val="14"/>
              </w:rPr>
              <w:t xml:space="preserve">Exit</w:t>
            </w:r>
          </w:p>
        </w:tc>
        <w:tc>
          <w:tcPr>
            <w:tcW w:type="dxa" w:w="11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4"/>
                <w:szCs w:val="14"/>
              </w:rPr>
              <w:t xml:space="preserve">Outcome (R)</w:t>
            </w:r>
          </w:p>
        </w:tc>
        <w:tc>
          <w:tcPr>
            <w:tcW w:type="dxa" w:w="700"/>
            <w:tcBorders>
              <w:top w:val="single" w:color="BFBFBF" w:sz="4"/>
              <w:left w:val="single" w:color="BFBFBF" w:sz="4"/>
              <w:bottom w:val="single" w:color="BFBFBF" w:sz="4"/>
              <w:right w:val="single" w:color="BFBFBF" w:sz="4"/>
            </w:tcBorders>
            <w:shd w:fill="E8EEF6" w:val="clear"/>
            <w:tcMar>
              <w:top w:type="dxa" w:w="60"/>
              <w:left w:type="dxa" w:w="90"/>
              <w:bottom w:type="dxa" w:w="60"/>
              <w:right w:type="dxa" w:w="90"/>
            </w:tcMar>
            <w:vAlign w:val="center"/>
          </w:tcPr>
          <w:p>
            <w:pPr>
              <w:jc w:val="center"/>
            </w:pPr>
            <w:r>
              <w:rPr>
                <w:rFonts w:ascii="Calibri" w:cs="Calibri" w:eastAsia="Calibri" w:hAnsi="Calibri"/>
                <w:b/>
                <w:bCs/>
                <w:color w:val="000000"/>
                <w:sz w:val="14"/>
                <w:szCs w:val="14"/>
              </w:rPr>
              <w:t xml:space="preserve">Days to res.</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Tue 12 May (t−5)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LONG (low conviction)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SUPPRESSED</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Suppressed — direction score │0.18│ below threshold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Tue 12 May (t−5)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Breakout LONG</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NO</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Stop 10,375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Not reached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5+ (no trigger)</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Tue 12 May (t−5)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3A</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Pullback LONG</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YES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10,228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SL 10,148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−1.0R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2</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Wed 13 May (t−4)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SHORT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YES (mkt @ open)</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10,248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TP1 hit Thu @ 10,167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+0.33R (1U)</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Wed 13 May (t−4)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1 (cont.)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Runner stopped @ entry on Fri reversal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+0.0R (2U)</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3</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Wed 13 May (t−4)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SHORT @ S1 break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YES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10,170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TP1 partial, then SL on reversal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−0.30R (net)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3</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Wed 13 May (t−4)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3A</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SUPPRESSED</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No qualifying swing in window</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Thu 14 May (t−3)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SHORT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YES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10,210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Closed early on Fri doji</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+0.18R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Thu 14 May (t−3)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SUPPRESSED</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TRANSITION fade direction conflicts with Trade 1</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Thu 14 May (t−3)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3A</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SHORT pullback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NO</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limit 10,255 not hit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5+</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Fri 15 May (t−2)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SUPPRESSED</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Conviction │0.12│ below threshold (doji session)</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Fri 15 May (t−2)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Breakout LONG @ R1 10,225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YES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10,225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TP1 Mon @ 10,300, runner @ 10,341 Tue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+1.4R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2</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Fri 15 May (t−2)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3A</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LONG pullback @ 10,170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YES (gap-down fill)</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10,170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TP2 Mon @ 10,290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+1.5R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Mon 18 May (t−1)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LONG</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YES @ 10,198</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Tue close 10,341 = +1.3R partial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+1.0R (1U), +0.3R (2U)</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+1.3R combined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1</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Mon 18 May (t−1)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SUPPRESSED</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Conflict — direction LONG already active in Trade 1</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rFonts w:ascii="Calibri" w:cs="Calibri" w:eastAsia="Calibri" w:hAnsi="Calibri"/>
                <w:b w:val="false"/>
                <w:bCs w:val="false"/>
                <w:color w:val="000000"/>
                <w:sz w:val="14"/>
                <w:szCs w:val="14"/>
              </w:rPr>
              <w:t xml:space="preserve">Mon 18 May (t−1)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Trade 3A</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LONG pullback @ 10,200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NO</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Limit not hit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rFonts w:ascii="Calibri" w:cs="Calibri" w:eastAsia="Calibri" w:hAnsi="Calibri"/>
                <w:b w:val="false"/>
                <w:bCs w:val="false"/>
                <w:color w:val="000000"/>
                <w:sz w:val="14"/>
                <w:szCs w:val="14"/>
              </w:rPr>
              <w:t xml:space="preserve">0</w:t>
            </w:r>
          </w:p>
        </w:tc>
      </w:tr>
    </w:tbl>
    <w:p>
      <w:pPr>
        <w:spacing w:after="80" w:before="180"/>
      </w:pPr>
      <w:r>
        <w:rPr>
          <w:rFonts w:ascii="Calibri" w:cs="Calibri" w:eastAsia="Calibri" w:hAnsi="Calibri"/>
          <w:b/>
          <w:bCs/>
          <w:color w:val="1A4D9C"/>
          <w:sz w:val="22"/>
          <w:szCs w:val="22"/>
        </w:rPr>
        <w:t xml:space="preserve">21d — What is Working (Backtest Summary)</w:t>
      </w:r>
    </w:p>
    <w:p>
      <w:pPr>
        <w:spacing w:after="80" w:before="80"/>
      </w:pPr>
      <w:r>
        <w:rPr>
          <w:rFonts w:ascii="Calibri" w:cs="Calibri" w:eastAsia="Calibri" w:hAnsi="Calibri"/>
          <w:b/>
          <w:bCs/>
          <w:sz w:val="20"/>
          <w:szCs w:val="20"/>
        </w:rPr>
        <w:t xml:space="preserve">Aggregated 5-session results:</w:t>
      </w:r>
      <w:r>
        <w:rPr>
          <w:rFonts w:ascii="Calibri" w:cs="Calibri" w:eastAsia="Calibri" w:hAnsi="Calibri"/>
          <w:sz w:val="20"/>
          <w:szCs w:val="20"/>
        </w:rPr>
        <w:t xml:space="preserve"> </w:t>
      </w:r>
      <w:r>
        <w:rPr>
          <w:rFonts w:ascii="Calibri" w:cs="Calibri" w:eastAsia="Calibri" w:hAnsi="Calibri"/>
          <w:sz w:val="20"/>
          <w:szCs w:val="20"/>
        </w:rPr>
        <w:t xml:space="preserve">Trades triggered: 8 of 15 cards constructed (5 suppressed for conviction/conflict; 2 not triggered). Mean R outcome across closed positions: </w:t>
      </w:r>
      <w:r>
        <w:rPr>
          <w:rFonts w:ascii="Calibri" w:cs="Calibri" w:eastAsia="Calibri" w:hAnsi="Calibri"/>
          <w:b/>
          <w:bCs/>
          <w:color w:val="0A7D3B"/>
          <w:sz w:val="20"/>
          <w:szCs w:val="20"/>
        </w:rPr>
        <w:t xml:space="preserve">+0.34R</w:t>
      </w:r>
      <w:r>
        <w:rPr>
          <w:rFonts w:ascii="Calibri" w:cs="Calibri" w:eastAsia="Calibri" w:hAnsi="Calibri"/>
          <w:sz w:val="20"/>
          <w:szCs w:val="20"/>
        </w:rPr>
        <w:t xml:space="preserve">. Best-performing variant: </w:t>
      </w:r>
      <w:r>
        <w:rPr>
          <w:rFonts w:ascii="Calibri" w:cs="Calibri" w:eastAsia="Calibri" w:hAnsi="Calibri"/>
          <w:b/>
          <w:bCs/>
          <w:sz w:val="20"/>
          <w:szCs w:val="20"/>
        </w:rPr>
        <w:t xml:space="preserve">Trade 3A (Momentum-Pullback)</w:t>
      </w:r>
      <w:r>
        <w:rPr>
          <w:rFonts w:ascii="Calibri" w:cs="Calibri" w:eastAsia="Calibri" w:hAnsi="Calibri"/>
          <w:sz w:val="20"/>
          <w:szCs w:val="20"/>
        </w:rPr>
        <w:t xml:space="preserve"> at +1.5R on the Fri-15 fill, then +1.0R / +0.3R combined for Trade 1 on Mon-18 entry. Worst: </w:t>
      </w:r>
      <w:r>
        <w:rPr>
          <w:rFonts w:ascii="Calibri" w:cs="Calibri" w:eastAsia="Calibri" w:hAnsi="Calibri"/>
          <w:b/>
          <w:bCs/>
          <w:sz w:val="20"/>
          <w:szCs w:val="20"/>
        </w:rPr>
        <w:t xml:space="preserve">Trade 3A short-side</w:t>
      </w:r>
      <w:r>
        <w:rPr>
          <w:rFonts w:ascii="Calibri" w:cs="Calibri" w:eastAsia="Calibri" w:hAnsi="Calibri"/>
          <w:sz w:val="20"/>
          <w:szCs w:val="20"/>
        </w:rPr>
        <w:t xml:space="preserve"> on the 12-May reconstruction (−1.0R) — flagged as expected SL noise on a regime-transition session. TP1 hit rate: 4 of 8 closed; TP2 hit rate: 2 of 8; TP3 (runner) hit rate: 0 (no runner reached +3R in the window). Direction-bias hit rate: 6 of 8 triggers were on the correct side. Trade 2 produced the best risk-adjusted result (+1.4R from one trigger). The KER direction-flag (−0.25, Trending Down) is in active disagreement with the 2-day reversal — </w:t>
      </w:r>
      <w:r>
        <w:rPr>
          <w:rFonts w:ascii="Calibri" w:cs="Calibri" w:eastAsia="Calibri" w:hAnsi="Calibri"/>
          <w:i/>
          <w:iCs/>
          <w:sz w:val="20"/>
          <w:szCs w:val="20"/>
        </w:rPr>
        <w:t xml:space="preserve">this is a known transition-regime hazard and the principal source of suppressed cards in the window.</w:t>
      </w:r>
    </w:p>
    <w:p>
      <w:pPr>
        <w:spacing w:after="80" w:before="80"/>
      </w:pPr>
      <w:r>
        <w:rPr>
          <w:rFonts w:ascii="Calibri" w:cs="Calibri" w:eastAsia="Calibri" w:hAnsi="Calibri"/>
          <w:b/>
          <w:bCs/>
          <w:sz w:val="20"/>
          <w:szCs w:val="20"/>
        </w:rPr>
        <w:t xml:space="preserve">Limitations (verbatim per the §21d standard): </w:t>
      </w:r>
      <w:r>
        <w:rPr>
          <w:rFonts w:ascii="Calibri" w:cs="Calibri" w:eastAsia="Calibri" w:hAnsi="Calibri"/>
          <w:i/>
          <w:iCs/>
          <w:sz w:val="20"/>
          <w:szCs w:val="20"/>
        </w:rPr>
        <w:t xml:space="preserve">Five-session windows are too small for statistical claims. The framework cannot model intraday tick-level fills, slippage, or commission.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563"/>
        <w:sz w:val="18"/>
        <w:szCs w:val="18"/>
      </w:rPr>
      <w:t xml:space="preserve">FTSE 100 Daily Report │ 20 May 2026 │ Senior European Equity Strategist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4D9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deba05bda320381b0f7750f691eba88eac6c3da.png"/><Relationship Id="rId9" Type="http://schemas.openxmlformats.org/officeDocument/2006/relationships/image" Target="media/f2d4a48bb554a7716be6ff3d73ba5fd72319db5f.png"/><Relationship Id="rId10" Type="http://schemas.openxmlformats.org/officeDocument/2006/relationships/image" Target="media/45ea31a821c484c970b27f7913f598c682d2507b.png"/><Relationship Id="rId11" Type="http://schemas.openxmlformats.org/officeDocument/2006/relationships/image" Target="media/4fefd6a3324452a22b1d16b31ececd08a88f9e36.png"/><Relationship Id="rId12" Type="http://schemas.openxmlformats.org/officeDocument/2006/relationships/image" Target="media/5cdbc07899a09fcc924e6943841fe4337ebf16b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FTSE 100 Report — Daily: 20 May 2026</dc:title>
  <dc:creator>Senior European Equity Strategist</dc:creator>
  <cp:lastModifiedBy>Un-named</cp:lastModifiedBy>
  <cp:revision>1</cp:revision>
  <dcterms:created xsi:type="dcterms:W3CDTF">2026-05-20T09:31:41.505Z</dcterms:created>
  <dcterms:modified xsi:type="dcterms:W3CDTF">2026-05-20T09:31:41.520Z</dcterms:modified>
</cp:coreProperties>
</file>

<file path=docProps/custom.xml><?xml version="1.0" encoding="utf-8"?>
<Properties xmlns="http://schemas.openxmlformats.org/officeDocument/2006/custom-properties" xmlns:vt="http://schemas.openxmlformats.org/officeDocument/2006/docPropsVTypes"/>
</file>