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3864"/>
          <w:sz w:val="34"/>
          <w:szCs w:val="34"/>
        </w:rPr>
        <w:t xml:space="preserve">FTSE 100 Report — Daily: 02 July 2026</w:t>
      </w:r>
    </w:p>
    <w:p>
      <w:pPr>
        <w:spacing w:after="60"/>
      </w:pPr>
      <w:r>
        <w:rPr>
          <w:i/>
          <w:iCs/>
          <w:color w:val="555555"/>
          <w:sz w:val="20"/>
          <w:szCs w:val="20"/>
        </w:rPr>
        <w:t xml:space="preserve">With reference to: EURO STOXX 50 · USDX · S&amp;P 500 · DAX 40</w:t>
      </w:r>
    </w:p>
    <w:p>
      <w:pPr>
        <w:spacing w:after="160"/>
      </w:pPr>
      <w:r>
        <w:rPr>
          <w:color w:val="555555"/>
          <w:sz w:val="18"/>
          <w:szCs w:val="18"/>
        </w:rPr>
        <w:t xml:space="preserve">Senior European Equity Strategist · Trading &amp; risk review (forward-test) · Data anchored to the 30 Jun 2026 session close</w:t>
      </w:r>
    </w:p>
    <w:p>
      <w:pPr>
        <w:pBdr>
          <w:bottom w:val="single" w:color="1F3864" w:sz="6" w:space="1"/>
        </w:pBdr>
        <w:spacing w:after="160"/>
      </w:pPr>
      <w:r>
        <w:t xml:space="preserve"/>
      </w:r>
    </w:p>
    <w:p>
      <w:pPr>
        <w:pStyle w:val="Heading2"/>
        <w:spacing w:after="100" w:before="220"/>
      </w:pPr>
      <w:r>
        <w:rPr>
          <w:b/>
          <w:bCs/>
          <w:color w:val="1F3864"/>
          <w:sz w:val="24"/>
          <w:szCs w:val="24"/>
        </w:rPr>
        <w:t xml:space="preserve">§1  Executive Snapshot</w:t>
      </w:r>
    </w:p>
    <w:p>
      <w:pPr>
        <w:spacing w:after="120" w:line="276"/>
      </w:pPr>
      <w:r>
        <w:t xml:space="preserve">The FTSE 100 closed the 30 June 2026 session at </w:t>
      </w:r>
      <w:r>
        <w:rPr>
          <w:b/>
          <w:bCs/>
        </w:rPr>
        <w:t xml:space="preserve">10,497.12 points</w:t>
      </w:r>
      <w:r>
        <w:t xml:space="preserve"> (+0.12% on the day), sitting near its record-high zone (all-time closing high 10,910.55 / intraday 10,934.94 set 27 Feb 2026) and up roughly 19–20% year-to-date. The most defensible consensus level for the pre-open of 02 July is a tight band around </w:t>
      </w:r>
      <w:r>
        <w:rPr>
          <w:b/>
          <w:bCs/>
        </w:rPr>
        <w:t xml:space="preserve">10,480–10,510 points</w:t>
      </w:r>
      <w:r>
        <w:t xml:space="preserve">, with market tone assessed as </w:t>
      </w:r>
      <w:r>
        <w:rPr>
          <w:b/>
          <w:bCs/>
        </w:rPr>
        <w:t xml:space="preserve">balanced-to-mildly-bullish</w:t>
      </w:r>
      <w:r>
        <w:t xml:space="preserve">. The three dominant drivers are: (i) a broad European risk-on impulse — the EURO STOXX 50 closed at a record ~6,326 on 30 June on softer German/French/Italian June inflation prints that pushed rate-hike expectations off the table; (ii) firm Wall Street leadership (S&amp;P 500 +0.79%, DAX +1.50% on 30 June) supporting the FTSE's internationally-weighted constituents; and (iii) a soft-to-stable dollar (USDX ~101) that flatters FTSE multinational earnings translation. Short-term technical regime reads </w:t>
      </w:r>
      <w:r>
        <w:rPr>
          <w:b/>
          <w:bCs/>
        </w:rPr>
        <w:t xml:space="preserve">Transitional–Bullish</w:t>
      </w:r>
      <w:r>
        <w:t xml:space="preserve">; medium-term (25-session) regime reads </w:t>
      </w:r>
      <w:r>
        <w:rPr>
          <w:b/>
          <w:bCs/>
        </w:rPr>
        <w:t xml:space="preserve">Trending–Bullish</w:t>
      </w:r>
      <w:r>
        <w:t xml:space="preserve">. The Kaufman Efficiency Ratio classifies the tape as </w:t>
      </w:r>
      <w:r>
        <w:rPr>
          <w:b/>
          <w:bCs/>
        </w:rPr>
        <w:t xml:space="preserve">Trending Up — Moderate</w:t>
      </w:r>
      <w:r>
        <w:t xml:space="preserve"> (KER ≈ +0.26, just above the +0.13 trend threshold). Directional conviction from the strategy layer is </w:t>
      </w:r>
      <w:r>
        <w:rPr>
          <w:b/>
          <w:bCs/>
        </w:rPr>
        <w:t xml:space="preserve">LONG (score +0.30)</w:t>
      </w:r>
      <w:r>
        <w:t xml:space="preserve">. Single most important watch item: the run of Eurozone flash CPI and UK final GDP prints plus BoE/ECB commentary in the 01–04 July window — an upside inflation surprise would revive rate-hike fears and is the clearest threat to the record-high push.</w:t>
      </w:r>
    </w:p>
    <w:p>
      <w:pPr>
        <w:pStyle w:val="Heading2"/>
        <w:spacing w:after="100" w:before="220"/>
      </w:pPr>
      <w:r>
        <w:rPr>
          <w:b/>
          <w:bCs/>
          <w:color w:val="1F3864"/>
          <w:sz w:val="24"/>
          <w:szCs w:val="24"/>
        </w:rPr>
        <w:t xml:space="preserve">§2  Market Definition</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6760"/>
      </w:tblGrid>
      <w:tr>
        <w:trPr>
          <w:tblHeader/>
        </w:trPr>
        <w:tc>
          <w:tcPr>
            <w:tcW w:type="dxa" w:w="2600"/>
            <w:shd w:fill="1F3864" w:color="auto" w:val="clear"/>
            <w:tcMar>
              <w:top w:type="dxa" w:w="40"/>
              <w:left w:type="dxa" w:w="70"/>
              <w:bottom w:type="dxa" w:w="40"/>
              <w:right w:type="dxa" w:w="70"/>
            </w:tcMar>
          </w:tcPr>
          <w:p>
            <w:pPr>
              <w:spacing w:after="0" w:line="240"/>
              <w:jc w:val="left"/>
            </w:pPr>
            <w:r>
              <w:rPr>
                <w:b/>
                <w:bCs/>
                <w:color w:val="FFFFFF"/>
                <w:sz w:val="18"/>
                <w:szCs w:val="18"/>
              </w:rPr>
              <w:t xml:space="preserve">Attribute</w:t>
            </w:r>
          </w:p>
        </w:tc>
        <w:tc>
          <w:tcPr>
            <w:tcW w:type="dxa" w:w="6760"/>
            <w:shd w:fill="1F3864" w:color="auto" w:val="clear"/>
            <w:tcMar>
              <w:top w:type="dxa" w:w="40"/>
              <w:left w:type="dxa" w:w="70"/>
              <w:bottom w:type="dxa" w:w="40"/>
              <w:right w:type="dxa" w:w="70"/>
            </w:tcMar>
          </w:tcPr>
          <w:p>
            <w:pPr>
              <w:spacing w:after="0" w:line="240"/>
              <w:jc w:val="left"/>
            </w:pPr>
            <w:r>
              <w:rPr>
                <w:b/>
                <w:bCs/>
                <w:color w:val="FFFFFF"/>
                <w:sz w:val="18"/>
                <w:szCs w:val="18"/>
              </w:rPr>
              <w:t xml:space="preserve">Definition</w:t>
            </w:r>
          </w:p>
        </w:tc>
      </w:tr>
      <w:tr>
        <w:tc>
          <w:tcPr>
            <w:tcW w:type="dxa" w:w="2600"/>
            <w:shd w:fill="FFFFFF" w:color="auto" w:val="clear"/>
            <w:tcMar>
              <w:top w:type="dxa" w:w="40"/>
              <w:left w:type="dxa" w:w="70"/>
              <w:bottom w:type="dxa" w:w="40"/>
              <w:right w:type="dxa" w:w="70"/>
            </w:tcMar>
          </w:tcPr>
          <w:p>
            <w:pPr>
              <w:spacing w:after="0" w:line="240"/>
              <w:jc w:val="left"/>
            </w:pPr>
            <w:r>
              <w:rPr>
                <w:sz w:val="18"/>
                <w:szCs w:val="18"/>
              </w:rPr>
              <w:t xml:space="preserve">Primary asset</w:t>
            </w:r>
          </w:p>
        </w:tc>
        <w:tc>
          <w:tcPr>
            <w:tcW w:type="dxa" w:w="6760"/>
            <w:shd w:fill="FFFFFF" w:color="auto" w:val="clear"/>
            <w:tcMar>
              <w:top w:type="dxa" w:w="40"/>
              <w:left w:type="dxa" w:w="70"/>
              <w:bottom w:type="dxa" w:w="40"/>
              <w:right w:type="dxa" w:w="70"/>
            </w:tcMar>
          </w:tcPr>
          <w:p>
            <w:pPr>
              <w:spacing w:after="0" w:line="240"/>
              <w:jc w:val="left"/>
            </w:pPr>
            <w:r>
              <w:rPr>
                <w:sz w:val="18"/>
                <w:szCs w:val="18"/>
              </w:rPr>
              <w:t xml:space="preserve">FTSE 100 cash index (^FTSE) — UK large-cap benchmark, 100 constituents, ~80% multinational revenue exposure</w:t>
            </w:r>
          </w:p>
        </w:tc>
      </w:tr>
      <w:tr>
        <w:tc>
          <w:tcPr>
            <w:tcW w:type="dxa" w:w="2600"/>
            <w:shd w:fill="F2F4F8" w:color="auto" w:val="clear"/>
            <w:tcMar>
              <w:top w:type="dxa" w:w="40"/>
              <w:left w:type="dxa" w:w="70"/>
              <w:bottom w:type="dxa" w:w="40"/>
              <w:right w:type="dxa" w:w="70"/>
            </w:tcMar>
          </w:tcPr>
          <w:p>
            <w:pPr>
              <w:spacing w:after="0" w:line="240"/>
              <w:jc w:val="left"/>
            </w:pPr>
            <w:r>
              <w:rPr>
                <w:sz w:val="18"/>
                <w:szCs w:val="18"/>
              </w:rPr>
              <w:t xml:space="preserve">Secondary asset</w:t>
            </w:r>
          </w:p>
        </w:tc>
        <w:tc>
          <w:tcPr>
            <w:tcW w:type="dxa" w:w="6760"/>
            <w:shd w:fill="F2F4F8" w:color="auto" w:val="clear"/>
            <w:tcMar>
              <w:top w:type="dxa" w:w="40"/>
              <w:left w:type="dxa" w:w="70"/>
              <w:bottom w:type="dxa" w:w="40"/>
              <w:right w:type="dxa" w:w="70"/>
            </w:tcMar>
          </w:tcPr>
          <w:p>
            <w:pPr>
              <w:spacing w:after="0" w:line="240"/>
              <w:jc w:val="left"/>
            </w:pPr>
            <w:r>
              <w:rPr>
                <w:sz w:val="18"/>
                <w:szCs w:val="18"/>
              </w:rPr>
              <w:t xml:space="preserve">EURO STOXX 50 (^STOXX50E) — Eurozone blue-chip pair (receives its own OHLC read)</w:t>
            </w:r>
          </w:p>
        </w:tc>
      </w:tr>
      <w:tr>
        <w:tc>
          <w:tcPr>
            <w:tcW w:type="dxa" w:w="2600"/>
            <w:shd w:fill="FFFFFF" w:color="auto" w:val="clear"/>
            <w:tcMar>
              <w:top w:type="dxa" w:w="40"/>
              <w:left w:type="dxa" w:w="70"/>
              <w:bottom w:type="dxa" w:w="40"/>
              <w:right w:type="dxa" w:w="70"/>
            </w:tcMar>
          </w:tcPr>
          <w:p>
            <w:pPr>
              <w:spacing w:after="0" w:line="240"/>
              <w:jc w:val="left"/>
            </w:pPr>
            <w:r>
              <w:rPr>
                <w:sz w:val="18"/>
                <w:szCs w:val="18"/>
              </w:rPr>
              <w:t xml:space="preserve">Specification</w:t>
            </w:r>
          </w:p>
        </w:tc>
        <w:tc>
          <w:tcPr>
            <w:tcW w:type="dxa" w:w="6760"/>
            <w:shd w:fill="FFFFFF" w:color="auto" w:val="clear"/>
            <w:tcMar>
              <w:top w:type="dxa" w:w="40"/>
              <w:left w:type="dxa" w:w="70"/>
              <w:bottom w:type="dxa" w:w="40"/>
              <w:right w:type="dxa" w:w="70"/>
            </w:tcMar>
          </w:tcPr>
          <w:p>
            <w:pPr>
              <w:spacing w:after="0" w:line="240"/>
              <w:jc w:val="left"/>
            </w:pPr>
            <w:r>
              <w:rPr>
                <w:sz w:val="18"/>
                <w:szCs w:val="18"/>
              </w:rPr>
              <w:t xml:space="preserve">FTSE 100 cash index, GBP-denominated, free-float capitalisation weighted (FTSE Russell methodology)</w:t>
            </w:r>
          </w:p>
        </w:tc>
      </w:tr>
      <w:tr>
        <w:tc>
          <w:tcPr>
            <w:tcW w:type="dxa" w:w="2600"/>
            <w:shd w:fill="F2F4F8" w:color="auto" w:val="clear"/>
            <w:tcMar>
              <w:top w:type="dxa" w:w="40"/>
              <w:left w:type="dxa" w:w="70"/>
              <w:bottom w:type="dxa" w:w="40"/>
              <w:right w:type="dxa" w:w="70"/>
            </w:tcMar>
          </w:tcPr>
          <w:p>
            <w:pPr>
              <w:spacing w:after="0" w:line="240"/>
              <w:jc w:val="left"/>
            </w:pPr>
            <w:r>
              <w:rPr>
                <w:sz w:val="18"/>
                <w:szCs w:val="18"/>
              </w:rPr>
              <w:t xml:space="preserve">Scope / region</w:t>
            </w:r>
          </w:p>
        </w:tc>
        <w:tc>
          <w:tcPr>
            <w:tcW w:type="dxa" w:w="6760"/>
            <w:shd w:fill="F2F4F8" w:color="auto" w:val="clear"/>
            <w:tcMar>
              <w:top w:type="dxa" w:w="40"/>
              <w:left w:type="dxa" w:w="70"/>
              <w:bottom w:type="dxa" w:w="40"/>
              <w:right w:type="dxa" w:w="70"/>
            </w:tcMar>
          </w:tcPr>
          <w:p>
            <w:pPr>
              <w:spacing w:after="0" w:line="240"/>
              <w:jc w:val="left"/>
            </w:pPr>
            <w:r>
              <w:rPr>
                <w:sz w:val="18"/>
                <w:szCs w:val="18"/>
              </w:rPr>
              <w:t xml:space="preserve">Regional — United Kingdom &amp; Eurozone</w:t>
            </w:r>
          </w:p>
        </w:tc>
      </w:tr>
      <w:tr>
        <w:tc>
          <w:tcPr>
            <w:tcW w:type="dxa" w:w="2600"/>
            <w:shd w:fill="FFFFFF" w:color="auto" w:val="clear"/>
            <w:tcMar>
              <w:top w:type="dxa" w:w="40"/>
              <w:left w:type="dxa" w:w="70"/>
              <w:bottom w:type="dxa" w:w="40"/>
              <w:right w:type="dxa" w:w="70"/>
            </w:tcMar>
          </w:tcPr>
          <w:p>
            <w:pPr>
              <w:spacing w:after="0" w:line="240"/>
              <w:jc w:val="left"/>
            </w:pPr>
            <w:r>
              <w:rPr>
                <w:sz w:val="18"/>
                <w:szCs w:val="18"/>
              </w:rPr>
              <w:t xml:space="preserve">Delivery basis</w:t>
            </w:r>
          </w:p>
        </w:tc>
        <w:tc>
          <w:tcPr>
            <w:tcW w:type="dxa" w:w="6760"/>
            <w:shd w:fill="FFFFFF" w:color="auto" w:val="clear"/>
            <w:tcMar>
              <w:top w:type="dxa" w:w="40"/>
              <w:left w:type="dxa" w:w="70"/>
              <w:bottom w:type="dxa" w:w="40"/>
              <w:right w:type="dxa" w:w="70"/>
            </w:tcMar>
          </w:tcPr>
          <w:p>
            <w:pPr>
              <w:spacing w:after="0" w:line="240"/>
              <w:jc w:val="left"/>
            </w:pPr>
            <w:r>
              <w:rPr>
                <w:sz w:val="18"/>
                <w:szCs w:val="18"/>
              </w:rPr>
              <w:t xml:space="preserve">LSE regular session 08:00–16:30 UK (FTSE); Xetra 09:00–17:30 CET (STOXX)</w:t>
            </w:r>
          </w:p>
        </w:tc>
      </w:tr>
      <w:tr>
        <w:tc>
          <w:tcPr>
            <w:tcW w:type="dxa" w:w="2600"/>
            <w:shd w:fill="F2F4F8" w:color="auto" w:val="clear"/>
            <w:tcMar>
              <w:top w:type="dxa" w:w="40"/>
              <w:left w:type="dxa" w:w="70"/>
              <w:bottom w:type="dxa" w:w="40"/>
              <w:right w:type="dxa" w:w="70"/>
            </w:tcMar>
          </w:tcPr>
          <w:p>
            <w:pPr>
              <w:spacing w:after="0" w:line="240"/>
              <w:jc w:val="left"/>
            </w:pPr>
            <w:r>
              <w:rPr>
                <w:sz w:val="18"/>
                <w:szCs w:val="18"/>
              </w:rPr>
              <w:t xml:space="preserve">Unit / currency</w:t>
            </w:r>
          </w:p>
        </w:tc>
        <w:tc>
          <w:tcPr>
            <w:tcW w:type="dxa" w:w="6760"/>
            <w:shd w:fill="F2F4F8" w:color="auto" w:val="clear"/>
            <w:tcMar>
              <w:top w:type="dxa" w:w="40"/>
              <w:left w:type="dxa" w:w="70"/>
              <w:bottom w:type="dxa" w:w="40"/>
              <w:right w:type="dxa" w:w="70"/>
            </w:tcMar>
          </w:tcPr>
          <w:p>
            <w:pPr>
              <w:spacing w:after="0" w:line="240"/>
              <w:jc w:val="left"/>
            </w:pPr>
            <w:r>
              <w:rPr>
                <w:sz w:val="18"/>
                <w:szCs w:val="18"/>
              </w:rPr>
              <w:t xml:space="preserve">Index points · GBP (STOXX reported in EUR original with GBP context)</w:t>
            </w:r>
          </w:p>
        </w:tc>
      </w:tr>
      <w:tr>
        <w:tc>
          <w:tcPr>
            <w:tcW w:type="dxa" w:w="2600"/>
            <w:shd w:fill="FFFFFF" w:color="auto" w:val="clear"/>
            <w:tcMar>
              <w:top w:type="dxa" w:w="40"/>
              <w:left w:type="dxa" w:w="70"/>
              <w:bottom w:type="dxa" w:w="40"/>
              <w:right w:type="dxa" w:w="70"/>
            </w:tcMar>
          </w:tcPr>
          <w:p>
            <w:pPr>
              <w:spacing w:after="0" w:line="240"/>
              <w:jc w:val="left"/>
            </w:pPr>
            <w:r>
              <w:rPr>
                <w:sz w:val="18"/>
                <w:szCs w:val="18"/>
              </w:rPr>
              <w:t xml:space="preserve">Tick</w:t>
            </w:r>
          </w:p>
        </w:tc>
        <w:tc>
          <w:tcPr>
            <w:tcW w:type="dxa" w:w="6760"/>
            <w:shd w:fill="FFFFFF" w:color="auto" w:val="clear"/>
            <w:tcMar>
              <w:top w:type="dxa" w:w="40"/>
              <w:left w:type="dxa" w:w="70"/>
              <w:bottom w:type="dxa" w:w="40"/>
              <w:right w:type="dxa" w:w="70"/>
            </w:tcMar>
          </w:tcPr>
          <w:p>
            <w:pPr>
              <w:spacing w:after="0" w:line="240"/>
              <w:jc w:val="left"/>
            </w:pPr>
            <w:r>
              <w:rPr>
                <w:sz w:val="18"/>
                <w:szCs w:val="18"/>
              </w:rPr>
              <w:t xml:space="preserve">0.01 point</w:t>
            </w:r>
          </w:p>
        </w:tc>
      </w:tr>
      <w:tr>
        <w:tc>
          <w:tcPr>
            <w:tcW w:type="dxa" w:w="2600"/>
            <w:shd w:fill="F2F4F8" w:color="auto" w:val="clear"/>
            <w:tcMar>
              <w:top w:type="dxa" w:w="40"/>
              <w:left w:type="dxa" w:w="70"/>
              <w:bottom w:type="dxa" w:w="40"/>
              <w:right w:type="dxa" w:w="70"/>
            </w:tcMar>
          </w:tcPr>
          <w:p>
            <w:pPr>
              <w:spacing w:after="0" w:line="240"/>
              <w:jc w:val="left"/>
            </w:pPr>
            <w:r>
              <w:rPr>
                <w:sz w:val="18"/>
                <w:szCs w:val="18"/>
              </w:rPr>
              <w:t xml:space="preserve">As-of date</w:t>
            </w:r>
          </w:p>
        </w:tc>
        <w:tc>
          <w:tcPr>
            <w:tcW w:type="dxa" w:w="6760"/>
            <w:shd w:fill="F2F4F8" w:color="auto" w:val="clear"/>
            <w:tcMar>
              <w:top w:type="dxa" w:w="40"/>
              <w:left w:type="dxa" w:w="70"/>
              <w:bottom w:type="dxa" w:w="40"/>
              <w:right w:type="dxa" w:w="70"/>
            </w:tcMar>
          </w:tcPr>
          <w:p>
            <w:pPr>
              <w:spacing w:after="0" w:line="240"/>
              <w:jc w:val="left"/>
            </w:pPr>
            <w:r>
              <w:rPr>
                <w:sz w:val="18"/>
                <w:szCs w:val="18"/>
              </w:rPr>
              <w:t xml:space="preserve">Report produced for 02 Jul 2026; technical snapshot anchored to 30 Jun 2026 close (Europe/London)</w:t>
            </w:r>
          </w:p>
        </w:tc>
      </w:tr>
      <w:tr>
        <w:tc>
          <w:tcPr>
            <w:tcW w:type="dxa" w:w="2600"/>
            <w:shd w:fill="FFFFFF" w:color="auto" w:val="clear"/>
            <w:tcMar>
              <w:top w:type="dxa" w:w="40"/>
              <w:left w:type="dxa" w:w="70"/>
              <w:bottom w:type="dxa" w:w="40"/>
              <w:right w:type="dxa" w:w="70"/>
            </w:tcMar>
          </w:tcPr>
          <w:p>
            <w:pPr>
              <w:spacing w:after="0" w:line="240"/>
              <w:jc w:val="left"/>
            </w:pPr>
            <w:r>
              <w:rPr>
                <w:sz w:val="18"/>
                <w:szCs w:val="18"/>
              </w:rPr>
              <w:t xml:space="preserve">Lookback window</w:t>
            </w:r>
          </w:p>
        </w:tc>
        <w:tc>
          <w:tcPr>
            <w:tcW w:type="dxa" w:w="6760"/>
            <w:shd w:fill="FFFFFF" w:color="auto" w:val="clear"/>
            <w:tcMar>
              <w:top w:type="dxa" w:w="40"/>
              <w:left w:type="dxa" w:w="70"/>
              <w:bottom w:type="dxa" w:w="40"/>
              <w:right w:type="dxa" w:w="70"/>
            </w:tcMar>
          </w:tcPr>
          <w:p>
            <w:pPr>
              <w:spacing w:after="0" w:line="240"/>
              <w:jc w:val="left"/>
            </w:pPr>
            <w:r>
              <w:rPr>
                <w:sz w:val="18"/>
                <w:szCs w:val="18"/>
              </w:rPr>
              <w:t xml:space="preserve">5 sessions (short block) · 25 sessions (regime block)</w:t>
            </w:r>
          </w:p>
        </w:tc>
      </w:tr>
    </w:tbl>
    <w:p>
      <w:pPr>
        <w:pStyle w:val="Heading2"/>
        <w:spacing w:after="100" w:before="220"/>
      </w:pPr>
      <w:r>
        <w:rPr>
          <w:b/>
          <w:bCs/>
          <w:color w:val="1F3864"/>
          <w:sz w:val="24"/>
          <w:szCs w:val="24"/>
        </w:rPr>
        <w:t xml:space="preserve">§3  Consensus Price Call</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1400"/>
        <w:gridCol w:w="1500"/>
        <w:gridCol w:w="1500"/>
        <w:gridCol w:w="1300"/>
        <w:gridCol w:w="1560"/>
        <w:gridCol w:w="2100"/>
      </w:tblGrid>
      <w:tr>
        <w:trPr>
          <w:tblHeader/>
        </w:trPr>
        <w:tc>
          <w:tcPr>
            <w:tcW w:type="dxa" w:w="1400"/>
            <w:shd w:fill="1F3864" w:color="auto" w:val="clear"/>
            <w:tcMar>
              <w:top w:type="dxa" w:w="40"/>
              <w:left w:type="dxa" w:w="70"/>
              <w:bottom w:type="dxa" w:w="40"/>
              <w:right w:type="dxa" w:w="70"/>
            </w:tcMar>
          </w:tcPr>
          <w:p>
            <w:pPr>
              <w:spacing w:after="0" w:line="240"/>
              <w:jc w:val="left"/>
            </w:pPr>
            <w:r>
              <w:rPr>
                <w:b/>
                <w:bCs/>
                <w:color w:val="FFFFFF"/>
                <w:sz w:val="18"/>
                <w:szCs w:val="18"/>
              </w:rPr>
              <w:t xml:space="preserve">Consensus</w:t>
            </w:r>
          </w:p>
        </w:tc>
        <w:tc>
          <w:tcPr>
            <w:tcW w:type="dxa" w:w="1500"/>
            <w:shd w:fill="1F3864" w:color="auto" w:val="clear"/>
            <w:tcMar>
              <w:top w:type="dxa" w:w="40"/>
              <w:left w:type="dxa" w:w="70"/>
              <w:bottom w:type="dxa" w:w="40"/>
              <w:right w:type="dxa" w:w="70"/>
            </w:tcMar>
          </w:tcPr>
          <w:p>
            <w:pPr>
              <w:spacing w:after="0" w:line="240"/>
              <w:jc w:val="left"/>
            </w:pPr>
            <w:r>
              <w:rPr>
                <w:b/>
                <w:bCs/>
                <w:color w:val="FFFFFF"/>
                <w:sz w:val="18"/>
                <w:szCs w:val="18"/>
              </w:rPr>
              <w:t xml:space="preserve">Range</w:t>
            </w:r>
          </w:p>
        </w:tc>
        <w:tc>
          <w:tcPr>
            <w:tcW w:type="dxa" w:w="1500"/>
            <w:shd w:fill="1F3864" w:color="auto" w:val="clear"/>
            <w:tcMar>
              <w:top w:type="dxa" w:w="40"/>
              <w:left w:type="dxa" w:w="70"/>
              <w:bottom w:type="dxa" w:w="40"/>
              <w:right w:type="dxa" w:w="70"/>
            </w:tcMar>
          </w:tcPr>
          <w:p>
            <w:pPr>
              <w:spacing w:after="0" w:line="240"/>
              <w:jc w:val="left"/>
            </w:pPr>
            <w:r>
              <w:rPr>
                <w:b/>
                <w:bCs/>
                <w:color w:val="FFFFFF"/>
                <w:sz w:val="18"/>
                <w:szCs w:val="18"/>
              </w:rPr>
              <w:t xml:space="preserve">Basis</w:t>
            </w:r>
          </w:p>
        </w:tc>
        <w:tc>
          <w:tcPr>
            <w:tcW w:type="dxa" w:w="1300"/>
            <w:shd w:fill="1F3864" w:color="auto" w:val="clear"/>
            <w:tcMar>
              <w:top w:type="dxa" w:w="40"/>
              <w:left w:type="dxa" w:w="70"/>
              <w:bottom w:type="dxa" w:w="40"/>
              <w:right w:type="dxa" w:w="70"/>
            </w:tcMar>
          </w:tcPr>
          <w:p>
            <w:pPr>
              <w:spacing w:after="0" w:line="240"/>
              <w:jc w:val="left"/>
            </w:pPr>
            <w:r>
              <w:rPr>
                <w:b/>
                <w:bCs/>
                <w:color w:val="FFFFFF"/>
                <w:sz w:val="18"/>
                <w:szCs w:val="18"/>
              </w:rPr>
              <w:t xml:space="preserve">Confidence</w:t>
            </w:r>
          </w:p>
        </w:tc>
        <w:tc>
          <w:tcPr>
            <w:tcW w:type="dxa" w:w="1560"/>
            <w:shd w:fill="1F3864" w:color="auto" w:val="clear"/>
            <w:tcMar>
              <w:top w:type="dxa" w:w="40"/>
              <w:left w:type="dxa" w:w="70"/>
              <w:bottom w:type="dxa" w:w="40"/>
              <w:right w:type="dxa" w:w="70"/>
            </w:tcMar>
          </w:tcPr>
          <w:p>
            <w:pPr>
              <w:spacing w:after="0" w:line="240"/>
              <w:jc w:val="left"/>
            </w:pPr>
            <w:r>
              <w:rPr>
                <w:b/>
                <w:bCs/>
                <w:color w:val="FFFFFF"/>
                <w:sz w:val="18"/>
                <w:szCs w:val="18"/>
              </w:rPr>
              <w:t xml:space="preserve">Tone</w:t>
            </w:r>
          </w:p>
        </w:tc>
        <w:tc>
          <w:tcPr>
            <w:tcW w:type="dxa" w:w="2100"/>
            <w:shd w:fill="1F3864" w:color="auto" w:val="clear"/>
            <w:tcMar>
              <w:top w:type="dxa" w:w="40"/>
              <w:left w:type="dxa" w:w="70"/>
              <w:bottom w:type="dxa" w:w="40"/>
              <w:right w:type="dxa" w:w="70"/>
            </w:tcMar>
          </w:tcPr>
          <w:p>
            <w:pPr>
              <w:spacing w:after="0" w:line="240"/>
              <w:jc w:val="left"/>
            </w:pPr>
            <w:r>
              <w:rPr>
                <w:b/>
                <w:bCs/>
                <w:color w:val="FFFFFF"/>
                <w:sz w:val="18"/>
                <w:szCs w:val="18"/>
              </w:rPr>
              <w:t xml:space="preserve">Rationale</w:t>
            </w:r>
          </w:p>
        </w:tc>
      </w:tr>
      <w:tr>
        <w:tc>
          <w:tcPr>
            <w:tcW w:type="dxa" w:w="1400"/>
            <w:tcMar>
              <w:top w:type="dxa" w:w="40"/>
              <w:left w:type="dxa" w:w="70"/>
              <w:bottom w:type="dxa" w:w="40"/>
              <w:right w:type="dxa" w:w="70"/>
            </w:tcMar>
          </w:tcPr>
          <w:p>
            <w:pPr>
              <w:spacing w:after="0" w:line="240"/>
              <w:jc w:val="left"/>
            </w:pPr>
            <w:r>
              <w:rPr>
                <w:b/>
                <w:bCs/>
              </w:rPr>
              <w:t xml:space="preserve">10,497.12</w:t>
            </w:r>
          </w:p>
        </w:tc>
        <w:tc>
          <w:tcPr>
            <w:tcW w:type="dxa" w:w="1500"/>
            <w:shd w:fill="FFFFFF" w:color="auto" w:val="clear"/>
            <w:tcMar>
              <w:top w:type="dxa" w:w="40"/>
              <w:left w:type="dxa" w:w="70"/>
              <w:bottom w:type="dxa" w:w="40"/>
              <w:right w:type="dxa" w:w="70"/>
            </w:tcMar>
          </w:tcPr>
          <w:p>
            <w:pPr>
              <w:spacing w:after="0" w:line="240"/>
              <w:jc w:val="left"/>
            </w:pPr>
            <w:r>
              <w:rPr>
                <w:sz w:val="18"/>
                <w:szCs w:val="18"/>
              </w:rPr>
              <w:t xml:space="preserve">10,480–10,510</w:t>
            </w:r>
          </w:p>
        </w:tc>
        <w:tc>
          <w:tcPr>
            <w:tcW w:type="dxa" w:w="1500"/>
            <w:shd w:fill="FFFFFF" w:color="auto" w:val="clear"/>
            <w:tcMar>
              <w:top w:type="dxa" w:w="40"/>
              <w:left w:type="dxa" w:w="70"/>
              <w:bottom w:type="dxa" w:w="40"/>
              <w:right w:type="dxa" w:w="70"/>
            </w:tcMar>
          </w:tcPr>
          <w:p>
            <w:pPr>
              <w:spacing w:after="0" w:line="240"/>
              <w:jc w:val="left"/>
            </w:pPr>
            <w:r>
              <w:rPr>
                <w:sz w:val="18"/>
                <w:szCs w:val="18"/>
              </w:rPr>
              <w:t xml:space="preserve">Cash close, GBP</w:t>
            </w:r>
          </w:p>
        </w:tc>
        <w:tc>
          <w:tcPr>
            <w:tcW w:type="dxa" w:w="1300"/>
            <w:tcMar>
              <w:top w:type="dxa" w:w="40"/>
              <w:left w:type="dxa" w:w="70"/>
              <w:bottom w:type="dxa" w:w="40"/>
              <w:right w:type="dxa" w:w="70"/>
            </w:tcMar>
          </w:tcPr>
          <w:p>
            <w:pPr>
              <w:spacing w:after="0" w:line="240"/>
              <w:jc w:val="left"/>
            </w:pPr>
            <w:r>
              <w:rPr>
                <w:b/>
                <w:bCs/>
                <w:color w:val="1E6B34"/>
              </w:rPr>
              <w:t xml:space="preserve">High</w:t>
            </w:r>
          </w:p>
        </w:tc>
        <w:tc>
          <w:tcPr>
            <w:tcW w:type="dxa" w:w="1560"/>
            <w:shd w:fill="FFFFFF" w:color="auto" w:val="clear"/>
            <w:tcMar>
              <w:top w:type="dxa" w:w="40"/>
              <w:left w:type="dxa" w:w="70"/>
              <w:bottom w:type="dxa" w:w="40"/>
              <w:right w:type="dxa" w:w="70"/>
            </w:tcMar>
          </w:tcPr>
          <w:p>
            <w:pPr>
              <w:spacing w:after="0" w:line="240"/>
              <w:jc w:val="left"/>
            </w:pPr>
            <w:r>
              <w:rPr>
                <w:sz w:val="18"/>
                <w:szCs w:val="18"/>
              </w:rPr>
              <w:t xml:space="preserve">Balanced-bullish</w:t>
            </w:r>
          </w:p>
        </w:tc>
        <w:tc>
          <w:tcPr>
            <w:tcW w:type="dxa" w:w="2100"/>
            <w:shd w:fill="FFFFFF" w:color="auto" w:val="clear"/>
            <w:tcMar>
              <w:top w:type="dxa" w:w="40"/>
              <w:left w:type="dxa" w:w="70"/>
              <w:bottom w:type="dxa" w:w="40"/>
              <w:right w:type="dxa" w:w="70"/>
            </w:tcMar>
          </w:tcPr>
          <w:p>
            <w:pPr>
              <w:spacing w:after="0" w:line="240"/>
              <w:jc w:val="left"/>
            </w:pPr>
            <w:r>
              <w:rPr>
                <w:sz w:val="18"/>
                <w:szCs w:val="18"/>
              </w:rPr>
              <w:t xml:space="preserve">Two-source corroborated close (Yahoo Finance × Investing.com), delta &lt; 0.10 pt</w:t>
            </w:r>
          </w:p>
        </w:tc>
      </w:tr>
    </w:tbl>
    <w:p>
      <w:pPr>
        <w:spacing w:after="120" w:line="276"/>
      </w:pPr>
      <w:r>
        <w:rPr>
          <w:sz w:val="20"/>
          <w:szCs w:val="20"/>
        </w:rPr>
        <w:t xml:space="preserve">The 30 June close is the anchor. For the 02 July pre-open, the level is treated as a range because two overnight/half-sessions (01 Jul; early 02 Jul) intervene and no post-30-Jun cash print is corroborated at report build. The band brackets the 30 Jun close with roughly ±0.15% width, consistent with recent daily realised ranges.</w:t>
      </w:r>
    </w:p>
    <w:p>
      <w:pPr>
        <w:pStyle w:val="Heading2"/>
        <w:spacing w:after="100" w:before="220"/>
      </w:pPr>
      <w:r>
        <w:rPr>
          <w:b/>
          <w:bCs/>
          <w:color w:val="1F3864"/>
          <w:sz w:val="24"/>
          <w:szCs w:val="24"/>
        </w:rPr>
        <w:t xml:space="preserve">§4  Price Evidence Table</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1500"/>
        <w:gridCol w:w="1350"/>
        <w:gridCol w:w="1300"/>
        <w:gridCol w:w="1200"/>
        <w:gridCol w:w="1350"/>
        <w:gridCol w:w="1050"/>
        <w:gridCol w:w="1610"/>
      </w:tblGrid>
      <w:tr>
        <w:trPr>
          <w:tblHeader/>
        </w:trPr>
        <w:tc>
          <w:tcPr>
            <w:tcW w:type="dxa" w:w="1500"/>
            <w:shd w:fill="1F3864" w:color="auto" w:val="clear"/>
            <w:tcMar>
              <w:top w:type="dxa" w:w="40"/>
              <w:left w:type="dxa" w:w="70"/>
              <w:bottom w:type="dxa" w:w="40"/>
              <w:right w:type="dxa" w:w="70"/>
            </w:tcMar>
          </w:tcPr>
          <w:p>
            <w:pPr>
              <w:spacing w:after="0" w:line="240"/>
              <w:jc w:val="left"/>
            </w:pPr>
            <w:r>
              <w:rPr>
                <w:b/>
                <w:bCs/>
                <w:color w:val="FFFFFF"/>
                <w:sz w:val="18"/>
                <w:szCs w:val="18"/>
              </w:rPr>
              <w:t xml:space="preserve">Source</w:t>
            </w:r>
          </w:p>
        </w:tc>
        <w:tc>
          <w:tcPr>
            <w:tcW w:type="dxa" w:w="1350"/>
            <w:shd w:fill="1F3864" w:color="auto" w:val="clear"/>
            <w:tcMar>
              <w:top w:type="dxa" w:w="40"/>
              <w:left w:type="dxa" w:w="70"/>
              <w:bottom w:type="dxa" w:w="40"/>
              <w:right w:type="dxa" w:w="70"/>
            </w:tcMar>
          </w:tcPr>
          <w:p>
            <w:pPr>
              <w:spacing w:after="0" w:line="240"/>
              <w:jc w:val="left"/>
            </w:pPr>
            <w:r>
              <w:rPr>
                <w:b/>
                <w:bCs/>
                <w:color w:val="FFFFFF"/>
                <w:sz w:val="18"/>
                <w:szCs w:val="18"/>
              </w:rPr>
              <w:t xml:space="preserve">Date/Time</w:t>
            </w:r>
          </w:p>
        </w:tc>
        <w:tc>
          <w:tcPr>
            <w:tcW w:type="dxa" w:w="1300"/>
            <w:shd w:fill="1F3864" w:color="auto" w:val="clear"/>
            <w:tcMar>
              <w:top w:type="dxa" w:w="40"/>
              <w:left w:type="dxa" w:w="70"/>
              <w:bottom w:type="dxa" w:w="40"/>
              <w:right w:type="dxa" w:w="70"/>
            </w:tcMar>
          </w:tcPr>
          <w:p>
            <w:pPr>
              <w:spacing w:after="0" w:line="240"/>
              <w:jc w:val="left"/>
            </w:pPr>
            <w:r>
              <w:rPr>
                <w:b/>
                <w:bCs/>
                <w:color w:val="FFFFFF"/>
                <w:sz w:val="18"/>
                <w:szCs w:val="18"/>
              </w:rPr>
              <w:t xml:space="preserve">Raw quote</w:t>
            </w:r>
          </w:p>
        </w:tc>
        <w:tc>
          <w:tcPr>
            <w:tcW w:type="dxa" w:w="1200"/>
            <w:shd w:fill="1F3864" w:color="auto" w:val="clear"/>
            <w:tcMar>
              <w:top w:type="dxa" w:w="40"/>
              <w:left w:type="dxa" w:w="70"/>
              <w:bottom w:type="dxa" w:w="40"/>
              <w:right w:type="dxa" w:w="70"/>
            </w:tcMar>
          </w:tcPr>
          <w:p>
            <w:pPr>
              <w:spacing w:after="0" w:line="240"/>
              <w:jc w:val="left"/>
            </w:pPr>
            <w:r>
              <w:rPr>
                <w:b/>
                <w:bCs/>
                <w:color w:val="FFFFFF"/>
                <w:sz w:val="18"/>
                <w:szCs w:val="18"/>
              </w:rPr>
              <w:t xml:space="preserve">Normalized</w:t>
            </w:r>
          </w:p>
        </w:tc>
        <w:tc>
          <w:tcPr>
            <w:tcW w:type="dxa" w:w="1350"/>
            <w:shd w:fill="1F3864" w:color="auto" w:val="clear"/>
            <w:tcMar>
              <w:top w:type="dxa" w:w="40"/>
              <w:left w:type="dxa" w:w="70"/>
              <w:bottom w:type="dxa" w:w="40"/>
              <w:right w:type="dxa" w:w="70"/>
            </w:tcMar>
          </w:tcPr>
          <w:p>
            <w:pPr>
              <w:spacing w:after="0" w:line="240"/>
              <w:jc w:val="left"/>
            </w:pPr>
            <w:r>
              <w:rPr>
                <w:b/>
                <w:bCs/>
                <w:color w:val="FFFFFF"/>
                <w:sz w:val="18"/>
                <w:szCs w:val="18"/>
              </w:rPr>
              <w:t xml:space="preserve">Basis / Loc.</w:t>
            </w:r>
          </w:p>
        </w:tc>
        <w:tc>
          <w:tcPr>
            <w:tcW w:type="dxa" w:w="1050"/>
            <w:shd w:fill="1F3864" w:color="auto" w:val="clear"/>
            <w:tcMar>
              <w:top w:type="dxa" w:w="40"/>
              <w:left w:type="dxa" w:w="70"/>
              <w:bottom w:type="dxa" w:w="40"/>
              <w:right w:type="dxa" w:w="70"/>
            </w:tcMar>
          </w:tcPr>
          <w:p>
            <w:pPr>
              <w:spacing w:after="0" w:line="240"/>
              <w:jc w:val="left"/>
            </w:pPr>
            <w:r>
              <w:rPr>
                <w:b/>
                <w:bCs/>
                <w:color w:val="FFFFFF"/>
                <w:sz w:val="18"/>
                <w:szCs w:val="18"/>
              </w:rPr>
              <w:t xml:space="preserve">Class.</w:t>
            </w:r>
          </w:p>
        </w:tc>
        <w:tc>
          <w:tcPr>
            <w:tcW w:type="dxa" w:w="1610"/>
            <w:shd w:fill="1F3864" w:color="auto" w:val="clear"/>
            <w:tcMar>
              <w:top w:type="dxa" w:w="40"/>
              <w:left w:type="dxa" w:w="70"/>
              <w:bottom w:type="dxa" w:w="40"/>
              <w:right w:type="dxa" w:w="70"/>
            </w:tcMar>
          </w:tcPr>
          <w:p>
            <w:pPr>
              <w:spacing w:after="0" w:line="240"/>
              <w:jc w:val="left"/>
            </w:pPr>
            <w:r>
              <w:rPr>
                <w:b/>
                <w:bCs/>
                <w:color w:val="FFFFFF"/>
                <w:sz w:val="18"/>
                <w:szCs w:val="18"/>
              </w:rPr>
              <w:t xml:space="preserve">Notes</w:t>
            </w:r>
          </w:p>
        </w:tc>
      </w:tr>
      <w:tr>
        <w:tc>
          <w:tcPr>
            <w:tcW w:type="dxa" w:w="1500"/>
            <w:shd w:fill="FFFFFF" w:color="auto" w:val="clear"/>
            <w:tcMar>
              <w:top w:type="dxa" w:w="40"/>
              <w:left w:type="dxa" w:w="70"/>
              <w:bottom w:type="dxa" w:w="40"/>
              <w:right w:type="dxa" w:w="70"/>
            </w:tcMar>
          </w:tcPr>
          <w:p>
            <w:pPr>
              <w:spacing w:after="0" w:line="240"/>
              <w:jc w:val="left"/>
            </w:pPr>
            <w:r>
              <w:rPr>
                <w:sz w:val="18"/>
                <w:szCs w:val="18"/>
              </w:rPr>
              <w:t xml:space="preserve">Yahoo Finance</w:t>
            </w:r>
          </w:p>
        </w:tc>
        <w:tc>
          <w:tcPr>
            <w:tcW w:type="dxa" w:w="1350"/>
            <w:shd w:fill="FFFFFF" w:color="auto" w:val="clear"/>
            <w:tcMar>
              <w:top w:type="dxa" w:w="40"/>
              <w:left w:type="dxa" w:w="70"/>
              <w:bottom w:type="dxa" w:w="40"/>
              <w:right w:type="dxa" w:w="70"/>
            </w:tcMar>
          </w:tcPr>
          <w:p>
            <w:pPr>
              <w:spacing w:after="0" w:line="240"/>
              <w:jc w:val="left"/>
            </w:pPr>
            <w:r>
              <w:rPr>
                <w:sz w:val="18"/>
                <w:szCs w:val="18"/>
              </w:rPr>
              <w:t xml:space="preserve">30 Jun 16:35 BST</w:t>
            </w:r>
          </w:p>
        </w:tc>
        <w:tc>
          <w:tcPr>
            <w:tcW w:type="dxa" w:w="1300"/>
            <w:shd w:fill="FFFFFF" w:color="auto" w:val="clear"/>
            <w:tcMar>
              <w:top w:type="dxa" w:w="40"/>
              <w:left w:type="dxa" w:w="70"/>
              <w:bottom w:type="dxa" w:w="40"/>
              <w:right w:type="dxa" w:w="70"/>
            </w:tcMar>
          </w:tcPr>
          <w:p>
            <w:pPr>
              <w:spacing w:after="0" w:line="240"/>
              <w:jc w:val="left"/>
            </w:pPr>
            <w:r>
              <w:rPr>
                <w:sz w:val="18"/>
                <w:szCs w:val="18"/>
              </w:rPr>
              <w:t xml:space="preserve">10,497.12</w:t>
            </w:r>
          </w:p>
        </w:tc>
        <w:tc>
          <w:tcPr>
            <w:tcW w:type="dxa" w:w="1200"/>
            <w:shd w:fill="FFFFFF" w:color="auto" w:val="clear"/>
            <w:tcMar>
              <w:top w:type="dxa" w:w="40"/>
              <w:left w:type="dxa" w:w="70"/>
              <w:bottom w:type="dxa" w:w="40"/>
              <w:right w:type="dxa" w:w="70"/>
            </w:tcMar>
          </w:tcPr>
          <w:p>
            <w:pPr>
              <w:spacing w:after="0" w:line="240"/>
              <w:jc w:val="left"/>
            </w:pPr>
            <w:r>
              <w:rPr>
                <w:sz w:val="18"/>
                <w:szCs w:val="18"/>
              </w:rPr>
              <w:t xml:space="preserve">10,497.12</w:t>
            </w:r>
          </w:p>
        </w:tc>
        <w:tc>
          <w:tcPr>
            <w:tcW w:type="dxa" w:w="1350"/>
            <w:shd w:fill="FFFFFF" w:color="auto" w:val="clear"/>
            <w:tcMar>
              <w:top w:type="dxa" w:w="40"/>
              <w:left w:type="dxa" w:w="70"/>
              <w:bottom w:type="dxa" w:w="40"/>
              <w:right w:type="dxa" w:w="70"/>
            </w:tcMar>
          </w:tcPr>
          <w:p>
            <w:pPr>
              <w:spacing w:after="0" w:line="240"/>
              <w:jc w:val="left"/>
            </w:pPr>
            <w:r>
              <w:rPr>
                <w:sz w:val="18"/>
                <w:szCs w:val="18"/>
              </w:rPr>
              <w:t xml:space="preserve">Cash / London</w:t>
            </w:r>
          </w:p>
        </w:tc>
        <w:tc>
          <w:tcPr>
            <w:tcW w:type="dxa" w:w="1050"/>
            <w:shd w:fill="FFFFFF" w:color="auto" w:val="clear"/>
            <w:tcMar>
              <w:top w:type="dxa" w:w="40"/>
              <w:left w:type="dxa" w:w="70"/>
              <w:bottom w:type="dxa" w:w="40"/>
              <w:right w:type="dxa" w:w="70"/>
            </w:tcMar>
          </w:tcPr>
          <w:p>
            <w:pPr>
              <w:spacing w:after="0" w:line="240"/>
              <w:jc w:val="left"/>
            </w:pPr>
            <w:r>
              <w:rPr>
                <w:sz w:val="18"/>
                <w:szCs w:val="18"/>
              </w:rPr>
              <w:t xml:space="preserve">Core</w:t>
            </w:r>
          </w:p>
        </w:tc>
        <w:tc>
          <w:tcPr>
            <w:tcW w:type="dxa" w:w="1610"/>
            <w:shd w:fill="FFFFFF" w:color="auto" w:val="clear"/>
            <w:tcMar>
              <w:top w:type="dxa" w:w="40"/>
              <w:left w:type="dxa" w:w="70"/>
              <w:bottom w:type="dxa" w:w="40"/>
              <w:right w:type="dxa" w:w="70"/>
            </w:tcMar>
          </w:tcPr>
          <w:p>
            <w:pPr>
              <w:spacing w:after="0" w:line="240"/>
              <w:jc w:val="left"/>
            </w:pPr>
            <w:r>
              <w:rPr>
                <w:sz w:val="18"/>
                <w:szCs w:val="18"/>
              </w:rPr>
              <w:t xml:space="preserve">Close; day range 10,483.86–10,613.18</w:t>
            </w:r>
          </w:p>
        </w:tc>
      </w:tr>
      <w:tr>
        <w:tc>
          <w:tcPr>
            <w:tcW w:type="dxa" w:w="1500"/>
            <w:shd w:fill="F2F4F8" w:color="auto" w:val="clear"/>
            <w:tcMar>
              <w:top w:type="dxa" w:w="40"/>
              <w:left w:type="dxa" w:w="70"/>
              <w:bottom w:type="dxa" w:w="40"/>
              <w:right w:type="dxa" w:w="70"/>
            </w:tcMar>
          </w:tcPr>
          <w:p>
            <w:pPr>
              <w:spacing w:after="0" w:line="240"/>
              <w:jc w:val="left"/>
            </w:pPr>
            <w:r>
              <w:rPr>
                <w:sz w:val="18"/>
                <w:szCs w:val="18"/>
              </w:rPr>
              <w:t xml:space="preserve">Investing.com</w:t>
            </w:r>
          </w:p>
        </w:tc>
        <w:tc>
          <w:tcPr>
            <w:tcW w:type="dxa" w:w="1350"/>
            <w:shd w:fill="F2F4F8" w:color="auto" w:val="clear"/>
            <w:tcMar>
              <w:top w:type="dxa" w:w="40"/>
              <w:left w:type="dxa" w:w="70"/>
              <w:bottom w:type="dxa" w:w="40"/>
              <w:right w:type="dxa" w:w="70"/>
            </w:tcMar>
          </w:tcPr>
          <w:p>
            <w:pPr>
              <w:spacing w:after="0" w:line="240"/>
              <w:jc w:val="left"/>
            </w:pPr>
            <w:r>
              <w:rPr>
                <w:sz w:val="18"/>
                <w:szCs w:val="18"/>
              </w:rPr>
              <w:t xml:space="preserve">30 Jun (close)</w:t>
            </w:r>
          </w:p>
        </w:tc>
        <w:tc>
          <w:tcPr>
            <w:tcW w:type="dxa" w:w="1300"/>
            <w:shd w:fill="F2F4F8" w:color="auto" w:val="clear"/>
            <w:tcMar>
              <w:top w:type="dxa" w:w="40"/>
              <w:left w:type="dxa" w:w="70"/>
              <w:bottom w:type="dxa" w:w="40"/>
              <w:right w:type="dxa" w:w="70"/>
            </w:tcMar>
          </w:tcPr>
          <w:p>
            <w:pPr>
              <w:spacing w:after="0" w:line="240"/>
              <w:jc w:val="left"/>
            </w:pPr>
            <w:r>
              <w:rPr>
                <w:sz w:val="18"/>
                <w:szCs w:val="18"/>
              </w:rPr>
              <w:t xml:space="preserve">10,497.12</w:t>
            </w:r>
          </w:p>
        </w:tc>
        <w:tc>
          <w:tcPr>
            <w:tcW w:type="dxa" w:w="1200"/>
            <w:shd w:fill="F2F4F8" w:color="auto" w:val="clear"/>
            <w:tcMar>
              <w:top w:type="dxa" w:w="40"/>
              <w:left w:type="dxa" w:w="70"/>
              <w:bottom w:type="dxa" w:w="40"/>
              <w:right w:type="dxa" w:w="70"/>
            </w:tcMar>
          </w:tcPr>
          <w:p>
            <w:pPr>
              <w:spacing w:after="0" w:line="240"/>
              <w:jc w:val="left"/>
            </w:pPr>
            <w:r>
              <w:rPr>
                <w:sz w:val="18"/>
                <w:szCs w:val="18"/>
              </w:rPr>
              <w:t xml:space="preserve">10,497.12</w:t>
            </w:r>
          </w:p>
        </w:tc>
        <w:tc>
          <w:tcPr>
            <w:tcW w:type="dxa" w:w="1350"/>
            <w:shd w:fill="F2F4F8" w:color="auto" w:val="clear"/>
            <w:tcMar>
              <w:top w:type="dxa" w:w="40"/>
              <w:left w:type="dxa" w:w="70"/>
              <w:bottom w:type="dxa" w:w="40"/>
              <w:right w:type="dxa" w:w="70"/>
            </w:tcMar>
          </w:tcPr>
          <w:p>
            <w:pPr>
              <w:spacing w:after="0" w:line="240"/>
              <w:jc w:val="left"/>
            </w:pPr>
            <w:r>
              <w:rPr>
                <w:sz w:val="18"/>
                <w:szCs w:val="18"/>
              </w:rPr>
              <w:t xml:space="preserve">Cash / derived</w:t>
            </w:r>
          </w:p>
        </w:tc>
        <w:tc>
          <w:tcPr>
            <w:tcW w:type="dxa" w:w="1050"/>
            <w:shd w:fill="F2F4F8" w:color="auto" w:val="clear"/>
            <w:tcMar>
              <w:top w:type="dxa" w:w="40"/>
              <w:left w:type="dxa" w:w="70"/>
              <w:bottom w:type="dxa" w:w="40"/>
              <w:right w:type="dxa" w:w="70"/>
            </w:tcMar>
          </w:tcPr>
          <w:p>
            <w:pPr>
              <w:spacing w:after="0" w:line="240"/>
              <w:jc w:val="left"/>
            </w:pPr>
            <w:r>
              <w:rPr>
                <w:sz w:val="18"/>
                <w:szCs w:val="18"/>
              </w:rPr>
              <w:t xml:space="preserve">Core</w:t>
            </w:r>
          </w:p>
        </w:tc>
        <w:tc>
          <w:tcPr>
            <w:tcW w:type="dxa" w:w="1610"/>
            <w:shd w:fill="F2F4F8" w:color="auto" w:val="clear"/>
            <w:tcMar>
              <w:top w:type="dxa" w:w="40"/>
              <w:left w:type="dxa" w:w="70"/>
              <w:bottom w:type="dxa" w:w="40"/>
              <w:right w:type="dxa" w:w="70"/>
            </w:tcMar>
          </w:tcPr>
          <w:p>
            <w:pPr>
              <w:spacing w:after="0" w:line="240"/>
              <w:jc w:val="left"/>
            </w:pPr>
            <w:r>
              <w:rPr>
                <w:sz w:val="18"/>
                <w:szCs w:val="18"/>
              </w:rPr>
              <w:t xml:space="preserve">Open 10,484.31; corroborates Yahoo</w:t>
            </w:r>
          </w:p>
        </w:tc>
      </w:tr>
      <w:tr>
        <w:tc>
          <w:tcPr>
            <w:tcW w:type="dxa" w:w="1500"/>
            <w:shd w:fill="FFFFFF" w:color="auto" w:val="clear"/>
            <w:tcMar>
              <w:top w:type="dxa" w:w="40"/>
              <w:left w:type="dxa" w:w="70"/>
              <w:bottom w:type="dxa" w:w="40"/>
              <w:right w:type="dxa" w:w="70"/>
            </w:tcMar>
          </w:tcPr>
          <w:p>
            <w:pPr>
              <w:spacing w:after="0" w:line="240"/>
              <w:jc w:val="left"/>
            </w:pPr>
            <w:r>
              <w:rPr>
                <w:sz w:val="18"/>
                <w:szCs w:val="18"/>
              </w:rPr>
              <w:t xml:space="preserve">TradingView (UKX)</w:t>
            </w:r>
          </w:p>
        </w:tc>
        <w:tc>
          <w:tcPr>
            <w:tcW w:type="dxa" w:w="1350"/>
            <w:shd w:fill="FFFFFF" w:color="auto" w:val="clear"/>
            <w:tcMar>
              <w:top w:type="dxa" w:w="40"/>
              <w:left w:type="dxa" w:w="70"/>
              <w:bottom w:type="dxa" w:w="40"/>
              <w:right w:type="dxa" w:w="70"/>
            </w:tcMar>
          </w:tcPr>
          <w:p>
            <w:pPr>
              <w:spacing w:after="0" w:line="240"/>
              <w:jc w:val="left"/>
            </w:pPr>
            <w:r>
              <w:rPr>
                <w:sz w:val="18"/>
                <w:szCs w:val="18"/>
              </w:rPr>
              <w:t xml:space="preserve">30 Jun</w:t>
            </w:r>
          </w:p>
        </w:tc>
        <w:tc>
          <w:tcPr>
            <w:tcW w:type="dxa" w:w="1300"/>
            <w:shd w:fill="FFFFFF" w:color="auto" w:val="clear"/>
            <w:tcMar>
              <w:top w:type="dxa" w:w="40"/>
              <w:left w:type="dxa" w:w="70"/>
              <w:bottom w:type="dxa" w:w="40"/>
              <w:right w:type="dxa" w:w="70"/>
            </w:tcMar>
          </w:tcPr>
          <w:p>
            <w:pPr>
              <w:spacing w:after="0" w:line="240"/>
              <w:jc w:val="left"/>
            </w:pPr>
            <w:r>
              <w:rPr>
                <w:sz w:val="18"/>
                <w:szCs w:val="18"/>
              </w:rPr>
              <w:t xml:space="preserve">10,497.72</w:t>
            </w:r>
          </w:p>
        </w:tc>
        <w:tc>
          <w:tcPr>
            <w:tcW w:type="dxa" w:w="1200"/>
            <w:shd w:fill="FFFFFF" w:color="auto" w:val="clear"/>
            <w:tcMar>
              <w:top w:type="dxa" w:w="40"/>
              <w:left w:type="dxa" w:w="70"/>
              <w:bottom w:type="dxa" w:w="40"/>
              <w:right w:type="dxa" w:w="70"/>
            </w:tcMar>
          </w:tcPr>
          <w:p>
            <w:pPr>
              <w:spacing w:after="0" w:line="240"/>
              <w:jc w:val="left"/>
            </w:pPr>
            <w:r>
              <w:rPr>
                <w:sz w:val="18"/>
                <w:szCs w:val="18"/>
              </w:rPr>
              <w:t xml:space="preserve">10,497.72</w:t>
            </w:r>
          </w:p>
        </w:tc>
        <w:tc>
          <w:tcPr>
            <w:tcW w:type="dxa" w:w="1350"/>
            <w:shd w:fill="FFFFFF" w:color="auto" w:val="clear"/>
            <w:tcMar>
              <w:top w:type="dxa" w:w="40"/>
              <w:left w:type="dxa" w:w="70"/>
              <w:bottom w:type="dxa" w:w="40"/>
              <w:right w:type="dxa" w:w="70"/>
            </w:tcMar>
          </w:tcPr>
          <w:p>
            <w:pPr>
              <w:spacing w:after="0" w:line="240"/>
              <w:jc w:val="left"/>
            </w:pPr>
            <w:r>
              <w:rPr>
                <w:sz w:val="18"/>
                <w:szCs w:val="18"/>
              </w:rPr>
              <w:t xml:space="preserve">Cash / London</w:t>
            </w:r>
          </w:p>
        </w:tc>
        <w:tc>
          <w:tcPr>
            <w:tcW w:type="dxa" w:w="1050"/>
            <w:shd w:fill="FFFFFF" w:color="auto" w:val="clear"/>
            <w:tcMar>
              <w:top w:type="dxa" w:w="40"/>
              <w:left w:type="dxa" w:w="70"/>
              <w:bottom w:type="dxa" w:w="40"/>
              <w:right w:type="dxa" w:w="70"/>
            </w:tcMar>
          </w:tcPr>
          <w:p>
            <w:pPr>
              <w:spacing w:after="0" w:line="240"/>
              <w:jc w:val="left"/>
            </w:pPr>
            <w:r>
              <w:rPr>
                <w:sz w:val="18"/>
                <w:szCs w:val="18"/>
              </w:rPr>
              <w:t xml:space="preserve">Directional</w:t>
            </w:r>
          </w:p>
        </w:tc>
        <w:tc>
          <w:tcPr>
            <w:tcW w:type="dxa" w:w="1610"/>
            <w:shd w:fill="FFFFFF" w:color="auto" w:val="clear"/>
            <w:tcMar>
              <w:top w:type="dxa" w:w="40"/>
              <w:left w:type="dxa" w:w="70"/>
              <w:bottom w:type="dxa" w:w="40"/>
              <w:right w:type="dxa" w:w="70"/>
            </w:tcMar>
          </w:tcPr>
          <w:p>
            <w:pPr>
              <w:spacing w:after="0" w:line="240"/>
              <w:jc w:val="left"/>
            </w:pPr>
            <w:r>
              <w:rPr>
                <w:sz w:val="18"/>
                <w:szCs w:val="18"/>
              </w:rPr>
              <w:t xml:space="preserve">+0.05%; within tolerance band</w:t>
            </w:r>
          </w:p>
        </w:tc>
      </w:tr>
      <w:tr>
        <w:tc>
          <w:tcPr>
            <w:tcW w:type="dxa" w:w="1500"/>
            <w:shd w:fill="F2F4F8" w:color="auto" w:val="clear"/>
            <w:tcMar>
              <w:top w:type="dxa" w:w="40"/>
              <w:left w:type="dxa" w:w="70"/>
              <w:bottom w:type="dxa" w:w="40"/>
              <w:right w:type="dxa" w:w="70"/>
            </w:tcMar>
          </w:tcPr>
          <w:p>
            <w:pPr>
              <w:spacing w:after="0" w:line="240"/>
              <w:jc w:val="left"/>
            </w:pPr>
            <w:r>
              <w:rPr>
                <w:sz w:val="18"/>
                <w:szCs w:val="18"/>
              </w:rPr>
              <w:t xml:space="preserve">IG (index)</w:t>
            </w:r>
          </w:p>
        </w:tc>
        <w:tc>
          <w:tcPr>
            <w:tcW w:type="dxa" w:w="1350"/>
            <w:shd w:fill="F2F4F8" w:color="auto" w:val="clear"/>
            <w:tcMar>
              <w:top w:type="dxa" w:w="40"/>
              <w:left w:type="dxa" w:w="70"/>
              <w:bottom w:type="dxa" w:w="40"/>
              <w:right w:type="dxa" w:w="70"/>
            </w:tcMar>
          </w:tcPr>
          <w:p>
            <w:pPr>
              <w:spacing w:after="0" w:line="240"/>
              <w:jc w:val="left"/>
            </w:pPr>
            <w:r>
              <w:rPr>
                <w:sz w:val="18"/>
                <w:szCs w:val="18"/>
              </w:rPr>
              <w:t xml:space="preserve">29–30 Jun</w:t>
            </w:r>
          </w:p>
        </w:tc>
        <w:tc>
          <w:tcPr>
            <w:tcW w:type="dxa" w:w="1300"/>
            <w:shd w:fill="F2F4F8" w:color="auto" w:val="clear"/>
            <w:tcMar>
              <w:top w:type="dxa" w:w="40"/>
              <w:left w:type="dxa" w:w="70"/>
              <w:bottom w:type="dxa" w:w="40"/>
              <w:right w:type="dxa" w:w="70"/>
            </w:tcMar>
          </w:tcPr>
          <w:p>
            <w:pPr>
              <w:spacing w:after="0" w:line="240"/>
              <w:jc w:val="left"/>
            </w:pPr>
            <w:r>
              <w:rPr>
                <w:sz w:val="18"/>
                <w:szCs w:val="18"/>
              </w:rPr>
              <w:t xml:space="preserve">~10,508 / 10,484</w:t>
            </w:r>
          </w:p>
        </w:tc>
        <w:tc>
          <w:tcPr>
            <w:tcW w:type="dxa" w:w="1200"/>
            <w:shd w:fill="F2F4F8" w:color="auto" w:val="clear"/>
            <w:tcMar>
              <w:top w:type="dxa" w:w="40"/>
              <w:left w:type="dxa" w:w="70"/>
              <w:bottom w:type="dxa" w:w="40"/>
              <w:right w:type="dxa" w:w="70"/>
            </w:tcMar>
          </w:tcPr>
          <w:p>
            <w:pPr>
              <w:spacing w:after="0" w:line="240"/>
              <w:jc w:val="left"/>
            </w:pPr>
            <w:r>
              <w:rPr>
                <w:sz w:val="18"/>
                <w:szCs w:val="18"/>
              </w:rPr>
              <w:t xml:space="preserve">—</w:t>
            </w:r>
          </w:p>
        </w:tc>
        <w:tc>
          <w:tcPr>
            <w:tcW w:type="dxa" w:w="1350"/>
            <w:shd w:fill="F2F4F8" w:color="auto" w:val="clear"/>
            <w:tcMar>
              <w:top w:type="dxa" w:w="40"/>
              <w:left w:type="dxa" w:w="70"/>
              <w:bottom w:type="dxa" w:w="40"/>
              <w:right w:type="dxa" w:w="70"/>
            </w:tcMar>
          </w:tcPr>
          <w:p>
            <w:pPr>
              <w:spacing w:after="0" w:line="240"/>
              <w:jc w:val="left"/>
            </w:pPr>
            <w:r>
              <w:rPr>
                <w:sz w:val="18"/>
                <w:szCs w:val="18"/>
              </w:rPr>
              <w:t xml:space="preserve">Cash / CFD-ref</w:t>
            </w:r>
          </w:p>
        </w:tc>
        <w:tc>
          <w:tcPr>
            <w:tcW w:type="dxa" w:w="1050"/>
            <w:shd w:fill="F2F4F8" w:color="auto" w:val="clear"/>
            <w:tcMar>
              <w:top w:type="dxa" w:w="40"/>
              <w:left w:type="dxa" w:w="70"/>
              <w:bottom w:type="dxa" w:w="40"/>
              <w:right w:type="dxa" w:w="70"/>
            </w:tcMar>
          </w:tcPr>
          <w:p>
            <w:pPr>
              <w:spacing w:after="0" w:line="240"/>
              <w:jc w:val="left"/>
            </w:pPr>
            <w:r>
              <w:rPr>
                <w:sz w:val="18"/>
                <w:szCs w:val="18"/>
              </w:rPr>
              <w:t xml:space="preserve">Directional</w:t>
            </w:r>
          </w:p>
        </w:tc>
        <w:tc>
          <w:tcPr>
            <w:tcW w:type="dxa" w:w="1610"/>
            <w:shd w:fill="F2F4F8" w:color="auto" w:val="clear"/>
            <w:tcMar>
              <w:top w:type="dxa" w:w="40"/>
              <w:left w:type="dxa" w:w="70"/>
              <w:bottom w:type="dxa" w:w="40"/>
              <w:right w:type="dxa" w:w="70"/>
            </w:tcMar>
          </w:tcPr>
          <w:p>
            <w:pPr>
              <w:spacing w:after="0" w:line="240"/>
              <w:jc w:val="left"/>
            </w:pPr>
            <w:r>
              <w:rPr>
                <w:sz w:val="18"/>
                <w:szCs w:val="18"/>
              </w:rPr>
              <w:t xml:space="preserve">Near-all-time-high commentary; CFD excluded from consensus</w:t>
            </w:r>
          </w:p>
        </w:tc>
      </w:tr>
      <w:tr>
        <w:tc>
          <w:tcPr>
            <w:tcW w:type="dxa" w:w="1500"/>
            <w:shd w:fill="FFFFFF" w:color="auto" w:val="clear"/>
            <w:tcMar>
              <w:top w:type="dxa" w:w="40"/>
              <w:left w:type="dxa" w:w="70"/>
              <w:bottom w:type="dxa" w:w="40"/>
              <w:right w:type="dxa" w:w="70"/>
            </w:tcMar>
          </w:tcPr>
          <w:p>
            <w:pPr>
              <w:spacing w:after="0" w:line="240"/>
              <w:jc w:val="left"/>
            </w:pPr>
            <w:r>
              <w:rPr>
                <w:sz w:val="18"/>
                <w:szCs w:val="18"/>
              </w:rPr>
              <w:t xml:space="preserve">LSE / FTSE Russell</w:t>
            </w:r>
          </w:p>
        </w:tc>
        <w:tc>
          <w:tcPr>
            <w:tcW w:type="dxa" w:w="1350"/>
            <w:shd w:fill="FFFFFF" w:color="auto" w:val="clear"/>
            <w:tcMar>
              <w:top w:type="dxa" w:w="40"/>
              <w:left w:type="dxa" w:w="70"/>
              <w:bottom w:type="dxa" w:w="40"/>
              <w:right w:type="dxa" w:w="70"/>
            </w:tcMar>
          </w:tcPr>
          <w:p>
            <w:pPr>
              <w:spacing w:after="0" w:line="240"/>
              <w:jc w:val="left"/>
            </w:pPr>
            <w:r>
              <w:rPr>
                <w:sz w:val="18"/>
                <w:szCs w:val="18"/>
              </w:rPr>
              <w:t xml:space="preserve">30 Jun</w:t>
            </w:r>
          </w:p>
        </w:tc>
        <w:tc>
          <w:tcPr>
            <w:tcW w:type="dxa" w:w="1300"/>
            <w:shd w:fill="FFFFFF" w:color="auto" w:val="clear"/>
            <w:tcMar>
              <w:top w:type="dxa" w:w="40"/>
              <w:left w:type="dxa" w:w="70"/>
              <w:bottom w:type="dxa" w:w="40"/>
              <w:right w:type="dxa" w:w="70"/>
            </w:tcMar>
          </w:tcPr>
          <w:p>
            <w:pPr>
              <w:spacing w:after="0" w:line="240"/>
              <w:jc w:val="left"/>
            </w:pPr>
            <w:r>
              <w:rPr>
                <w:sz w:val="18"/>
                <w:szCs w:val="18"/>
              </w:rPr>
              <w:t xml:space="preserve">official close</w:t>
            </w:r>
          </w:p>
        </w:tc>
        <w:tc>
          <w:tcPr>
            <w:tcW w:type="dxa" w:w="1200"/>
            <w:shd w:fill="FFFFFF" w:color="auto" w:val="clear"/>
            <w:tcMar>
              <w:top w:type="dxa" w:w="40"/>
              <w:left w:type="dxa" w:w="70"/>
              <w:bottom w:type="dxa" w:w="40"/>
              <w:right w:type="dxa" w:w="70"/>
            </w:tcMar>
          </w:tcPr>
          <w:p>
            <w:pPr>
              <w:spacing w:after="0" w:line="240"/>
              <w:jc w:val="left"/>
            </w:pPr>
            <w:r>
              <w:rPr>
                <w:sz w:val="18"/>
                <w:szCs w:val="18"/>
              </w:rPr>
              <w:t xml:space="preserve">—</w:t>
            </w:r>
          </w:p>
        </w:tc>
        <w:tc>
          <w:tcPr>
            <w:tcW w:type="dxa" w:w="1350"/>
            <w:shd w:fill="FFFFFF" w:color="auto" w:val="clear"/>
            <w:tcMar>
              <w:top w:type="dxa" w:w="40"/>
              <w:left w:type="dxa" w:w="70"/>
              <w:bottom w:type="dxa" w:w="40"/>
              <w:right w:type="dxa" w:w="70"/>
            </w:tcMar>
          </w:tcPr>
          <w:p>
            <w:pPr>
              <w:spacing w:after="0" w:line="240"/>
              <w:jc w:val="left"/>
            </w:pPr>
            <w:r>
              <w:rPr>
                <w:sz w:val="18"/>
                <w:szCs w:val="18"/>
              </w:rPr>
              <w:t xml:space="preserve">Cash / London</w:t>
            </w:r>
          </w:p>
        </w:tc>
        <w:tc>
          <w:tcPr>
            <w:tcW w:type="dxa" w:w="1050"/>
            <w:shd w:fill="FFFFFF" w:color="auto" w:val="clear"/>
            <w:tcMar>
              <w:top w:type="dxa" w:w="40"/>
              <w:left w:type="dxa" w:w="70"/>
              <w:bottom w:type="dxa" w:w="40"/>
              <w:right w:type="dxa" w:w="70"/>
            </w:tcMar>
          </w:tcPr>
          <w:p>
            <w:pPr>
              <w:spacing w:after="0" w:line="240"/>
              <w:jc w:val="left"/>
            </w:pPr>
            <w:r>
              <w:rPr>
                <w:sz w:val="18"/>
                <w:szCs w:val="18"/>
              </w:rPr>
              <w:t xml:space="preserve">Core (ref)</w:t>
            </w:r>
          </w:p>
        </w:tc>
        <w:tc>
          <w:tcPr>
            <w:tcW w:type="dxa" w:w="1610"/>
            <w:shd w:fill="FFFFFF" w:color="auto" w:val="clear"/>
            <w:tcMar>
              <w:top w:type="dxa" w:w="40"/>
              <w:left w:type="dxa" w:w="70"/>
              <w:bottom w:type="dxa" w:w="40"/>
              <w:right w:type="dxa" w:w="70"/>
            </w:tcMar>
          </w:tcPr>
          <w:p>
            <w:pPr>
              <w:spacing w:after="0" w:line="240"/>
              <w:jc w:val="left"/>
            </w:pPr>
            <w:r>
              <w:rPr>
                <w:sz w:val="18"/>
                <w:szCs w:val="18"/>
              </w:rPr>
              <w:t xml:space="preserve">Provider-of-record; used as tie-break reference</w:t>
            </w:r>
          </w:p>
        </w:tc>
      </w:tr>
      <w:tr>
        <w:tc>
          <w:tcPr>
            <w:tcW w:type="dxa" w:w="1500"/>
            <w:shd w:fill="F2F4F8" w:color="auto" w:val="clear"/>
            <w:tcMar>
              <w:top w:type="dxa" w:w="40"/>
              <w:left w:type="dxa" w:w="70"/>
              <w:bottom w:type="dxa" w:w="40"/>
              <w:right w:type="dxa" w:w="70"/>
            </w:tcMar>
          </w:tcPr>
          <w:p>
            <w:pPr>
              <w:spacing w:after="0" w:line="240"/>
              <w:jc w:val="left"/>
            </w:pPr>
            <w:r>
              <w:rPr>
                <w:sz w:val="18"/>
                <w:szCs w:val="18"/>
              </w:rPr>
              <w:t xml:space="preserve">Trading Economics</w:t>
            </w:r>
          </w:p>
        </w:tc>
        <w:tc>
          <w:tcPr>
            <w:tcW w:type="dxa" w:w="1350"/>
            <w:shd w:fill="F2F4F8" w:color="auto" w:val="clear"/>
            <w:tcMar>
              <w:top w:type="dxa" w:w="40"/>
              <w:left w:type="dxa" w:w="70"/>
              <w:bottom w:type="dxa" w:w="40"/>
              <w:right w:type="dxa" w:w="70"/>
            </w:tcMar>
          </w:tcPr>
          <w:p>
            <w:pPr>
              <w:spacing w:after="0" w:line="240"/>
              <w:jc w:val="left"/>
            </w:pPr>
            <w:r>
              <w:rPr>
                <w:sz w:val="18"/>
                <w:szCs w:val="18"/>
              </w:rPr>
              <w:t xml:space="preserve">29 Jun</w:t>
            </w:r>
          </w:p>
        </w:tc>
        <w:tc>
          <w:tcPr>
            <w:tcW w:type="dxa" w:w="1300"/>
            <w:shd w:fill="F2F4F8" w:color="auto" w:val="clear"/>
            <w:tcMar>
              <w:top w:type="dxa" w:w="40"/>
              <w:left w:type="dxa" w:w="70"/>
              <w:bottom w:type="dxa" w:w="40"/>
              <w:right w:type="dxa" w:w="70"/>
            </w:tcMar>
          </w:tcPr>
          <w:p>
            <w:pPr>
              <w:spacing w:after="0" w:line="240"/>
              <w:jc w:val="left"/>
            </w:pPr>
            <w:r>
              <w:rPr>
                <w:sz w:val="18"/>
                <w:szCs w:val="18"/>
              </w:rPr>
              <w:t xml:space="preserve">~10,508</w:t>
            </w:r>
          </w:p>
        </w:tc>
        <w:tc>
          <w:tcPr>
            <w:tcW w:type="dxa" w:w="1200"/>
            <w:shd w:fill="F2F4F8" w:color="auto" w:val="clear"/>
            <w:tcMar>
              <w:top w:type="dxa" w:w="40"/>
              <w:left w:type="dxa" w:w="70"/>
              <w:bottom w:type="dxa" w:w="40"/>
              <w:right w:type="dxa" w:w="70"/>
            </w:tcMar>
          </w:tcPr>
          <w:p>
            <w:pPr>
              <w:spacing w:after="0" w:line="240"/>
              <w:jc w:val="left"/>
            </w:pPr>
            <w:r>
              <w:rPr>
                <w:sz w:val="18"/>
                <w:szCs w:val="18"/>
              </w:rPr>
              <w:t xml:space="preserve">—</w:t>
            </w:r>
          </w:p>
        </w:tc>
        <w:tc>
          <w:tcPr>
            <w:tcW w:type="dxa" w:w="1350"/>
            <w:shd w:fill="F2F4F8" w:color="auto" w:val="clear"/>
            <w:tcMar>
              <w:top w:type="dxa" w:w="40"/>
              <w:left w:type="dxa" w:w="70"/>
              <w:bottom w:type="dxa" w:w="40"/>
              <w:right w:type="dxa" w:w="70"/>
            </w:tcMar>
          </w:tcPr>
          <w:p>
            <w:pPr>
              <w:spacing w:after="0" w:line="240"/>
              <w:jc w:val="left"/>
            </w:pPr>
            <w:r>
              <w:rPr>
                <w:sz w:val="18"/>
                <w:szCs w:val="18"/>
              </w:rPr>
              <w:t xml:space="preserve">Cash / London</w:t>
            </w:r>
          </w:p>
        </w:tc>
        <w:tc>
          <w:tcPr>
            <w:tcW w:type="dxa" w:w="1050"/>
            <w:shd w:fill="F2F4F8" w:color="auto" w:val="clear"/>
            <w:tcMar>
              <w:top w:type="dxa" w:w="40"/>
              <w:left w:type="dxa" w:w="70"/>
              <w:bottom w:type="dxa" w:w="40"/>
              <w:right w:type="dxa" w:w="70"/>
            </w:tcMar>
          </w:tcPr>
          <w:p>
            <w:pPr>
              <w:spacing w:after="0" w:line="240"/>
              <w:jc w:val="left"/>
            </w:pPr>
            <w:r>
              <w:rPr>
                <w:sz w:val="18"/>
                <w:szCs w:val="18"/>
              </w:rPr>
              <w:t xml:space="preserve">Directional</w:t>
            </w:r>
          </w:p>
        </w:tc>
        <w:tc>
          <w:tcPr>
            <w:tcW w:type="dxa" w:w="1610"/>
            <w:shd w:fill="F2F4F8" w:color="auto" w:val="clear"/>
            <w:tcMar>
              <w:top w:type="dxa" w:w="40"/>
              <w:left w:type="dxa" w:w="70"/>
              <w:bottom w:type="dxa" w:w="40"/>
              <w:right w:type="dxa" w:w="70"/>
            </w:tcMar>
          </w:tcPr>
          <w:p>
            <w:pPr>
              <w:spacing w:after="0" w:line="240"/>
              <w:jc w:val="left"/>
            </w:pPr>
            <w:r>
              <w:rPr>
                <w:sz w:val="18"/>
                <w:szCs w:val="18"/>
              </w:rPr>
              <w:t xml:space="preserve">+19.3% YTD context, record-high proximity</w:t>
            </w:r>
          </w:p>
        </w:tc>
      </w:tr>
    </w:tbl>
    <w:p>
      <w:pPr>
        <w:pStyle w:val="Heading2"/>
        <w:spacing w:after="100" w:before="220"/>
      </w:pPr>
      <w:r>
        <w:rPr>
          <w:b/>
          <w:bCs/>
          <w:color w:val="1F3864"/>
          <w:sz w:val="24"/>
          <w:szCs w:val="24"/>
        </w:rPr>
        <w:t xml:space="preserve">§5  Consensus Build Explanation</w:t>
      </w:r>
    </w:p>
    <w:p>
      <w:pPr>
        <w:spacing w:after="120" w:line="276"/>
      </w:pPr>
      <w:r>
        <w:t xml:space="preserve">All observations are already in index points and GBP, so no FX or unit normalization is required for the FTSE close. The consensus applies a weighted median: the two index-provider/aggregator closes (Yahoo Finance and Investing.com) that agree to within 0.10 points carry the highest weight and jointly fix the anchor at 10,497.12. TradingView's 10,497.72 sits within a fraction of a point and corroborates directionally. CFD-derived quotes (IG, and any retail broker spreads) are excluded from the consensus number per source-discipline restrictions — they are retained only as directional colour. No observation was discarded as an outlier. The final number is most defensible because two independent, non-CFD sources reconcile to under the ±0.10-point equity-index tolerance on the close.</w:t>
      </w:r>
    </w:p>
    <w:p>
      <w:pPr>
        <w:pStyle w:val="Heading2"/>
        <w:spacing w:after="100" w:before="220"/>
      </w:pPr>
      <w:r>
        <w:rPr>
          <w:b/>
          <w:bCs/>
          <w:color w:val="1E6B34"/>
          <w:sz w:val="24"/>
          <w:szCs w:val="24"/>
        </w:rPr>
        <w:t xml:space="preserve">§6  Validated OHLC + RSI2 Table (5-Day)</w:t>
      </w:r>
    </w:p>
    <w:p>
      <w:pPr>
        <w:spacing w:after="60" w:before="120"/>
      </w:pPr>
      <w:r>
        <w:rPr>
          <w:b/>
          <w:bCs/>
          <w:color w:val="555555"/>
          <w:sz w:val="21"/>
          <w:szCs w:val="21"/>
        </w:rPr>
        <w:t xml:space="preserve">FTSE 100 (^FTSE) — points</w:t>
      </w:r>
    </w:p>
    <w:tbl>
      <w:tblPr>
        <w:tblW w:type="dxa" w:w="10360"/>
        <w:tblBorders>
          <w:top w:val="single" w:color="AAAAAA" w:sz="2"/>
          <w:left w:val="single" w:color="AAAAAA" w:sz="2"/>
          <w:bottom w:val="single" w:color="AAAAAA" w:sz="2"/>
          <w:right w:val="single" w:color="AAAAAA" w:sz="2"/>
          <w:insideH w:val="single" w:color="CCCCCC" w:sz="1"/>
          <w:insideV w:val="single" w:color="CCCCCC" w:sz="1"/>
        </w:tblBorders>
      </w:tblPr>
      <w:tblGrid>
        <w:gridCol w:w="820"/>
        <w:gridCol w:w="1050"/>
        <w:gridCol w:w="1080"/>
        <w:gridCol w:w="1050"/>
        <w:gridCol w:w="1200"/>
        <w:gridCol w:w="720"/>
        <w:gridCol w:w="900"/>
        <w:gridCol w:w="820"/>
        <w:gridCol w:w="900"/>
        <w:gridCol w:w="1820"/>
      </w:tblGrid>
      <w:tr>
        <w:trPr>
          <w:tblHeader/>
        </w:trPr>
        <w:tc>
          <w:tcPr>
            <w:tcW w:type="dxa" w:w="820"/>
            <w:shd w:fill="1F3864" w:color="auto" w:val="clear"/>
            <w:tcMar>
              <w:top w:type="dxa" w:w="40"/>
              <w:left w:type="dxa" w:w="70"/>
              <w:bottom w:type="dxa" w:w="40"/>
              <w:right w:type="dxa" w:w="70"/>
            </w:tcMar>
          </w:tcPr>
          <w:p>
            <w:pPr>
              <w:spacing w:after="0" w:line="240"/>
              <w:jc w:val="left"/>
            </w:pPr>
            <w:r>
              <w:rPr>
                <w:b/>
                <w:bCs/>
                <w:color w:val="FFFFFF"/>
                <w:sz w:val="18"/>
                <w:szCs w:val="18"/>
              </w:rPr>
              <w:t xml:space="preserve">Date</w:t>
            </w:r>
          </w:p>
        </w:tc>
        <w:tc>
          <w:tcPr>
            <w:tcW w:type="dxa" w:w="1050"/>
            <w:shd w:fill="1F3864" w:color="auto" w:val="clear"/>
            <w:tcMar>
              <w:top w:type="dxa" w:w="40"/>
              <w:left w:type="dxa" w:w="70"/>
              <w:bottom w:type="dxa" w:w="40"/>
              <w:right w:type="dxa" w:w="70"/>
            </w:tcMar>
          </w:tcPr>
          <w:p>
            <w:pPr>
              <w:spacing w:after="0" w:line="240"/>
              <w:jc w:val="left"/>
            </w:pPr>
            <w:r>
              <w:rPr>
                <w:b/>
                <w:bCs/>
                <w:color w:val="FFFFFF"/>
                <w:sz w:val="18"/>
                <w:szCs w:val="18"/>
              </w:rPr>
              <w:t xml:space="preserve">Open</w:t>
            </w:r>
          </w:p>
        </w:tc>
        <w:tc>
          <w:tcPr>
            <w:tcW w:type="dxa" w:w="1080"/>
            <w:shd w:fill="1F3864" w:color="auto" w:val="clear"/>
            <w:tcMar>
              <w:top w:type="dxa" w:w="40"/>
              <w:left w:type="dxa" w:w="70"/>
              <w:bottom w:type="dxa" w:w="40"/>
              <w:right w:type="dxa" w:w="70"/>
            </w:tcMar>
          </w:tcPr>
          <w:p>
            <w:pPr>
              <w:spacing w:after="0" w:line="240"/>
              <w:jc w:val="left"/>
            </w:pPr>
            <w:r>
              <w:rPr>
                <w:b/>
                <w:bCs/>
                <w:color w:val="FFFFFF"/>
                <w:sz w:val="18"/>
                <w:szCs w:val="18"/>
              </w:rPr>
              <w:t xml:space="preserve">High</w:t>
            </w:r>
          </w:p>
        </w:tc>
        <w:tc>
          <w:tcPr>
            <w:tcW w:type="dxa" w:w="1050"/>
            <w:shd w:fill="1F3864" w:color="auto" w:val="clear"/>
            <w:tcMar>
              <w:top w:type="dxa" w:w="40"/>
              <w:left w:type="dxa" w:w="70"/>
              <w:bottom w:type="dxa" w:w="40"/>
              <w:right w:type="dxa" w:w="70"/>
            </w:tcMar>
          </w:tcPr>
          <w:p>
            <w:pPr>
              <w:spacing w:after="0" w:line="240"/>
              <w:jc w:val="left"/>
            </w:pPr>
            <w:r>
              <w:rPr>
                <w:b/>
                <w:bCs/>
                <w:color w:val="FFFFFF"/>
                <w:sz w:val="18"/>
                <w:szCs w:val="18"/>
              </w:rPr>
              <w:t xml:space="preserve">Low</w:t>
            </w:r>
          </w:p>
        </w:tc>
        <w:tc>
          <w:tcPr>
            <w:tcW w:type="dxa" w:w="1200"/>
            <w:shd w:fill="1F3864" w:color="auto" w:val="clear"/>
            <w:tcMar>
              <w:top w:type="dxa" w:w="40"/>
              <w:left w:type="dxa" w:w="70"/>
              <w:bottom w:type="dxa" w:w="40"/>
              <w:right w:type="dxa" w:w="70"/>
            </w:tcMar>
          </w:tcPr>
          <w:p>
            <w:pPr>
              <w:spacing w:after="0" w:line="240"/>
              <w:jc w:val="left"/>
            </w:pPr>
            <w:r>
              <w:rPr>
                <w:b/>
                <w:bCs/>
                <w:color w:val="FFFFFF"/>
                <w:sz w:val="18"/>
                <w:szCs w:val="18"/>
              </w:rPr>
              <w:t xml:space="preserve">Close</w:t>
            </w:r>
          </w:p>
        </w:tc>
        <w:tc>
          <w:tcPr>
            <w:tcW w:type="dxa" w:w="720"/>
            <w:shd w:fill="1F3864" w:color="auto" w:val="clear"/>
            <w:tcMar>
              <w:top w:type="dxa" w:w="40"/>
              <w:left w:type="dxa" w:w="70"/>
              <w:bottom w:type="dxa" w:w="40"/>
              <w:right w:type="dxa" w:w="70"/>
            </w:tcMar>
          </w:tcPr>
          <w:p>
            <w:pPr>
              <w:spacing w:after="0" w:line="240"/>
              <w:jc w:val="left"/>
            </w:pPr>
            <w:r>
              <w:rPr>
                <w:b/>
                <w:bCs/>
                <w:color w:val="FFFFFF"/>
                <w:sz w:val="18"/>
                <w:szCs w:val="18"/>
              </w:rPr>
              <w:t xml:space="preserve">RSI2</w:t>
            </w:r>
          </w:p>
        </w:tc>
        <w:tc>
          <w:tcPr>
            <w:tcW w:type="dxa" w:w="900"/>
            <w:shd w:fill="1F3864" w:color="auto" w:val="clear"/>
            <w:tcMar>
              <w:top w:type="dxa" w:w="40"/>
              <w:left w:type="dxa" w:w="70"/>
              <w:bottom w:type="dxa" w:w="40"/>
              <w:right w:type="dxa" w:w="70"/>
            </w:tcMar>
          </w:tcPr>
          <w:p>
            <w:pPr>
              <w:spacing w:after="0" w:line="240"/>
              <w:jc w:val="left"/>
            </w:pPr>
            <w:r>
              <w:rPr>
                <w:b/>
                <w:bCs/>
                <w:color w:val="FFFFFF"/>
                <w:sz w:val="18"/>
                <w:szCs w:val="18"/>
              </w:rPr>
              <w:t xml:space="preserve">Trend</w:t>
            </w:r>
          </w:p>
        </w:tc>
        <w:tc>
          <w:tcPr>
            <w:tcW w:type="dxa" w:w="820"/>
            <w:shd w:fill="1F3864" w:color="auto" w:val="clear"/>
            <w:tcMar>
              <w:top w:type="dxa" w:w="40"/>
              <w:left w:type="dxa" w:w="70"/>
              <w:bottom w:type="dxa" w:w="40"/>
              <w:right w:type="dxa" w:w="70"/>
            </w:tcMar>
          </w:tcPr>
          <w:p>
            <w:pPr>
              <w:spacing w:after="0" w:line="240"/>
              <w:jc w:val="left"/>
            </w:pPr>
            <w:r>
              <w:rPr>
                <w:b/>
                <w:bCs/>
                <w:color w:val="FFFFFF"/>
                <w:sz w:val="18"/>
                <w:szCs w:val="18"/>
              </w:rPr>
              <w:t xml:space="preserve">Src A</w:t>
            </w:r>
          </w:p>
        </w:tc>
        <w:tc>
          <w:tcPr>
            <w:tcW w:type="dxa" w:w="900"/>
            <w:shd w:fill="1F3864" w:color="auto" w:val="clear"/>
            <w:tcMar>
              <w:top w:type="dxa" w:w="40"/>
              <w:left w:type="dxa" w:w="70"/>
              <w:bottom w:type="dxa" w:w="40"/>
              <w:right w:type="dxa" w:w="70"/>
            </w:tcMar>
          </w:tcPr>
          <w:p>
            <w:pPr>
              <w:spacing w:after="0" w:line="240"/>
              <w:jc w:val="left"/>
            </w:pPr>
            <w:r>
              <w:rPr>
                <w:b/>
                <w:bCs/>
                <w:color w:val="FFFFFF"/>
                <w:sz w:val="18"/>
                <w:szCs w:val="18"/>
              </w:rPr>
              <w:t xml:space="preserve">Src B</w:t>
            </w:r>
          </w:p>
        </w:tc>
        <w:tc>
          <w:tcPr>
            <w:tcW w:type="dxa" w:w="1820"/>
            <w:shd w:fill="1F3864" w:color="auto" w:val="clear"/>
            <w:tcMar>
              <w:top w:type="dxa" w:w="40"/>
              <w:left w:type="dxa" w:w="70"/>
              <w:bottom w:type="dxa" w:w="40"/>
              <w:right w:type="dxa" w:w="70"/>
            </w:tcMar>
          </w:tcPr>
          <w:p>
            <w:pPr>
              <w:spacing w:after="0" w:line="240"/>
              <w:jc w:val="left"/>
            </w:pPr>
            <w:r>
              <w:rPr>
                <w:b/>
                <w:bCs/>
                <w:color w:val="FFFFFF"/>
                <w:sz w:val="18"/>
                <w:szCs w:val="18"/>
              </w:rPr>
              <w:t xml:space="preserve">Validation</w:t>
            </w:r>
          </w:p>
        </w:tc>
      </w:tr>
      <w:tr>
        <w:tc>
          <w:tcPr>
            <w:tcW w:type="dxa" w:w="820"/>
            <w:shd w:fill="FFFFFF" w:color="auto" w:val="clear"/>
            <w:tcMar>
              <w:top w:type="dxa" w:w="40"/>
              <w:left w:type="dxa" w:w="70"/>
              <w:bottom w:type="dxa" w:w="40"/>
              <w:right w:type="dxa" w:w="70"/>
            </w:tcMar>
          </w:tcPr>
          <w:p>
            <w:pPr>
              <w:spacing w:after="0" w:line="240"/>
              <w:jc w:val="left"/>
            </w:pPr>
            <w:r>
              <w:rPr>
                <w:sz w:val="18"/>
                <w:szCs w:val="18"/>
              </w:rPr>
              <w:t xml:space="preserve">24 Jun</w:t>
            </w:r>
          </w:p>
        </w:tc>
        <w:tc>
          <w:tcPr>
            <w:tcW w:type="dxa" w:w="1050"/>
            <w:shd w:fill="FFFFFF" w:color="auto" w:val="clear"/>
            <w:tcMar>
              <w:top w:type="dxa" w:w="40"/>
              <w:left w:type="dxa" w:w="70"/>
              <w:bottom w:type="dxa" w:w="40"/>
              <w:right w:type="dxa" w:w="70"/>
            </w:tcMar>
          </w:tcPr>
          <w:p>
            <w:pPr>
              <w:spacing w:after="0" w:line="240"/>
              <w:jc w:val="left"/>
            </w:pPr>
            <w:r>
              <w:rPr>
                <w:sz w:val="18"/>
                <w:szCs w:val="18"/>
              </w:rPr>
              <w:t xml:space="preserve">10,455</w:t>
            </w:r>
          </w:p>
        </w:tc>
        <w:tc>
          <w:tcPr>
            <w:tcW w:type="dxa" w:w="1080"/>
            <w:shd w:fill="FFFFFF" w:color="auto" w:val="clear"/>
            <w:tcMar>
              <w:top w:type="dxa" w:w="40"/>
              <w:left w:type="dxa" w:w="70"/>
              <w:bottom w:type="dxa" w:w="40"/>
              <w:right w:type="dxa" w:w="70"/>
            </w:tcMar>
          </w:tcPr>
          <w:p>
            <w:pPr>
              <w:spacing w:after="0" w:line="240"/>
              <w:jc w:val="left"/>
            </w:pPr>
            <w:r>
              <w:rPr>
                <w:sz w:val="18"/>
                <w:szCs w:val="18"/>
              </w:rPr>
              <w:t xml:space="preserve">10,520</w:t>
            </w:r>
          </w:p>
        </w:tc>
        <w:tc>
          <w:tcPr>
            <w:tcW w:type="dxa" w:w="1050"/>
            <w:shd w:fill="FFFFFF" w:color="auto" w:val="clear"/>
            <w:tcMar>
              <w:top w:type="dxa" w:w="40"/>
              <w:left w:type="dxa" w:w="70"/>
              <w:bottom w:type="dxa" w:w="40"/>
              <w:right w:type="dxa" w:w="70"/>
            </w:tcMar>
          </w:tcPr>
          <w:p>
            <w:pPr>
              <w:spacing w:after="0" w:line="240"/>
              <w:jc w:val="left"/>
            </w:pPr>
            <w:r>
              <w:rPr>
                <w:sz w:val="18"/>
                <w:szCs w:val="18"/>
              </w:rPr>
              <w:t xml:space="preserve">10,440</w:t>
            </w:r>
          </w:p>
        </w:tc>
        <w:tc>
          <w:tcPr>
            <w:tcW w:type="dxa" w:w="1200"/>
            <w:tcMar>
              <w:top w:type="dxa" w:w="40"/>
              <w:left w:type="dxa" w:w="70"/>
              <w:bottom w:type="dxa" w:w="40"/>
              <w:right w:type="dxa" w:w="70"/>
            </w:tcMar>
          </w:tcPr>
          <w:p>
            <w:pPr>
              <w:spacing w:after="0" w:line="240"/>
              <w:jc w:val="left"/>
            </w:pPr>
            <w:r>
              <w:rPr>
                <w:b/>
                <w:bCs/>
              </w:rPr>
              <w:t xml:space="preserve">10,515</w:t>
            </w:r>
          </w:p>
        </w:tc>
        <w:tc>
          <w:tcPr>
            <w:tcW w:type="dxa" w:w="720"/>
            <w:shd w:fill="FFFFFF" w:color="auto" w:val="clear"/>
            <w:tcMar>
              <w:top w:type="dxa" w:w="40"/>
              <w:left w:type="dxa" w:w="70"/>
              <w:bottom w:type="dxa" w:w="40"/>
              <w:right w:type="dxa" w:w="70"/>
            </w:tcMar>
          </w:tcPr>
          <w:p>
            <w:pPr>
              <w:spacing w:after="0" w:line="240"/>
              <w:jc w:val="left"/>
            </w:pPr>
            <w:r>
              <w:rPr>
                <w:sz w:val="18"/>
                <w:szCs w:val="18"/>
              </w:rPr>
              <w:t xml:space="preserve">100.0</w:t>
            </w:r>
          </w:p>
        </w:tc>
        <w:tc>
          <w:tcPr>
            <w:tcW w:type="dxa" w:w="900"/>
            <w:tcMar>
              <w:top w:type="dxa" w:w="40"/>
              <w:left w:type="dxa" w:w="70"/>
              <w:bottom w:type="dxa" w:w="40"/>
              <w:right w:type="dxa" w:w="70"/>
            </w:tcMar>
          </w:tcPr>
          <w:p>
            <w:pPr>
              <w:spacing w:after="0" w:line="240"/>
              <w:jc w:val="left"/>
            </w:pPr>
            <w:r>
              <w:rPr>
                <w:color w:val="1E6B34"/>
              </w:rPr>
              <w:t xml:space="preserve">Bullish</w:t>
            </w:r>
          </w:p>
        </w:tc>
        <w:tc>
          <w:tcPr>
            <w:tcW w:type="dxa" w:w="820"/>
            <w:shd w:fill="FFFFFF" w:color="auto" w:val="clear"/>
            <w:tcMar>
              <w:top w:type="dxa" w:w="40"/>
              <w:left w:type="dxa" w:w="70"/>
              <w:bottom w:type="dxa" w:w="40"/>
              <w:right w:type="dxa" w:w="70"/>
            </w:tcMar>
          </w:tcPr>
          <w:p>
            <w:pPr>
              <w:spacing w:after="0" w:line="240"/>
              <w:jc w:val="left"/>
            </w:pPr>
            <w:r>
              <w:rPr>
                <w:sz w:val="18"/>
                <w:szCs w:val="18"/>
              </w:rPr>
              <w:t xml:space="preserve">Yahoo</w:t>
            </w:r>
          </w:p>
        </w:tc>
        <w:tc>
          <w:tcPr>
            <w:tcW w:type="dxa" w:w="900"/>
            <w:shd w:fill="FFFFFF" w:color="auto" w:val="clear"/>
            <w:tcMar>
              <w:top w:type="dxa" w:w="40"/>
              <w:left w:type="dxa" w:w="70"/>
              <w:bottom w:type="dxa" w:w="40"/>
              <w:right w:type="dxa" w:w="70"/>
            </w:tcMar>
          </w:tcPr>
          <w:p>
            <w:pPr>
              <w:spacing w:after="0" w:line="240"/>
              <w:jc w:val="left"/>
            </w:pPr>
            <w:r>
              <w:rPr>
                <w:sz w:val="18"/>
                <w:szCs w:val="18"/>
              </w:rPr>
              <w:t xml:space="preserve">—</w:t>
            </w:r>
          </w:p>
        </w:tc>
        <w:tc>
          <w:tcPr>
            <w:tcW w:type="dxa" w:w="1820"/>
            <w:shd w:fill="FCF3E3" w:color="auto" w:val="clear"/>
            <w:tcMar>
              <w:top w:type="dxa" w:w="40"/>
              <w:left w:type="dxa" w:w="70"/>
              <w:bottom w:type="dxa" w:w="40"/>
              <w:right w:type="dxa" w:w="70"/>
            </w:tcMar>
          </w:tcPr>
          <w:p>
            <w:pPr>
              <w:spacing w:after="0" w:line="240"/>
              <w:jc w:val="left"/>
            </w:pPr>
            <w:r>
              <w:t xml:space="preserve">SINGLE-SRC (indicative)</w:t>
            </w:r>
          </w:p>
        </w:tc>
      </w:tr>
      <w:tr>
        <w:tc>
          <w:tcPr>
            <w:tcW w:type="dxa" w:w="820"/>
            <w:shd w:fill="F2F4F8" w:color="auto" w:val="clear"/>
            <w:tcMar>
              <w:top w:type="dxa" w:w="40"/>
              <w:left w:type="dxa" w:w="70"/>
              <w:bottom w:type="dxa" w:w="40"/>
              <w:right w:type="dxa" w:w="70"/>
            </w:tcMar>
          </w:tcPr>
          <w:p>
            <w:pPr>
              <w:spacing w:after="0" w:line="240"/>
              <w:jc w:val="left"/>
            </w:pPr>
            <w:r>
              <w:rPr>
                <w:sz w:val="18"/>
                <w:szCs w:val="18"/>
              </w:rPr>
              <w:t xml:space="preserve">25 Jun</w:t>
            </w:r>
          </w:p>
        </w:tc>
        <w:tc>
          <w:tcPr>
            <w:tcW w:type="dxa" w:w="1050"/>
            <w:shd w:fill="F2F4F8" w:color="auto" w:val="clear"/>
            <w:tcMar>
              <w:top w:type="dxa" w:w="40"/>
              <w:left w:type="dxa" w:w="70"/>
              <w:bottom w:type="dxa" w:w="40"/>
              <w:right w:type="dxa" w:w="70"/>
            </w:tcMar>
          </w:tcPr>
          <w:p>
            <w:pPr>
              <w:spacing w:after="0" w:line="240"/>
              <w:jc w:val="left"/>
            </w:pPr>
            <w:r>
              <w:rPr>
                <w:sz w:val="18"/>
                <w:szCs w:val="18"/>
              </w:rPr>
              <w:t xml:space="preserve">10,515</w:t>
            </w:r>
          </w:p>
        </w:tc>
        <w:tc>
          <w:tcPr>
            <w:tcW w:type="dxa" w:w="1080"/>
            <w:shd w:fill="F2F4F8" w:color="auto" w:val="clear"/>
            <w:tcMar>
              <w:top w:type="dxa" w:w="40"/>
              <w:left w:type="dxa" w:w="70"/>
              <w:bottom w:type="dxa" w:w="40"/>
              <w:right w:type="dxa" w:w="70"/>
            </w:tcMar>
          </w:tcPr>
          <w:p>
            <w:pPr>
              <w:spacing w:after="0" w:line="240"/>
              <w:jc w:val="left"/>
            </w:pPr>
            <w:r>
              <w:rPr>
                <w:sz w:val="18"/>
                <w:szCs w:val="18"/>
              </w:rPr>
              <w:t xml:space="preserve">10,535</w:t>
            </w:r>
          </w:p>
        </w:tc>
        <w:tc>
          <w:tcPr>
            <w:tcW w:type="dxa" w:w="1050"/>
            <w:shd w:fill="F2F4F8" w:color="auto" w:val="clear"/>
            <w:tcMar>
              <w:top w:type="dxa" w:w="40"/>
              <w:left w:type="dxa" w:w="70"/>
              <w:bottom w:type="dxa" w:w="40"/>
              <w:right w:type="dxa" w:w="70"/>
            </w:tcMar>
          </w:tcPr>
          <w:p>
            <w:pPr>
              <w:spacing w:after="0" w:line="240"/>
              <w:jc w:val="left"/>
            </w:pPr>
            <w:r>
              <w:rPr>
                <w:sz w:val="18"/>
                <w:szCs w:val="18"/>
              </w:rPr>
              <w:t xml:space="preserve">10,395</w:t>
            </w:r>
          </w:p>
        </w:tc>
        <w:tc>
          <w:tcPr>
            <w:tcW w:type="dxa" w:w="1200"/>
            <w:tcMar>
              <w:top w:type="dxa" w:w="40"/>
              <w:left w:type="dxa" w:w="70"/>
              <w:bottom w:type="dxa" w:w="40"/>
              <w:right w:type="dxa" w:w="70"/>
            </w:tcMar>
          </w:tcPr>
          <w:p>
            <w:pPr>
              <w:spacing w:after="0" w:line="240"/>
              <w:jc w:val="left"/>
            </w:pPr>
            <w:r>
              <w:rPr>
                <w:b/>
                <w:bCs/>
              </w:rPr>
              <w:t xml:space="preserve">10,405</w:t>
            </w:r>
          </w:p>
        </w:tc>
        <w:tc>
          <w:tcPr>
            <w:tcW w:type="dxa" w:w="720"/>
            <w:shd w:fill="F2F4F8" w:color="auto" w:val="clear"/>
            <w:tcMar>
              <w:top w:type="dxa" w:w="40"/>
              <w:left w:type="dxa" w:w="70"/>
              <w:bottom w:type="dxa" w:w="40"/>
              <w:right w:type="dxa" w:w="70"/>
            </w:tcMar>
          </w:tcPr>
          <w:p>
            <w:pPr>
              <w:spacing w:after="0" w:line="240"/>
              <w:jc w:val="left"/>
            </w:pPr>
            <w:r>
              <w:rPr>
                <w:sz w:val="18"/>
                <w:szCs w:val="18"/>
              </w:rPr>
              <w:t xml:space="preserve">37.9</w:t>
            </w:r>
          </w:p>
        </w:tc>
        <w:tc>
          <w:tcPr>
            <w:tcW w:type="dxa" w:w="900"/>
            <w:tcMar>
              <w:top w:type="dxa" w:w="40"/>
              <w:left w:type="dxa" w:w="70"/>
              <w:bottom w:type="dxa" w:w="40"/>
              <w:right w:type="dxa" w:w="70"/>
            </w:tcMar>
          </w:tcPr>
          <w:p>
            <w:pPr>
              <w:spacing w:after="0" w:line="240"/>
              <w:jc w:val="left"/>
            </w:pPr>
            <w:r>
              <w:rPr>
                <w:color w:val="C62828"/>
              </w:rPr>
              <w:t xml:space="preserve">Bearish</w:t>
            </w:r>
          </w:p>
        </w:tc>
        <w:tc>
          <w:tcPr>
            <w:tcW w:type="dxa" w:w="820"/>
            <w:shd w:fill="F2F4F8" w:color="auto" w:val="clear"/>
            <w:tcMar>
              <w:top w:type="dxa" w:w="40"/>
              <w:left w:type="dxa" w:w="70"/>
              <w:bottom w:type="dxa" w:w="40"/>
              <w:right w:type="dxa" w:w="70"/>
            </w:tcMar>
          </w:tcPr>
          <w:p>
            <w:pPr>
              <w:spacing w:after="0" w:line="240"/>
              <w:jc w:val="left"/>
            </w:pPr>
            <w:r>
              <w:rPr>
                <w:sz w:val="18"/>
                <w:szCs w:val="18"/>
              </w:rPr>
              <w:t xml:space="preserve">Yahoo</w:t>
            </w:r>
          </w:p>
        </w:tc>
        <w:tc>
          <w:tcPr>
            <w:tcW w:type="dxa" w:w="900"/>
            <w:shd w:fill="F2F4F8" w:color="auto" w:val="clear"/>
            <w:tcMar>
              <w:top w:type="dxa" w:w="40"/>
              <w:left w:type="dxa" w:w="70"/>
              <w:bottom w:type="dxa" w:w="40"/>
              <w:right w:type="dxa" w:w="70"/>
            </w:tcMar>
          </w:tcPr>
          <w:p>
            <w:pPr>
              <w:spacing w:after="0" w:line="240"/>
              <w:jc w:val="left"/>
            </w:pPr>
            <w:r>
              <w:rPr>
                <w:sz w:val="18"/>
                <w:szCs w:val="18"/>
              </w:rPr>
              <w:t xml:space="preserve">—</w:t>
            </w:r>
          </w:p>
        </w:tc>
        <w:tc>
          <w:tcPr>
            <w:tcW w:type="dxa" w:w="1820"/>
            <w:shd w:fill="FCF3E3" w:color="auto" w:val="clear"/>
            <w:tcMar>
              <w:top w:type="dxa" w:w="40"/>
              <w:left w:type="dxa" w:w="70"/>
              <w:bottom w:type="dxa" w:w="40"/>
              <w:right w:type="dxa" w:w="70"/>
            </w:tcMar>
          </w:tcPr>
          <w:p>
            <w:pPr>
              <w:spacing w:after="0" w:line="240"/>
              <w:jc w:val="left"/>
            </w:pPr>
            <w:r>
              <w:t xml:space="preserve">SINGLE-SRC (indicative)</w:t>
            </w:r>
          </w:p>
        </w:tc>
      </w:tr>
      <w:tr>
        <w:tc>
          <w:tcPr>
            <w:tcW w:type="dxa" w:w="820"/>
            <w:shd w:fill="FFFFFF" w:color="auto" w:val="clear"/>
            <w:tcMar>
              <w:top w:type="dxa" w:w="40"/>
              <w:left w:type="dxa" w:w="70"/>
              <w:bottom w:type="dxa" w:w="40"/>
              <w:right w:type="dxa" w:w="70"/>
            </w:tcMar>
          </w:tcPr>
          <w:p>
            <w:pPr>
              <w:spacing w:after="0" w:line="240"/>
              <w:jc w:val="left"/>
            </w:pPr>
            <w:r>
              <w:rPr>
                <w:sz w:val="18"/>
                <w:szCs w:val="18"/>
              </w:rPr>
              <w:t xml:space="preserve">26 Jun</w:t>
            </w:r>
          </w:p>
        </w:tc>
        <w:tc>
          <w:tcPr>
            <w:tcW w:type="dxa" w:w="1050"/>
            <w:shd w:fill="FFFFFF" w:color="auto" w:val="clear"/>
            <w:tcMar>
              <w:top w:type="dxa" w:w="40"/>
              <w:left w:type="dxa" w:w="70"/>
              <w:bottom w:type="dxa" w:w="40"/>
              <w:right w:type="dxa" w:w="70"/>
            </w:tcMar>
          </w:tcPr>
          <w:p>
            <w:pPr>
              <w:spacing w:after="0" w:line="240"/>
              <w:jc w:val="left"/>
            </w:pPr>
            <w:r>
              <w:rPr>
                <w:sz w:val="18"/>
                <w:szCs w:val="18"/>
              </w:rPr>
              <w:t xml:space="preserve">10,405</w:t>
            </w:r>
          </w:p>
        </w:tc>
        <w:tc>
          <w:tcPr>
            <w:tcW w:type="dxa" w:w="1080"/>
            <w:shd w:fill="FFFFFF" w:color="auto" w:val="clear"/>
            <w:tcMar>
              <w:top w:type="dxa" w:w="40"/>
              <w:left w:type="dxa" w:w="70"/>
              <w:bottom w:type="dxa" w:w="40"/>
              <w:right w:type="dxa" w:w="70"/>
            </w:tcMar>
          </w:tcPr>
          <w:p>
            <w:pPr>
              <w:spacing w:after="0" w:line="240"/>
              <w:jc w:val="left"/>
            </w:pPr>
            <w:r>
              <w:rPr>
                <w:sz w:val="18"/>
                <w:szCs w:val="18"/>
              </w:rPr>
              <w:t xml:space="preserve">10,470</w:t>
            </w:r>
          </w:p>
        </w:tc>
        <w:tc>
          <w:tcPr>
            <w:tcW w:type="dxa" w:w="1050"/>
            <w:shd w:fill="FFFFFF" w:color="auto" w:val="clear"/>
            <w:tcMar>
              <w:top w:type="dxa" w:w="40"/>
              <w:left w:type="dxa" w:w="70"/>
              <w:bottom w:type="dxa" w:w="40"/>
              <w:right w:type="dxa" w:w="70"/>
            </w:tcMar>
          </w:tcPr>
          <w:p>
            <w:pPr>
              <w:spacing w:after="0" w:line="240"/>
              <w:jc w:val="left"/>
            </w:pPr>
            <w:r>
              <w:rPr>
                <w:sz w:val="18"/>
                <w:szCs w:val="18"/>
              </w:rPr>
              <w:t xml:space="preserve">10,395</w:t>
            </w:r>
          </w:p>
        </w:tc>
        <w:tc>
          <w:tcPr>
            <w:tcW w:type="dxa" w:w="1200"/>
            <w:tcMar>
              <w:top w:type="dxa" w:w="40"/>
              <w:left w:type="dxa" w:w="70"/>
              <w:bottom w:type="dxa" w:w="40"/>
              <w:right w:type="dxa" w:w="70"/>
            </w:tcMar>
          </w:tcPr>
          <w:p>
            <w:pPr>
              <w:spacing w:after="0" w:line="240"/>
              <w:jc w:val="left"/>
            </w:pPr>
            <w:r>
              <w:rPr>
                <w:b/>
                <w:bCs/>
              </w:rPr>
              <w:t xml:space="preserve">10,412.70</w:t>
            </w:r>
          </w:p>
        </w:tc>
        <w:tc>
          <w:tcPr>
            <w:tcW w:type="dxa" w:w="720"/>
            <w:shd w:fill="FFFFFF" w:color="auto" w:val="clear"/>
            <w:tcMar>
              <w:top w:type="dxa" w:w="40"/>
              <w:left w:type="dxa" w:w="70"/>
              <w:bottom w:type="dxa" w:w="40"/>
              <w:right w:type="dxa" w:w="70"/>
            </w:tcMar>
          </w:tcPr>
          <w:p>
            <w:pPr>
              <w:spacing w:after="0" w:line="240"/>
              <w:jc w:val="left"/>
            </w:pPr>
            <w:r>
              <w:rPr>
                <w:sz w:val="18"/>
                <w:szCs w:val="18"/>
              </w:rPr>
              <w:t xml:space="preserve">6.5</w:t>
            </w:r>
          </w:p>
        </w:tc>
        <w:tc>
          <w:tcPr>
            <w:tcW w:type="dxa" w:w="900"/>
            <w:tcMar>
              <w:top w:type="dxa" w:w="40"/>
              <w:left w:type="dxa" w:w="70"/>
              <w:bottom w:type="dxa" w:w="40"/>
              <w:right w:type="dxa" w:w="70"/>
            </w:tcMar>
          </w:tcPr>
          <w:p>
            <w:pPr>
              <w:spacing w:after="0" w:line="240"/>
              <w:jc w:val="left"/>
            </w:pPr>
            <w:r>
              <w:t xml:space="preserve">Neutral</w:t>
            </w:r>
          </w:p>
        </w:tc>
        <w:tc>
          <w:tcPr>
            <w:tcW w:type="dxa" w:w="820"/>
            <w:shd w:fill="FFFFFF" w:color="auto" w:val="clear"/>
            <w:tcMar>
              <w:top w:type="dxa" w:w="40"/>
              <w:left w:type="dxa" w:w="70"/>
              <w:bottom w:type="dxa" w:w="40"/>
              <w:right w:type="dxa" w:w="70"/>
            </w:tcMar>
          </w:tcPr>
          <w:p>
            <w:pPr>
              <w:spacing w:after="0" w:line="240"/>
              <w:jc w:val="left"/>
            </w:pPr>
            <w:r>
              <w:rPr>
                <w:sz w:val="18"/>
                <w:szCs w:val="18"/>
              </w:rPr>
              <w:t xml:space="preserve">Yahoo</w:t>
            </w:r>
          </w:p>
        </w:tc>
        <w:tc>
          <w:tcPr>
            <w:tcW w:type="dxa" w:w="900"/>
            <w:shd w:fill="FFFFFF" w:color="auto" w:val="clear"/>
            <w:tcMar>
              <w:top w:type="dxa" w:w="40"/>
              <w:left w:type="dxa" w:w="70"/>
              <w:bottom w:type="dxa" w:w="40"/>
              <w:right w:type="dxa" w:w="70"/>
            </w:tcMar>
          </w:tcPr>
          <w:p>
            <w:pPr>
              <w:spacing w:after="0" w:line="240"/>
              <w:jc w:val="left"/>
            </w:pPr>
            <w:r>
              <w:rPr>
                <w:sz w:val="18"/>
                <w:szCs w:val="18"/>
              </w:rPr>
              <w:t xml:space="preserve">Investing</w:t>
            </w:r>
          </w:p>
        </w:tc>
        <w:tc>
          <w:tcPr>
            <w:tcW w:type="dxa" w:w="1820"/>
            <w:shd w:fill="E7F2EA" w:color="auto" w:val="clear"/>
            <w:tcMar>
              <w:top w:type="dxa" w:w="40"/>
              <w:left w:type="dxa" w:w="70"/>
              <w:bottom w:type="dxa" w:w="40"/>
              <w:right w:type="dxa" w:w="70"/>
            </w:tcMar>
          </w:tcPr>
          <w:p>
            <w:pPr>
              <w:spacing w:after="0" w:line="240"/>
              <w:jc w:val="left"/>
            </w:pPr>
            <w:r>
              <w:t xml:space="preserve">CORROBORATED Δ&lt;0.1</w:t>
            </w:r>
          </w:p>
        </w:tc>
      </w:tr>
      <w:tr>
        <w:tc>
          <w:tcPr>
            <w:tcW w:type="dxa" w:w="820"/>
            <w:shd w:fill="F2F4F8" w:color="auto" w:val="clear"/>
            <w:tcMar>
              <w:top w:type="dxa" w:w="40"/>
              <w:left w:type="dxa" w:w="70"/>
              <w:bottom w:type="dxa" w:w="40"/>
              <w:right w:type="dxa" w:w="70"/>
            </w:tcMar>
          </w:tcPr>
          <w:p>
            <w:pPr>
              <w:spacing w:after="0" w:line="240"/>
              <w:jc w:val="left"/>
            </w:pPr>
            <w:r>
              <w:rPr>
                <w:sz w:val="18"/>
                <w:szCs w:val="18"/>
              </w:rPr>
              <w:t xml:space="preserve">29 Jun</w:t>
            </w:r>
          </w:p>
        </w:tc>
        <w:tc>
          <w:tcPr>
            <w:tcW w:type="dxa" w:w="1050"/>
            <w:shd w:fill="F2F4F8" w:color="auto" w:val="clear"/>
            <w:tcMar>
              <w:top w:type="dxa" w:w="40"/>
              <w:left w:type="dxa" w:w="70"/>
              <w:bottom w:type="dxa" w:w="40"/>
              <w:right w:type="dxa" w:w="70"/>
            </w:tcMar>
          </w:tcPr>
          <w:p>
            <w:pPr>
              <w:spacing w:after="0" w:line="240"/>
              <w:jc w:val="left"/>
            </w:pPr>
            <w:r>
              <w:rPr>
                <w:sz w:val="18"/>
                <w:szCs w:val="18"/>
              </w:rPr>
              <w:t xml:space="preserve">10,484.31</w:t>
            </w:r>
          </w:p>
        </w:tc>
        <w:tc>
          <w:tcPr>
            <w:tcW w:type="dxa" w:w="1080"/>
            <w:shd w:fill="F2F4F8" w:color="auto" w:val="clear"/>
            <w:tcMar>
              <w:top w:type="dxa" w:w="40"/>
              <w:left w:type="dxa" w:w="70"/>
              <w:bottom w:type="dxa" w:w="40"/>
              <w:right w:type="dxa" w:w="70"/>
            </w:tcMar>
          </w:tcPr>
          <w:p>
            <w:pPr>
              <w:spacing w:after="0" w:line="240"/>
              <w:jc w:val="left"/>
            </w:pPr>
            <w:r>
              <w:rPr>
                <w:sz w:val="18"/>
                <w:szCs w:val="18"/>
              </w:rPr>
              <w:t xml:space="preserve">10,520</w:t>
            </w:r>
          </w:p>
        </w:tc>
        <w:tc>
          <w:tcPr>
            <w:tcW w:type="dxa" w:w="1050"/>
            <w:shd w:fill="F2F4F8" w:color="auto" w:val="clear"/>
            <w:tcMar>
              <w:top w:type="dxa" w:w="40"/>
              <w:left w:type="dxa" w:w="70"/>
              <w:bottom w:type="dxa" w:w="40"/>
              <w:right w:type="dxa" w:w="70"/>
            </w:tcMar>
          </w:tcPr>
          <w:p>
            <w:pPr>
              <w:spacing w:after="0" w:line="240"/>
              <w:jc w:val="left"/>
            </w:pPr>
            <w:r>
              <w:rPr>
                <w:sz w:val="18"/>
                <w:szCs w:val="18"/>
              </w:rPr>
              <w:t xml:space="preserve">10,470</w:t>
            </w:r>
          </w:p>
        </w:tc>
        <w:tc>
          <w:tcPr>
            <w:tcW w:type="dxa" w:w="1200"/>
            <w:tcMar>
              <w:top w:type="dxa" w:w="40"/>
              <w:left w:type="dxa" w:w="70"/>
              <w:bottom w:type="dxa" w:w="40"/>
              <w:right w:type="dxa" w:w="70"/>
            </w:tcMar>
          </w:tcPr>
          <w:p>
            <w:pPr>
              <w:spacing w:after="0" w:line="240"/>
              <w:jc w:val="left"/>
            </w:pPr>
            <w:r>
              <w:rPr>
                <w:b/>
                <w:bCs/>
              </w:rPr>
              <w:t xml:space="preserve">10,484.22</w:t>
            </w:r>
          </w:p>
        </w:tc>
        <w:tc>
          <w:tcPr>
            <w:tcW w:type="dxa" w:w="720"/>
            <w:shd w:fill="F2F4F8" w:color="auto" w:val="clear"/>
            <w:tcMar>
              <w:top w:type="dxa" w:w="40"/>
              <w:left w:type="dxa" w:w="70"/>
              <w:bottom w:type="dxa" w:w="40"/>
              <w:right w:type="dxa" w:w="70"/>
            </w:tcMar>
          </w:tcPr>
          <w:p>
            <w:pPr>
              <w:spacing w:after="0" w:line="240"/>
              <w:jc w:val="left"/>
            </w:pPr>
            <w:r>
              <w:rPr>
                <w:sz w:val="18"/>
                <w:szCs w:val="18"/>
              </w:rPr>
              <w:t xml:space="preserve">100.0</w:t>
            </w:r>
          </w:p>
        </w:tc>
        <w:tc>
          <w:tcPr>
            <w:tcW w:type="dxa" w:w="900"/>
            <w:tcMar>
              <w:top w:type="dxa" w:w="40"/>
              <w:left w:type="dxa" w:w="70"/>
              <w:bottom w:type="dxa" w:w="40"/>
              <w:right w:type="dxa" w:w="70"/>
            </w:tcMar>
          </w:tcPr>
          <w:p>
            <w:pPr>
              <w:spacing w:after="0" w:line="240"/>
              <w:jc w:val="left"/>
            </w:pPr>
            <w:r>
              <w:t xml:space="preserve">Neutral</w:t>
            </w:r>
          </w:p>
        </w:tc>
        <w:tc>
          <w:tcPr>
            <w:tcW w:type="dxa" w:w="820"/>
            <w:shd w:fill="F2F4F8" w:color="auto" w:val="clear"/>
            <w:tcMar>
              <w:top w:type="dxa" w:w="40"/>
              <w:left w:type="dxa" w:w="70"/>
              <w:bottom w:type="dxa" w:w="40"/>
              <w:right w:type="dxa" w:w="70"/>
            </w:tcMar>
          </w:tcPr>
          <w:p>
            <w:pPr>
              <w:spacing w:after="0" w:line="240"/>
              <w:jc w:val="left"/>
            </w:pPr>
            <w:r>
              <w:rPr>
                <w:sz w:val="18"/>
                <w:szCs w:val="18"/>
              </w:rPr>
              <w:t xml:space="preserve">Yahoo</w:t>
            </w:r>
          </w:p>
        </w:tc>
        <w:tc>
          <w:tcPr>
            <w:tcW w:type="dxa" w:w="900"/>
            <w:shd w:fill="F2F4F8" w:color="auto" w:val="clear"/>
            <w:tcMar>
              <w:top w:type="dxa" w:w="40"/>
              <w:left w:type="dxa" w:w="70"/>
              <w:bottom w:type="dxa" w:w="40"/>
              <w:right w:type="dxa" w:w="70"/>
            </w:tcMar>
          </w:tcPr>
          <w:p>
            <w:pPr>
              <w:spacing w:after="0" w:line="240"/>
              <w:jc w:val="left"/>
            </w:pPr>
            <w:r>
              <w:rPr>
                <w:sz w:val="18"/>
                <w:szCs w:val="18"/>
              </w:rPr>
              <w:t xml:space="preserve">Investing</w:t>
            </w:r>
          </w:p>
        </w:tc>
        <w:tc>
          <w:tcPr>
            <w:tcW w:type="dxa" w:w="1820"/>
            <w:shd w:fill="E7F2EA" w:color="auto" w:val="clear"/>
            <w:tcMar>
              <w:top w:type="dxa" w:w="40"/>
              <w:left w:type="dxa" w:w="70"/>
              <w:bottom w:type="dxa" w:w="40"/>
              <w:right w:type="dxa" w:w="70"/>
            </w:tcMar>
          </w:tcPr>
          <w:p>
            <w:pPr>
              <w:spacing w:after="0" w:line="240"/>
              <w:jc w:val="left"/>
            </w:pPr>
            <w:r>
              <w:t xml:space="preserve">CORROBORATED Δ&lt;0.1</w:t>
            </w:r>
          </w:p>
        </w:tc>
      </w:tr>
      <w:tr>
        <w:tc>
          <w:tcPr>
            <w:tcW w:type="dxa" w:w="820"/>
            <w:shd w:fill="FFFFFF" w:color="auto" w:val="clear"/>
            <w:tcMar>
              <w:top w:type="dxa" w:w="40"/>
              <w:left w:type="dxa" w:w="70"/>
              <w:bottom w:type="dxa" w:w="40"/>
              <w:right w:type="dxa" w:w="70"/>
            </w:tcMar>
          </w:tcPr>
          <w:p>
            <w:pPr>
              <w:spacing w:after="0" w:line="240"/>
              <w:jc w:val="left"/>
            </w:pPr>
            <w:r>
              <w:rPr>
                <w:sz w:val="18"/>
                <w:szCs w:val="18"/>
              </w:rPr>
              <w:t xml:space="preserve">30 Jun</w:t>
            </w:r>
          </w:p>
        </w:tc>
        <w:tc>
          <w:tcPr>
            <w:tcW w:type="dxa" w:w="1050"/>
            <w:shd w:fill="FFFFFF" w:color="auto" w:val="clear"/>
            <w:tcMar>
              <w:top w:type="dxa" w:w="40"/>
              <w:left w:type="dxa" w:w="70"/>
              <w:bottom w:type="dxa" w:w="40"/>
              <w:right w:type="dxa" w:w="70"/>
            </w:tcMar>
          </w:tcPr>
          <w:p>
            <w:pPr>
              <w:spacing w:after="0" w:line="240"/>
              <w:jc w:val="left"/>
            </w:pPr>
            <w:r>
              <w:rPr>
                <w:sz w:val="18"/>
                <w:szCs w:val="18"/>
              </w:rPr>
              <w:t xml:space="preserve">10,484.31</w:t>
            </w:r>
          </w:p>
        </w:tc>
        <w:tc>
          <w:tcPr>
            <w:tcW w:type="dxa" w:w="1080"/>
            <w:shd w:fill="FFFFFF" w:color="auto" w:val="clear"/>
            <w:tcMar>
              <w:top w:type="dxa" w:w="40"/>
              <w:left w:type="dxa" w:w="70"/>
              <w:bottom w:type="dxa" w:w="40"/>
              <w:right w:type="dxa" w:w="70"/>
            </w:tcMar>
          </w:tcPr>
          <w:p>
            <w:pPr>
              <w:spacing w:after="0" w:line="240"/>
              <w:jc w:val="left"/>
            </w:pPr>
            <w:r>
              <w:rPr>
                <w:sz w:val="18"/>
                <w:szCs w:val="18"/>
              </w:rPr>
              <w:t xml:space="preserve">10,613.18</w:t>
            </w:r>
          </w:p>
        </w:tc>
        <w:tc>
          <w:tcPr>
            <w:tcW w:type="dxa" w:w="1050"/>
            <w:shd w:fill="FFFFFF" w:color="auto" w:val="clear"/>
            <w:tcMar>
              <w:top w:type="dxa" w:w="40"/>
              <w:left w:type="dxa" w:w="70"/>
              <w:bottom w:type="dxa" w:w="40"/>
              <w:right w:type="dxa" w:w="70"/>
            </w:tcMar>
          </w:tcPr>
          <w:p>
            <w:pPr>
              <w:spacing w:after="0" w:line="240"/>
              <w:jc w:val="left"/>
            </w:pPr>
            <w:r>
              <w:rPr>
                <w:sz w:val="18"/>
                <w:szCs w:val="18"/>
              </w:rPr>
              <w:t xml:space="preserve">10,483.86</w:t>
            </w:r>
          </w:p>
        </w:tc>
        <w:tc>
          <w:tcPr>
            <w:tcW w:type="dxa" w:w="1200"/>
            <w:tcMar>
              <w:top w:type="dxa" w:w="40"/>
              <w:left w:type="dxa" w:w="70"/>
              <w:bottom w:type="dxa" w:w="40"/>
              <w:right w:type="dxa" w:w="70"/>
            </w:tcMar>
          </w:tcPr>
          <w:p>
            <w:pPr>
              <w:spacing w:after="0" w:line="240"/>
              <w:jc w:val="left"/>
            </w:pPr>
            <w:r>
              <w:rPr>
                <w:b/>
                <w:bCs/>
              </w:rPr>
              <w:t xml:space="preserve">10,497.12</w:t>
            </w:r>
          </w:p>
        </w:tc>
        <w:tc>
          <w:tcPr>
            <w:tcW w:type="dxa" w:w="720"/>
            <w:shd w:fill="FFFFFF" w:color="auto" w:val="clear"/>
            <w:tcMar>
              <w:top w:type="dxa" w:w="40"/>
              <w:left w:type="dxa" w:w="70"/>
              <w:bottom w:type="dxa" w:w="40"/>
              <w:right w:type="dxa" w:w="70"/>
            </w:tcMar>
          </w:tcPr>
          <w:p>
            <w:pPr>
              <w:spacing w:after="0" w:line="240"/>
              <w:jc w:val="left"/>
            </w:pPr>
            <w:r>
              <w:rPr>
                <w:sz w:val="18"/>
                <w:szCs w:val="18"/>
              </w:rPr>
              <w:t xml:space="preserve">100.0</w:t>
            </w:r>
          </w:p>
        </w:tc>
        <w:tc>
          <w:tcPr>
            <w:tcW w:type="dxa" w:w="900"/>
            <w:tcMar>
              <w:top w:type="dxa" w:w="40"/>
              <w:left w:type="dxa" w:w="70"/>
              <w:bottom w:type="dxa" w:w="40"/>
              <w:right w:type="dxa" w:w="70"/>
            </w:tcMar>
          </w:tcPr>
          <w:p>
            <w:pPr>
              <w:spacing w:after="0" w:line="240"/>
              <w:jc w:val="left"/>
            </w:pPr>
            <w:r>
              <w:rPr>
                <w:color w:val="1E6B34"/>
              </w:rPr>
              <w:t xml:space="preserve">Bullish</w:t>
            </w:r>
          </w:p>
        </w:tc>
        <w:tc>
          <w:tcPr>
            <w:tcW w:type="dxa" w:w="820"/>
            <w:shd w:fill="FFFFFF" w:color="auto" w:val="clear"/>
            <w:tcMar>
              <w:top w:type="dxa" w:w="40"/>
              <w:left w:type="dxa" w:w="70"/>
              <w:bottom w:type="dxa" w:w="40"/>
              <w:right w:type="dxa" w:w="70"/>
            </w:tcMar>
          </w:tcPr>
          <w:p>
            <w:pPr>
              <w:spacing w:after="0" w:line="240"/>
              <w:jc w:val="left"/>
            </w:pPr>
            <w:r>
              <w:rPr>
                <w:sz w:val="18"/>
                <w:szCs w:val="18"/>
              </w:rPr>
              <w:t xml:space="preserve">Yahoo</w:t>
            </w:r>
          </w:p>
        </w:tc>
        <w:tc>
          <w:tcPr>
            <w:tcW w:type="dxa" w:w="900"/>
            <w:shd w:fill="FFFFFF" w:color="auto" w:val="clear"/>
            <w:tcMar>
              <w:top w:type="dxa" w:w="40"/>
              <w:left w:type="dxa" w:w="70"/>
              <w:bottom w:type="dxa" w:w="40"/>
              <w:right w:type="dxa" w:w="70"/>
            </w:tcMar>
          </w:tcPr>
          <w:p>
            <w:pPr>
              <w:spacing w:after="0" w:line="240"/>
              <w:jc w:val="left"/>
            </w:pPr>
            <w:r>
              <w:rPr>
                <w:sz w:val="18"/>
                <w:szCs w:val="18"/>
              </w:rPr>
              <w:t xml:space="preserve">Investing</w:t>
            </w:r>
          </w:p>
        </w:tc>
        <w:tc>
          <w:tcPr>
            <w:tcW w:type="dxa" w:w="1820"/>
            <w:shd w:fill="E7F2EA" w:color="auto" w:val="clear"/>
            <w:tcMar>
              <w:top w:type="dxa" w:w="40"/>
              <w:left w:type="dxa" w:w="70"/>
              <w:bottom w:type="dxa" w:w="40"/>
              <w:right w:type="dxa" w:w="70"/>
            </w:tcMar>
          </w:tcPr>
          <w:p>
            <w:pPr>
              <w:spacing w:after="0" w:line="240"/>
              <w:jc w:val="left"/>
            </w:pPr>
            <w:r>
              <w:t xml:space="preserve">CORROBORATED Δ&lt;0.1</w:t>
            </w:r>
          </w:p>
        </w:tc>
      </w:tr>
    </w:tbl>
    <w:p>
      <w:pPr>
        <w:spacing w:after="120" w:line="276"/>
      </w:pPr>
      <w:r>
        <w:rPr>
          <w:b/>
          <w:bCs/>
        </w:rPr>
        <w:t xml:space="preserve">Note: </w:t>
      </w:r>
      <w:r>
        <w:rPr>
          <w:i/>
          <w:iCs/>
          <w:sz w:val="18"/>
          <w:szCs w:val="18"/>
        </w:rPr>
        <w:t xml:space="preserve">24 Jun and 25 Jun OHLC are single-source and labelled indicative only — they inform directional context and charts but are not used for pivot calculation or trade entries. Only the 30 Jun corroborated prior-session H/L/C feed the daily pivots. RSI2 is fixed at period 2 and computed from the validated close sequence; consecutive strong up-closes drive it to its 100 ceiling.</w:t>
      </w:r>
    </w:p>
    <w:p>
      <w:pPr>
        <w:pStyle w:val="Heading2"/>
        <w:spacing w:after="100" w:before="220"/>
      </w:pPr>
      <w:r>
        <w:rPr>
          <w:b/>
          <w:bCs/>
          <w:color w:val="1E6B34"/>
          <w:sz w:val="24"/>
          <w:szCs w:val="24"/>
        </w:rPr>
        <w:t xml:space="preserve">§7  Charts</w:t>
      </w:r>
    </w:p>
    <w:p>
      <w:pPr>
        <w:spacing w:after="60" w:before="120"/>
      </w:pPr>
      <w:r>
        <w:rPr>
          <w:b/>
          <w:bCs/>
          <w:color w:val="555555"/>
          <w:sz w:val="21"/>
          <w:szCs w:val="21"/>
        </w:rPr>
        <w:t xml:space="preserve">5-Day Candlestick</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48000"/>
                    </a:xfrm>
                    <a:prstGeom prst="rect">
                      <a:avLst/>
                    </a:prstGeom>
                  </pic:spPr>
                </pic:pic>
              </a:graphicData>
            </a:graphic>
          </wp:inline>
        </w:drawing>
      </w:r>
    </w:p>
    <w:p>
      <w:pPr>
        <w:spacing w:after="60" w:before="120"/>
      </w:pPr>
      <w:r>
        <w:rPr>
          <w:b/>
          <w:bCs/>
          <w:color w:val="555555"/>
          <w:sz w:val="21"/>
          <w:szCs w:val="21"/>
        </w:rPr>
        <w:t xml:space="preserve">Distance-from-Open</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60" w:before="120"/>
      </w:pPr>
      <w:r>
        <w:rPr>
          <w:b/>
          <w:bCs/>
          <w:color w:val="555555"/>
          <w:sz w:val="21"/>
          <w:szCs w:val="21"/>
        </w:rPr>
        <w:t xml:space="preserve">25-Session Structure</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60" w:before="120"/>
      </w:pPr>
      <w:r>
        <w:rPr>
          <w:b/>
          <w:bCs/>
          <w:color w:val="555555"/>
          <w:sz w:val="21"/>
          <w:szCs w:val="21"/>
        </w:rPr>
        <w:t xml:space="preserve">Comparative Volatility</w:t>
      </w:r>
    </w:p>
    <w:p>
      <w:pPr>
        <w:spacing w:after="120" w:before="8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71825"/>
                    </a:xfrm>
                    <a:prstGeom prst="rect">
                      <a:avLst/>
                    </a:prstGeom>
                  </pic:spPr>
                </pic:pic>
              </a:graphicData>
            </a:graphic>
          </wp:inline>
        </w:drawing>
      </w:r>
    </w:p>
    <w:p>
      <w:pPr>
        <w:spacing w:after="60" w:before="120"/>
      </w:pPr>
      <w:r>
        <w:rPr>
          <w:b/>
          <w:bCs/>
          <w:color w:val="555555"/>
          <w:sz w:val="21"/>
          <w:szCs w:val="21"/>
        </w:rPr>
        <w:t xml:space="preserve">Pivot Structure</w:t>
      </w:r>
    </w:p>
    <w:p>
      <w:pPr>
        <w:spacing w:after="120" w:before="80"/>
        <w:jc w:val="center"/>
      </w:pPr>
      <w:r>
        <w:drawing>
          <wp:inline distT="0" distB="0" distL="0" distR="0">
            <wp:extent cx="54864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962400"/>
                    </a:xfrm>
                    <a:prstGeom prst="rect">
                      <a:avLst/>
                    </a:prstGeom>
                  </pic:spPr>
                </pic:pic>
              </a:graphicData>
            </a:graphic>
          </wp:inline>
        </w:drawing>
      </w:r>
    </w:p>
    <w:p>
      <w:pPr>
        <w:pStyle w:val="Heading2"/>
        <w:spacing w:after="100" w:before="220"/>
      </w:pPr>
      <w:r>
        <w:rPr>
          <w:b/>
          <w:bCs/>
          <w:color w:val="1E6B34"/>
          <w:sz w:val="24"/>
          <w:szCs w:val="24"/>
        </w:rPr>
        <w:t xml:space="preserve">§8  Short-Term Technical Analysis</w:t>
      </w:r>
    </w:p>
    <w:p>
      <w:pPr>
        <w:pStyle w:val="ListParagraph"/>
        <w:numPr>
          <w:ilvl w:val="0"/>
          <w:numId w:val="1"/>
        </w:numPr>
        <w:spacing w:after="60" w:line="264"/>
      </w:pPr>
      <w:r>
        <w:rPr>
          <w:b/>
          <w:bCs/>
        </w:rPr>
        <w:t xml:space="preserve">24 Jun (see §6): </w:t>
      </w:r>
      <w:r>
        <w:t xml:space="preserve">Broad bullish body closing near the session high; close ~92% up the range. Momentum-positive but indicative-only data.</w:t>
      </w:r>
    </w:p>
    <w:p>
      <w:pPr>
        <w:pStyle w:val="ListParagraph"/>
        <w:numPr>
          <w:ilvl w:val="0"/>
          <w:numId w:val="1"/>
        </w:numPr>
        <w:spacing w:after="60" w:line="264"/>
      </w:pPr>
      <w:r>
        <w:rPr>
          <w:b/>
          <w:bCs/>
        </w:rPr>
        <w:t xml:space="preserve">25 Jun (see §6): </w:t>
      </w:r>
      <w:r>
        <w:t xml:space="preserve">Bearish reversal candle — open near prior high, close near the low, RSI2 collapsing to ~38. A clear one-day supply response after the push.</w:t>
      </w:r>
    </w:p>
    <w:p>
      <w:pPr>
        <w:pStyle w:val="ListParagraph"/>
        <w:numPr>
          <w:ilvl w:val="0"/>
          <w:numId w:val="1"/>
        </w:numPr>
        <w:spacing w:after="60" w:line="264"/>
      </w:pPr>
      <w:r>
        <w:rPr>
          <w:b/>
          <w:bCs/>
        </w:rPr>
        <w:t xml:space="preserve">26 Jun (see §6): </w:t>
      </w:r>
      <w:r>
        <w:t xml:space="preserve">Small-bodied doji-like session, close ~28% up range, RSI2 washed to single digits — short-term oversold exhaustion into the weekend.</w:t>
      </w:r>
    </w:p>
    <w:p>
      <w:pPr>
        <w:pStyle w:val="ListParagraph"/>
        <w:numPr>
          <w:ilvl w:val="0"/>
          <w:numId w:val="1"/>
        </w:numPr>
        <w:spacing w:after="60" w:line="264"/>
      </w:pPr>
      <w:r>
        <w:rPr>
          <w:b/>
          <w:bCs/>
        </w:rPr>
        <w:t xml:space="preserve">29 Jun (see §6): </w:t>
      </w:r>
      <w:r>
        <w:t xml:space="preserve">Flat consolidation candle; open and close nearly identical (~10,484), muted response to weekend headlines — indecision/basing.</w:t>
      </w:r>
    </w:p>
    <w:p>
      <w:pPr>
        <w:pStyle w:val="ListParagraph"/>
        <w:numPr>
          <w:ilvl w:val="0"/>
          <w:numId w:val="1"/>
        </w:numPr>
        <w:spacing w:after="60" w:line="264"/>
      </w:pPr>
      <w:r>
        <w:rPr>
          <w:b/>
          <w:bCs/>
        </w:rPr>
        <w:t xml:space="preserve">30 Jun (see §6): </w:t>
      </w:r>
      <w:r>
        <w:t xml:space="preserve">Strong bullish rejection candle — long upper wick to 10,613 with close back at 10,497. Buyers drove a ~130-point intraday range then met supply near 10,600; the close still finished green, up ~50% of the range. Constructive but shows overhead friction into the 10,580–10,610 zone.</w:t>
      </w:r>
    </w:p>
    <w:p>
      <w:pPr>
        <w:spacing w:after="120" w:line="276"/>
      </w:pPr>
      <w:r>
        <w:rPr>
          <w:b/>
          <w:bCs/>
        </w:rPr>
        <w:t xml:space="preserve">Sequence assessment: </w:t>
      </w:r>
      <w:r>
        <w:t xml:space="preserve">Compression → attempted expansion. The 24–29 Jun cluster overlaps heavily (basing/compression); 30 Jun broke the range upward intraday but was partially rejected, leaving an unresolved breakout. Nearest support 10,470–10,484 (29/30 Jun opens); nearest resistance 10,570–10,613 (30 Jun high). </w:t>
      </w:r>
    </w:p>
    <w:p>
      <w:pPr>
        <w:spacing w:after="120" w:line="276"/>
      </w:pPr>
      <w:r>
        <w:rPr>
          <w:b/>
          <w:bCs/>
        </w:rPr>
        <w:t xml:space="preserve">Judgement label: </w:t>
      </w:r>
      <w:r>
        <w:rPr>
          <w:b/>
          <w:bCs/>
          <w:color w:val="1E6B34"/>
        </w:rPr>
        <w:t xml:space="preserve">Bullish continuation (with reversal risk at 10,600+)</w:t>
      </w:r>
      <w:r>
        <w:t xml:space="preserve">. Consistent with the §9 medium-term Trending-Bullish read; the only caution is the 30 Jun upper-wick rejection.</w:t>
      </w:r>
    </w:p>
    <w:p>
      <w:pPr>
        <w:pStyle w:val="Heading2"/>
        <w:spacing w:after="100" w:before="220"/>
      </w:pPr>
      <w:r>
        <w:rPr>
          <w:b/>
          <w:bCs/>
          <w:color w:val="1E6B34"/>
          <w:sz w:val="24"/>
          <w:szCs w:val="24"/>
        </w:rPr>
        <w:t xml:space="preserve">§9  Medium-Term Regime &amp; VOLator</w:t>
      </w:r>
    </w:p>
    <w:p>
      <w:pPr>
        <w:pStyle w:val="ListParagraph"/>
        <w:numPr>
          <w:ilvl w:val="0"/>
          <w:numId w:val="1"/>
        </w:numPr>
        <w:spacing w:after="60" w:line="264"/>
      </w:pPr>
      <w:r>
        <w:rPr>
          <w:b/>
          <w:bCs/>
        </w:rPr>
        <w:t xml:space="preserve">Regime: </w:t>
      </w:r>
      <w:r>
        <w:rPr>
          <w:b/>
          <w:bCs/>
          <w:color w:val="1E6B34"/>
        </w:rPr>
        <w:t xml:space="preserve">Trending — Bullish</w:t>
      </w:r>
      <w:r>
        <w:t xml:space="preserve">. Over the 25-session window the index has ground from ~10,320 to ~10,497 with a series of higher lows; directional persistence is moderate-to-high and the close sits in the upper third of the 25-session range (Range Top Bias).</w:t>
      </w:r>
    </w:p>
    <w:p>
      <w:pPr>
        <w:pStyle w:val="ListParagraph"/>
        <w:numPr>
          <w:ilvl w:val="0"/>
          <w:numId w:val="1"/>
        </w:numPr>
        <w:spacing w:after="60" w:line="264"/>
      </w:pPr>
      <w:r>
        <w:rPr>
          <w:b/>
          <w:bCs/>
        </w:rPr>
        <w:t xml:space="preserve">Supporting metrics: </w:t>
      </w:r>
      <w:r>
        <w:t xml:space="preserve">overlap ratio moderate (~0.5, edging directional); directional persistence &gt;0.55 on the up-leg; median RSI2 mid-range with recent spikes to 100; range position ≈ 78th percentile (top bias); VOLator slope modestly positive (volatility expanding on the 30 Jun push).</w:t>
      </w:r>
    </w:p>
    <w:p>
      <w:pPr>
        <w:pStyle w:val="ListParagraph"/>
        <w:numPr>
          <w:ilvl w:val="0"/>
          <w:numId w:val="1"/>
        </w:numPr>
        <w:spacing w:after="60" w:line="264"/>
      </w:pPr>
      <w:r>
        <w:rPr>
          <w:b/>
          <w:bCs/>
        </w:rPr>
        <w:t xml:space="preserve">VOLator readings (scaled −1..+1): </w:t>
      </w:r>
      <w:r>
        <w:t xml:space="preserve">FTSE ≈ +0.7 and rising (expansion); USDX mid/low; S&amp;P 500 mid; DAX elevated. FTSE volatility is expanding off a compressed base — consistent with a trend attempt, not a range.</w:t>
      </w:r>
    </w:p>
    <w:p>
      <w:pPr>
        <w:pStyle w:val="ListParagraph"/>
        <w:numPr>
          <w:ilvl w:val="0"/>
          <w:numId w:val="1"/>
        </w:numPr>
        <w:spacing w:after="60" w:line="264"/>
      </w:pPr>
      <w:r>
        <w:rPr>
          <w:b/>
          <w:bCs/>
        </w:rPr>
        <w:t xml:space="preserve">Kaufman confirmation: </w:t>
      </w:r>
      <w:r>
        <w:rPr>
          <w:b/>
          <w:bCs/>
        </w:rPr>
        <w:t xml:space="preserve">KER ≈ +0.26, class Trending Up — Moderate</w:t>
      </w:r>
      <w:r>
        <w:t xml:space="preserve">. Above the +0.13 trend threshold and directionally aligned with the regime — it confirms rather than contradicts.</w:t>
      </w:r>
    </w:p>
    <w:p>
      <w:pPr>
        <w:pStyle w:val="ListParagraph"/>
        <w:numPr>
          <w:ilvl w:val="0"/>
          <w:numId w:val="1"/>
        </w:numPr>
        <w:spacing w:after="60" w:line="264"/>
      </w:pPr>
      <w:r>
        <w:rPr>
          <w:b/>
          <w:bCs/>
        </w:rPr>
        <w:t xml:space="preserve">Preferred protocol: </w:t>
      </w:r>
      <w:r>
        <w:t xml:space="preserve">Ranging-short vs Trending-medium → favour trend resumption / pullback-buy; avoid fading strength. Reduced-size only if the 10,600 rejection extends.</w:t>
      </w:r>
    </w:p>
    <w:p>
      <w:pPr>
        <w:pStyle w:val="Heading2"/>
        <w:spacing w:after="100" w:before="220"/>
      </w:pPr>
      <w:r>
        <w:rPr>
          <w:b/>
          <w:bCs/>
          <w:color w:val="1E6B34"/>
          <w:sz w:val="24"/>
          <w:szCs w:val="24"/>
        </w:rPr>
        <w:t xml:space="preserve">§10  Cross-Asset Analysis</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1900"/>
        <w:gridCol w:w="1500"/>
        <w:gridCol w:w="4260"/>
        <w:gridCol w:w="1700"/>
      </w:tblGrid>
      <w:tr>
        <w:trPr>
          <w:tblHeader/>
        </w:trPr>
        <w:tc>
          <w:tcPr>
            <w:tcW w:type="dxa" w:w="1900"/>
            <w:shd w:fill="1F3864" w:color="auto" w:val="clear"/>
            <w:tcMar>
              <w:top w:type="dxa" w:w="40"/>
              <w:left w:type="dxa" w:w="70"/>
              <w:bottom w:type="dxa" w:w="40"/>
              <w:right w:type="dxa" w:w="70"/>
            </w:tcMar>
          </w:tcPr>
          <w:p>
            <w:pPr>
              <w:spacing w:after="0" w:line="240"/>
              <w:jc w:val="left"/>
            </w:pPr>
            <w:r>
              <w:rPr>
                <w:b/>
                <w:bCs/>
                <w:color w:val="FFFFFF"/>
                <w:sz w:val="18"/>
                <w:szCs w:val="18"/>
              </w:rPr>
              <w:t xml:space="preserve">Counter</w:t>
            </w:r>
          </w:p>
        </w:tc>
        <w:tc>
          <w:tcPr>
            <w:tcW w:type="dxa" w:w="1500"/>
            <w:shd w:fill="1F3864" w:color="auto" w:val="clear"/>
            <w:tcMar>
              <w:top w:type="dxa" w:w="40"/>
              <w:left w:type="dxa" w:w="70"/>
              <w:bottom w:type="dxa" w:w="40"/>
              <w:right w:type="dxa" w:w="70"/>
            </w:tcMar>
          </w:tcPr>
          <w:p>
            <w:pPr>
              <w:spacing w:after="0" w:line="240"/>
              <w:jc w:val="left"/>
            </w:pPr>
            <w:r>
              <w:rPr>
                <w:b/>
                <w:bCs/>
                <w:color w:val="FFFFFF"/>
                <w:sz w:val="18"/>
                <w:szCs w:val="18"/>
              </w:rPr>
              <w:t xml:space="preserve">5-day dir.</w:t>
            </w:r>
          </w:p>
        </w:tc>
        <w:tc>
          <w:tcPr>
            <w:tcW w:type="dxa" w:w="4260"/>
            <w:shd w:fill="1F3864" w:color="auto" w:val="clear"/>
            <w:tcMar>
              <w:top w:type="dxa" w:w="40"/>
              <w:left w:type="dxa" w:w="70"/>
              <w:bottom w:type="dxa" w:w="40"/>
              <w:right w:type="dxa" w:w="70"/>
            </w:tcMar>
          </w:tcPr>
          <w:p>
            <w:pPr>
              <w:spacing w:after="0" w:line="240"/>
              <w:jc w:val="left"/>
            </w:pPr>
            <w:r>
              <w:rPr>
                <w:b/>
                <w:bCs/>
                <w:color w:val="FFFFFF"/>
                <w:sz w:val="18"/>
                <w:szCs w:val="18"/>
              </w:rPr>
              <w:t xml:space="preserve">Mechanism to FTSE</w:t>
            </w:r>
          </w:p>
        </w:tc>
        <w:tc>
          <w:tcPr>
            <w:tcW w:type="dxa" w:w="1700"/>
            <w:shd w:fill="1F3864" w:color="auto" w:val="clear"/>
            <w:tcMar>
              <w:top w:type="dxa" w:w="40"/>
              <w:left w:type="dxa" w:w="70"/>
              <w:bottom w:type="dxa" w:w="40"/>
              <w:right w:type="dxa" w:w="70"/>
            </w:tcMar>
          </w:tcPr>
          <w:p>
            <w:pPr>
              <w:spacing w:after="0" w:line="240"/>
              <w:jc w:val="left"/>
            </w:pPr>
            <w:r>
              <w:rPr>
                <w:b/>
                <w:bCs/>
                <w:color w:val="FFFFFF"/>
                <w:sz w:val="18"/>
                <w:szCs w:val="18"/>
              </w:rPr>
              <w:t xml:space="preserve">Status</w:t>
            </w:r>
          </w:p>
        </w:tc>
      </w:tr>
      <w:tr>
        <w:tc>
          <w:tcPr>
            <w:tcW w:type="dxa" w:w="1900"/>
            <w:shd w:fill="FFFFFF" w:color="auto" w:val="clear"/>
            <w:tcMar>
              <w:top w:type="dxa" w:w="40"/>
              <w:left w:type="dxa" w:w="70"/>
              <w:bottom w:type="dxa" w:w="40"/>
              <w:right w:type="dxa" w:w="70"/>
            </w:tcMar>
          </w:tcPr>
          <w:p>
            <w:pPr>
              <w:spacing w:after="0" w:line="240"/>
              <w:jc w:val="left"/>
            </w:pPr>
            <w:r>
              <w:rPr>
                <w:sz w:val="18"/>
                <w:szCs w:val="18"/>
              </w:rPr>
              <w:t xml:space="preserve">USDX (Dollar Index)</w:t>
            </w:r>
          </w:p>
        </w:tc>
        <w:tc>
          <w:tcPr>
            <w:tcW w:type="dxa" w:w="1500"/>
            <w:shd w:fill="FFFFFF" w:color="auto" w:val="clear"/>
            <w:tcMar>
              <w:top w:type="dxa" w:w="40"/>
              <w:left w:type="dxa" w:w="70"/>
              <w:bottom w:type="dxa" w:w="40"/>
              <w:right w:type="dxa" w:w="70"/>
            </w:tcMar>
          </w:tcPr>
          <w:p>
            <w:pPr>
              <w:spacing w:after="0" w:line="240"/>
              <w:jc w:val="left"/>
            </w:pPr>
            <w:r>
              <w:rPr>
                <w:sz w:val="18"/>
                <w:szCs w:val="18"/>
              </w:rPr>
              <w:t xml:space="preserve">Flat/soft (~101)</w:t>
            </w:r>
          </w:p>
        </w:tc>
        <w:tc>
          <w:tcPr>
            <w:tcW w:type="dxa" w:w="4260"/>
            <w:shd w:fill="FFFFFF" w:color="auto" w:val="clear"/>
            <w:tcMar>
              <w:top w:type="dxa" w:w="40"/>
              <w:left w:type="dxa" w:w="70"/>
              <w:bottom w:type="dxa" w:w="40"/>
              <w:right w:type="dxa" w:w="70"/>
            </w:tcMar>
          </w:tcPr>
          <w:p>
            <w:pPr>
              <w:spacing w:after="0" w:line="240"/>
              <w:jc w:val="left"/>
            </w:pPr>
            <w:r>
              <w:rPr>
                <w:sz w:val="18"/>
                <w:szCs w:val="18"/>
              </w:rPr>
              <w:t xml:space="preserve">Soft USD flatters FTSE multinational earnings translation; not tightening global conditions</w:t>
            </w:r>
          </w:p>
        </w:tc>
        <w:tc>
          <w:tcPr>
            <w:tcW w:type="dxa" w:w="1700"/>
            <w:tcMar>
              <w:top w:type="dxa" w:w="40"/>
              <w:left w:type="dxa" w:w="70"/>
              <w:bottom w:type="dxa" w:w="40"/>
              <w:right w:type="dxa" w:w="70"/>
            </w:tcMar>
          </w:tcPr>
          <w:p>
            <w:pPr>
              <w:spacing w:after="0" w:line="240"/>
              <w:jc w:val="left"/>
            </w:pPr>
            <w:r>
              <w:rPr>
                <w:b/>
                <w:bCs/>
                <w:color w:val="1E6B34"/>
              </w:rPr>
              <w:t xml:space="preserve">Confirms</w:t>
            </w:r>
          </w:p>
        </w:tc>
      </w:tr>
      <w:tr>
        <w:tc>
          <w:tcPr>
            <w:tcW w:type="dxa" w:w="1900"/>
            <w:shd w:fill="F2F4F8" w:color="auto" w:val="clear"/>
            <w:tcMar>
              <w:top w:type="dxa" w:w="40"/>
              <w:left w:type="dxa" w:w="70"/>
              <w:bottom w:type="dxa" w:w="40"/>
              <w:right w:type="dxa" w:w="70"/>
            </w:tcMar>
          </w:tcPr>
          <w:p>
            <w:pPr>
              <w:spacing w:after="0" w:line="240"/>
              <w:jc w:val="left"/>
            </w:pPr>
            <w:r>
              <w:rPr>
                <w:sz w:val="18"/>
                <w:szCs w:val="18"/>
              </w:rPr>
              <w:t xml:space="preserve">S&amp;P 500</w:t>
            </w:r>
          </w:p>
        </w:tc>
        <w:tc>
          <w:tcPr>
            <w:tcW w:type="dxa" w:w="1500"/>
            <w:shd w:fill="F2F4F8" w:color="auto" w:val="clear"/>
            <w:tcMar>
              <w:top w:type="dxa" w:w="40"/>
              <w:left w:type="dxa" w:w="70"/>
              <w:bottom w:type="dxa" w:w="40"/>
              <w:right w:type="dxa" w:w="70"/>
            </w:tcMar>
          </w:tcPr>
          <w:p>
            <w:pPr>
              <w:spacing w:after="0" w:line="240"/>
              <w:jc w:val="left"/>
            </w:pPr>
            <w:r>
              <w:rPr>
                <w:sz w:val="18"/>
                <w:szCs w:val="18"/>
              </w:rPr>
              <w:t xml:space="preserve">Rising (+0.79% 30 Jun)</w:t>
            </w:r>
          </w:p>
        </w:tc>
        <w:tc>
          <w:tcPr>
            <w:tcW w:type="dxa" w:w="4260"/>
            <w:shd w:fill="F2F4F8" w:color="auto" w:val="clear"/>
            <w:tcMar>
              <w:top w:type="dxa" w:w="40"/>
              <w:left w:type="dxa" w:w="70"/>
              <w:bottom w:type="dxa" w:w="40"/>
              <w:right w:type="dxa" w:w="70"/>
            </w:tcMar>
          </w:tcPr>
          <w:p>
            <w:pPr>
              <w:spacing w:after="0" w:line="240"/>
              <w:jc w:val="left"/>
            </w:pPr>
            <w:r>
              <w:rPr>
                <w:sz w:val="18"/>
                <w:szCs w:val="18"/>
              </w:rPr>
              <w:t xml:space="preserve">Cross-Atlantic risk appetite; common-factor beta lifts FTSE internationals</w:t>
            </w:r>
          </w:p>
        </w:tc>
        <w:tc>
          <w:tcPr>
            <w:tcW w:type="dxa" w:w="1700"/>
            <w:tcMar>
              <w:top w:type="dxa" w:w="40"/>
              <w:left w:type="dxa" w:w="70"/>
              <w:bottom w:type="dxa" w:w="40"/>
              <w:right w:type="dxa" w:w="70"/>
            </w:tcMar>
          </w:tcPr>
          <w:p>
            <w:pPr>
              <w:spacing w:after="0" w:line="240"/>
              <w:jc w:val="left"/>
            </w:pPr>
            <w:r>
              <w:rPr>
                <w:b/>
                <w:bCs/>
                <w:color w:val="1E6B34"/>
              </w:rPr>
              <w:t xml:space="preserve">Confirms</w:t>
            </w:r>
          </w:p>
        </w:tc>
      </w:tr>
      <w:tr>
        <w:tc>
          <w:tcPr>
            <w:tcW w:type="dxa" w:w="1900"/>
            <w:shd w:fill="FFFFFF" w:color="auto" w:val="clear"/>
            <w:tcMar>
              <w:top w:type="dxa" w:w="40"/>
              <w:left w:type="dxa" w:w="70"/>
              <w:bottom w:type="dxa" w:w="40"/>
              <w:right w:type="dxa" w:w="70"/>
            </w:tcMar>
          </w:tcPr>
          <w:p>
            <w:pPr>
              <w:spacing w:after="0" w:line="240"/>
              <w:jc w:val="left"/>
            </w:pPr>
            <w:r>
              <w:rPr>
                <w:sz w:val="18"/>
                <w:szCs w:val="18"/>
              </w:rPr>
              <w:t xml:space="preserve">DAX 40</w:t>
            </w:r>
          </w:p>
        </w:tc>
        <w:tc>
          <w:tcPr>
            <w:tcW w:type="dxa" w:w="1500"/>
            <w:shd w:fill="FFFFFF" w:color="auto" w:val="clear"/>
            <w:tcMar>
              <w:top w:type="dxa" w:w="40"/>
              <w:left w:type="dxa" w:w="70"/>
              <w:bottom w:type="dxa" w:w="40"/>
              <w:right w:type="dxa" w:w="70"/>
            </w:tcMar>
          </w:tcPr>
          <w:p>
            <w:pPr>
              <w:spacing w:after="0" w:line="240"/>
              <w:jc w:val="left"/>
            </w:pPr>
            <w:r>
              <w:rPr>
                <w:sz w:val="18"/>
                <w:szCs w:val="18"/>
              </w:rPr>
              <w:t xml:space="preserve">Rising (+1.50% 30 Jun)</w:t>
            </w:r>
          </w:p>
        </w:tc>
        <w:tc>
          <w:tcPr>
            <w:tcW w:type="dxa" w:w="4260"/>
            <w:shd w:fill="FFFFFF" w:color="auto" w:val="clear"/>
            <w:tcMar>
              <w:top w:type="dxa" w:w="40"/>
              <w:left w:type="dxa" w:w="70"/>
              <w:bottom w:type="dxa" w:w="40"/>
              <w:right w:type="dxa" w:w="70"/>
            </w:tcMar>
          </w:tcPr>
          <w:p>
            <w:pPr>
              <w:spacing w:after="0" w:line="240"/>
              <w:jc w:val="left"/>
            </w:pPr>
            <w:r>
              <w:rPr>
                <w:sz w:val="18"/>
                <w:szCs w:val="18"/>
              </w:rPr>
              <w:t xml:space="preserve">European risk proxy; Eurozone strength spills into UK large-caps via shared macro</w:t>
            </w:r>
          </w:p>
        </w:tc>
        <w:tc>
          <w:tcPr>
            <w:tcW w:type="dxa" w:w="1700"/>
            <w:tcMar>
              <w:top w:type="dxa" w:w="40"/>
              <w:left w:type="dxa" w:w="70"/>
              <w:bottom w:type="dxa" w:w="40"/>
              <w:right w:type="dxa" w:w="70"/>
            </w:tcMar>
          </w:tcPr>
          <w:p>
            <w:pPr>
              <w:spacing w:after="0" w:line="240"/>
              <w:jc w:val="left"/>
            </w:pPr>
            <w:r>
              <w:rPr>
                <w:b/>
                <w:bCs/>
                <w:color w:val="1E6B34"/>
              </w:rPr>
              <w:t xml:space="preserve">Confirms</w:t>
            </w:r>
          </w:p>
        </w:tc>
      </w:tr>
      <w:tr>
        <w:tc>
          <w:tcPr>
            <w:tcW w:type="dxa" w:w="1900"/>
            <w:shd w:fill="F2F4F8" w:color="auto" w:val="clear"/>
            <w:tcMar>
              <w:top w:type="dxa" w:w="40"/>
              <w:left w:type="dxa" w:w="70"/>
              <w:bottom w:type="dxa" w:w="40"/>
              <w:right w:type="dxa" w:w="70"/>
            </w:tcMar>
          </w:tcPr>
          <w:p>
            <w:pPr>
              <w:spacing w:after="0" w:line="240"/>
              <w:jc w:val="left"/>
            </w:pPr>
            <w:r>
              <w:rPr>
                <w:sz w:val="18"/>
                <w:szCs w:val="18"/>
              </w:rPr>
              <w:t xml:space="preserve">EURO STOXX 50 (sec.)</w:t>
            </w:r>
          </w:p>
        </w:tc>
        <w:tc>
          <w:tcPr>
            <w:tcW w:type="dxa" w:w="1500"/>
            <w:shd w:fill="F2F4F8" w:color="auto" w:val="clear"/>
            <w:tcMar>
              <w:top w:type="dxa" w:w="40"/>
              <w:left w:type="dxa" w:w="70"/>
              <w:bottom w:type="dxa" w:w="40"/>
              <w:right w:type="dxa" w:w="70"/>
            </w:tcMar>
          </w:tcPr>
          <w:p>
            <w:pPr>
              <w:spacing w:after="0" w:line="240"/>
              <w:jc w:val="left"/>
            </w:pPr>
            <w:r>
              <w:rPr>
                <w:sz w:val="18"/>
                <w:szCs w:val="18"/>
              </w:rPr>
              <w:t xml:space="preserve">Rising (record ~6,326)</w:t>
            </w:r>
          </w:p>
        </w:tc>
        <w:tc>
          <w:tcPr>
            <w:tcW w:type="dxa" w:w="4260"/>
            <w:shd w:fill="F2F4F8" w:color="auto" w:val="clear"/>
            <w:tcMar>
              <w:top w:type="dxa" w:w="40"/>
              <w:left w:type="dxa" w:w="70"/>
              <w:bottom w:type="dxa" w:w="40"/>
              <w:right w:type="dxa" w:w="70"/>
            </w:tcMar>
          </w:tcPr>
          <w:p>
            <w:pPr>
              <w:spacing w:after="0" w:line="240"/>
              <w:jc w:val="left"/>
            </w:pPr>
            <w:r>
              <w:rPr>
                <w:sz w:val="18"/>
                <w:szCs w:val="18"/>
              </w:rPr>
              <w:t xml:space="preserve">Direct Eurozone blue-chip pair; record close signals regional risk-on</w:t>
            </w:r>
          </w:p>
        </w:tc>
        <w:tc>
          <w:tcPr>
            <w:tcW w:type="dxa" w:w="1700"/>
            <w:tcMar>
              <w:top w:type="dxa" w:w="40"/>
              <w:left w:type="dxa" w:w="70"/>
              <w:bottom w:type="dxa" w:w="40"/>
              <w:right w:type="dxa" w:w="70"/>
            </w:tcMar>
          </w:tcPr>
          <w:p>
            <w:pPr>
              <w:spacing w:after="0" w:line="240"/>
              <w:jc w:val="left"/>
            </w:pPr>
            <w:r>
              <w:rPr>
                <w:b/>
                <w:bCs/>
                <w:color w:val="1E6B34"/>
              </w:rPr>
              <w:t xml:space="preserve">Confirms</w:t>
            </w:r>
          </w:p>
        </w:tc>
      </w:tr>
    </w:tbl>
    <w:p>
      <w:pPr>
        <w:spacing w:after="120" w:line="276"/>
      </w:pPr>
      <w:r>
        <w:rPr>
          <w:b/>
          <w:bCs/>
        </w:rPr>
        <w:t xml:space="preserve">Aggregate cross-asset read: </w:t>
      </w:r>
      <w:r>
        <w:rPr>
          <w:b/>
          <w:bCs/>
          <w:color w:val="1E6B34"/>
        </w:rPr>
        <w:t xml:space="preserve">CONFIRM</w:t>
      </w:r>
      <w:r>
        <w:t xml:space="preserve"> — all four active counters align with the Trending-Bullish regime; none contradict. VIX fell to ~16.4 (risk-on), reinforcing the read.</w:t>
      </w:r>
    </w:p>
    <w:p>
      <w:pPr>
        <w:pStyle w:val="Heading2"/>
        <w:spacing w:after="100" w:before="220"/>
      </w:pPr>
      <w:r>
        <w:rPr>
          <w:b/>
          <w:bCs/>
          <w:color w:val="1E6B34"/>
          <w:sz w:val="24"/>
          <w:szCs w:val="24"/>
        </w:rPr>
        <w:t xml:space="preserve">§11  Floor Pivot Analysis</w:t>
      </w:r>
    </w:p>
    <w:p>
      <w:pPr>
        <w:spacing w:after="60" w:before="120"/>
      </w:pPr>
      <w:r>
        <w:rPr>
          <w:b/>
          <w:bCs/>
          <w:color w:val="555555"/>
          <w:sz w:val="21"/>
          <w:szCs w:val="21"/>
        </w:rPr>
        <w:t xml:space="preserve">Daily pivots (from 30 Jun H/L/C — corroborated)</w:t>
      </w:r>
    </w:p>
    <w:tbl>
      <w:tblPr>
        <w:tblW w:type="dxa" w:w="4000"/>
        <w:tblBorders>
          <w:top w:val="single" w:color="AAAAAA" w:sz="2"/>
          <w:left w:val="single" w:color="AAAAAA" w:sz="2"/>
          <w:bottom w:val="single" w:color="AAAAAA" w:sz="2"/>
          <w:right w:val="single" w:color="AAAAAA" w:sz="2"/>
          <w:insideH w:val="single" w:color="CCCCCC" w:sz="1"/>
          <w:insideV w:val="single" w:color="CCCCCC" w:sz="1"/>
        </w:tblBorders>
      </w:tblPr>
      <w:tblGrid>
        <w:gridCol w:w="2000"/>
        <w:gridCol w:w="2000"/>
      </w:tblGrid>
      <w:tr>
        <w:trPr>
          <w:tblHeader/>
        </w:trPr>
        <w:tc>
          <w:tcPr>
            <w:tcW w:type="dxa" w:w="2000"/>
            <w:shd w:fill="1F3864" w:color="auto" w:val="clear"/>
            <w:tcMar>
              <w:top w:type="dxa" w:w="40"/>
              <w:left w:type="dxa" w:w="70"/>
              <w:bottom w:type="dxa" w:w="40"/>
              <w:right w:type="dxa" w:w="70"/>
            </w:tcMar>
          </w:tcPr>
          <w:p>
            <w:pPr>
              <w:spacing w:after="0" w:line="240"/>
              <w:jc w:val="left"/>
            </w:pPr>
            <w:r>
              <w:rPr>
                <w:b/>
                <w:bCs/>
                <w:color w:val="FFFFFF"/>
                <w:sz w:val="18"/>
                <w:szCs w:val="18"/>
              </w:rPr>
              <w:t xml:space="preserve">Level</w:t>
            </w:r>
          </w:p>
        </w:tc>
        <w:tc>
          <w:tcPr>
            <w:tcW w:type="dxa" w:w="2000"/>
            <w:shd w:fill="1F3864" w:color="auto" w:val="clear"/>
            <w:tcMar>
              <w:top w:type="dxa" w:w="40"/>
              <w:left w:type="dxa" w:w="70"/>
              <w:bottom w:type="dxa" w:w="40"/>
              <w:right w:type="dxa" w:w="70"/>
            </w:tcMar>
          </w:tcPr>
          <w:p>
            <w:pPr>
              <w:spacing w:after="0" w:line="240"/>
              <w:jc w:val="left"/>
            </w:pPr>
            <w:r>
              <w:rPr>
                <w:b/>
                <w:bCs/>
                <w:color w:val="FFFFFF"/>
                <w:sz w:val="18"/>
                <w:szCs w:val="18"/>
              </w:rPr>
              <w:t xml:space="preserve">Points</w:t>
            </w:r>
          </w:p>
        </w:tc>
      </w:tr>
      <w:tr>
        <w:tc>
          <w:tcPr>
            <w:tcW w:type="dxa" w:w="2000"/>
            <w:shd w:fill="FFFFFF" w:color="auto" w:val="clear"/>
            <w:tcMar>
              <w:top w:type="dxa" w:w="40"/>
              <w:left w:type="dxa" w:w="70"/>
              <w:bottom w:type="dxa" w:w="40"/>
              <w:right w:type="dxa" w:w="70"/>
            </w:tcMar>
          </w:tcPr>
          <w:p>
            <w:pPr>
              <w:spacing w:after="0" w:line="240"/>
              <w:jc w:val="left"/>
            </w:pPr>
            <w:r>
              <w:rPr>
                <w:sz w:val="18"/>
                <w:szCs w:val="18"/>
              </w:rPr>
              <w:t xml:space="preserve">R5</w:t>
            </w:r>
          </w:p>
        </w:tc>
        <w:tc>
          <w:tcPr>
            <w:tcW w:type="dxa" w:w="2000"/>
            <w:shd w:fill="FFFFFF" w:color="auto" w:val="clear"/>
            <w:tcMar>
              <w:top w:type="dxa" w:w="40"/>
              <w:left w:type="dxa" w:w="70"/>
              <w:bottom w:type="dxa" w:w="40"/>
              <w:right w:type="dxa" w:w="70"/>
            </w:tcMar>
          </w:tcPr>
          <w:p>
            <w:pPr>
              <w:spacing w:after="0" w:line="240"/>
              <w:jc w:val="left"/>
            </w:pPr>
            <w:r>
              <w:rPr>
                <w:sz w:val="18"/>
                <w:szCs w:val="18"/>
              </w:rPr>
              <w:t xml:space="preserve">10,966.9</w:t>
            </w:r>
          </w:p>
        </w:tc>
      </w:tr>
      <w:tr>
        <w:tc>
          <w:tcPr>
            <w:tcW w:type="dxa" w:w="2000"/>
            <w:shd w:fill="F2F4F8" w:color="auto" w:val="clear"/>
            <w:tcMar>
              <w:top w:type="dxa" w:w="40"/>
              <w:left w:type="dxa" w:w="70"/>
              <w:bottom w:type="dxa" w:w="40"/>
              <w:right w:type="dxa" w:w="70"/>
            </w:tcMar>
          </w:tcPr>
          <w:p>
            <w:pPr>
              <w:spacing w:after="0" w:line="240"/>
              <w:jc w:val="left"/>
            </w:pPr>
            <w:r>
              <w:rPr>
                <w:sz w:val="18"/>
                <w:szCs w:val="18"/>
              </w:rPr>
              <w:t xml:space="preserve">R4</w:t>
            </w:r>
          </w:p>
        </w:tc>
        <w:tc>
          <w:tcPr>
            <w:tcW w:type="dxa" w:w="2000"/>
            <w:shd w:fill="F2F4F8" w:color="auto" w:val="clear"/>
            <w:tcMar>
              <w:top w:type="dxa" w:w="40"/>
              <w:left w:type="dxa" w:w="70"/>
              <w:bottom w:type="dxa" w:w="40"/>
              <w:right w:type="dxa" w:w="70"/>
            </w:tcMar>
          </w:tcPr>
          <w:p>
            <w:pPr>
              <w:spacing w:after="0" w:line="240"/>
              <w:jc w:val="left"/>
            </w:pPr>
            <w:r>
              <w:rPr>
                <w:sz w:val="18"/>
                <w:szCs w:val="18"/>
              </w:rPr>
              <w:t xml:space="preserve">10,837.6</w:t>
            </w:r>
          </w:p>
        </w:tc>
      </w:tr>
      <w:tr>
        <w:tc>
          <w:tcPr>
            <w:tcW w:type="dxa" w:w="2000"/>
            <w:shd w:fill="FFFFFF" w:color="auto" w:val="clear"/>
            <w:tcMar>
              <w:top w:type="dxa" w:w="40"/>
              <w:left w:type="dxa" w:w="70"/>
              <w:bottom w:type="dxa" w:w="40"/>
              <w:right w:type="dxa" w:w="70"/>
            </w:tcMar>
          </w:tcPr>
          <w:p>
            <w:pPr>
              <w:spacing w:after="0" w:line="240"/>
              <w:jc w:val="left"/>
            </w:pPr>
            <w:r>
              <w:rPr>
                <w:sz w:val="18"/>
                <w:szCs w:val="18"/>
              </w:rPr>
              <w:t xml:space="preserve">R3</w:t>
            </w:r>
          </w:p>
        </w:tc>
        <w:tc>
          <w:tcPr>
            <w:tcW w:type="dxa" w:w="2000"/>
            <w:shd w:fill="FFFFFF" w:color="auto" w:val="clear"/>
            <w:tcMar>
              <w:top w:type="dxa" w:w="40"/>
              <w:left w:type="dxa" w:w="70"/>
              <w:bottom w:type="dxa" w:w="40"/>
              <w:right w:type="dxa" w:w="70"/>
            </w:tcMar>
          </w:tcPr>
          <w:p>
            <w:pPr>
              <w:spacing w:after="0" w:line="240"/>
              <w:jc w:val="left"/>
            </w:pPr>
            <w:r>
              <w:rPr>
                <w:sz w:val="18"/>
                <w:szCs w:val="18"/>
              </w:rPr>
              <w:t xml:space="preserve">10,708.2</w:t>
            </w:r>
          </w:p>
        </w:tc>
      </w:tr>
      <w:tr>
        <w:tc>
          <w:tcPr>
            <w:tcW w:type="dxa" w:w="2000"/>
            <w:shd w:fill="F2F4F8" w:color="auto" w:val="clear"/>
            <w:tcMar>
              <w:top w:type="dxa" w:w="40"/>
              <w:left w:type="dxa" w:w="70"/>
              <w:bottom w:type="dxa" w:w="40"/>
              <w:right w:type="dxa" w:w="70"/>
            </w:tcMar>
          </w:tcPr>
          <w:p>
            <w:pPr>
              <w:spacing w:after="0" w:line="240"/>
              <w:jc w:val="left"/>
            </w:pPr>
            <w:r>
              <w:rPr>
                <w:sz w:val="18"/>
                <w:szCs w:val="18"/>
              </w:rPr>
              <w:t xml:space="preserve">R2</w:t>
            </w:r>
          </w:p>
        </w:tc>
        <w:tc>
          <w:tcPr>
            <w:tcW w:type="dxa" w:w="2000"/>
            <w:shd w:fill="F2F4F8" w:color="auto" w:val="clear"/>
            <w:tcMar>
              <w:top w:type="dxa" w:w="40"/>
              <w:left w:type="dxa" w:w="70"/>
              <w:bottom w:type="dxa" w:w="40"/>
              <w:right w:type="dxa" w:w="70"/>
            </w:tcMar>
          </w:tcPr>
          <w:p>
            <w:pPr>
              <w:spacing w:after="0" w:line="240"/>
              <w:jc w:val="left"/>
            </w:pPr>
            <w:r>
              <w:rPr>
                <w:sz w:val="18"/>
                <w:szCs w:val="18"/>
              </w:rPr>
              <w:t xml:space="preserve">10,660.7</w:t>
            </w:r>
          </w:p>
        </w:tc>
      </w:tr>
      <w:tr>
        <w:tc>
          <w:tcPr>
            <w:tcW w:type="dxa" w:w="2000"/>
            <w:shd w:fill="FFFFFF" w:color="auto" w:val="clear"/>
            <w:tcMar>
              <w:top w:type="dxa" w:w="40"/>
              <w:left w:type="dxa" w:w="70"/>
              <w:bottom w:type="dxa" w:w="40"/>
              <w:right w:type="dxa" w:w="70"/>
            </w:tcMar>
          </w:tcPr>
          <w:p>
            <w:pPr>
              <w:spacing w:after="0" w:line="240"/>
              <w:jc w:val="left"/>
            </w:pPr>
            <w:r>
              <w:rPr>
                <w:sz w:val="18"/>
                <w:szCs w:val="18"/>
              </w:rPr>
              <w:t xml:space="preserve">R1</w:t>
            </w:r>
          </w:p>
        </w:tc>
        <w:tc>
          <w:tcPr>
            <w:tcW w:type="dxa" w:w="2000"/>
            <w:shd w:fill="FFFFFF" w:color="auto" w:val="clear"/>
            <w:tcMar>
              <w:top w:type="dxa" w:w="40"/>
              <w:left w:type="dxa" w:w="70"/>
              <w:bottom w:type="dxa" w:w="40"/>
              <w:right w:type="dxa" w:w="70"/>
            </w:tcMar>
          </w:tcPr>
          <w:p>
            <w:pPr>
              <w:spacing w:after="0" w:line="240"/>
              <w:jc w:val="left"/>
            </w:pPr>
            <w:r>
              <w:rPr>
                <w:sz w:val="18"/>
                <w:szCs w:val="18"/>
              </w:rPr>
              <w:t xml:space="preserve">10,578.9</w:t>
            </w:r>
          </w:p>
        </w:tc>
      </w:tr>
      <w:tr>
        <w:tc>
          <w:tcPr>
            <w:tcW w:type="dxa" w:w="2000"/>
            <w:tcMar>
              <w:top w:type="dxa" w:w="40"/>
              <w:left w:type="dxa" w:w="70"/>
              <w:bottom w:type="dxa" w:w="40"/>
              <w:right w:type="dxa" w:w="70"/>
            </w:tcMar>
          </w:tcPr>
          <w:p>
            <w:pPr>
              <w:spacing w:after="0" w:line="240"/>
              <w:jc w:val="left"/>
            </w:pPr>
            <w:r>
              <w:rPr>
                <w:b/>
                <w:bCs/>
              </w:rPr>
              <w:t xml:space="preserve">P</w:t>
            </w:r>
          </w:p>
        </w:tc>
        <w:tc>
          <w:tcPr>
            <w:tcW w:type="dxa" w:w="2000"/>
            <w:tcMar>
              <w:top w:type="dxa" w:w="40"/>
              <w:left w:type="dxa" w:w="70"/>
              <w:bottom w:type="dxa" w:w="40"/>
              <w:right w:type="dxa" w:w="70"/>
            </w:tcMar>
          </w:tcPr>
          <w:p>
            <w:pPr>
              <w:spacing w:after="0" w:line="240"/>
              <w:jc w:val="left"/>
            </w:pPr>
            <w:r>
              <w:rPr>
                <w:b/>
                <w:bCs/>
              </w:rPr>
              <w:t xml:space="preserve">10,531.4</w:t>
            </w:r>
          </w:p>
        </w:tc>
      </w:tr>
      <w:tr>
        <w:tc>
          <w:tcPr>
            <w:tcW w:type="dxa" w:w="2000"/>
            <w:shd w:fill="FFFFFF" w:color="auto" w:val="clear"/>
            <w:tcMar>
              <w:top w:type="dxa" w:w="40"/>
              <w:left w:type="dxa" w:w="70"/>
              <w:bottom w:type="dxa" w:w="40"/>
              <w:right w:type="dxa" w:w="70"/>
            </w:tcMar>
          </w:tcPr>
          <w:p>
            <w:pPr>
              <w:spacing w:after="0" w:line="240"/>
              <w:jc w:val="left"/>
            </w:pPr>
            <w:r>
              <w:rPr>
                <w:sz w:val="18"/>
                <w:szCs w:val="18"/>
              </w:rPr>
              <w:t xml:space="preserve">S1</w:t>
            </w:r>
          </w:p>
        </w:tc>
        <w:tc>
          <w:tcPr>
            <w:tcW w:type="dxa" w:w="2000"/>
            <w:shd w:fill="FFFFFF" w:color="auto" w:val="clear"/>
            <w:tcMar>
              <w:top w:type="dxa" w:w="40"/>
              <w:left w:type="dxa" w:w="70"/>
              <w:bottom w:type="dxa" w:w="40"/>
              <w:right w:type="dxa" w:w="70"/>
            </w:tcMar>
          </w:tcPr>
          <w:p>
            <w:pPr>
              <w:spacing w:after="0" w:line="240"/>
              <w:jc w:val="left"/>
            </w:pPr>
            <w:r>
              <w:rPr>
                <w:sz w:val="18"/>
                <w:szCs w:val="18"/>
              </w:rPr>
              <w:t xml:space="preserve">10,449.6</w:t>
            </w:r>
          </w:p>
        </w:tc>
      </w:tr>
      <w:tr>
        <w:tc>
          <w:tcPr>
            <w:tcW w:type="dxa" w:w="2000"/>
            <w:shd w:fill="F2F4F8" w:color="auto" w:val="clear"/>
            <w:tcMar>
              <w:top w:type="dxa" w:w="40"/>
              <w:left w:type="dxa" w:w="70"/>
              <w:bottom w:type="dxa" w:w="40"/>
              <w:right w:type="dxa" w:w="70"/>
            </w:tcMar>
          </w:tcPr>
          <w:p>
            <w:pPr>
              <w:spacing w:after="0" w:line="240"/>
              <w:jc w:val="left"/>
            </w:pPr>
            <w:r>
              <w:rPr>
                <w:sz w:val="18"/>
                <w:szCs w:val="18"/>
              </w:rPr>
              <w:t xml:space="preserve">S2</w:t>
            </w:r>
          </w:p>
        </w:tc>
        <w:tc>
          <w:tcPr>
            <w:tcW w:type="dxa" w:w="2000"/>
            <w:shd w:fill="F2F4F8" w:color="auto" w:val="clear"/>
            <w:tcMar>
              <w:top w:type="dxa" w:w="40"/>
              <w:left w:type="dxa" w:w="70"/>
              <w:bottom w:type="dxa" w:w="40"/>
              <w:right w:type="dxa" w:w="70"/>
            </w:tcMar>
          </w:tcPr>
          <w:p>
            <w:pPr>
              <w:spacing w:after="0" w:line="240"/>
              <w:jc w:val="left"/>
            </w:pPr>
            <w:r>
              <w:rPr>
                <w:sz w:val="18"/>
                <w:szCs w:val="18"/>
              </w:rPr>
              <w:t xml:space="preserve">10,402.1</w:t>
            </w:r>
          </w:p>
        </w:tc>
      </w:tr>
      <w:tr>
        <w:tc>
          <w:tcPr>
            <w:tcW w:type="dxa" w:w="2000"/>
            <w:shd w:fill="FFFFFF" w:color="auto" w:val="clear"/>
            <w:tcMar>
              <w:top w:type="dxa" w:w="40"/>
              <w:left w:type="dxa" w:w="70"/>
              <w:bottom w:type="dxa" w:w="40"/>
              <w:right w:type="dxa" w:w="70"/>
            </w:tcMar>
          </w:tcPr>
          <w:p>
            <w:pPr>
              <w:spacing w:after="0" w:line="240"/>
              <w:jc w:val="left"/>
            </w:pPr>
            <w:r>
              <w:rPr>
                <w:sz w:val="18"/>
                <w:szCs w:val="18"/>
              </w:rPr>
              <w:t xml:space="preserve">S3</w:t>
            </w:r>
          </w:p>
        </w:tc>
        <w:tc>
          <w:tcPr>
            <w:tcW w:type="dxa" w:w="2000"/>
            <w:shd w:fill="FFFFFF" w:color="auto" w:val="clear"/>
            <w:tcMar>
              <w:top w:type="dxa" w:w="40"/>
              <w:left w:type="dxa" w:w="70"/>
              <w:bottom w:type="dxa" w:w="40"/>
              <w:right w:type="dxa" w:w="70"/>
            </w:tcMar>
          </w:tcPr>
          <w:p>
            <w:pPr>
              <w:spacing w:after="0" w:line="240"/>
              <w:jc w:val="left"/>
            </w:pPr>
            <w:r>
              <w:rPr>
                <w:sz w:val="18"/>
                <w:szCs w:val="18"/>
              </w:rPr>
              <w:t xml:space="preserve">10,320.3</w:t>
            </w:r>
          </w:p>
        </w:tc>
      </w:tr>
      <w:tr>
        <w:tc>
          <w:tcPr>
            <w:tcW w:type="dxa" w:w="2000"/>
            <w:shd w:fill="F2F4F8" w:color="auto" w:val="clear"/>
            <w:tcMar>
              <w:top w:type="dxa" w:w="40"/>
              <w:left w:type="dxa" w:w="70"/>
              <w:bottom w:type="dxa" w:w="40"/>
              <w:right w:type="dxa" w:w="70"/>
            </w:tcMar>
          </w:tcPr>
          <w:p>
            <w:pPr>
              <w:spacing w:after="0" w:line="240"/>
              <w:jc w:val="left"/>
            </w:pPr>
            <w:r>
              <w:rPr>
                <w:sz w:val="18"/>
                <w:szCs w:val="18"/>
              </w:rPr>
              <w:t xml:space="preserve">S4</w:t>
            </w:r>
          </w:p>
        </w:tc>
        <w:tc>
          <w:tcPr>
            <w:tcW w:type="dxa" w:w="2000"/>
            <w:shd w:fill="F2F4F8" w:color="auto" w:val="clear"/>
            <w:tcMar>
              <w:top w:type="dxa" w:w="40"/>
              <w:left w:type="dxa" w:w="70"/>
              <w:bottom w:type="dxa" w:w="40"/>
              <w:right w:type="dxa" w:w="70"/>
            </w:tcMar>
          </w:tcPr>
          <w:p>
            <w:pPr>
              <w:spacing w:after="0" w:line="240"/>
              <w:jc w:val="left"/>
            </w:pPr>
            <w:r>
              <w:rPr>
                <w:sz w:val="18"/>
                <w:szCs w:val="18"/>
              </w:rPr>
              <w:t xml:space="preserve">10,191.0</w:t>
            </w:r>
          </w:p>
        </w:tc>
      </w:tr>
      <w:tr>
        <w:tc>
          <w:tcPr>
            <w:tcW w:type="dxa" w:w="2000"/>
            <w:shd w:fill="FFFFFF" w:color="auto" w:val="clear"/>
            <w:tcMar>
              <w:top w:type="dxa" w:w="40"/>
              <w:left w:type="dxa" w:w="70"/>
              <w:bottom w:type="dxa" w:w="40"/>
              <w:right w:type="dxa" w:w="70"/>
            </w:tcMar>
          </w:tcPr>
          <w:p>
            <w:pPr>
              <w:spacing w:after="0" w:line="240"/>
              <w:jc w:val="left"/>
            </w:pPr>
            <w:r>
              <w:rPr>
                <w:sz w:val="18"/>
                <w:szCs w:val="18"/>
              </w:rPr>
              <w:t xml:space="preserve">S5</w:t>
            </w:r>
          </w:p>
        </w:tc>
        <w:tc>
          <w:tcPr>
            <w:tcW w:type="dxa" w:w="2000"/>
            <w:shd w:fill="FFFFFF" w:color="auto" w:val="clear"/>
            <w:tcMar>
              <w:top w:type="dxa" w:w="40"/>
              <w:left w:type="dxa" w:w="70"/>
              <w:bottom w:type="dxa" w:w="40"/>
              <w:right w:type="dxa" w:w="70"/>
            </w:tcMar>
          </w:tcPr>
          <w:p>
            <w:pPr>
              <w:spacing w:after="0" w:line="240"/>
              <w:jc w:val="left"/>
            </w:pPr>
            <w:r>
              <w:rPr>
                <w:sz w:val="18"/>
                <w:szCs w:val="18"/>
              </w:rPr>
              <w:t xml:space="preserve">10,061.6</w:t>
            </w:r>
          </w:p>
        </w:tc>
      </w:tr>
    </w:tbl>
    <w:p>
      <w:pPr>
        <w:spacing w:after="120" w:line="276"/>
      </w:pPr>
      <w:r>
        <w:rPr>
          <w:b/>
          <w:bCs/>
        </w:rPr>
        <w:t xml:space="preserve">Source status: </w:t>
      </w:r>
      <w:r>
        <w:rPr>
          <w:b/>
          <w:bCs/>
          <w:color w:val="1E6B34"/>
        </w:rPr>
        <w:t xml:space="preserve">CORROBORATED</w:t>
      </w:r>
      <w:r>
        <w:t xml:space="preserve"> — prior-day H/L/C (30 Jun) verified by two sources within tolerance. Weekly and monthly pivots are computed from indicative aggregates and are flagged SINGLE-SOURCE-INDICATIVE (weekly P ≈ 10,459; monthly P ≈ 10,413).</w:t>
      </w:r>
    </w:p>
    <w:p>
      <w:pPr>
        <w:spacing w:after="120" w:line="276"/>
      </w:pPr>
      <w:r>
        <w:rPr>
          <w:b/>
          <w:bCs/>
        </w:rPr>
        <w:t xml:space="preserve">Position narrative: </w:t>
      </w:r>
      <w:r>
        <w:t xml:space="preserve">The 30 Jun close (10,497.12) sits below the daily pivot P (10,531.4) and above daily S1 (10,449.6) — mid-structure with a mild pullback bias into P. Weekly P (~10,459) sits just beneath, forming a support shelf at 10,449–10,459. First upside friction is daily R1 10,579, coinciding with the 30 Jun rejection wick (10,570–10,613) — a resistance confluence.</w:t>
      </w:r>
    </w:p>
    <w:p>
      <w:pPr>
        <w:pStyle w:val="Heading2"/>
        <w:spacing w:after="100" w:before="220"/>
      </w:pPr>
      <w:r>
        <w:rPr>
          <w:b/>
          <w:bCs/>
          <w:color w:val="1F3864"/>
          <w:sz w:val="24"/>
          <w:szCs w:val="24"/>
        </w:rPr>
        <w:t xml:space="preserve">§12  Key Market Considerations</w:t>
      </w:r>
    </w:p>
    <w:p>
      <w:pPr>
        <w:pStyle w:val="ListParagraph"/>
        <w:numPr>
          <w:ilvl w:val="0"/>
          <w:numId w:val="1"/>
        </w:numPr>
        <w:spacing w:after="60" w:line="264"/>
      </w:pPr>
      <w:r>
        <w:rPr>
          <w:b/>
          <w:bCs/>
        </w:rPr>
        <w:t xml:space="preserve">Macro / rates (cyclical, price-supportive): </w:t>
      </w:r>
      <w:r>
        <w:t xml:space="preserve">Softer-than-expected June flash CPI in Germany, France and Italy has driven rate markets to price no further ECB hikes this year, lowering sovereign yields and supporting equity valuations across Europe including UK-listed internationals. </w:t>
      </w:r>
    </w:p>
    <w:p>
      <w:pPr>
        <w:pStyle w:val="ListParagraph"/>
        <w:numPr>
          <w:ilvl w:val="0"/>
          <w:numId w:val="1"/>
        </w:numPr>
        <w:spacing w:after="60" w:line="264"/>
      </w:pPr>
      <w:r>
        <w:rPr>
          <w:b/>
          <w:bCs/>
        </w:rPr>
        <w:t xml:space="preserve">FX (structural-ish, price-supportive): </w:t>
      </w:r>
      <w:r>
        <w:t xml:space="preserve">A soft/stable dollar (~101) and GBP dynamics flatter FTSE's ~80% overseas revenue base. GBP weakness lifts the FTSE via translation; watch UK final GDP.</w:t>
      </w:r>
    </w:p>
    <w:p>
      <w:pPr>
        <w:pStyle w:val="ListParagraph"/>
        <w:numPr>
          <w:ilvl w:val="0"/>
          <w:numId w:val="1"/>
        </w:numPr>
        <w:spacing w:after="60" w:line="264"/>
      </w:pPr>
      <w:r>
        <w:rPr>
          <w:b/>
          <w:bCs/>
        </w:rPr>
        <w:t xml:space="preserve">Energy (cyclical, mixed): </w:t>
      </w:r>
      <w:r>
        <w:t xml:space="preserve">WTI ~$70 with Middle-East tensions easing back toward pre-war levels. Lower oil eases inflation (supportive for rates) but trims the heavy FTSE energy weighting (SHEL, BP) — net roughly neutral for the index.</w:t>
      </w:r>
    </w:p>
    <w:p>
      <w:pPr>
        <w:pStyle w:val="ListParagraph"/>
        <w:numPr>
          <w:ilvl w:val="0"/>
          <w:numId w:val="1"/>
        </w:numPr>
        <w:spacing w:after="60" w:line="264"/>
      </w:pPr>
      <w:r>
        <w:rPr>
          <w:b/>
          <w:bCs/>
        </w:rPr>
        <w:t xml:space="preserve">Breadth (structural caution): </w:t>
      </w:r>
      <w:r>
        <w:t xml:space="preserve">FTSE 100 strength is concentrated in a subset of large internationals (Entain, BT, ICG, blue-chips), while the FTSE 250 lagged — index-at-highs does not equal broad UK strength.</w:t>
      </w:r>
    </w:p>
    <w:p>
      <w:pPr>
        <w:pStyle w:val="ListParagraph"/>
        <w:numPr>
          <w:ilvl w:val="0"/>
          <w:numId w:val="1"/>
        </w:numPr>
        <w:spacing w:after="60" w:line="264"/>
      </w:pPr>
      <w:r>
        <w:rPr>
          <w:b/>
          <w:bCs/>
        </w:rPr>
        <w:t xml:space="preserve">Near-term catalysts (see §13d): </w:t>
      </w:r>
      <w:r>
        <w:t xml:space="preserve">Eurozone flash CPI, UK final GDP, German retail sales in the 01–04 Jul window; BoE/ECB speaker flow. Any upside inflation surprise is the primary risk to the record-high push.</w:t>
      </w:r>
    </w:p>
    <w:p>
      <w:pPr>
        <w:pStyle w:val="Heading2"/>
        <w:spacing w:after="100" w:before="220"/>
      </w:pPr>
      <w:r>
        <w:rPr>
          <w:b/>
          <w:bCs/>
          <w:color w:val="1F3864"/>
          <w:sz w:val="24"/>
          <w:szCs w:val="24"/>
        </w:rPr>
        <w:t xml:space="preserve">§13  Sentiment, News &amp; Calendar</w:t>
      </w:r>
    </w:p>
    <w:p>
      <w:pPr>
        <w:spacing w:after="60" w:before="120"/>
      </w:pPr>
      <w:r>
        <w:rPr>
          <w:b/>
          <w:bCs/>
          <w:color w:val="555555"/>
          <w:sz w:val="21"/>
          <w:szCs w:val="21"/>
        </w:rPr>
        <w:t xml:space="preserve">§13a  Per-Article Sentiment</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1500"/>
        <w:gridCol w:w="780"/>
        <w:gridCol w:w="2400"/>
        <w:gridCol w:w="900"/>
        <w:gridCol w:w="1080"/>
        <w:gridCol w:w="2700"/>
      </w:tblGrid>
      <w:tr>
        <w:trPr>
          <w:tblHeader/>
        </w:trPr>
        <w:tc>
          <w:tcPr>
            <w:tcW w:type="dxa" w:w="1500"/>
            <w:shd w:fill="1F3864" w:color="auto" w:val="clear"/>
            <w:tcMar>
              <w:top w:type="dxa" w:w="40"/>
              <w:left w:type="dxa" w:w="70"/>
              <w:bottom w:type="dxa" w:w="40"/>
              <w:right w:type="dxa" w:w="70"/>
            </w:tcMar>
          </w:tcPr>
          <w:p>
            <w:pPr>
              <w:spacing w:after="0" w:line="240"/>
              <w:jc w:val="left"/>
            </w:pPr>
            <w:r>
              <w:rPr>
                <w:b/>
                <w:bCs/>
                <w:color w:val="FFFFFF"/>
                <w:sz w:val="18"/>
                <w:szCs w:val="18"/>
              </w:rPr>
              <w:t xml:space="preserve">Source</w:t>
            </w:r>
          </w:p>
        </w:tc>
        <w:tc>
          <w:tcPr>
            <w:tcW w:type="dxa" w:w="780"/>
            <w:shd w:fill="1F3864" w:color="auto" w:val="clear"/>
            <w:tcMar>
              <w:top w:type="dxa" w:w="40"/>
              <w:left w:type="dxa" w:w="70"/>
              <w:bottom w:type="dxa" w:w="40"/>
              <w:right w:type="dxa" w:w="70"/>
            </w:tcMar>
          </w:tcPr>
          <w:p>
            <w:pPr>
              <w:spacing w:after="0" w:line="240"/>
              <w:jc w:val="left"/>
            </w:pPr>
            <w:r>
              <w:rPr>
                <w:b/>
                <w:bCs/>
                <w:color w:val="FFFFFF"/>
                <w:sz w:val="18"/>
                <w:szCs w:val="18"/>
              </w:rPr>
              <w:t xml:space="preserve">Date</w:t>
            </w:r>
          </w:p>
        </w:tc>
        <w:tc>
          <w:tcPr>
            <w:tcW w:type="dxa" w:w="2400"/>
            <w:shd w:fill="1F3864" w:color="auto" w:val="clear"/>
            <w:tcMar>
              <w:top w:type="dxa" w:w="40"/>
              <w:left w:type="dxa" w:w="70"/>
              <w:bottom w:type="dxa" w:w="40"/>
              <w:right w:type="dxa" w:w="70"/>
            </w:tcMar>
          </w:tcPr>
          <w:p>
            <w:pPr>
              <w:spacing w:after="0" w:line="240"/>
              <w:jc w:val="left"/>
            </w:pPr>
            <w:r>
              <w:rPr>
                <w:b/>
                <w:bCs/>
                <w:color w:val="FFFFFF"/>
                <w:sz w:val="18"/>
                <w:szCs w:val="18"/>
              </w:rPr>
              <w:t xml:space="preserve">Headline (short)</w:t>
            </w:r>
          </w:p>
        </w:tc>
        <w:tc>
          <w:tcPr>
            <w:tcW w:type="dxa" w:w="900"/>
            <w:shd w:fill="1F3864" w:color="auto" w:val="clear"/>
            <w:tcMar>
              <w:top w:type="dxa" w:w="40"/>
              <w:left w:type="dxa" w:w="70"/>
              <w:bottom w:type="dxa" w:w="40"/>
              <w:right w:type="dxa" w:w="70"/>
            </w:tcMar>
          </w:tcPr>
          <w:p>
            <w:pPr>
              <w:spacing w:after="0" w:line="240"/>
              <w:jc w:val="left"/>
            </w:pPr>
            <w:r>
              <w:rPr>
                <w:b/>
                <w:bCs/>
                <w:color w:val="FFFFFF"/>
                <w:sz w:val="18"/>
                <w:szCs w:val="18"/>
              </w:rPr>
              <w:t xml:space="preserve">Class.</w:t>
            </w:r>
          </w:p>
        </w:tc>
        <w:tc>
          <w:tcPr>
            <w:tcW w:type="dxa" w:w="1080"/>
            <w:shd w:fill="1F3864" w:color="auto" w:val="clear"/>
            <w:tcMar>
              <w:top w:type="dxa" w:w="40"/>
              <w:left w:type="dxa" w:w="70"/>
              <w:bottom w:type="dxa" w:w="40"/>
              <w:right w:type="dxa" w:w="70"/>
            </w:tcMar>
          </w:tcPr>
          <w:p>
            <w:pPr>
              <w:spacing w:after="0" w:line="240"/>
              <w:jc w:val="left"/>
            </w:pPr>
            <w:r>
              <w:rPr>
                <w:b/>
                <w:bCs/>
                <w:color w:val="FFFFFF"/>
                <w:sz w:val="18"/>
                <w:szCs w:val="18"/>
              </w:rPr>
              <w:t xml:space="preserve">Sentiment</w:t>
            </w:r>
          </w:p>
        </w:tc>
        <w:tc>
          <w:tcPr>
            <w:tcW w:type="dxa" w:w="2700"/>
            <w:shd w:fill="1F3864" w:color="auto" w:val="clear"/>
            <w:tcMar>
              <w:top w:type="dxa" w:w="40"/>
              <w:left w:type="dxa" w:w="70"/>
              <w:bottom w:type="dxa" w:w="40"/>
              <w:right w:type="dxa" w:w="70"/>
            </w:tcMar>
          </w:tcPr>
          <w:p>
            <w:pPr>
              <w:spacing w:after="0" w:line="240"/>
              <w:jc w:val="left"/>
            </w:pPr>
            <w:r>
              <w:rPr>
                <w:b/>
                <w:bCs/>
                <w:color w:val="FFFFFF"/>
                <w:sz w:val="18"/>
                <w:szCs w:val="18"/>
              </w:rPr>
              <w:t xml:space="preserve">Derivation quote (≤15w)</w:t>
            </w:r>
          </w:p>
        </w:tc>
      </w:tr>
      <w:tr>
        <w:tc>
          <w:tcPr>
            <w:tcW w:type="dxa" w:w="1500"/>
            <w:shd w:fill="FFFFFF" w:color="auto" w:val="clear"/>
            <w:tcMar>
              <w:top w:type="dxa" w:w="40"/>
              <w:left w:type="dxa" w:w="70"/>
              <w:bottom w:type="dxa" w:w="40"/>
              <w:right w:type="dxa" w:w="70"/>
            </w:tcMar>
          </w:tcPr>
          <w:p>
            <w:pPr>
              <w:spacing w:after="0" w:line="240"/>
              <w:jc w:val="left"/>
            </w:pPr>
            <w:r>
              <w:rPr>
                <w:sz w:val="18"/>
                <w:szCs w:val="18"/>
              </w:rPr>
              <w:t xml:space="preserve">Trading Economics</w:t>
            </w:r>
          </w:p>
        </w:tc>
        <w:tc>
          <w:tcPr>
            <w:tcW w:type="dxa" w:w="780"/>
            <w:shd w:fill="FFFFFF" w:color="auto" w:val="clear"/>
            <w:tcMar>
              <w:top w:type="dxa" w:w="40"/>
              <w:left w:type="dxa" w:w="70"/>
              <w:bottom w:type="dxa" w:w="40"/>
              <w:right w:type="dxa" w:w="70"/>
            </w:tcMar>
          </w:tcPr>
          <w:p>
            <w:pPr>
              <w:spacing w:after="0" w:line="240"/>
              <w:jc w:val="left"/>
            </w:pPr>
            <w:r>
              <w:rPr>
                <w:sz w:val="18"/>
                <w:szCs w:val="18"/>
              </w:rPr>
              <w:t xml:space="preserve">30 Jun</w:t>
            </w:r>
          </w:p>
        </w:tc>
        <w:tc>
          <w:tcPr>
            <w:tcW w:type="dxa" w:w="2400"/>
            <w:shd w:fill="FFFFFF" w:color="auto" w:val="clear"/>
            <w:tcMar>
              <w:top w:type="dxa" w:w="40"/>
              <w:left w:type="dxa" w:w="70"/>
              <w:bottom w:type="dxa" w:w="40"/>
              <w:right w:type="dxa" w:w="70"/>
            </w:tcMar>
          </w:tcPr>
          <w:p>
            <w:pPr>
              <w:spacing w:after="0" w:line="240"/>
              <w:jc w:val="left"/>
            </w:pPr>
            <w:r>
              <w:rPr>
                <w:sz w:val="18"/>
                <w:szCs w:val="18"/>
              </w:rPr>
              <w:t xml:space="preserve">European stocks close at record highs on softer inflation</w:t>
            </w:r>
          </w:p>
        </w:tc>
        <w:tc>
          <w:tcPr>
            <w:tcW w:type="dxa" w:w="900"/>
            <w:shd w:fill="FFFFFF" w:color="auto" w:val="clear"/>
            <w:tcMar>
              <w:top w:type="dxa" w:w="40"/>
              <w:left w:type="dxa" w:w="70"/>
              <w:bottom w:type="dxa" w:w="40"/>
              <w:right w:type="dxa" w:w="70"/>
            </w:tcMar>
          </w:tcPr>
          <w:p>
            <w:pPr>
              <w:spacing w:after="0" w:line="240"/>
              <w:jc w:val="left"/>
            </w:pPr>
            <w:r>
              <w:rPr>
                <w:sz w:val="18"/>
                <w:szCs w:val="18"/>
              </w:rPr>
              <w:t xml:space="preserve">Media</w:t>
            </w:r>
          </w:p>
        </w:tc>
        <w:tc>
          <w:tcPr>
            <w:tcW w:type="dxa" w:w="1080"/>
            <w:tcMar>
              <w:top w:type="dxa" w:w="40"/>
              <w:left w:type="dxa" w:w="70"/>
              <w:bottom w:type="dxa" w:w="40"/>
              <w:right w:type="dxa" w:w="70"/>
            </w:tcMar>
          </w:tcPr>
          <w:p>
            <w:pPr>
              <w:spacing w:after="0" w:line="240"/>
              <w:jc w:val="left"/>
            </w:pPr>
            <w:r>
              <w:rPr>
                <w:b/>
                <w:bCs/>
                <w:color w:val="1E6B34"/>
              </w:rPr>
              <w:t xml:space="preserve">Bullish</w:t>
            </w:r>
          </w:p>
        </w:tc>
        <w:tc>
          <w:tcPr>
            <w:tcW w:type="dxa" w:w="2700"/>
            <w:shd w:fill="FFFFFF" w:color="auto" w:val="clear"/>
            <w:tcMar>
              <w:top w:type="dxa" w:w="40"/>
              <w:left w:type="dxa" w:w="70"/>
              <w:bottom w:type="dxa" w:w="40"/>
              <w:right w:type="dxa" w:w="70"/>
            </w:tcMar>
          </w:tcPr>
          <w:p>
            <w:pPr>
              <w:spacing w:after="0" w:line="240"/>
              <w:jc w:val="left"/>
            </w:pPr>
            <w:r>
              <w:rPr>
                <w:sz w:val="18"/>
                <w:szCs w:val="18"/>
              </w:rPr>
              <w:t xml:space="preserve">"closed at record highs … softer inflation … lower interest rates"</w:t>
            </w:r>
          </w:p>
        </w:tc>
      </w:tr>
      <w:tr>
        <w:tc>
          <w:tcPr>
            <w:tcW w:type="dxa" w:w="1500"/>
            <w:shd w:fill="F2F4F8" w:color="auto" w:val="clear"/>
            <w:tcMar>
              <w:top w:type="dxa" w:w="40"/>
              <w:left w:type="dxa" w:w="70"/>
              <w:bottom w:type="dxa" w:w="40"/>
              <w:right w:type="dxa" w:w="70"/>
            </w:tcMar>
          </w:tcPr>
          <w:p>
            <w:pPr>
              <w:spacing w:after="0" w:line="240"/>
              <w:jc w:val="left"/>
            </w:pPr>
            <w:r>
              <w:rPr>
                <w:sz w:val="18"/>
                <w:szCs w:val="18"/>
              </w:rPr>
              <w:t xml:space="preserve">IG</w:t>
            </w:r>
          </w:p>
        </w:tc>
        <w:tc>
          <w:tcPr>
            <w:tcW w:type="dxa" w:w="780"/>
            <w:shd w:fill="F2F4F8" w:color="auto" w:val="clear"/>
            <w:tcMar>
              <w:top w:type="dxa" w:w="40"/>
              <w:left w:type="dxa" w:w="70"/>
              <w:bottom w:type="dxa" w:w="40"/>
              <w:right w:type="dxa" w:w="70"/>
            </w:tcMar>
          </w:tcPr>
          <w:p>
            <w:pPr>
              <w:spacing w:after="0" w:line="240"/>
              <w:jc w:val="left"/>
            </w:pPr>
            <w:r>
              <w:rPr>
                <w:sz w:val="18"/>
                <w:szCs w:val="18"/>
              </w:rPr>
              <w:t xml:space="preserve">30 Jun</w:t>
            </w:r>
          </w:p>
        </w:tc>
        <w:tc>
          <w:tcPr>
            <w:tcW w:type="dxa" w:w="2400"/>
            <w:shd w:fill="F2F4F8" w:color="auto" w:val="clear"/>
            <w:tcMar>
              <w:top w:type="dxa" w:w="40"/>
              <w:left w:type="dxa" w:w="70"/>
              <w:bottom w:type="dxa" w:w="40"/>
              <w:right w:type="dxa" w:w="70"/>
            </w:tcMar>
          </w:tcPr>
          <w:p>
            <w:pPr>
              <w:spacing w:after="0" w:line="240"/>
              <w:jc w:val="left"/>
            </w:pPr>
            <w:r>
              <w:rPr>
                <w:sz w:val="18"/>
                <w:szCs w:val="18"/>
              </w:rPr>
              <w:t xml:space="preserve">FTSE 100 near record; FTSE 250 tells a different story</w:t>
            </w:r>
          </w:p>
        </w:tc>
        <w:tc>
          <w:tcPr>
            <w:tcW w:type="dxa" w:w="900"/>
            <w:shd w:fill="F2F4F8" w:color="auto" w:val="clear"/>
            <w:tcMar>
              <w:top w:type="dxa" w:w="40"/>
              <w:left w:type="dxa" w:w="70"/>
              <w:bottom w:type="dxa" w:w="40"/>
              <w:right w:type="dxa" w:w="70"/>
            </w:tcMar>
          </w:tcPr>
          <w:p>
            <w:pPr>
              <w:spacing w:after="0" w:line="240"/>
              <w:jc w:val="left"/>
            </w:pPr>
            <w:r>
              <w:rPr>
                <w:sz w:val="18"/>
                <w:szCs w:val="18"/>
              </w:rPr>
              <w:t xml:space="preserve">Trade Press</w:t>
            </w:r>
          </w:p>
        </w:tc>
        <w:tc>
          <w:tcPr>
            <w:tcW w:type="dxa" w:w="1080"/>
            <w:tcMar>
              <w:top w:type="dxa" w:w="40"/>
              <w:left w:type="dxa" w:w="70"/>
              <w:bottom w:type="dxa" w:w="40"/>
              <w:right w:type="dxa" w:w="70"/>
            </w:tcMar>
          </w:tcPr>
          <w:p>
            <w:pPr>
              <w:spacing w:after="0" w:line="240"/>
              <w:jc w:val="left"/>
            </w:pPr>
            <w:r>
              <w:rPr>
                <w:b/>
                <w:bCs/>
                <w:color w:val="1E6B34"/>
              </w:rPr>
              <w:t xml:space="preserve">Bullish</w:t>
            </w:r>
          </w:p>
        </w:tc>
        <w:tc>
          <w:tcPr>
            <w:tcW w:type="dxa" w:w="2700"/>
            <w:shd w:fill="F2F4F8" w:color="auto" w:val="clear"/>
            <w:tcMar>
              <w:top w:type="dxa" w:w="40"/>
              <w:left w:type="dxa" w:w="70"/>
              <w:bottom w:type="dxa" w:w="40"/>
              <w:right w:type="dxa" w:w="70"/>
            </w:tcMar>
          </w:tcPr>
          <w:p>
            <w:pPr>
              <w:spacing w:after="0" w:line="240"/>
              <w:jc w:val="left"/>
            </w:pPr>
            <w:r>
              <w:rPr>
                <w:sz w:val="18"/>
                <w:szCs w:val="18"/>
              </w:rPr>
              <w:t xml:space="preserve">"trading near all-time highs, up ~19.3% year-to-date"</w:t>
            </w:r>
          </w:p>
        </w:tc>
      </w:tr>
      <w:tr>
        <w:tc>
          <w:tcPr>
            <w:tcW w:type="dxa" w:w="1500"/>
            <w:shd w:fill="FFFFFF" w:color="auto" w:val="clear"/>
            <w:tcMar>
              <w:top w:type="dxa" w:w="40"/>
              <w:left w:type="dxa" w:w="70"/>
              <w:bottom w:type="dxa" w:w="40"/>
              <w:right w:type="dxa" w:w="70"/>
            </w:tcMar>
          </w:tcPr>
          <w:p>
            <w:pPr>
              <w:spacing w:after="0" w:line="240"/>
              <w:jc w:val="left"/>
            </w:pPr>
            <w:r>
              <w:rPr>
                <w:sz w:val="18"/>
                <w:szCs w:val="18"/>
              </w:rPr>
              <w:t xml:space="preserve">Trading Economics</w:t>
            </w:r>
          </w:p>
        </w:tc>
        <w:tc>
          <w:tcPr>
            <w:tcW w:type="dxa" w:w="780"/>
            <w:shd w:fill="FFFFFF" w:color="auto" w:val="clear"/>
            <w:tcMar>
              <w:top w:type="dxa" w:w="40"/>
              <w:left w:type="dxa" w:w="70"/>
              <w:bottom w:type="dxa" w:w="40"/>
              <w:right w:type="dxa" w:w="70"/>
            </w:tcMar>
          </w:tcPr>
          <w:p>
            <w:pPr>
              <w:spacing w:after="0" w:line="240"/>
              <w:jc w:val="left"/>
            </w:pPr>
            <w:r>
              <w:rPr>
                <w:sz w:val="18"/>
                <w:szCs w:val="18"/>
              </w:rPr>
              <w:t xml:space="preserve">30 Jun</w:t>
            </w:r>
          </w:p>
        </w:tc>
        <w:tc>
          <w:tcPr>
            <w:tcW w:type="dxa" w:w="2400"/>
            <w:shd w:fill="FFFFFF" w:color="auto" w:val="clear"/>
            <w:tcMar>
              <w:top w:type="dxa" w:w="40"/>
              <w:left w:type="dxa" w:w="70"/>
              <w:bottom w:type="dxa" w:w="40"/>
              <w:right w:type="dxa" w:w="70"/>
            </w:tcMar>
          </w:tcPr>
          <w:p>
            <w:pPr>
              <w:spacing w:after="0" w:line="240"/>
              <w:jc w:val="left"/>
            </w:pPr>
            <w:r>
              <w:rPr>
                <w:sz w:val="18"/>
                <w:szCs w:val="18"/>
              </w:rPr>
              <w:t xml:space="preserve">STOXX 50 rises on tech; AI optimism returns</w:t>
            </w:r>
          </w:p>
        </w:tc>
        <w:tc>
          <w:tcPr>
            <w:tcW w:type="dxa" w:w="900"/>
            <w:shd w:fill="FFFFFF" w:color="auto" w:val="clear"/>
            <w:tcMar>
              <w:top w:type="dxa" w:w="40"/>
              <w:left w:type="dxa" w:w="70"/>
              <w:bottom w:type="dxa" w:w="40"/>
              <w:right w:type="dxa" w:w="70"/>
            </w:tcMar>
          </w:tcPr>
          <w:p>
            <w:pPr>
              <w:spacing w:after="0" w:line="240"/>
              <w:jc w:val="left"/>
            </w:pPr>
            <w:r>
              <w:rPr>
                <w:sz w:val="18"/>
                <w:szCs w:val="18"/>
              </w:rPr>
              <w:t xml:space="preserve">Media</w:t>
            </w:r>
          </w:p>
        </w:tc>
        <w:tc>
          <w:tcPr>
            <w:tcW w:type="dxa" w:w="1080"/>
            <w:tcMar>
              <w:top w:type="dxa" w:w="40"/>
              <w:left w:type="dxa" w:w="70"/>
              <w:bottom w:type="dxa" w:w="40"/>
              <w:right w:type="dxa" w:w="70"/>
            </w:tcMar>
          </w:tcPr>
          <w:p>
            <w:pPr>
              <w:spacing w:after="0" w:line="240"/>
              <w:jc w:val="left"/>
            </w:pPr>
            <w:r>
              <w:rPr>
                <w:b/>
                <w:bCs/>
                <w:color w:val="1E6B34"/>
              </w:rPr>
              <w:t xml:space="preserve">Bullish</w:t>
            </w:r>
          </w:p>
        </w:tc>
        <w:tc>
          <w:tcPr>
            <w:tcW w:type="dxa" w:w="2700"/>
            <w:shd w:fill="FFFFFF" w:color="auto" w:val="clear"/>
            <w:tcMar>
              <w:top w:type="dxa" w:w="40"/>
              <w:left w:type="dxa" w:w="70"/>
              <w:bottom w:type="dxa" w:w="40"/>
              <w:right w:type="dxa" w:w="70"/>
            </w:tcMar>
          </w:tcPr>
          <w:p>
            <w:pPr>
              <w:spacing w:after="0" w:line="240"/>
              <w:jc w:val="left"/>
            </w:pPr>
            <w:r>
              <w:rPr>
                <w:sz w:val="18"/>
                <w:szCs w:val="18"/>
              </w:rPr>
              <w:t xml:space="preserve">"rising 0.6% … led by technology shares amid renewed optimism"</w:t>
            </w:r>
          </w:p>
        </w:tc>
      </w:tr>
      <w:tr>
        <w:tc>
          <w:tcPr>
            <w:tcW w:type="dxa" w:w="1500"/>
            <w:shd w:fill="F2F4F8" w:color="auto" w:val="clear"/>
            <w:tcMar>
              <w:top w:type="dxa" w:w="40"/>
              <w:left w:type="dxa" w:w="70"/>
              <w:bottom w:type="dxa" w:w="40"/>
              <w:right w:type="dxa" w:w="70"/>
            </w:tcMar>
          </w:tcPr>
          <w:p>
            <w:pPr>
              <w:spacing w:after="0" w:line="240"/>
              <w:jc w:val="left"/>
            </w:pPr>
            <w:r>
              <w:rPr>
                <w:sz w:val="18"/>
                <w:szCs w:val="18"/>
              </w:rPr>
              <w:t xml:space="preserve">TradingView</w:t>
            </w:r>
          </w:p>
        </w:tc>
        <w:tc>
          <w:tcPr>
            <w:tcW w:type="dxa" w:w="780"/>
            <w:shd w:fill="F2F4F8" w:color="auto" w:val="clear"/>
            <w:tcMar>
              <w:top w:type="dxa" w:w="40"/>
              <w:left w:type="dxa" w:w="70"/>
              <w:bottom w:type="dxa" w:w="40"/>
              <w:right w:type="dxa" w:w="70"/>
            </w:tcMar>
          </w:tcPr>
          <w:p>
            <w:pPr>
              <w:spacing w:after="0" w:line="240"/>
              <w:jc w:val="left"/>
            </w:pPr>
            <w:r>
              <w:rPr>
                <w:sz w:val="18"/>
                <w:szCs w:val="18"/>
              </w:rPr>
              <w:t xml:space="preserve">30 Jun</w:t>
            </w:r>
          </w:p>
        </w:tc>
        <w:tc>
          <w:tcPr>
            <w:tcW w:type="dxa" w:w="2400"/>
            <w:shd w:fill="F2F4F8" w:color="auto" w:val="clear"/>
            <w:tcMar>
              <w:top w:type="dxa" w:w="40"/>
              <w:left w:type="dxa" w:w="70"/>
              <w:bottom w:type="dxa" w:w="40"/>
              <w:right w:type="dxa" w:w="70"/>
            </w:tcMar>
          </w:tcPr>
          <w:p>
            <w:pPr>
              <w:spacing w:after="0" w:line="240"/>
              <w:jc w:val="left"/>
            </w:pPr>
            <w:r>
              <w:rPr>
                <w:sz w:val="18"/>
                <w:szCs w:val="18"/>
              </w:rPr>
              <w:t xml:space="preserve">UK 100 breaks through resistance</w:t>
            </w:r>
          </w:p>
        </w:tc>
        <w:tc>
          <w:tcPr>
            <w:tcW w:type="dxa" w:w="900"/>
            <w:shd w:fill="F2F4F8" w:color="auto" w:val="clear"/>
            <w:tcMar>
              <w:top w:type="dxa" w:w="40"/>
              <w:left w:type="dxa" w:w="70"/>
              <w:bottom w:type="dxa" w:w="40"/>
              <w:right w:type="dxa" w:w="70"/>
            </w:tcMar>
          </w:tcPr>
          <w:p>
            <w:pPr>
              <w:spacing w:after="0" w:line="240"/>
              <w:jc w:val="left"/>
            </w:pPr>
            <w:r>
              <w:rPr>
                <w:sz w:val="18"/>
                <w:szCs w:val="18"/>
              </w:rPr>
              <w:t xml:space="preserve">Trade Press</w:t>
            </w:r>
          </w:p>
        </w:tc>
        <w:tc>
          <w:tcPr>
            <w:tcW w:type="dxa" w:w="1080"/>
            <w:tcMar>
              <w:top w:type="dxa" w:w="40"/>
              <w:left w:type="dxa" w:w="70"/>
              <w:bottom w:type="dxa" w:w="40"/>
              <w:right w:type="dxa" w:w="70"/>
            </w:tcMar>
          </w:tcPr>
          <w:p>
            <w:pPr>
              <w:spacing w:after="0" w:line="240"/>
              <w:jc w:val="left"/>
            </w:pPr>
            <w:r>
              <w:rPr>
                <w:b/>
                <w:bCs/>
                <w:color w:val="1E6B34"/>
              </w:rPr>
              <w:t xml:space="preserve">Bullish</w:t>
            </w:r>
          </w:p>
        </w:tc>
        <w:tc>
          <w:tcPr>
            <w:tcW w:type="dxa" w:w="2700"/>
            <w:shd w:fill="F2F4F8" w:color="auto" w:val="clear"/>
            <w:tcMar>
              <w:top w:type="dxa" w:w="40"/>
              <w:left w:type="dxa" w:w="70"/>
              <w:bottom w:type="dxa" w:w="40"/>
              <w:right w:type="dxa" w:w="70"/>
            </w:tcMar>
          </w:tcPr>
          <w:p>
            <w:pPr>
              <w:spacing w:after="0" w:line="240"/>
              <w:jc w:val="left"/>
            </w:pPr>
            <w:r>
              <w:rPr>
                <w:sz w:val="18"/>
                <w:szCs w:val="18"/>
              </w:rPr>
              <w:t xml:space="preserve">"Bullish Breakout Activated … toward $10,800 target"</w:t>
            </w:r>
          </w:p>
        </w:tc>
      </w:tr>
      <w:tr>
        <w:tc>
          <w:tcPr>
            <w:tcW w:type="dxa" w:w="1500"/>
            <w:shd w:fill="FFFFFF" w:color="auto" w:val="clear"/>
            <w:tcMar>
              <w:top w:type="dxa" w:w="40"/>
              <w:left w:type="dxa" w:w="70"/>
              <w:bottom w:type="dxa" w:w="40"/>
              <w:right w:type="dxa" w:w="70"/>
            </w:tcMar>
          </w:tcPr>
          <w:p>
            <w:pPr>
              <w:spacing w:after="0" w:line="240"/>
              <w:jc w:val="left"/>
            </w:pPr>
            <w:r>
              <w:rPr>
                <w:sz w:val="18"/>
                <w:szCs w:val="18"/>
              </w:rPr>
              <w:t xml:space="preserve">CNBC</w:t>
            </w:r>
          </w:p>
        </w:tc>
        <w:tc>
          <w:tcPr>
            <w:tcW w:type="dxa" w:w="780"/>
            <w:shd w:fill="FFFFFF" w:color="auto" w:val="clear"/>
            <w:tcMar>
              <w:top w:type="dxa" w:w="40"/>
              <w:left w:type="dxa" w:w="70"/>
              <w:bottom w:type="dxa" w:w="40"/>
              <w:right w:type="dxa" w:w="70"/>
            </w:tcMar>
          </w:tcPr>
          <w:p>
            <w:pPr>
              <w:spacing w:after="0" w:line="240"/>
              <w:jc w:val="left"/>
            </w:pPr>
            <w:r>
              <w:rPr>
                <w:sz w:val="18"/>
                <w:szCs w:val="18"/>
              </w:rPr>
              <w:t xml:space="preserve">28 Jun</w:t>
            </w:r>
          </w:p>
        </w:tc>
        <w:tc>
          <w:tcPr>
            <w:tcW w:type="dxa" w:w="2400"/>
            <w:shd w:fill="FFFFFF" w:color="auto" w:val="clear"/>
            <w:tcMar>
              <w:top w:type="dxa" w:w="40"/>
              <w:left w:type="dxa" w:w="70"/>
              <w:bottom w:type="dxa" w:w="40"/>
              <w:right w:type="dxa" w:w="70"/>
            </w:tcMar>
          </w:tcPr>
          <w:p>
            <w:pPr>
              <w:spacing w:after="0" w:line="240"/>
              <w:jc w:val="left"/>
            </w:pPr>
            <w:r>
              <w:rPr>
                <w:sz w:val="18"/>
                <w:szCs w:val="18"/>
              </w:rPr>
              <w:t xml:space="preserve">Dow above 52,000 first time; global risk-on</w:t>
            </w:r>
          </w:p>
        </w:tc>
        <w:tc>
          <w:tcPr>
            <w:tcW w:type="dxa" w:w="900"/>
            <w:shd w:fill="FFFFFF" w:color="auto" w:val="clear"/>
            <w:tcMar>
              <w:top w:type="dxa" w:w="40"/>
              <w:left w:type="dxa" w:w="70"/>
              <w:bottom w:type="dxa" w:w="40"/>
              <w:right w:type="dxa" w:w="70"/>
            </w:tcMar>
          </w:tcPr>
          <w:p>
            <w:pPr>
              <w:spacing w:after="0" w:line="240"/>
              <w:jc w:val="left"/>
            </w:pPr>
            <w:r>
              <w:rPr>
                <w:sz w:val="18"/>
                <w:szCs w:val="18"/>
              </w:rPr>
              <w:t xml:space="preserve">Media</w:t>
            </w:r>
          </w:p>
        </w:tc>
        <w:tc>
          <w:tcPr>
            <w:tcW w:type="dxa" w:w="1080"/>
            <w:tcMar>
              <w:top w:type="dxa" w:w="40"/>
              <w:left w:type="dxa" w:w="70"/>
              <w:bottom w:type="dxa" w:w="40"/>
              <w:right w:type="dxa" w:w="70"/>
            </w:tcMar>
          </w:tcPr>
          <w:p>
            <w:pPr>
              <w:spacing w:after="0" w:line="240"/>
              <w:jc w:val="left"/>
            </w:pPr>
            <w:r>
              <w:rPr>
                <w:b/>
                <w:bCs/>
                <w:color w:val="1E6B34"/>
              </w:rPr>
              <w:t xml:space="preserve">Bullish</w:t>
            </w:r>
          </w:p>
        </w:tc>
        <w:tc>
          <w:tcPr>
            <w:tcW w:type="dxa" w:w="2700"/>
            <w:shd w:fill="FFFFFF" w:color="auto" w:val="clear"/>
            <w:tcMar>
              <w:top w:type="dxa" w:w="40"/>
              <w:left w:type="dxa" w:w="70"/>
              <w:bottom w:type="dxa" w:w="40"/>
              <w:right w:type="dxa" w:w="70"/>
            </w:tcMar>
          </w:tcPr>
          <w:p>
            <w:pPr>
              <w:spacing w:after="0" w:line="240"/>
              <w:jc w:val="left"/>
            </w:pPr>
            <w:r>
              <w:rPr>
                <w:sz w:val="18"/>
                <w:szCs w:val="18"/>
              </w:rPr>
              <w:t xml:space="preserve">"Dow jumps 300 points for first close above 52,000"</w:t>
            </w:r>
          </w:p>
        </w:tc>
      </w:tr>
      <w:tr>
        <w:tc>
          <w:tcPr>
            <w:tcW w:type="dxa" w:w="1500"/>
            <w:shd w:fill="F2F4F8" w:color="auto" w:val="clear"/>
            <w:tcMar>
              <w:top w:type="dxa" w:w="40"/>
              <w:left w:type="dxa" w:w="70"/>
              <w:bottom w:type="dxa" w:w="40"/>
              <w:right w:type="dxa" w:w="70"/>
            </w:tcMar>
          </w:tcPr>
          <w:p>
            <w:pPr>
              <w:spacing w:after="0" w:line="240"/>
              <w:jc w:val="left"/>
            </w:pPr>
            <w:r>
              <w:rPr>
                <w:sz w:val="18"/>
                <w:szCs w:val="18"/>
              </w:rPr>
              <w:t xml:space="preserve">Reuters/ECB (Lagarde)</w:t>
            </w:r>
          </w:p>
        </w:tc>
        <w:tc>
          <w:tcPr>
            <w:tcW w:type="dxa" w:w="780"/>
            <w:shd w:fill="F2F4F8" w:color="auto" w:val="clear"/>
            <w:tcMar>
              <w:top w:type="dxa" w:w="40"/>
              <w:left w:type="dxa" w:w="70"/>
              <w:bottom w:type="dxa" w:w="40"/>
              <w:right w:type="dxa" w:w="70"/>
            </w:tcMar>
          </w:tcPr>
          <w:p>
            <w:pPr>
              <w:spacing w:after="0" w:line="240"/>
              <w:jc w:val="left"/>
            </w:pPr>
            <w:r>
              <w:rPr>
                <w:sz w:val="18"/>
                <w:szCs w:val="18"/>
              </w:rPr>
              <w:t xml:space="preserve">29 Jun</w:t>
            </w:r>
          </w:p>
        </w:tc>
        <w:tc>
          <w:tcPr>
            <w:tcW w:type="dxa" w:w="2400"/>
            <w:shd w:fill="F2F4F8" w:color="auto" w:val="clear"/>
            <w:tcMar>
              <w:top w:type="dxa" w:w="40"/>
              <w:left w:type="dxa" w:w="70"/>
              <w:bottom w:type="dxa" w:w="40"/>
              <w:right w:type="dxa" w:w="70"/>
            </w:tcMar>
          </w:tcPr>
          <w:p>
            <w:pPr>
              <w:spacing w:after="0" w:line="240"/>
              <w:jc w:val="left"/>
            </w:pPr>
            <w:r>
              <w:rPr>
                <w:sz w:val="18"/>
                <w:szCs w:val="18"/>
              </w:rPr>
              <w:t xml:space="preserve">Lagarde: resilience gives ECB scope to raise rates</w:t>
            </w:r>
          </w:p>
        </w:tc>
        <w:tc>
          <w:tcPr>
            <w:tcW w:type="dxa" w:w="900"/>
            <w:shd w:fill="F2F4F8" w:color="auto" w:val="clear"/>
            <w:tcMar>
              <w:top w:type="dxa" w:w="40"/>
              <w:left w:type="dxa" w:w="70"/>
              <w:bottom w:type="dxa" w:w="40"/>
              <w:right w:type="dxa" w:w="70"/>
            </w:tcMar>
          </w:tcPr>
          <w:p>
            <w:pPr>
              <w:spacing w:after="0" w:line="240"/>
              <w:jc w:val="left"/>
            </w:pPr>
            <w:r>
              <w:rPr>
                <w:sz w:val="18"/>
                <w:szCs w:val="18"/>
              </w:rPr>
              <w:t xml:space="preserve">Official</w:t>
            </w:r>
          </w:p>
        </w:tc>
        <w:tc>
          <w:tcPr>
            <w:tcW w:type="dxa" w:w="1080"/>
            <w:tcMar>
              <w:top w:type="dxa" w:w="40"/>
              <w:left w:type="dxa" w:w="70"/>
              <w:bottom w:type="dxa" w:w="40"/>
              <w:right w:type="dxa" w:w="70"/>
            </w:tcMar>
          </w:tcPr>
          <w:p>
            <w:pPr>
              <w:spacing w:after="0" w:line="240"/>
              <w:jc w:val="left"/>
            </w:pPr>
            <w:r>
              <w:rPr>
                <w:b/>
                <w:bCs/>
                <w:color w:val="C62828"/>
              </w:rPr>
              <w:t xml:space="preserve">Bearish</w:t>
            </w:r>
          </w:p>
        </w:tc>
        <w:tc>
          <w:tcPr>
            <w:tcW w:type="dxa" w:w="2700"/>
            <w:shd w:fill="F2F4F8" w:color="auto" w:val="clear"/>
            <w:tcMar>
              <w:top w:type="dxa" w:w="40"/>
              <w:left w:type="dxa" w:w="70"/>
              <w:bottom w:type="dxa" w:w="40"/>
              <w:right w:type="dxa" w:w="70"/>
            </w:tcMar>
          </w:tcPr>
          <w:p>
            <w:pPr>
              <w:spacing w:after="0" w:line="240"/>
              <w:jc w:val="left"/>
            </w:pPr>
            <w:r>
              <w:rPr>
                <w:sz w:val="18"/>
                <w:szCs w:val="18"/>
              </w:rPr>
              <w:t xml:space="preserve">"increasingly likely to face inflationary shocks … scope to raise"</w:t>
            </w:r>
          </w:p>
        </w:tc>
      </w:tr>
    </w:tbl>
    <w:p>
      <w:pPr>
        <w:spacing w:after="60" w:before="120"/>
      </w:pPr>
      <w:r>
        <w:rPr>
          <w:b/>
          <w:bCs/>
          <w:color w:val="555555"/>
          <w:sz w:val="21"/>
          <w:szCs w:val="21"/>
        </w:rPr>
        <w:t xml:space="preserve">§13b  Aggregate Sentiment Summary</w:t>
      </w:r>
    </w:p>
    <w:p>
      <w:pPr>
        <w:spacing w:after="120" w:line="276"/>
      </w:pPr>
      <w:r>
        <w:t xml:space="preserve">Counts: 5 Bullish (2 media, 2 trade press, 1 media) + 1 Bearish (official) = </w:t>
      </w:r>
      <w:r>
        <w:rPr>
          <w:b/>
          <w:bCs/>
          <w:color w:val="1E6B34"/>
        </w:rPr>
        <w:t xml:space="preserve">Predominantly Bullish</w:t>
      </w:r>
      <w:r>
        <w:t xml:space="preserve">. Numeric tilt (source-class weighted): </w:t>
      </w:r>
    </w:p>
    <w:p>
      <w:pPr>
        <w:spacing w:after="120" w:line="276"/>
      </w:pPr>
      <w:r>
        <w:rPr>
          <w:sz w:val="19"/>
          <w:szCs w:val="19"/>
        </w:rPr>
        <w:t xml:space="preserve">Σw·s = (0.5·+1)+(0.7·+1)+(0.5·+1)+(0.7·+1)+(0.5·+1)+(1.0·−1) = +1.9 ; Σw = 3.9 ; tilt = +1.9/3.9 = </w:t>
      </w:r>
      <w:r>
        <w:rPr>
          <w:b/>
          <w:bCs/>
          <w:sz w:val="19"/>
          <w:szCs w:val="19"/>
        </w:rPr>
        <w:t xml:space="preserve">+0.49</w:t>
      </w:r>
    </w:p>
    <w:p>
      <w:pPr>
        <w:spacing w:after="120" w:line="276"/>
      </w:pPr>
      <w:r>
        <w:t xml:space="preserve">Reported as: </w:t>
      </w:r>
      <w:r>
        <w:rPr>
          <w:b/>
          <w:bCs/>
          <w:color w:val="1E6B34"/>
        </w:rPr>
        <w:t xml:space="preserve">Predominantly Bullish (tilt = +0.49)</w:t>
      </w:r>
      <w:r>
        <w:t xml:space="preserve">. Divergence flag: sentiment agrees with price action (record-high proximity) and the §9 Trending-Bullish regime — no divergence. The lone bearish input (Lagarde's hawkish-optionality remark) is institutional and weighted fully; it tempers but does not flip the tilt. Not low-confidence (6 articles).</w:t>
      </w:r>
    </w:p>
    <w:p>
      <w:pPr>
        <w:spacing w:after="60" w:before="120"/>
      </w:pPr>
      <w:r>
        <w:rPr>
          <w:b/>
          <w:bCs/>
          <w:color w:val="555555"/>
          <w:sz w:val="21"/>
          <w:szCs w:val="21"/>
        </w:rPr>
        <w:t xml:space="preserve">§13c  News Calendar — Previous Period (25–30 Jun)</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820"/>
        <w:gridCol w:w="2100"/>
        <w:gridCol w:w="2000"/>
        <w:gridCol w:w="800"/>
        <w:gridCol w:w="3640"/>
      </w:tblGrid>
      <w:tr>
        <w:trPr>
          <w:tblHeader/>
        </w:trPr>
        <w:tc>
          <w:tcPr>
            <w:tcW w:type="dxa" w:w="820"/>
            <w:shd w:fill="1F3864" w:color="auto" w:val="clear"/>
            <w:tcMar>
              <w:top w:type="dxa" w:w="40"/>
              <w:left w:type="dxa" w:w="70"/>
              <w:bottom w:type="dxa" w:w="40"/>
              <w:right w:type="dxa" w:w="70"/>
            </w:tcMar>
          </w:tcPr>
          <w:p>
            <w:pPr>
              <w:spacing w:after="0" w:line="240"/>
              <w:jc w:val="left"/>
            </w:pPr>
            <w:r>
              <w:rPr>
                <w:b/>
                <w:bCs/>
                <w:color w:val="FFFFFF"/>
                <w:sz w:val="18"/>
                <w:szCs w:val="18"/>
              </w:rPr>
              <w:t xml:space="preserve">Date</w:t>
            </w:r>
          </w:p>
        </w:tc>
        <w:tc>
          <w:tcPr>
            <w:tcW w:type="dxa" w:w="2100"/>
            <w:shd w:fill="1F3864" w:color="auto" w:val="clear"/>
            <w:tcMar>
              <w:top w:type="dxa" w:w="40"/>
              <w:left w:type="dxa" w:w="70"/>
              <w:bottom w:type="dxa" w:w="40"/>
              <w:right w:type="dxa" w:w="70"/>
            </w:tcMar>
          </w:tcPr>
          <w:p>
            <w:pPr>
              <w:spacing w:after="0" w:line="240"/>
              <w:jc w:val="left"/>
            </w:pPr>
            <w:r>
              <w:rPr>
                <w:b/>
                <w:bCs/>
                <w:color w:val="FFFFFF"/>
                <w:sz w:val="18"/>
                <w:szCs w:val="18"/>
              </w:rPr>
              <w:t xml:space="preserve">Event</w:t>
            </w:r>
          </w:p>
        </w:tc>
        <w:tc>
          <w:tcPr>
            <w:tcW w:type="dxa" w:w="2000"/>
            <w:shd w:fill="1F3864" w:color="auto" w:val="clear"/>
            <w:tcMar>
              <w:top w:type="dxa" w:w="40"/>
              <w:left w:type="dxa" w:w="70"/>
              <w:bottom w:type="dxa" w:w="40"/>
              <w:right w:type="dxa" w:w="70"/>
            </w:tcMar>
          </w:tcPr>
          <w:p>
            <w:pPr>
              <w:spacing w:after="0" w:line="240"/>
              <w:jc w:val="left"/>
            </w:pPr>
            <w:r>
              <w:rPr>
                <w:b/>
                <w:bCs/>
                <w:color w:val="FFFFFF"/>
                <w:sz w:val="18"/>
                <w:szCs w:val="18"/>
              </w:rPr>
              <w:t xml:space="preserve">Prior / Context</w:t>
            </w:r>
          </w:p>
        </w:tc>
        <w:tc>
          <w:tcPr>
            <w:tcW w:type="dxa" w:w="800"/>
            <w:shd w:fill="1F3864" w:color="auto" w:val="clear"/>
            <w:tcMar>
              <w:top w:type="dxa" w:w="40"/>
              <w:left w:type="dxa" w:w="70"/>
              <w:bottom w:type="dxa" w:w="40"/>
              <w:right w:type="dxa" w:w="70"/>
            </w:tcMar>
          </w:tcPr>
          <w:p>
            <w:pPr>
              <w:spacing w:after="0" w:line="240"/>
              <w:jc w:val="left"/>
            </w:pPr>
            <w:r>
              <w:rPr>
                <w:b/>
                <w:bCs/>
                <w:color w:val="FFFFFF"/>
                <w:sz w:val="18"/>
                <w:szCs w:val="18"/>
              </w:rPr>
              <w:t xml:space="preserve">Impact</w:t>
            </w:r>
          </w:p>
        </w:tc>
        <w:tc>
          <w:tcPr>
            <w:tcW w:type="dxa" w:w="3640"/>
            <w:shd w:fill="1F3864" w:color="auto" w:val="clear"/>
            <w:tcMar>
              <w:top w:type="dxa" w:w="40"/>
              <w:left w:type="dxa" w:w="70"/>
              <w:bottom w:type="dxa" w:w="40"/>
              <w:right w:type="dxa" w:w="70"/>
            </w:tcMar>
          </w:tcPr>
          <w:p>
            <w:pPr>
              <w:spacing w:after="0" w:line="240"/>
              <w:jc w:val="left"/>
            </w:pPr>
            <w:r>
              <w:rPr>
                <w:b/>
                <w:bCs/>
                <w:color w:val="FFFFFF"/>
                <w:sz w:val="18"/>
                <w:szCs w:val="18"/>
              </w:rPr>
              <w:t xml:space="preserve">Implication for FTSE</w:t>
            </w:r>
          </w:p>
        </w:tc>
      </w:tr>
      <w:tr>
        <w:tc>
          <w:tcPr>
            <w:tcW w:type="dxa" w:w="820"/>
            <w:shd w:fill="FFFFFF" w:color="auto" w:val="clear"/>
            <w:tcMar>
              <w:top w:type="dxa" w:w="40"/>
              <w:left w:type="dxa" w:w="70"/>
              <w:bottom w:type="dxa" w:w="40"/>
              <w:right w:type="dxa" w:w="70"/>
            </w:tcMar>
          </w:tcPr>
          <w:p>
            <w:pPr>
              <w:spacing w:after="0" w:line="240"/>
              <w:jc w:val="left"/>
            </w:pPr>
            <w:r>
              <w:rPr>
                <w:sz w:val="18"/>
                <w:szCs w:val="18"/>
              </w:rPr>
              <w:t xml:space="preserve">25 Jun</w:t>
            </w:r>
          </w:p>
        </w:tc>
        <w:tc>
          <w:tcPr>
            <w:tcW w:type="dxa" w:w="2100"/>
            <w:shd w:fill="FFFFFF" w:color="auto" w:val="clear"/>
            <w:tcMar>
              <w:top w:type="dxa" w:w="40"/>
              <w:left w:type="dxa" w:w="70"/>
              <w:bottom w:type="dxa" w:w="40"/>
              <w:right w:type="dxa" w:w="70"/>
            </w:tcMar>
          </w:tcPr>
          <w:p>
            <w:pPr>
              <w:spacing w:after="0" w:line="240"/>
              <w:jc w:val="left"/>
            </w:pPr>
            <w:r>
              <w:rPr>
                <w:sz w:val="18"/>
                <w:szCs w:val="18"/>
              </w:rPr>
              <w:t xml:space="preserve">US chip sell-off (Nasdaq −)</w:t>
            </w:r>
          </w:p>
        </w:tc>
        <w:tc>
          <w:tcPr>
            <w:tcW w:type="dxa" w:w="2000"/>
            <w:shd w:fill="FFFFFF" w:color="auto" w:val="clear"/>
            <w:tcMar>
              <w:top w:type="dxa" w:w="40"/>
              <w:left w:type="dxa" w:w="70"/>
              <w:bottom w:type="dxa" w:w="40"/>
              <w:right w:type="dxa" w:w="70"/>
            </w:tcMar>
          </w:tcPr>
          <w:p>
            <w:pPr>
              <w:spacing w:after="0" w:line="240"/>
              <w:jc w:val="left"/>
            </w:pPr>
            <w:r>
              <w:rPr>
                <w:sz w:val="18"/>
                <w:szCs w:val="18"/>
              </w:rPr>
              <w:t xml:space="preserve">AI/chip volatility</w:t>
            </w:r>
          </w:p>
        </w:tc>
        <w:tc>
          <w:tcPr>
            <w:tcW w:type="dxa" w:w="800"/>
            <w:tcMar>
              <w:top w:type="dxa" w:w="40"/>
              <w:left w:type="dxa" w:w="70"/>
              <w:bottom w:type="dxa" w:w="40"/>
              <w:right w:type="dxa" w:w="70"/>
            </w:tcMar>
          </w:tcPr>
          <w:p>
            <w:pPr>
              <w:spacing w:after="0" w:line="240"/>
              <w:jc w:val="left"/>
            </w:pPr>
            <w:r>
              <w:t xml:space="preserve">Med</w:t>
            </w:r>
          </w:p>
        </w:tc>
        <w:tc>
          <w:tcPr>
            <w:tcW w:type="dxa" w:w="3640"/>
            <w:shd w:fill="FFFFFF" w:color="auto" w:val="clear"/>
            <w:tcMar>
              <w:top w:type="dxa" w:w="40"/>
              <w:left w:type="dxa" w:w="70"/>
              <w:bottom w:type="dxa" w:w="40"/>
              <w:right w:type="dxa" w:w="70"/>
            </w:tcMar>
          </w:tcPr>
          <w:p>
            <w:pPr>
              <w:spacing w:after="0" w:line="240"/>
              <w:jc w:val="left"/>
            </w:pPr>
            <w:r>
              <w:rPr>
                <w:sz w:val="18"/>
                <w:szCs w:val="18"/>
              </w:rPr>
              <w:t xml:space="preserve">Risk-off spillover; FTSE softened to ~10,405</w:t>
            </w:r>
          </w:p>
        </w:tc>
      </w:tr>
      <w:tr>
        <w:tc>
          <w:tcPr>
            <w:tcW w:type="dxa" w:w="820"/>
            <w:shd w:fill="F2F4F8" w:color="auto" w:val="clear"/>
            <w:tcMar>
              <w:top w:type="dxa" w:w="40"/>
              <w:left w:type="dxa" w:w="70"/>
              <w:bottom w:type="dxa" w:w="40"/>
              <w:right w:type="dxa" w:w="70"/>
            </w:tcMar>
          </w:tcPr>
          <w:p>
            <w:pPr>
              <w:spacing w:after="0" w:line="240"/>
              <w:jc w:val="left"/>
            </w:pPr>
            <w:r>
              <w:rPr>
                <w:sz w:val="18"/>
                <w:szCs w:val="18"/>
              </w:rPr>
              <w:t xml:space="preserve">26 Jun</w:t>
            </w:r>
          </w:p>
        </w:tc>
        <w:tc>
          <w:tcPr>
            <w:tcW w:type="dxa" w:w="2100"/>
            <w:shd w:fill="F2F4F8" w:color="auto" w:val="clear"/>
            <w:tcMar>
              <w:top w:type="dxa" w:w="40"/>
              <w:left w:type="dxa" w:w="70"/>
              <w:bottom w:type="dxa" w:w="40"/>
              <w:right w:type="dxa" w:w="70"/>
            </w:tcMar>
          </w:tcPr>
          <w:p>
            <w:pPr>
              <w:spacing w:after="0" w:line="240"/>
              <w:jc w:val="left"/>
            </w:pPr>
            <w:r>
              <w:rPr>
                <w:sz w:val="18"/>
                <w:szCs w:val="18"/>
              </w:rPr>
              <w:t xml:space="preserve">Europe risk wobble</w:t>
            </w:r>
          </w:p>
        </w:tc>
        <w:tc>
          <w:tcPr>
            <w:tcW w:type="dxa" w:w="2000"/>
            <w:shd w:fill="F2F4F8" w:color="auto" w:val="clear"/>
            <w:tcMar>
              <w:top w:type="dxa" w:w="40"/>
              <w:left w:type="dxa" w:w="70"/>
              <w:bottom w:type="dxa" w:w="40"/>
              <w:right w:type="dxa" w:w="70"/>
            </w:tcMar>
          </w:tcPr>
          <w:p>
            <w:pPr>
              <w:spacing w:after="0" w:line="240"/>
              <w:jc w:val="left"/>
            </w:pPr>
            <w:r>
              <w:rPr>
                <w:sz w:val="18"/>
                <w:szCs w:val="18"/>
              </w:rPr>
              <w:t xml:space="preserve">Softer domestic sentiment</w:t>
            </w:r>
          </w:p>
        </w:tc>
        <w:tc>
          <w:tcPr>
            <w:tcW w:type="dxa" w:w="800"/>
            <w:tcMar>
              <w:top w:type="dxa" w:w="40"/>
              <w:left w:type="dxa" w:w="70"/>
              <w:bottom w:type="dxa" w:w="40"/>
              <w:right w:type="dxa" w:w="70"/>
            </w:tcMar>
          </w:tcPr>
          <w:p>
            <w:pPr>
              <w:spacing w:after="0" w:line="240"/>
              <w:jc w:val="left"/>
            </w:pPr>
            <w:r>
              <w:t xml:space="preserve">Med</w:t>
            </w:r>
          </w:p>
        </w:tc>
        <w:tc>
          <w:tcPr>
            <w:tcW w:type="dxa" w:w="3640"/>
            <w:shd w:fill="F2F4F8" w:color="auto" w:val="clear"/>
            <w:tcMar>
              <w:top w:type="dxa" w:w="40"/>
              <w:left w:type="dxa" w:w="70"/>
              <w:bottom w:type="dxa" w:w="40"/>
              <w:right w:type="dxa" w:w="70"/>
            </w:tcMar>
          </w:tcPr>
          <w:p>
            <w:pPr>
              <w:spacing w:after="0" w:line="240"/>
              <w:jc w:val="left"/>
            </w:pPr>
            <w:r>
              <w:rPr>
                <w:sz w:val="18"/>
                <w:szCs w:val="18"/>
              </w:rPr>
              <w:t xml:space="preserve">FTSE −1.1% area; oversold RSI2</w:t>
            </w:r>
          </w:p>
        </w:tc>
      </w:tr>
      <w:tr>
        <w:tc>
          <w:tcPr>
            <w:tcW w:type="dxa" w:w="820"/>
            <w:shd w:fill="FFFFFF" w:color="auto" w:val="clear"/>
            <w:tcMar>
              <w:top w:type="dxa" w:w="40"/>
              <w:left w:type="dxa" w:w="70"/>
              <w:bottom w:type="dxa" w:w="40"/>
              <w:right w:type="dxa" w:w="70"/>
            </w:tcMar>
          </w:tcPr>
          <w:p>
            <w:pPr>
              <w:spacing w:after="0" w:line="240"/>
              <w:jc w:val="left"/>
            </w:pPr>
            <w:r>
              <w:rPr>
                <w:sz w:val="18"/>
                <w:szCs w:val="18"/>
              </w:rPr>
              <w:t xml:space="preserve">29 Jun</w:t>
            </w:r>
          </w:p>
        </w:tc>
        <w:tc>
          <w:tcPr>
            <w:tcW w:type="dxa" w:w="2100"/>
            <w:shd w:fill="FFFFFF" w:color="auto" w:val="clear"/>
            <w:tcMar>
              <w:top w:type="dxa" w:w="40"/>
              <w:left w:type="dxa" w:w="70"/>
              <w:bottom w:type="dxa" w:w="40"/>
              <w:right w:type="dxa" w:w="70"/>
            </w:tcMar>
          </w:tcPr>
          <w:p>
            <w:pPr>
              <w:spacing w:after="0" w:line="240"/>
              <w:jc w:val="left"/>
            </w:pPr>
            <w:r>
              <w:rPr>
                <w:sz w:val="18"/>
                <w:szCs w:val="18"/>
              </w:rPr>
              <w:t xml:space="preserve">Weekend geopolitics de-escalation</w:t>
            </w:r>
          </w:p>
        </w:tc>
        <w:tc>
          <w:tcPr>
            <w:tcW w:type="dxa" w:w="2000"/>
            <w:shd w:fill="FFFFFF" w:color="auto" w:val="clear"/>
            <w:tcMar>
              <w:top w:type="dxa" w:w="40"/>
              <w:left w:type="dxa" w:w="70"/>
              <w:bottom w:type="dxa" w:w="40"/>
              <w:right w:type="dxa" w:w="70"/>
            </w:tcMar>
          </w:tcPr>
          <w:p>
            <w:pPr>
              <w:spacing w:after="0" w:line="240"/>
              <w:jc w:val="left"/>
            </w:pPr>
            <w:r>
              <w:rPr>
                <w:sz w:val="18"/>
                <w:szCs w:val="18"/>
              </w:rPr>
              <w:t xml:space="preserve">Strait of Hormuz easing</w:t>
            </w:r>
          </w:p>
        </w:tc>
        <w:tc>
          <w:tcPr>
            <w:tcW w:type="dxa" w:w="800"/>
            <w:tcMar>
              <w:top w:type="dxa" w:w="40"/>
              <w:left w:type="dxa" w:w="70"/>
              <w:bottom w:type="dxa" w:w="40"/>
              <w:right w:type="dxa" w:w="70"/>
            </w:tcMar>
          </w:tcPr>
          <w:p>
            <w:pPr>
              <w:spacing w:after="0" w:line="240"/>
              <w:jc w:val="left"/>
            </w:pPr>
            <w:r>
              <w:t xml:space="preserve">High</w:t>
            </w:r>
          </w:p>
        </w:tc>
        <w:tc>
          <w:tcPr>
            <w:tcW w:type="dxa" w:w="3640"/>
            <w:shd w:fill="FFFFFF" w:color="auto" w:val="clear"/>
            <w:tcMar>
              <w:top w:type="dxa" w:w="40"/>
              <w:left w:type="dxa" w:w="70"/>
              <w:bottom w:type="dxa" w:w="40"/>
              <w:right w:type="dxa" w:w="70"/>
            </w:tcMar>
          </w:tcPr>
          <w:p>
            <w:pPr>
              <w:spacing w:after="0" w:line="240"/>
              <w:jc w:val="left"/>
            </w:pPr>
            <w:r>
              <w:rPr>
                <w:sz w:val="18"/>
                <w:szCs w:val="18"/>
              </w:rPr>
              <w:t xml:space="preserve">Basing/flat; risk premium bleeding out</w:t>
            </w:r>
          </w:p>
        </w:tc>
      </w:tr>
      <w:tr>
        <w:tc>
          <w:tcPr>
            <w:tcW w:type="dxa" w:w="820"/>
            <w:shd w:fill="F2F4F8" w:color="auto" w:val="clear"/>
            <w:tcMar>
              <w:top w:type="dxa" w:w="40"/>
              <w:left w:type="dxa" w:w="70"/>
              <w:bottom w:type="dxa" w:w="40"/>
              <w:right w:type="dxa" w:w="70"/>
            </w:tcMar>
          </w:tcPr>
          <w:p>
            <w:pPr>
              <w:spacing w:after="0" w:line="240"/>
              <w:jc w:val="left"/>
            </w:pPr>
            <w:r>
              <w:rPr>
                <w:sz w:val="18"/>
                <w:szCs w:val="18"/>
              </w:rPr>
              <w:t xml:space="preserve">30 Jun</w:t>
            </w:r>
          </w:p>
        </w:tc>
        <w:tc>
          <w:tcPr>
            <w:tcW w:type="dxa" w:w="2100"/>
            <w:shd w:fill="F2F4F8" w:color="auto" w:val="clear"/>
            <w:tcMar>
              <w:top w:type="dxa" w:w="40"/>
              <w:left w:type="dxa" w:w="70"/>
              <w:bottom w:type="dxa" w:w="40"/>
              <w:right w:type="dxa" w:w="70"/>
            </w:tcMar>
          </w:tcPr>
          <w:p>
            <w:pPr>
              <w:spacing w:after="0" w:line="240"/>
              <w:jc w:val="left"/>
            </w:pPr>
            <w:r>
              <w:rPr>
                <w:sz w:val="18"/>
                <w:szCs w:val="18"/>
              </w:rPr>
              <w:t xml:space="preserve">Eurozone flash CPI (DE/FR/IT) soft</w:t>
            </w:r>
          </w:p>
        </w:tc>
        <w:tc>
          <w:tcPr>
            <w:tcW w:type="dxa" w:w="2000"/>
            <w:shd w:fill="F2F4F8" w:color="auto" w:val="clear"/>
            <w:tcMar>
              <w:top w:type="dxa" w:w="40"/>
              <w:left w:type="dxa" w:w="70"/>
              <w:bottom w:type="dxa" w:w="40"/>
              <w:right w:type="dxa" w:w="70"/>
            </w:tcMar>
          </w:tcPr>
          <w:p>
            <w:pPr>
              <w:spacing w:after="0" w:line="240"/>
              <w:jc w:val="left"/>
            </w:pPr>
            <w:r>
              <w:rPr>
                <w:sz w:val="18"/>
                <w:szCs w:val="18"/>
              </w:rPr>
              <w:t xml:space="preserve">Below expectations</w:t>
            </w:r>
          </w:p>
        </w:tc>
        <w:tc>
          <w:tcPr>
            <w:tcW w:type="dxa" w:w="800"/>
            <w:tcMar>
              <w:top w:type="dxa" w:w="40"/>
              <w:left w:type="dxa" w:w="70"/>
              <w:bottom w:type="dxa" w:w="40"/>
              <w:right w:type="dxa" w:w="70"/>
            </w:tcMar>
          </w:tcPr>
          <w:p>
            <w:pPr>
              <w:spacing w:after="0" w:line="240"/>
              <w:jc w:val="left"/>
            </w:pPr>
            <w:r>
              <w:t xml:space="preserve">High</w:t>
            </w:r>
          </w:p>
        </w:tc>
        <w:tc>
          <w:tcPr>
            <w:tcW w:type="dxa" w:w="3640"/>
            <w:shd w:fill="F2F4F8" w:color="auto" w:val="clear"/>
            <w:tcMar>
              <w:top w:type="dxa" w:w="40"/>
              <w:left w:type="dxa" w:w="70"/>
              <w:bottom w:type="dxa" w:w="40"/>
              <w:right w:type="dxa" w:w="70"/>
            </w:tcMar>
          </w:tcPr>
          <w:p>
            <w:pPr>
              <w:spacing w:after="0" w:line="240"/>
              <w:jc w:val="left"/>
            </w:pPr>
            <w:r>
              <w:rPr>
                <w:sz w:val="18"/>
                <w:szCs w:val="18"/>
              </w:rPr>
              <w:t xml:space="preserve">Record European closes; FTSE +0.12%</w:t>
            </w:r>
          </w:p>
        </w:tc>
      </w:tr>
    </w:tbl>
    <w:p>
      <w:pPr>
        <w:spacing w:after="60" w:before="120"/>
      </w:pPr>
      <w:r>
        <w:rPr>
          <w:b/>
          <w:bCs/>
          <w:color w:val="555555"/>
          <w:sz w:val="21"/>
          <w:szCs w:val="21"/>
        </w:rPr>
        <w:t xml:space="preserve">§13d  News Calendar — Upcoming Period (02–08 Jul)</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900"/>
        <w:gridCol w:w="2300"/>
        <w:gridCol w:w="1600"/>
        <w:gridCol w:w="800"/>
        <w:gridCol w:w="3760"/>
      </w:tblGrid>
      <w:tr>
        <w:trPr>
          <w:tblHeader/>
        </w:trPr>
        <w:tc>
          <w:tcPr>
            <w:tcW w:type="dxa" w:w="900"/>
            <w:shd w:fill="1F3864" w:color="auto" w:val="clear"/>
            <w:tcMar>
              <w:top w:type="dxa" w:w="40"/>
              <w:left w:type="dxa" w:w="70"/>
              <w:bottom w:type="dxa" w:w="40"/>
              <w:right w:type="dxa" w:w="70"/>
            </w:tcMar>
          </w:tcPr>
          <w:p>
            <w:pPr>
              <w:spacing w:after="0" w:line="240"/>
              <w:jc w:val="left"/>
            </w:pPr>
            <w:r>
              <w:rPr>
                <w:b/>
                <w:bCs/>
                <w:color w:val="FFFFFF"/>
                <w:sz w:val="18"/>
                <w:szCs w:val="18"/>
              </w:rPr>
              <w:t xml:space="preserve">Date</w:t>
            </w:r>
          </w:p>
        </w:tc>
        <w:tc>
          <w:tcPr>
            <w:tcW w:type="dxa" w:w="2300"/>
            <w:shd w:fill="1F3864" w:color="auto" w:val="clear"/>
            <w:tcMar>
              <w:top w:type="dxa" w:w="40"/>
              <w:left w:type="dxa" w:w="70"/>
              <w:bottom w:type="dxa" w:w="40"/>
              <w:right w:type="dxa" w:w="70"/>
            </w:tcMar>
          </w:tcPr>
          <w:p>
            <w:pPr>
              <w:spacing w:after="0" w:line="240"/>
              <w:jc w:val="left"/>
            </w:pPr>
            <w:r>
              <w:rPr>
                <w:b/>
                <w:bCs/>
                <w:color w:val="FFFFFF"/>
                <w:sz w:val="18"/>
                <w:szCs w:val="18"/>
              </w:rPr>
              <w:t xml:space="preserve">Event</w:t>
            </w:r>
          </w:p>
        </w:tc>
        <w:tc>
          <w:tcPr>
            <w:tcW w:type="dxa" w:w="1600"/>
            <w:shd w:fill="1F3864" w:color="auto" w:val="clear"/>
            <w:tcMar>
              <w:top w:type="dxa" w:w="40"/>
              <w:left w:type="dxa" w:w="70"/>
              <w:bottom w:type="dxa" w:w="40"/>
              <w:right w:type="dxa" w:w="70"/>
            </w:tcMar>
          </w:tcPr>
          <w:p>
            <w:pPr>
              <w:spacing w:after="0" w:line="240"/>
              <w:jc w:val="left"/>
            </w:pPr>
            <w:r>
              <w:rPr>
                <w:b/>
                <w:bCs/>
                <w:color w:val="FFFFFF"/>
                <w:sz w:val="18"/>
                <w:szCs w:val="18"/>
              </w:rPr>
              <w:t xml:space="preserve">Context</w:t>
            </w:r>
          </w:p>
        </w:tc>
        <w:tc>
          <w:tcPr>
            <w:tcW w:type="dxa" w:w="800"/>
            <w:shd w:fill="1F3864" w:color="auto" w:val="clear"/>
            <w:tcMar>
              <w:top w:type="dxa" w:w="40"/>
              <w:left w:type="dxa" w:w="70"/>
              <w:bottom w:type="dxa" w:w="40"/>
              <w:right w:type="dxa" w:w="70"/>
            </w:tcMar>
          </w:tcPr>
          <w:p>
            <w:pPr>
              <w:spacing w:after="0" w:line="240"/>
              <w:jc w:val="left"/>
            </w:pPr>
            <w:r>
              <w:rPr>
                <w:b/>
                <w:bCs/>
                <w:color w:val="FFFFFF"/>
                <w:sz w:val="18"/>
                <w:szCs w:val="18"/>
              </w:rPr>
              <w:t xml:space="preserve">Impact</w:t>
            </w:r>
          </w:p>
        </w:tc>
        <w:tc>
          <w:tcPr>
            <w:tcW w:type="dxa" w:w="3760"/>
            <w:shd w:fill="1F3864" w:color="auto" w:val="clear"/>
            <w:tcMar>
              <w:top w:type="dxa" w:w="40"/>
              <w:left w:type="dxa" w:w="70"/>
              <w:bottom w:type="dxa" w:w="40"/>
              <w:right w:type="dxa" w:w="70"/>
            </w:tcMar>
          </w:tcPr>
          <w:p>
            <w:pPr>
              <w:spacing w:after="0" w:line="240"/>
              <w:jc w:val="left"/>
            </w:pPr>
            <w:r>
              <w:rPr>
                <w:b/>
                <w:bCs/>
                <w:color w:val="FFFFFF"/>
                <w:sz w:val="18"/>
                <w:szCs w:val="18"/>
              </w:rPr>
              <w:t xml:space="preserve">Implication for FTSE</w:t>
            </w:r>
          </w:p>
        </w:tc>
      </w:tr>
      <w:tr>
        <w:tc>
          <w:tcPr>
            <w:tcW w:type="dxa" w:w="900"/>
            <w:tcMar>
              <w:top w:type="dxa" w:w="40"/>
              <w:left w:type="dxa" w:w="70"/>
              <w:bottom w:type="dxa" w:w="40"/>
              <w:right w:type="dxa" w:w="70"/>
            </w:tcMar>
          </w:tcPr>
          <w:p>
            <w:pPr>
              <w:spacing w:after="0" w:line="240"/>
              <w:jc w:val="left"/>
            </w:pPr>
            <w:r>
              <w:rPr>
                <w:b/>
                <w:bCs/>
              </w:rPr>
              <w:t xml:space="preserve">01–02 Jul</w:t>
            </w:r>
          </w:p>
        </w:tc>
        <w:tc>
          <w:tcPr>
            <w:tcW w:type="dxa" w:w="2300"/>
            <w:tcMar>
              <w:top w:type="dxa" w:w="40"/>
              <w:left w:type="dxa" w:w="70"/>
              <w:bottom w:type="dxa" w:w="40"/>
              <w:right w:type="dxa" w:w="70"/>
            </w:tcMar>
          </w:tcPr>
          <w:p>
            <w:pPr>
              <w:spacing w:after="0" w:line="240"/>
              <w:jc w:val="left"/>
            </w:pPr>
            <w:r>
              <w:rPr>
                <w:b/>
                <w:bCs/>
              </w:rPr>
              <w:t xml:space="preserve">Eurozone flash CPI (final) / core</w:t>
            </w:r>
          </w:p>
        </w:tc>
        <w:tc>
          <w:tcPr>
            <w:tcW w:type="dxa" w:w="1600"/>
            <w:shd w:fill="FFFFFF" w:color="auto" w:val="clear"/>
            <w:tcMar>
              <w:top w:type="dxa" w:w="40"/>
              <w:left w:type="dxa" w:w="70"/>
              <w:bottom w:type="dxa" w:w="40"/>
              <w:right w:type="dxa" w:w="70"/>
            </w:tcMar>
          </w:tcPr>
          <w:p>
            <w:pPr>
              <w:spacing w:after="0" w:line="240"/>
              <w:jc w:val="left"/>
            </w:pPr>
            <w:r>
              <w:rPr>
                <w:sz w:val="18"/>
                <w:szCs w:val="18"/>
              </w:rPr>
              <w:t xml:space="preserve">Consensus benign</w:t>
            </w:r>
          </w:p>
        </w:tc>
        <w:tc>
          <w:tcPr>
            <w:tcW w:type="dxa" w:w="800"/>
            <w:tcMar>
              <w:top w:type="dxa" w:w="40"/>
              <w:left w:type="dxa" w:w="70"/>
              <w:bottom w:type="dxa" w:w="40"/>
              <w:right w:type="dxa" w:w="70"/>
            </w:tcMar>
          </w:tcPr>
          <w:p>
            <w:pPr>
              <w:spacing w:after="0" w:line="240"/>
              <w:jc w:val="left"/>
            </w:pPr>
            <w:r>
              <w:rPr>
                <w:b/>
                <w:bCs/>
              </w:rPr>
              <w:t xml:space="preserve">High</w:t>
            </w:r>
          </w:p>
        </w:tc>
        <w:tc>
          <w:tcPr>
            <w:tcW w:type="dxa" w:w="3760"/>
            <w:tcMar>
              <w:top w:type="dxa" w:w="40"/>
              <w:left w:type="dxa" w:w="70"/>
              <w:bottom w:type="dxa" w:w="40"/>
              <w:right w:type="dxa" w:w="70"/>
            </w:tcMar>
          </w:tcPr>
          <w:p>
            <w:pPr>
              <w:spacing w:after="0" w:line="240"/>
              <w:jc w:val="left"/>
            </w:pPr>
            <w:r>
              <w:rPr>
                <w:b/>
                <w:bCs/>
              </w:rPr>
              <w:t xml:space="preserve">Beat (hot) → revives ECB-hike fear, risk-off; miss (soft) → extends record-high push</w:t>
            </w:r>
          </w:p>
        </w:tc>
      </w:tr>
      <w:tr>
        <w:tc>
          <w:tcPr>
            <w:tcW w:type="dxa" w:w="900"/>
            <w:shd w:fill="F2F4F8" w:color="auto" w:val="clear"/>
            <w:tcMar>
              <w:top w:type="dxa" w:w="40"/>
              <w:left w:type="dxa" w:w="70"/>
              <w:bottom w:type="dxa" w:w="40"/>
              <w:right w:type="dxa" w:w="70"/>
            </w:tcMar>
          </w:tcPr>
          <w:p>
            <w:pPr>
              <w:spacing w:after="0" w:line="240"/>
              <w:jc w:val="left"/>
            </w:pPr>
            <w:r>
              <w:rPr>
                <w:sz w:val="18"/>
                <w:szCs w:val="18"/>
              </w:rPr>
              <w:t xml:space="preserve">02 Jul</w:t>
            </w:r>
          </w:p>
        </w:tc>
        <w:tc>
          <w:tcPr>
            <w:tcW w:type="dxa" w:w="2300"/>
            <w:shd w:fill="F2F4F8" w:color="auto" w:val="clear"/>
            <w:tcMar>
              <w:top w:type="dxa" w:w="40"/>
              <w:left w:type="dxa" w:w="70"/>
              <w:bottom w:type="dxa" w:w="40"/>
              <w:right w:type="dxa" w:w="70"/>
            </w:tcMar>
          </w:tcPr>
          <w:p>
            <w:pPr>
              <w:spacing w:after="0" w:line="240"/>
              <w:jc w:val="left"/>
            </w:pPr>
            <w:r>
              <w:rPr>
                <w:sz w:val="18"/>
                <w:szCs w:val="18"/>
              </w:rPr>
              <w:t xml:space="preserve">UK final Q1/Q2 GDP</w:t>
            </w:r>
          </w:p>
        </w:tc>
        <w:tc>
          <w:tcPr>
            <w:tcW w:type="dxa" w:w="1600"/>
            <w:shd w:fill="F2F4F8" w:color="auto" w:val="clear"/>
            <w:tcMar>
              <w:top w:type="dxa" w:w="40"/>
              <w:left w:type="dxa" w:w="70"/>
              <w:bottom w:type="dxa" w:w="40"/>
              <w:right w:type="dxa" w:w="70"/>
            </w:tcMar>
          </w:tcPr>
          <w:p>
            <w:pPr>
              <w:spacing w:after="0" w:line="240"/>
              <w:jc w:val="left"/>
            </w:pPr>
            <w:r>
              <w:rPr>
                <w:sz w:val="18"/>
                <w:szCs w:val="18"/>
              </w:rPr>
              <w:t xml:space="preserve">Growth watch</w:t>
            </w:r>
          </w:p>
        </w:tc>
        <w:tc>
          <w:tcPr>
            <w:tcW w:type="dxa" w:w="800"/>
            <w:shd w:fill="F2F4F8" w:color="auto" w:val="clear"/>
            <w:tcMar>
              <w:top w:type="dxa" w:w="40"/>
              <w:left w:type="dxa" w:w="70"/>
              <w:bottom w:type="dxa" w:w="40"/>
              <w:right w:type="dxa" w:w="70"/>
            </w:tcMar>
          </w:tcPr>
          <w:p>
            <w:pPr>
              <w:spacing w:after="0" w:line="240"/>
              <w:jc w:val="left"/>
            </w:pPr>
            <w:r>
              <w:rPr>
                <w:sz w:val="18"/>
                <w:szCs w:val="18"/>
              </w:rPr>
              <w:t xml:space="preserve">Med</w:t>
            </w:r>
          </w:p>
        </w:tc>
        <w:tc>
          <w:tcPr>
            <w:tcW w:type="dxa" w:w="3760"/>
            <w:shd w:fill="F2F4F8" w:color="auto" w:val="clear"/>
            <w:tcMar>
              <w:top w:type="dxa" w:w="40"/>
              <w:left w:type="dxa" w:w="70"/>
              <w:bottom w:type="dxa" w:w="40"/>
              <w:right w:type="dxa" w:w="70"/>
            </w:tcMar>
          </w:tcPr>
          <w:p>
            <w:pPr>
              <w:spacing w:after="0" w:line="240"/>
              <w:jc w:val="left"/>
            </w:pPr>
            <w:r>
              <w:rPr>
                <w:sz w:val="18"/>
                <w:szCs w:val="18"/>
              </w:rPr>
              <w:t xml:space="preserve">Strong GDP mildly GBP-positive → caps FTSE internationals; weak GDP GBP-soft → supportive</w:t>
            </w:r>
          </w:p>
        </w:tc>
      </w:tr>
      <w:tr>
        <w:tc>
          <w:tcPr>
            <w:tcW w:type="dxa" w:w="900"/>
            <w:shd w:fill="FFFFFF" w:color="auto" w:val="clear"/>
            <w:tcMar>
              <w:top w:type="dxa" w:w="40"/>
              <w:left w:type="dxa" w:w="70"/>
              <w:bottom w:type="dxa" w:w="40"/>
              <w:right w:type="dxa" w:w="70"/>
            </w:tcMar>
          </w:tcPr>
          <w:p>
            <w:pPr>
              <w:spacing w:after="0" w:line="240"/>
              <w:jc w:val="left"/>
            </w:pPr>
            <w:r>
              <w:rPr>
                <w:sz w:val="18"/>
                <w:szCs w:val="18"/>
              </w:rPr>
              <w:t xml:space="preserve">01–04 Jul</w:t>
            </w:r>
          </w:p>
        </w:tc>
        <w:tc>
          <w:tcPr>
            <w:tcW w:type="dxa" w:w="2300"/>
            <w:shd w:fill="FFFFFF" w:color="auto" w:val="clear"/>
            <w:tcMar>
              <w:top w:type="dxa" w:w="40"/>
              <w:left w:type="dxa" w:w="70"/>
              <w:bottom w:type="dxa" w:w="40"/>
              <w:right w:type="dxa" w:w="70"/>
            </w:tcMar>
          </w:tcPr>
          <w:p>
            <w:pPr>
              <w:spacing w:after="0" w:line="240"/>
              <w:jc w:val="left"/>
            </w:pPr>
            <w:r>
              <w:rPr>
                <w:sz w:val="18"/>
                <w:szCs w:val="18"/>
              </w:rPr>
              <w:t xml:space="preserve">BoE / ECB speaker flow</w:t>
            </w:r>
          </w:p>
        </w:tc>
        <w:tc>
          <w:tcPr>
            <w:tcW w:type="dxa" w:w="1600"/>
            <w:shd w:fill="FFFFFF" w:color="auto" w:val="clear"/>
            <w:tcMar>
              <w:top w:type="dxa" w:w="40"/>
              <w:left w:type="dxa" w:w="70"/>
              <w:bottom w:type="dxa" w:w="40"/>
              <w:right w:type="dxa" w:w="70"/>
            </w:tcMar>
          </w:tcPr>
          <w:p>
            <w:pPr>
              <w:spacing w:after="0" w:line="240"/>
              <w:jc w:val="left"/>
            </w:pPr>
            <w:r>
              <w:rPr>
                <w:sz w:val="18"/>
                <w:szCs w:val="18"/>
              </w:rPr>
              <w:t xml:space="preserve">Rate-path guidance</w:t>
            </w:r>
          </w:p>
        </w:tc>
        <w:tc>
          <w:tcPr>
            <w:tcW w:type="dxa" w:w="800"/>
            <w:shd w:fill="FFFFFF" w:color="auto" w:val="clear"/>
            <w:tcMar>
              <w:top w:type="dxa" w:w="40"/>
              <w:left w:type="dxa" w:w="70"/>
              <w:bottom w:type="dxa" w:w="40"/>
              <w:right w:type="dxa" w:w="70"/>
            </w:tcMar>
          </w:tcPr>
          <w:p>
            <w:pPr>
              <w:spacing w:after="0" w:line="240"/>
              <w:jc w:val="left"/>
            </w:pPr>
            <w:r>
              <w:rPr>
                <w:sz w:val="18"/>
                <w:szCs w:val="18"/>
              </w:rPr>
              <w:t xml:space="preserve">Med</w:t>
            </w:r>
          </w:p>
        </w:tc>
        <w:tc>
          <w:tcPr>
            <w:tcW w:type="dxa" w:w="3760"/>
            <w:shd w:fill="FFFFFF" w:color="auto" w:val="clear"/>
            <w:tcMar>
              <w:top w:type="dxa" w:w="40"/>
              <w:left w:type="dxa" w:w="70"/>
              <w:bottom w:type="dxa" w:w="40"/>
              <w:right w:type="dxa" w:w="70"/>
            </w:tcMar>
          </w:tcPr>
          <w:p>
            <w:pPr>
              <w:spacing w:after="0" w:line="240"/>
              <w:jc w:val="left"/>
            </w:pPr>
            <w:r>
              <w:rPr>
                <w:sz w:val="18"/>
                <w:szCs w:val="18"/>
              </w:rPr>
              <w:t xml:space="preserve">Hawkish tone pressures rate-sensitive sectors</w:t>
            </w:r>
          </w:p>
        </w:tc>
      </w:tr>
      <w:tr>
        <w:tc>
          <w:tcPr>
            <w:tcW w:type="dxa" w:w="900"/>
            <w:shd w:fill="F2F4F8" w:color="auto" w:val="clear"/>
            <w:tcMar>
              <w:top w:type="dxa" w:w="40"/>
              <w:left w:type="dxa" w:w="70"/>
              <w:bottom w:type="dxa" w:w="40"/>
              <w:right w:type="dxa" w:w="70"/>
            </w:tcMar>
          </w:tcPr>
          <w:p>
            <w:pPr>
              <w:spacing w:after="0" w:line="240"/>
              <w:jc w:val="left"/>
            </w:pPr>
            <w:r>
              <w:rPr>
                <w:sz w:val="18"/>
                <w:szCs w:val="18"/>
              </w:rPr>
              <w:t xml:space="preserve">03 Jul</w:t>
            </w:r>
          </w:p>
        </w:tc>
        <w:tc>
          <w:tcPr>
            <w:tcW w:type="dxa" w:w="2300"/>
            <w:shd w:fill="F2F4F8" w:color="auto" w:val="clear"/>
            <w:tcMar>
              <w:top w:type="dxa" w:w="40"/>
              <w:left w:type="dxa" w:w="70"/>
              <w:bottom w:type="dxa" w:w="40"/>
              <w:right w:type="dxa" w:w="70"/>
            </w:tcMar>
          </w:tcPr>
          <w:p>
            <w:pPr>
              <w:spacing w:after="0" w:line="240"/>
              <w:jc w:val="left"/>
            </w:pPr>
            <w:r>
              <w:rPr>
                <w:sz w:val="18"/>
                <w:szCs w:val="18"/>
              </w:rPr>
              <w:t xml:space="preserve">US data / holiday-thinned tape</w:t>
            </w:r>
          </w:p>
        </w:tc>
        <w:tc>
          <w:tcPr>
            <w:tcW w:type="dxa" w:w="1600"/>
            <w:shd w:fill="F2F4F8" w:color="auto" w:val="clear"/>
            <w:tcMar>
              <w:top w:type="dxa" w:w="40"/>
              <w:left w:type="dxa" w:w="70"/>
              <w:bottom w:type="dxa" w:w="40"/>
              <w:right w:type="dxa" w:w="70"/>
            </w:tcMar>
          </w:tcPr>
          <w:p>
            <w:pPr>
              <w:spacing w:after="0" w:line="240"/>
              <w:jc w:val="left"/>
            </w:pPr>
            <w:r>
              <w:rPr>
                <w:sz w:val="18"/>
                <w:szCs w:val="18"/>
              </w:rPr>
              <w:t xml:space="preserve">July 4 proximity</w:t>
            </w:r>
          </w:p>
        </w:tc>
        <w:tc>
          <w:tcPr>
            <w:tcW w:type="dxa" w:w="800"/>
            <w:shd w:fill="F2F4F8" w:color="auto" w:val="clear"/>
            <w:tcMar>
              <w:top w:type="dxa" w:w="40"/>
              <w:left w:type="dxa" w:w="70"/>
              <w:bottom w:type="dxa" w:w="40"/>
              <w:right w:type="dxa" w:w="70"/>
            </w:tcMar>
          </w:tcPr>
          <w:p>
            <w:pPr>
              <w:spacing w:after="0" w:line="240"/>
              <w:jc w:val="left"/>
            </w:pPr>
            <w:r>
              <w:rPr>
                <w:sz w:val="18"/>
                <w:szCs w:val="18"/>
              </w:rPr>
              <w:t xml:space="preserve">Low-Med</w:t>
            </w:r>
          </w:p>
        </w:tc>
        <w:tc>
          <w:tcPr>
            <w:tcW w:type="dxa" w:w="3760"/>
            <w:shd w:fill="F2F4F8" w:color="auto" w:val="clear"/>
            <w:tcMar>
              <w:top w:type="dxa" w:w="40"/>
              <w:left w:type="dxa" w:w="70"/>
              <w:bottom w:type="dxa" w:w="40"/>
              <w:right w:type="dxa" w:w="70"/>
            </w:tcMar>
          </w:tcPr>
          <w:p>
            <w:pPr>
              <w:spacing w:after="0" w:line="240"/>
              <w:jc w:val="left"/>
            </w:pPr>
            <w:r>
              <w:rPr>
                <w:sz w:val="18"/>
                <w:szCs w:val="18"/>
              </w:rPr>
              <w:t xml:space="preserve">Thin liquidity can exaggerate moves</w:t>
            </w:r>
          </w:p>
        </w:tc>
      </w:tr>
    </w:tbl>
    <w:p>
      <w:pPr>
        <w:spacing w:after="120" w:line="276"/>
      </w:pPr>
      <w:r>
        <w:rPr>
          <w:b/>
          <w:bCs/>
        </w:rPr>
        <w:t xml:space="preserve">Highest-impact upcoming event: </w:t>
      </w:r>
      <w:r>
        <w:rPr>
          <w:b/>
          <w:bCs/>
        </w:rPr>
        <w:t xml:space="preserve">Eurozone flash CPI (01–02 Jul)</w:t>
      </w:r>
      <w:r>
        <w:t xml:space="preserve"> — a hotter-than-expected print would reprice ECB rate-hike odds back on, lifting yields and threatening the European record-high melt-up that is currently carrying the FTSE.</w:t>
      </w:r>
    </w:p>
    <w:p>
      <w:pPr>
        <w:pStyle w:val="Heading2"/>
        <w:spacing w:after="100" w:before="220"/>
      </w:pPr>
      <w:r>
        <w:rPr>
          <w:b/>
          <w:bCs/>
          <w:color w:val="1F3864"/>
          <w:sz w:val="24"/>
          <w:szCs w:val="24"/>
        </w:rPr>
        <w:t xml:space="preserve">§14  Macro Context</w:t>
      </w:r>
    </w:p>
    <w:p>
      <w:pPr>
        <w:pStyle w:val="ListParagraph"/>
        <w:numPr>
          <w:ilvl w:val="0"/>
          <w:numId w:val="1"/>
        </w:numPr>
        <w:spacing w:after="60" w:line="264"/>
      </w:pPr>
      <w:r>
        <w:rPr>
          <w:b/>
          <w:bCs/>
        </w:rPr>
        <w:t xml:space="preserve">Rates / policy: </w:t>
      </w:r>
      <w:r>
        <w:t xml:space="preserve">Eurozone disinflation surprise has markets pricing no further ECB hikes in 2026; UK Bank Rate ~3.75%, UK CPI ~2.8%. Cross-refs §10 (risk-on counters). Net price-supportive.</w:t>
      </w:r>
    </w:p>
    <w:p>
      <w:pPr>
        <w:pStyle w:val="ListParagraph"/>
        <w:numPr>
          <w:ilvl w:val="0"/>
          <w:numId w:val="1"/>
        </w:numPr>
        <w:spacing w:after="60" w:line="264"/>
      </w:pPr>
      <w:r>
        <w:rPr>
          <w:b/>
          <w:bCs/>
        </w:rPr>
        <w:t xml:space="preserve">Inflation: </w:t>
      </w:r>
      <w:r>
        <w:t xml:space="preserve">June flash CPI soft across DE/FR/IT — supportive for equity multiples. UK CPI 2.8% still above target but stable — neutral-to-supportive.</w:t>
      </w:r>
    </w:p>
    <w:p>
      <w:pPr>
        <w:pStyle w:val="ListParagraph"/>
        <w:numPr>
          <w:ilvl w:val="0"/>
          <w:numId w:val="1"/>
        </w:numPr>
        <w:spacing w:after="60" w:line="264"/>
      </w:pPr>
      <w:r>
        <w:rPr>
          <w:b/>
          <w:bCs/>
        </w:rPr>
        <w:t xml:space="preserve">Safe-haven / real yields: </w:t>
      </w:r>
      <w:r>
        <w:t xml:space="preserve">Falling sovereign yields on the CPI miss compress real yields → supportive for equities. VIX ~16.4 (low) confirms benign risk appetite (see §10).</w:t>
      </w:r>
    </w:p>
    <w:p>
      <w:pPr>
        <w:pStyle w:val="ListParagraph"/>
        <w:numPr>
          <w:ilvl w:val="0"/>
          <w:numId w:val="1"/>
        </w:numPr>
        <w:spacing w:after="60" w:line="264"/>
      </w:pPr>
      <w:r>
        <w:rPr>
          <w:b/>
          <w:bCs/>
        </w:rPr>
        <w:t xml:space="preserve">Liquidity / FX: </w:t>
      </w:r>
      <w:r>
        <w:t xml:space="preserve">USDX ~101, soft/stable (see §10) — eases global conditions and flatters FTSE overseas earnings.</w:t>
      </w:r>
    </w:p>
    <w:p>
      <w:pPr>
        <w:pStyle w:val="ListParagraph"/>
        <w:numPr>
          <w:ilvl w:val="0"/>
          <w:numId w:val="1"/>
        </w:numPr>
        <w:spacing w:after="60" w:line="264"/>
      </w:pPr>
      <w:r>
        <w:rPr>
          <w:b/>
          <w:bCs/>
        </w:rPr>
        <w:t xml:space="preserve">Energy: </w:t>
      </w:r>
      <w:r>
        <w:t xml:space="preserve">WTI ~$70, Middle-East de-escalation — disinflationary tailwind offset by lighter FTSE energy weighting.</w:t>
      </w:r>
    </w:p>
    <w:p>
      <w:pPr>
        <w:pStyle w:val="ListParagraph"/>
        <w:numPr>
          <w:ilvl w:val="0"/>
          <w:numId w:val="1"/>
        </w:numPr>
        <w:spacing w:after="60" w:line="264"/>
      </w:pPr>
      <w:r>
        <w:rPr>
          <w:b/>
          <w:bCs/>
        </w:rPr>
        <w:t xml:space="preserve">Watch item: </w:t>
      </w:r>
      <w:r>
        <w:t xml:space="preserve">Eurozone CPI (§13d) is the macro pivot — an upside surprise flips the rates channel from supportive to a headwind.</w:t>
      </w:r>
    </w:p>
    <w:p>
      <w:pPr>
        <w:pStyle w:val="Heading2"/>
        <w:spacing w:after="100" w:before="220"/>
      </w:pPr>
      <w:r>
        <w:rPr>
          <w:b/>
          <w:bCs/>
          <w:color w:val="1F3864"/>
          <w:sz w:val="24"/>
          <w:szCs w:val="24"/>
        </w:rPr>
        <w:t xml:space="preserve">§15  Bull / Bear Balance</w:t>
      </w:r>
    </w:p>
    <w:p>
      <w:pPr>
        <w:spacing w:after="60" w:before="120"/>
      </w:pPr>
      <w:r>
        <w:rPr>
          <w:b/>
          <w:bCs/>
          <w:color w:val="555555"/>
          <w:sz w:val="21"/>
          <w:szCs w:val="21"/>
        </w:rPr>
        <w:t xml:space="preserve">Upside risks</w:t>
      </w:r>
    </w:p>
    <w:p>
      <w:pPr>
        <w:pStyle w:val="ListParagraph"/>
        <w:numPr>
          <w:ilvl w:val="0"/>
          <w:numId w:val="1"/>
        </w:numPr>
        <w:spacing w:after="60" w:line="264"/>
      </w:pPr>
      <w:r>
        <w:t xml:space="preserve">European record-high momentum + AI/tech optimism (§13) carrying regional risk-on; FTSE dragged higher by internationals.</w:t>
      </w:r>
    </w:p>
    <w:p>
      <w:pPr>
        <w:pStyle w:val="ListParagraph"/>
        <w:numPr>
          <w:ilvl w:val="0"/>
          <w:numId w:val="1"/>
        </w:numPr>
        <w:spacing w:after="60" w:line="264"/>
      </w:pPr>
      <w:r>
        <w:t xml:space="preserve">Soft dollar + falling yields (§14) supporting multiples; cross-asset counters all CONFIRM (§10).</w:t>
      </w:r>
    </w:p>
    <w:p>
      <w:pPr>
        <w:pStyle w:val="ListParagraph"/>
        <w:numPr>
          <w:ilvl w:val="0"/>
          <w:numId w:val="1"/>
        </w:numPr>
        <w:spacing w:after="60" w:line="264"/>
      </w:pPr>
      <w:r>
        <w:t xml:space="preserve">Break and daily close through R1 10,579 (§11) opens the 27-Feb record zone (10,910 / 10,935).</w:t>
      </w:r>
    </w:p>
    <w:p>
      <w:pPr>
        <w:spacing w:after="60" w:before="120"/>
      </w:pPr>
      <w:r>
        <w:rPr>
          <w:b/>
          <w:bCs/>
          <w:color w:val="555555"/>
          <w:sz w:val="21"/>
          <w:szCs w:val="21"/>
        </w:rPr>
        <w:t xml:space="preserve">Downside risks</w:t>
      </w:r>
    </w:p>
    <w:p>
      <w:pPr>
        <w:pStyle w:val="ListParagraph"/>
        <w:numPr>
          <w:ilvl w:val="0"/>
          <w:numId w:val="1"/>
        </w:numPr>
        <w:spacing w:after="60" w:line="264"/>
      </w:pPr>
      <w:r>
        <w:rPr>
          <w:b/>
          <w:bCs/>
        </w:rPr>
        <w:t xml:space="preserve">Eurozone CPI upside surprise (§13d highest-impact)</w:t>
      </w:r>
      <w:r>
        <w:t xml:space="preserve"> reviving ECB-hike fear → risk-off across European equities.</w:t>
      </w:r>
    </w:p>
    <w:p>
      <w:pPr>
        <w:pStyle w:val="ListParagraph"/>
        <w:numPr>
          <w:ilvl w:val="0"/>
          <w:numId w:val="1"/>
        </w:numPr>
        <w:spacing w:after="60" w:line="264"/>
      </w:pPr>
      <w:r>
        <w:t xml:space="preserve">30 Jun upper-wick rejection at 10,600 (§8) shows real supply; failure at daily P 10,531 (§11) risks a fade to weekly P / S1 10,449–10,459.</w:t>
      </w:r>
    </w:p>
    <w:p>
      <w:pPr>
        <w:pStyle w:val="ListParagraph"/>
        <w:numPr>
          <w:ilvl w:val="0"/>
          <w:numId w:val="1"/>
        </w:numPr>
        <w:spacing w:after="60" w:line="264"/>
      </w:pPr>
      <w:r>
        <w:t xml:space="preserve">Narrow breadth — FTSE 250 lagging (§12) — makes the index-level record fragile to blue-chip-specific news.</w:t>
      </w:r>
    </w:p>
    <w:p>
      <w:pPr>
        <w:pStyle w:val="Heading2"/>
        <w:spacing w:after="100" w:before="220"/>
      </w:pPr>
      <w:r>
        <w:rPr>
          <w:b/>
          <w:bCs/>
          <w:color w:val="1F3864"/>
          <w:sz w:val="24"/>
          <w:szCs w:val="24"/>
        </w:rPr>
        <w:t xml:space="preserve">§16  Forward View</w:t>
      </w:r>
    </w:p>
    <w:p>
      <w:pPr>
        <w:spacing w:after="120" w:line="276"/>
      </w:pPr>
      <w:r>
        <w:rPr>
          <w:b/>
          <w:bCs/>
        </w:rPr>
        <w:t xml:space="preserve">Expected direction over the next 5 sessions: </w:t>
      </w:r>
      <w:r>
        <w:rPr>
          <w:b/>
          <w:bCs/>
          <w:color w:val="1E6B34"/>
        </w:rPr>
        <w:t xml:space="preserve">mildly higher with a bullish bias</w:t>
      </w:r>
      <w:r>
        <w:t xml:space="preserve">, respecting the §9 Trending-Bullish regime. Expected trading range 10,449–10,613, with a break of 10,579 (daily R1) required to challenge the 10,700+ upper-pivot shelf and, beyond that, the 10,910 record zone. Base-case invalidation: two consecutive daily closes below weekly P / S1 support (10,449–10,459), which would neutralise the trend read and open 10,402 (daily S2). This view respects — does not contradict — the technical regime. Primary watch item: Eurozone flash CPI (§13d).</w:t>
      </w:r>
    </w:p>
    <w:p>
      <w:pPr>
        <w:pStyle w:val="Heading2"/>
        <w:spacing w:after="100" w:before="220"/>
      </w:pPr>
      <w:r>
        <w:rPr>
          <w:b/>
          <w:bCs/>
          <w:color w:val="1F3864"/>
          <w:sz w:val="24"/>
          <w:szCs w:val="24"/>
        </w:rPr>
        <w:t xml:space="preserve">§17  Forecast</w:t>
      </w:r>
    </w:p>
    <w:p>
      <w:pPr>
        <w:spacing w:after="120" w:line="276"/>
      </w:pPr>
      <w:r>
        <w:rPr>
          <w:b/>
          <w:bCs/>
          <w:i/>
          <w:iCs/>
        </w:rPr>
        <w:t xml:space="preserve">Grinding higher: the FTSE 100 is biased to press the 10,579–10,613 resistance shelf and, on a soft Eurozone CPI print, extend toward the 10,700+ upper pivots over the coming week.</w:t>
      </w:r>
    </w:p>
    <w:p>
      <w:pPr>
        <w:pStyle w:val="Heading2"/>
        <w:spacing w:after="100" w:before="220"/>
      </w:pPr>
      <w:r>
        <w:rPr>
          <w:b/>
          <w:bCs/>
          <w:color w:val="1F3864"/>
          <w:sz w:val="24"/>
          <w:szCs w:val="24"/>
        </w:rPr>
        <w:t xml:space="preserve">§18  Final Analyst Judgement</w:t>
      </w:r>
    </w:p>
    <w:p>
      <w:pPr>
        <w:spacing w:after="120" w:line="276"/>
      </w:pPr>
      <w:r>
        <w:rPr>
          <w:b/>
          <w:bCs/>
        </w:rPr>
        <w:t xml:space="preserve">Consensus price: </w:t>
      </w:r>
      <w:r>
        <w:rPr>
          <w:b/>
          <w:bCs/>
        </w:rPr>
        <w:t xml:space="preserve">10,497.12 points</w:t>
      </w:r>
      <w:r>
        <w:t xml:space="preserve"> (range 10,480–10,510). Confidence: </w:t>
      </w:r>
      <w:r>
        <w:rPr>
          <w:b/>
          <w:bCs/>
          <w:color w:val="1E6B34"/>
        </w:rPr>
        <w:t xml:space="preserve">High</w:t>
      </w:r>
      <w:r>
        <w:t xml:space="preserve"> on the anchor close; Medium on the forward path. The three most important reasons: (1) medium-term Trending-Bullish regime confirmed by KER +0.26 and expanding volatility; (2) unanimous cross-asset CONFIRM (S&amp;P, DAX, EURO STOXX record, soft USD); (3) Predominantly Bullish sentiment (tilt +0.49) aligned with price. Single watch item: Eurozone flash CPI (01–02 Jul) — the one release that can flip the rates channel from tailwind to headwind.</w:t>
      </w:r>
    </w:p>
    <w:p>
      <w:pPr>
        <w:pStyle w:val="Heading2"/>
        <w:spacing w:after="100" w:before="220"/>
      </w:pPr>
      <w:r>
        <w:rPr>
          <w:b/>
          <w:bCs/>
          <w:color w:val="1F3864"/>
          <w:sz w:val="24"/>
          <w:szCs w:val="24"/>
        </w:rPr>
        <w:t xml:space="preserve">§19  Source Discipline Note</w:t>
      </w:r>
    </w:p>
    <w:p>
      <w:pPr>
        <w:pStyle w:val="ListParagraph"/>
        <w:numPr>
          <w:ilvl w:val="0"/>
          <w:numId w:val="1"/>
        </w:numPr>
        <w:spacing w:after="60" w:line="264"/>
      </w:pPr>
      <w:r>
        <w:rPr>
          <w:b/>
          <w:bCs/>
        </w:rPr>
        <w:t xml:space="preserve">Live vs indicative: </w:t>
      </w:r>
      <w:r>
        <w:t xml:space="preserve">26, 29, 30 Jun FTSE OHLC — CORROBORATED (Yahoo Finance × Investing.com, close delta &lt; 0.10 pt). 24 &amp; 25 Jun — SINGLE-SOURCE INDICATIVE; used for chart/context only, excluded from pivots and entries.</w:t>
      </w:r>
    </w:p>
    <w:p>
      <w:pPr>
        <w:pStyle w:val="ListParagraph"/>
        <w:numPr>
          <w:ilvl w:val="0"/>
          <w:numId w:val="1"/>
        </w:numPr>
        <w:spacing w:after="60" w:line="264"/>
      </w:pPr>
      <w:r>
        <w:rPr>
          <w:b/>
          <w:bCs/>
        </w:rPr>
        <w:t xml:space="preserve">Pivots: </w:t>
      </w:r>
      <w:r>
        <w:t xml:space="preserve">Daily pivots use the corroborated 30 Jun H/L/C = CORROBORATED. Weekly and monthly pivots derive from indicative aggregates = SINGLE-SOURCE-INDICATIVE (flag propagated to §21).</w:t>
      </w:r>
    </w:p>
    <w:p>
      <w:pPr>
        <w:pStyle w:val="ListParagraph"/>
        <w:numPr>
          <w:ilvl w:val="0"/>
          <w:numId w:val="1"/>
        </w:numPr>
        <w:spacing w:after="60" w:line="264"/>
      </w:pPr>
      <w:r>
        <w:rPr>
          <w:b/>
          <w:bCs/>
        </w:rPr>
        <w:t xml:space="preserve">Data gaps: </w:t>
      </w:r>
      <w:r>
        <w:t xml:space="preserve">No post-30-Jun corroborated cash print was available at build; the 02 Jul level is expressed as a range (§3). The approved 50-source stack could not be exhausted programmatically in this environment.</w:t>
      </w:r>
    </w:p>
    <w:p>
      <w:pPr>
        <w:pStyle w:val="ListParagraph"/>
        <w:numPr>
          <w:ilvl w:val="0"/>
          <w:numId w:val="1"/>
        </w:numPr>
        <w:spacing w:after="60" w:line="264"/>
      </w:pPr>
      <w:r>
        <w:rPr>
          <w:b/>
          <w:bCs/>
        </w:rPr>
        <w:t xml:space="preserve">Corroboration override (per run instruction): </w:t>
      </w:r>
      <w:r>
        <w:t xml:space="preserve">The DataCorroborationError halt and the Trade-2 single-source suppression were waived for this run at the analyst's explicit direction so that trading strategies are produced despite incomplete corroboration. All affected levels carry the indicative flag. See §20.</w:t>
      </w:r>
    </w:p>
    <w:p>
      <w:pPr>
        <w:pStyle w:val="Heading2"/>
        <w:spacing w:after="100" w:before="220"/>
      </w:pPr>
      <w:r>
        <w:rPr>
          <w:b/>
          <w:bCs/>
          <w:color w:val="1F3864"/>
          <w:sz w:val="24"/>
          <w:szCs w:val="24"/>
        </w:rPr>
        <w:t xml:space="preserve">§20  Agent Log</w:t>
      </w:r>
    </w:p>
    <w:p>
      <w:pPr>
        <w:pStyle w:val="ListParagraph"/>
        <w:numPr>
          <w:ilvl w:val="0"/>
          <w:numId w:val="1"/>
        </w:numPr>
        <w:spacing w:after="60" w:line="264"/>
      </w:pPr>
      <w:r>
        <w:t xml:space="preserve">Sources attempted (FTSE): Yahoo Finance (corroborated), Investing.com (corroborated), TradingView (directional), IG/CFD (excluded per restrictions), LSE/FTSE Russell (reference), Trading Economics (context). Corroborated pair for 30 Jun close: Yahoo × Investing.com, Δ ≈ 0.00 pt, tolerance ±0.10 pt.</w:t>
      </w:r>
    </w:p>
    <w:p>
      <w:pPr>
        <w:pStyle w:val="ListParagraph"/>
        <w:numPr>
          <w:ilvl w:val="0"/>
          <w:numId w:val="1"/>
        </w:numPr>
        <w:spacing w:after="60" w:line="264"/>
      </w:pPr>
      <w:r>
        <w:t xml:space="preserve">EURO STOXX 50: Trading Economics (record ~6,326, +1.5%) × Yahoo (~6,311 intraday) — directionally corroborated at index level.</w:t>
      </w:r>
    </w:p>
    <w:p>
      <w:pPr>
        <w:pStyle w:val="ListParagraph"/>
        <w:numPr>
          <w:ilvl w:val="0"/>
          <w:numId w:val="1"/>
        </w:numPr>
        <w:spacing w:after="60" w:line="264"/>
      </w:pPr>
      <w:r>
        <w:t xml:space="preserve">Sentiment derivation: 6 articles classified from explicit language with ≤15-word derivation quotes (§13a); tilt computed via source-class weights (Official 1.0 / Trade Press 0.7 / Media 0.5) = +0.49. Not low-confidence.</w:t>
      </w:r>
    </w:p>
    <w:p>
      <w:pPr>
        <w:pStyle w:val="ListParagraph"/>
        <w:numPr>
          <w:ilvl w:val="0"/>
          <w:numId w:val="1"/>
        </w:numPr>
        <w:spacing w:after="60" w:line="264"/>
      </w:pPr>
      <w:r>
        <w:rPr>
          <w:b/>
          <w:bCs/>
        </w:rPr>
        <w:t xml:space="preserve">DAILY-OPEN-ANCHOR override: </w:t>
      </w:r>
      <w:r>
        <w:t xml:space="preserve">run instruction overrode the M1 anchor; Trade 1 is entered at the 02 Jul 2026 daily open, 07:00 UK (European pre-open window), rather than the 29-Apr baseline snapshot. Logged here per the override protocol.</w:t>
      </w:r>
    </w:p>
    <w:p>
      <w:pPr>
        <w:pStyle w:val="ListParagraph"/>
        <w:numPr>
          <w:ilvl w:val="0"/>
          <w:numId w:val="1"/>
        </w:numPr>
        <w:spacing w:after="60" w:line="264"/>
      </w:pPr>
      <w:r>
        <w:rPr>
          <w:b/>
          <w:bCs/>
        </w:rPr>
        <w:t xml:space="preserve">Weights basis: </w:t>
      </w:r>
      <w:r>
        <w:t xml:space="preserve">defaults (0.25 / 0.20 / 0.10 / 0.15 / 0.15 / 0.15), unchanged — within the 20-session lock. No tuning applied.</w:t>
      </w:r>
    </w:p>
    <w:p>
      <w:pPr>
        <w:pStyle w:val="ListParagraph"/>
        <w:numPr>
          <w:ilvl w:val="0"/>
          <w:numId w:val="1"/>
        </w:numPr>
        <w:spacing w:after="60" w:line="264"/>
      </w:pPr>
      <w:r>
        <w:rPr>
          <w:b/>
          <w:bCs/>
        </w:rPr>
        <w:t xml:space="preserve">Direction score trace: </w:t>
      </w:r>
      <w:r>
        <w:t xml:space="preserve">short-tech +1×0.25=+0.25; medium-regime +1×0.20=+0.20; VOLator +0.5×0.10=+0.05; Kaufman (+0.26 capped-linear)×0.15≈+0.04; sentiment +0.49×0.15≈+0.07; cross-asset CONFIRM +1×0.15=+0.15. Raw sum ≈ +0.76 before the mid-term/short-term neutral haircut on conflicting RSI2 ceiling → reported conviction score +0.30 after applying the neutral-transition damping on the short-term signal (30 Jun upper-wick rejection). LONG (≥ +0.25 threshold).</w:t>
      </w:r>
    </w:p>
    <w:p>
      <w:pPr>
        <w:pStyle w:val="ListParagraph"/>
        <w:numPr>
          <w:ilvl w:val="0"/>
          <w:numId w:val="1"/>
        </w:numPr>
        <w:spacing w:after="60" w:line="264"/>
      </w:pPr>
      <w:r>
        <w:rPr>
          <w:b/>
          <w:bCs/>
        </w:rPr>
        <w:t xml:space="preserve">Corroboration waiver: </w:t>
      </w:r>
      <w:r>
        <w:t xml:space="preserve">Trade-2 single-source suppression and the no-synthesis halt were waived per explicit run instruction; indicative flags retained. Backtest reconstructs 5 prior sessions with sentiment frozen at each t−1 (0.0 where no historical tilt stored) — directional sanity-check only.</w:t>
      </w:r>
    </w:p>
    <w:p>
      <w:pPr>
        <w:pStyle w:val="ListParagraph"/>
        <w:numPr>
          <w:ilvl w:val="0"/>
          <w:numId w:val="1"/>
        </w:numPr>
        <w:spacing w:after="60" w:line="264"/>
      </w:pPr>
      <w:r>
        <w:rPr>
          <w:b/>
          <w:bCs/>
        </w:rPr>
        <w:t xml:space="preserve">Timestamp: </w:t>
      </w:r>
      <w:r>
        <w:t xml:space="preserve">Report generated 02 Jul 2026 (Europe/London), anchored to the 30 Jun 2026 cash close.</w:t>
      </w:r>
    </w:p>
    <w:p>
      <w:pPr>
        <w:pStyle w:val="Heading2"/>
        <w:spacing w:after="100" w:before="220"/>
      </w:pPr>
      <w:r>
        <w:rPr>
          <w:b/>
          <w:bCs/>
          <w:color w:val="9C2C6B"/>
          <w:sz w:val="24"/>
          <w:szCs w:val="24"/>
        </w:rPr>
        <w:t xml:space="preserve">§21  Strategy Recommendations</w:t>
      </w:r>
    </w:p>
    <w:p>
      <w:pPr>
        <w:spacing w:after="60" w:before="120"/>
      </w:pPr>
      <w:r>
        <w:rPr>
          <w:b/>
          <w:bCs/>
          <w:color w:val="555555"/>
          <w:sz w:val="21"/>
          <w:szCs w:val="21"/>
        </w:rPr>
        <w:t xml:space="preserve">§21a  Directional Conviction</w:t>
      </w:r>
    </w:p>
    <w:p>
      <w:pPr>
        <w:spacing w:after="120" w:line="276"/>
      </w:pPr>
      <w:r>
        <w:t xml:space="preserve">Direction: </w:t>
      </w:r>
      <w:r>
        <w:rPr>
          <w:b/>
          <w:bCs/>
          <w:color w:val="1E6B34"/>
        </w:rPr>
        <w:t xml:space="preserve">LONG</w:t>
      </w:r>
      <w:r>
        <w:t xml:space="preserve">  ·  Score: </w:t>
      </w:r>
      <w:r>
        <w:rPr>
          <w:b/>
          <w:bCs/>
        </w:rPr>
        <w:t xml:space="preserve">+0.30</w:t>
      </w:r>
      <w:r>
        <w:t xml:space="preserve">. The three highest-weighted contributing signals: short-term technical bias (§8) +0.25, cross-asset confirmation (§10) +0.15, and medium-term regime (§9) +0.20. The Kaufman trend read (+0.26) and Predominantly-Bullish sentiment (§13b, +0.49) reinforce the long. Conflict flag: none — the §17 Forecast also leans higher, so the trade-card direction and the forecast agree (no conflict to disclose). Weights basis: defaults. The single moderating factor is the 30 Jun upper-wick rejection at 10,600, which damped the raw score from ~0.76 to a conservative +0.30.</w:t>
      </w:r>
    </w:p>
    <w:p>
      <w:pPr>
        <w:spacing w:after="60" w:before="120"/>
      </w:pPr>
      <w:r>
        <w:rPr>
          <w:b/>
          <w:bCs/>
          <w:color w:val="555555"/>
          <w:sz w:val="21"/>
          <w:szCs w:val="21"/>
        </w:rPr>
        <w:t xml:space="preserve">§21b  Trade Cards</w:t>
      </w:r>
    </w:p>
    <w:p>
      <w:pPr>
        <w:spacing w:after="120" w:line="276"/>
      </w:pPr>
      <w:r>
        <w:rPr>
          <w:b/>
          <w:bCs/>
          <w:color w:val="9C2C6B"/>
        </w:rPr>
        <w:t xml:space="preserve">Trade 1 — Daily Directional (LONG · Transitional–Bullish)</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7160"/>
      </w:tblGrid>
      <w:tr>
        <w:trPr>
          <w:tblHeader/>
        </w:trPr>
        <w:tc>
          <w:tcPr>
            <w:tcW w:type="dxa" w:w="2200"/>
            <w:shd w:fill="1F3864" w:color="auto" w:val="clear"/>
            <w:tcMar>
              <w:top w:type="dxa" w:w="40"/>
              <w:left w:type="dxa" w:w="70"/>
              <w:bottom w:type="dxa" w:w="40"/>
              <w:right w:type="dxa" w:w="70"/>
            </w:tcMar>
          </w:tcPr>
          <w:p>
            <w:pPr>
              <w:spacing w:after="0" w:line="240"/>
              <w:jc w:val="left"/>
            </w:pPr>
            <w:r>
              <w:rPr>
                <w:b/>
                <w:bCs/>
                <w:color w:val="FFFFFF"/>
                <w:sz w:val="18"/>
                <w:szCs w:val="18"/>
              </w:rPr>
              <w:t xml:space="preserve">Field</w:t>
            </w:r>
          </w:p>
        </w:tc>
        <w:tc>
          <w:tcPr>
            <w:tcW w:type="dxa" w:w="7160"/>
            <w:shd w:fill="1F3864" w:color="auto" w:val="clear"/>
            <w:tcMar>
              <w:top w:type="dxa" w:w="40"/>
              <w:left w:type="dxa" w:w="70"/>
              <w:bottom w:type="dxa" w:w="40"/>
              <w:right w:type="dxa" w:w="70"/>
            </w:tcMar>
          </w:tcPr>
          <w:p>
            <w:pPr>
              <w:spacing w:after="0" w:line="240"/>
              <w:jc w:val="left"/>
            </w:pPr>
            <w:r>
              <w:rPr>
                <w:b/>
                <w:bCs/>
                <w:color w:val="FFFFFF"/>
                <w:sz w:val="18"/>
                <w:szCs w:val="18"/>
              </w:rPr>
              <w:t xml:space="preserve">Value</w:t>
            </w:r>
          </w:p>
        </w:tc>
      </w:tr>
      <w:tr>
        <w:tc>
          <w:tcPr>
            <w:tcW w:type="dxa" w:w="2200"/>
            <w:shd w:fill="FFFFFF" w:color="auto" w:val="clear"/>
            <w:tcMar>
              <w:top w:type="dxa" w:w="40"/>
              <w:left w:type="dxa" w:w="70"/>
              <w:bottom w:type="dxa" w:w="40"/>
              <w:right w:type="dxa" w:w="70"/>
            </w:tcMar>
          </w:tcPr>
          <w:p>
            <w:pPr>
              <w:spacing w:after="0" w:line="240"/>
              <w:jc w:val="left"/>
            </w:pPr>
            <w:r>
              <w:rPr>
                <w:sz w:val="18"/>
                <w:szCs w:val="18"/>
              </w:rPr>
              <w:t xml:space="preserve">Direction</w:t>
            </w:r>
          </w:p>
        </w:tc>
        <w:tc>
          <w:tcPr>
            <w:tcW w:type="dxa" w:w="7160"/>
            <w:tcMar>
              <w:top w:type="dxa" w:w="40"/>
              <w:left w:type="dxa" w:w="70"/>
              <w:bottom w:type="dxa" w:w="40"/>
              <w:right w:type="dxa" w:w="70"/>
            </w:tcMar>
          </w:tcPr>
          <w:p>
            <w:pPr>
              <w:spacing w:after="0" w:line="240"/>
              <w:jc w:val="left"/>
            </w:pPr>
            <w:r>
              <w:rPr>
                <w:b/>
                <w:bCs/>
                <w:color w:val="1E6B34"/>
              </w:rPr>
              <w:t xml:space="preserve">LONG</w:t>
            </w:r>
          </w:p>
        </w:tc>
      </w:tr>
      <w:tr>
        <w:tc>
          <w:tcPr>
            <w:tcW w:type="dxa" w:w="2200"/>
            <w:shd w:fill="F2F4F8" w:color="auto" w:val="clear"/>
            <w:tcMar>
              <w:top w:type="dxa" w:w="40"/>
              <w:left w:type="dxa" w:w="70"/>
              <w:bottom w:type="dxa" w:w="40"/>
              <w:right w:type="dxa" w:w="70"/>
            </w:tcMar>
          </w:tcPr>
          <w:p>
            <w:pPr>
              <w:spacing w:after="0" w:line="240"/>
              <w:jc w:val="left"/>
            </w:pPr>
            <w:r>
              <w:rPr>
                <w:sz w:val="18"/>
                <w:szCs w:val="18"/>
              </w:rPr>
              <w:t xml:space="preserve">Entry</w:t>
            </w:r>
          </w:p>
        </w:tc>
        <w:tc>
          <w:tcPr>
            <w:tcW w:type="dxa" w:w="7160"/>
            <w:shd w:fill="F2F4F8" w:color="auto" w:val="clear"/>
            <w:tcMar>
              <w:top w:type="dxa" w:w="40"/>
              <w:left w:type="dxa" w:w="70"/>
              <w:bottom w:type="dxa" w:w="40"/>
              <w:right w:type="dxa" w:w="70"/>
            </w:tcMar>
          </w:tcPr>
          <w:p>
            <w:pPr>
              <w:spacing w:after="0" w:line="240"/>
              <w:jc w:val="left"/>
            </w:pPr>
            <w:r>
              <w:rPr>
                <w:sz w:val="18"/>
                <w:szCs w:val="18"/>
              </w:rPr>
              <w:t xml:space="preserve">Market at 02 Jul 07:00 UK open (anchor override applied) ≈ 10,497 area</w:t>
            </w:r>
          </w:p>
        </w:tc>
      </w:tr>
      <w:tr>
        <w:tc>
          <w:tcPr>
            <w:tcW w:type="dxa" w:w="2200"/>
            <w:shd w:fill="FFFFFF" w:color="auto" w:val="clear"/>
            <w:tcMar>
              <w:top w:type="dxa" w:w="40"/>
              <w:left w:type="dxa" w:w="70"/>
              <w:bottom w:type="dxa" w:w="40"/>
              <w:right w:type="dxa" w:w="70"/>
            </w:tcMar>
          </w:tcPr>
          <w:p>
            <w:pPr>
              <w:spacing w:after="0" w:line="240"/>
              <w:jc w:val="left"/>
            </w:pPr>
            <w:r>
              <w:rPr>
                <w:sz w:val="18"/>
                <w:szCs w:val="18"/>
              </w:rPr>
              <w:t xml:space="preserve">Stop loss</w:t>
            </w:r>
          </w:p>
        </w:tc>
        <w:tc>
          <w:tcPr>
            <w:tcW w:type="dxa" w:w="7160"/>
            <w:shd w:fill="FFFFFF" w:color="auto" w:val="clear"/>
            <w:tcMar>
              <w:top w:type="dxa" w:w="40"/>
              <w:left w:type="dxa" w:w="70"/>
              <w:bottom w:type="dxa" w:w="40"/>
              <w:right w:type="dxa" w:w="70"/>
            </w:tcMar>
          </w:tcPr>
          <w:p>
            <w:pPr>
              <w:spacing w:after="0" w:line="240"/>
              <w:jc w:val="left"/>
            </w:pPr>
            <w:r>
              <w:rPr>
                <w:sz w:val="18"/>
                <w:szCs w:val="18"/>
              </w:rPr>
              <w:t xml:space="preserve">10,449.6 (daily S1) − buffer → 10,441 · ≈ 56 points below entry · anchor: daily S1 + 0.25×ATR</w:t>
            </w:r>
          </w:p>
        </w:tc>
      </w:tr>
      <w:tr>
        <w:tc>
          <w:tcPr>
            <w:tcW w:type="dxa" w:w="2200"/>
            <w:shd w:fill="F2F4F8" w:color="auto" w:val="clear"/>
            <w:tcMar>
              <w:top w:type="dxa" w:w="40"/>
              <w:left w:type="dxa" w:w="70"/>
              <w:bottom w:type="dxa" w:w="40"/>
              <w:right w:type="dxa" w:w="70"/>
            </w:tcMar>
          </w:tcPr>
          <w:p>
            <w:pPr>
              <w:spacing w:after="0" w:line="240"/>
              <w:jc w:val="left"/>
            </w:pPr>
            <w:r>
              <w:rPr>
                <w:sz w:val="18"/>
                <w:szCs w:val="18"/>
              </w:rPr>
              <w:t xml:space="preserve">Risk (R)</w:t>
            </w:r>
          </w:p>
        </w:tc>
        <w:tc>
          <w:tcPr>
            <w:tcW w:type="dxa" w:w="7160"/>
            <w:shd w:fill="F2F4F8" w:color="auto" w:val="clear"/>
            <w:tcMar>
              <w:top w:type="dxa" w:w="40"/>
              <w:left w:type="dxa" w:w="70"/>
              <w:bottom w:type="dxa" w:w="40"/>
              <w:right w:type="dxa" w:w="70"/>
            </w:tcMar>
          </w:tcPr>
          <w:p>
            <w:pPr>
              <w:spacing w:after="0" w:line="240"/>
              <w:jc w:val="left"/>
            </w:pPr>
            <w:r>
              <w:rPr>
                <w:sz w:val="18"/>
                <w:szCs w:val="18"/>
              </w:rPr>
              <w:t xml:space="preserve">≈ 56 points</w:t>
            </w:r>
          </w:p>
        </w:tc>
      </w:tr>
      <w:tr>
        <w:tc>
          <w:tcPr>
            <w:tcW w:type="dxa" w:w="2200"/>
            <w:shd w:fill="FFFFFF" w:color="auto" w:val="clear"/>
            <w:tcMar>
              <w:top w:type="dxa" w:w="40"/>
              <w:left w:type="dxa" w:w="70"/>
              <w:bottom w:type="dxa" w:w="40"/>
              <w:right w:type="dxa" w:w="70"/>
            </w:tcMar>
          </w:tcPr>
          <w:p>
            <w:pPr>
              <w:spacing w:after="0" w:line="240"/>
              <w:jc w:val="left"/>
            </w:pPr>
            <w:r>
              <w:rPr>
                <w:sz w:val="18"/>
                <w:szCs w:val="18"/>
              </w:rPr>
              <w:t xml:space="preserve">TP1 (Unit 1)</w:t>
            </w:r>
          </w:p>
        </w:tc>
        <w:tc>
          <w:tcPr>
            <w:tcW w:type="dxa" w:w="7160"/>
            <w:shd w:fill="FFFFFF" w:color="auto" w:val="clear"/>
            <w:tcMar>
              <w:top w:type="dxa" w:w="40"/>
              <w:left w:type="dxa" w:w="70"/>
              <w:bottom w:type="dxa" w:w="40"/>
              <w:right w:type="dxa" w:w="70"/>
            </w:tcMar>
          </w:tcPr>
          <w:p>
            <w:pPr>
              <w:spacing w:after="0" w:line="240"/>
              <w:jc w:val="left"/>
            </w:pPr>
            <w:r>
              <w:rPr>
                <w:sz w:val="18"/>
                <w:szCs w:val="18"/>
              </w:rPr>
              <w:t xml:space="preserve">+1R → 10,553 (points)</w:t>
            </w:r>
          </w:p>
        </w:tc>
      </w:tr>
      <w:tr>
        <w:tc>
          <w:tcPr>
            <w:tcW w:type="dxa" w:w="2200"/>
            <w:shd w:fill="F2F4F8" w:color="auto" w:val="clear"/>
            <w:tcMar>
              <w:top w:type="dxa" w:w="40"/>
              <w:left w:type="dxa" w:w="70"/>
              <w:bottom w:type="dxa" w:w="40"/>
              <w:right w:type="dxa" w:w="70"/>
            </w:tcMar>
          </w:tcPr>
          <w:p>
            <w:pPr>
              <w:spacing w:after="0" w:line="240"/>
              <w:jc w:val="left"/>
            </w:pPr>
            <w:r>
              <w:rPr>
                <w:sz w:val="18"/>
                <w:szCs w:val="18"/>
              </w:rPr>
              <w:t xml:space="preserve">TP2 (Unit 2)</w:t>
            </w:r>
          </w:p>
        </w:tc>
        <w:tc>
          <w:tcPr>
            <w:tcW w:type="dxa" w:w="7160"/>
            <w:shd w:fill="F2F4F8" w:color="auto" w:val="clear"/>
            <w:tcMar>
              <w:top w:type="dxa" w:w="40"/>
              <w:left w:type="dxa" w:w="70"/>
              <w:bottom w:type="dxa" w:w="40"/>
              <w:right w:type="dxa" w:w="70"/>
            </w:tcMar>
          </w:tcPr>
          <w:p>
            <w:pPr>
              <w:spacing w:after="0" w:line="240"/>
              <w:jc w:val="left"/>
            </w:pPr>
            <w:r>
              <w:rPr>
                <w:sz w:val="18"/>
                <w:szCs w:val="18"/>
              </w:rPr>
              <w:t xml:space="preserve">+2R → 10,609 (points) — coincides with 30 Jun high 10,613 → strong confluence</w:t>
            </w:r>
          </w:p>
        </w:tc>
      </w:tr>
      <w:tr>
        <w:tc>
          <w:tcPr>
            <w:tcW w:type="dxa" w:w="2200"/>
            <w:shd w:fill="FFFFFF" w:color="auto" w:val="clear"/>
            <w:tcMar>
              <w:top w:type="dxa" w:w="40"/>
              <w:left w:type="dxa" w:w="70"/>
              <w:bottom w:type="dxa" w:w="40"/>
              <w:right w:type="dxa" w:w="70"/>
            </w:tcMar>
          </w:tcPr>
          <w:p>
            <w:pPr>
              <w:spacing w:after="0" w:line="240"/>
              <w:jc w:val="left"/>
            </w:pPr>
            <w:r>
              <w:rPr>
                <w:sz w:val="18"/>
                <w:szCs w:val="18"/>
              </w:rPr>
              <w:t xml:space="preserve">TP3 (runner)</w:t>
            </w:r>
          </w:p>
        </w:tc>
        <w:tc>
          <w:tcPr>
            <w:tcW w:type="dxa" w:w="7160"/>
            <w:shd w:fill="FFFFFF" w:color="auto" w:val="clear"/>
            <w:tcMar>
              <w:top w:type="dxa" w:w="40"/>
              <w:left w:type="dxa" w:w="70"/>
              <w:bottom w:type="dxa" w:w="40"/>
              <w:right w:type="dxa" w:w="70"/>
            </w:tcMar>
          </w:tcPr>
          <w:p>
            <w:pPr>
              <w:spacing w:after="0" w:line="240"/>
              <w:jc w:val="left"/>
            </w:pPr>
            <w:r>
              <w:rPr>
                <w:sz w:val="18"/>
                <w:szCs w:val="18"/>
              </w:rPr>
              <w:t xml:space="preserve">Time-stop at session close OR +3×ATR (≈ 10,831), whichever first</w:t>
            </w:r>
          </w:p>
        </w:tc>
      </w:tr>
      <w:tr>
        <w:tc>
          <w:tcPr>
            <w:tcW w:type="dxa" w:w="2200"/>
            <w:shd w:fill="F2F4F8" w:color="auto" w:val="clear"/>
            <w:tcMar>
              <w:top w:type="dxa" w:w="40"/>
              <w:left w:type="dxa" w:w="70"/>
              <w:bottom w:type="dxa" w:w="40"/>
              <w:right w:type="dxa" w:w="70"/>
            </w:tcMar>
          </w:tcPr>
          <w:p>
            <w:pPr>
              <w:spacing w:after="0" w:line="240"/>
              <w:jc w:val="left"/>
            </w:pPr>
            <w:r>
              <w:rPr>
                <w:sz w:val="18"/>
                <w:szCs w:val="18"/>
              </w:rPr>
              <w:t xml:space="preserve">Tranche mgmt</w:t>
            </w:r>
          </w:p>
        </w:tc>
        <w:tc>
          <w:tcPr>
            <w:tcW w:type="dxa" w:w="7160"/>
            <w:shd w:fill="F2F4F8" w:color="auto" w:val="clear"/>
            <w:tcMar>
              <w:top w:type="dxa" w:w="40"/>
              <w:left w:type="dxa" w:w="70"/>
              <w:bottom w:type="dxa" w:w="40"/>
              <w:right w:type="dxa" w:w="70"/>
            </w:tcMar>
          </w:tcPr>
          <w:p>
            <w:pPr>
              <w:spacing w:after="0" w:line="240"/>
              <w:jc w:val="left"/>
            </w:pPr>
            <w:r>
              <w:rPr>
                <w:sz w:val="18"/>
                <w:szCs w:val="18"/>
              </w:rPr>
              <w:t xml:space="preserve">3 equal units; U1→TP1, U2→TP2; on U2 fill, U3 SL → entry + 0.2R (10,508)</w:t>
            </w:r>
          </w:p>
        </w:tc>
      </w:tr>
      <w:tr>
        <w:tc>
          <w:tcPr>
            <w:tcW w:type="dxa" w:w="2200"/>
            <w:shd w:fill="FFFFFF" w:color="auto" w:val="clear"/>
            <w:tcMar>
              <w:top w:type="dxa" w:w="40"/>
              <w:left w:type="dxa" w:w="70"/>
              <w:bottom w:type="dxa" w:w="40"/>
              <w:right w:type="dxa" w:w="70"/>
            </w:tcMar>
          </w:tcPr>
          <w:p>
            <w:pPr>
              <w:spacing w:after="0" w:line="240"/>
              <w:jc w:val="left"/>
            </w:pPr>
            <w:r>
              <w:rPr>
                <w:sz w:val="18"/>
                <w:szCs w:val="18"/>
              </w:rPr>
              <w:t xml:space="preserve">Confluences</w:t>
            </w:r>
          </w:p>
        </w:tc>
        <w:tc>
          <w:tcPr>
            <w:tcW w:type="dxa" w:w="7160"/>
            <w:shd w:fill="FFFFFF" w:color="auto" w:val="clear"/>
            <w:tcMar>
              <w:top w:type="dxa" w:w="40"/>
              <w:left w:type="dxa" w:w="70"/>
              <w:bottom w:type="dxa" w:w="40"/>
              <w:right w:type="dxa" w:w="70"/>
            </w:tcMar>
          </w:tcPr>
          <w:p>
            <w:pPr>
              <w:spacing w:after="0" w:line="240"/>
              <w:jc w:val="left"/>
            </w:pPr>
            <w:r>
              <w:rPr>
                <w:sz w:val="18"/>
                <w:szCs w:val="18"/>
              </w:rPr>
              <w:t xml:space="preserve">TP2 ≈ 30 Jun swing high 10,613 &amp; daily R1 10,579 zone (strong); entry near weekly P 10,459 support shelf</w:t>
            </w:r>
          </w:p>
        </w:tc>
      </w:tr>
      <w:tr>
        <w:tc>
          <w:tcPr>
            <w:tcW w:type="dxa" w:w="2200"/>
            <w:shd w:fill="F2F4F8" w:color="auto" w:val="clear"/>
            <w:tcMar>
              <w:top w:type="dxa" w:w="40"/>
              <w:left w:type="dxa" w:w="70"/>
              <w:bottom w:type="dxa" w:w="40"/>
              <w:right w:type="dxa" w:w="70"/>
            </w:tcMar>
          </w:tcPr>
          <w:p>
            <w:pPr>
              <w:spacing w:after="0" w:line="240"/>
              <w:jc w:val="left"/>
            </w:pPr>
            <w:r>
              <w:rPr>
                <w:sz w:val="18"/>
                <w:szCs w:val="18"/>
              </w:rPr>
              <w:t xml:space="preserve">Invalidation</w:t>
            </w:r>
          </w:p>
        </w:tc>
        <w:tc>
          <w:tcPr>
            <w:tcW w:type="dxa" w:w="7160"/>
            <w:shd w:fill="F2F4F8" w:color="auto" w:val="clear"/>
            <w:tcMar>
              <w:top w:type="dxa" w:w="40"/>
              <w:left w:type="dxa" w:w="70"/>
              <w:bottom w:type="dxa" w:w="40"/>
              <w:right w:type="dxa" w:w="70"/>
            </w:tcMar>
          </w:tcPr>
          <w:p>
            <w:pPr>
              <w:spacing w:after="0" w:line="240"/>
              <w:jc w:val="left"/>
            </w:pPr>
            <w:r>
              <w:rPr>
                <w:sz w:val="18"/>
                <w:szCs w:val="18"/>
              </w:rPr>
              <w:t xml:space="preserve">Daily close below 10,449 (daily S1 / weekly-P shelf)</w:t>
            </w:r>
          </w:p>
        </w:tc>
      </w:tr>
      <w:tr>
        <w:tc>
          <w:tcPr>
            <w:tcW w:type="dxa" w:w="2200"/>
            <w:shd w:fill="FFFFFF" w:color="auto" w:val="clear"/>
            <w:tcMar>
              <w:top w:type="dxa" w:w="40"/>
              <w:left w:type="dxa" w:w="70"/>
              <w:bottom w:type="dxa" w:w="40"/>
              <w:right w:type="dxa" w:w="70"/>
            </w:tcMar>
          </w:tcPr>
          <w:p>
            <w:pPr>
              <w:spacing w:after="0" w:line="240"/>
              <w:jc w:val="left"/>
            </w:pPr>
            <w:r>
              <w:rPr>
                <w:sz w:val="18"/>
                <w:szCs w:val="18"/>
              </w:rPr>
              <w:t xml:space="preserve">Caveats</w:t>
            </w:r>
          </w:p>
        </w:tc>
        <w:tc>
          <w:tcPr>
            <w:tcW w:type="dxa" w:w="7160"/>
            <w:shd w:fill="FFFFFF" w:color="auto" w:val="clear"/>
            <w:tcMar>
              <w:top w:type="dxa" w:w="40"/>
              <w:left w:type="dxa" w:w="70"/>
              <w:bottom w:type="dxa" w:w="40"/>
              <w:right w:type="dxa" w:w="70"/>
            </w:tcMar>
          </w:tcPr>
          <w:p>
            <w:pPr>
              <w:spacing w:after="0" w:line="240"/>
              <w:jc w:val="left"/>
            </w:pPr>
            <w:r>
              <w:rPr>
                <w:sz w:val="18"/>
                <w:szCs w:val="18"/>
              </w:rPr>
              <w:t xml:space="preserve">ATR wide-stop note (R ≈ 0.5×ATR, acceptable); corroboration waiver applied</w:t>
            </w:r>
          </w:p>
        </w:tc>
      </w:tr>
    </w:tbl>
    <w:p>
      <w:pPr>
        <w:spacing w:after="120" w:line="276"/>
      </w:pPr>
      <w:r>
        <w:rPr>
          <w:b/>
          <w:bCs/>
          <w:color w:val="9C2C6B"/>
        </w:rPr>
        <w:t xml:space="preserve">Trade 2 — Pivot, regime-aware (TREND_UP → pivot breakout LONG)</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7160"/>
      </w:tblGrid>
      <w:tr>
        <w:trPr>
          <w:tblHeader/>
        </w:trPr>
        <w:tc>
          <w:tcPr>
            <w:tcW w:type="dxa" w:w="2200"/>
            <w:shd w:fill="1F3864" w:color="auto" w:val="clear"/>
            <w:tcMar>
              <w:top w:type="dxa" w:w="40"/>
              <w:left w:type="dxa" w:w="70"/>
              <w:bottom w:type="dxa" w:w="40"/>
              <w:right w:type="dxa" w:w="70"/>
            </w:tcMar>
          </w:tcPr>
          <w:p>
            <w:pPr>
              <w:spacing w:after="0" w:line="240"/>
              <w:jc w:val="left"/>
            </w:pPr>
            <w:r>
              <w:rPr>
                <w:b/>
                <w:bCs/>
                <w:color w:val="FFFFFF"/>
                <w:sz w:val="18"/>
                <w:szCs w:val="18"/>
              </w:rPr>
              <w:t xml:space="preserve">Field</w:t>
            </w:r>
          </w:p>
        </w:tc>
        <w:tc>
          <w:tcPr>
            <w:tcW w:type="dxa" w:w="7160"/>
            <w:shd w:fill="1F3864" w:color="auto" w:val="clear"/>
            <w:tcMar>
              <w:top w:type="dxa" w:w="40"/>
              <w:left w:type="dxa" w:w="70"/>
              <w:bottom w:type="dxa" w:w="40"/>
              <w:right w:type="dxa" w:w="70"/>
            </w:tcMar>
          </w:tcPr>
          <w:p>
            <w:pPr>
              <w:spacing w:after="0" w:line="240"/>
              <w:jc w:val="left"/>
            </w:pPr>
            <w:r>
              <w:rPr>
                <w:b/>
                <w:bCs/>
                <w:color w:val="FFFFFF"/>
                <w:sz w:val="18"/>
                <w:szCs w:val="18"/>
              </w:rPr>
              <w:t xml:space="preserve">Value</w:t>
            </w:r>
          </w:p>
        </w:tc>
      </w:tr>
      <w:tr>
        <w:tc>
          <w:tcPr>
            <w:tcW w:type="dxa" w:w="2200"/>
            <w:shd w:fill="FFFFFF" w:color="auto" w:val="clear"/>
            <w:tcMar>
              <w:top w:type="dxa" w:w="40"/>
              <w:left w:type="dxa" w:w="70"/>
              <w:bottom w:type="dxa" w:w="40"/>
              <w:right w:type="dxa" w:w="70"/>
            </w:tcMar>
          </w:tcPr>
          <w:p>
            <w:pPr>
              <w:spacing w:after="0" w:line="240"/>
              <w:jc w:val="left"/>
            </w:pPr>
            <w:r>
              <w:rPr>
                <w:sz w:val="18"/>
                <w:szCs w:val="18"/>
              </w:rPr>
              <w:t xml:space="preserve">Direction</w:t>
            </w:r>
          </w:p>
        </w:tc>
        <w:tc>
          <w:tcPr>
            <w:tcW w:type="dxa" w:w="7160"/>
            <w:tcMar>
              <w:top w:type="dxa" w:w="40"/>
              <w:left w:type="dxa" w:w="70"/>
              <w:bottom w:type="dxa" w:w="40"/>
              <w:right w:type="dxa" w:w="70"/>
            </w:tcMar>
          </w:tcPr>
          <w:p>
            <w:pPr>
              <w:spacing w:after="0" w:line="240"/>
              <w:jc w:val="left"/>
            </w:pPr>
            <w:r>
              <w:rPr>
                <w:b/>
                <w:bCs/>
                <w:color w:val="1E6B34"/>
              </w:rPr>
              <w:t xml:space="preserve">LONG</w:t>
            </w:r>
          </w:p>
        </w:tc>
      </w:tr>
      <w:tr>
        <w:tc>
          <w:tcPr>
            <w:tcW w:type="dxa" w:w="2200"/>
            <w:shd w:fill="F2F4F8" w:color="auto" w:val="clear"/>
            <w:tcMar>
              <w:top w:type="dxa" w:w="40"/>
              <w:left w:type="dxa" w:w="70"/>
              <w:bottom w:type="dxa" w:w="40"/>
              <w:right w:type="dxa" w:w="70"/>
            </w:tcMar>
          </w:tcPr>
          <w:p>
            <w:pPr>
              <w:spacing w:after="0" w:line="240"/>
              <w:jc w:val="left"/>
            </w:pPr>
            <w:r>
              <w:rPr>
                <w:sz w:val="18"/>
                <w:szCs w:val="18"/>
              </w:rPr>
              <w:t xml:space="preserve">Entry</w:t>
            </w:r>
          </w:p>
        </w:tc>
        <w:tc>
          <w:tcPr>
            <w:tcW w:type="dxa" w:w="7160"/>
            <w:shd w:fill="F2F4F8" w:color="auto" w:val="clear"/>
            <w:tcMar>
              <w:top w:type="dxa" w:w="40"/>
              <w:left w:type="dxa" w:w="70"/>
              <w:bottom w:type="dxa" w:w="40"/>
              <w:right w:type="dxa" w:w="70"/>
            </w:tcMar>
          </w:tcPr>
          <w:p>
            <w:pPr>
              <w:spacing w:after="0" w:line="240"/>
              <w:jc w:val="left"/>
            </w:pPr>
            <w:r>
              <w:rPr>
                <w:sz w:val="18"/>
                <w:szCs w:val="18"/>
              </w:rPr>
              <w:t xml:space="preserve">Stop-buy at P + 10%×(R1−P) = 10,531.4 + 0.10×(47.5) ≈ 10,536 (points)</w:t>
            </w:r>
          </w:p>
        </w:tc>
      </w:tr>
      <w:tr>
        <w:tc>
          <w:tcPr>
            <w:tcW w:type="dxa" w:w="2200"/>
            <w:shd w:fill="FFFFFF" w:color="auto" w:val="clear"/>
            <w:tcMar>
              <w:top w:type="dxa" w:w="40"/>
              <w:left w:type="dxa" w:w="70"/>
              <w:bottom w:type="dxa" w:w="40"/>
              <w:right w:type="dxa" w:w="70"/>
            </w:tcMar>
          </w:tcPr>
          <w:p>
            <w:pPr>
              <w:spacing w:after="0" w:line="240"/>
              <w:jc w:val="left"/>
            </w:pPr>
            <w:r>
              <w:rPr>
                <w:sz w:val="18"/>
                <w:szCs w:val="18"/>
              </w:rPr>
              <w:t xml:space="preserve">Stop loss</w:t>
            </w:r>
          </w:p>
        </w:tc>
        <w:tc>
          <w:tcPr>
            <w:tcW w:type="dxa" w:w="7160"/>
            <w:shd w:fill="FFFFFF" w:color="auto" w:val="clear"/>
            <w:tcMar>
              <w:top w:type="dxa" w:w="40"/>
              <w:left w:type="dxa" w:w="70"/>
              <w:bottom w:type="dxa" w:w="40"/>
              <w:right w:type="dxa" w:w="70"/>
            </w:tcMar>
          </w:tcPr>
          <w:p>
            <w:pPr>
              <w:spacing w:after="0" w:line="240"/>
              <w:jc w:val="left"/>
            </w:pPr>
            <w:r>
              <w:rPr>
                <w:sz w:val="18"/>
                <w:szCs w:val="18"/>
              </w:rPr>
              <w:t xml:space="preserve">P − 0.8×(P−S1) = 10,531.4 − 0.8×81.8 ≈ 10,466 · ≈ 70 points</w:t>
            </w:r>
          </w:p>
        </w:tc>
      </w:tr>
      <w:tr>
        <w:tc>
          <w:tcPr>
            <w:tcW w:type="dxa" w:w="2200"/>
            <w:shd w:fill="F2F4F8" w:color="auto" w:val="clear"/>
            <w:tcMar>
              <w:top w:type="dxa" w:w="40"/>
              <w:left w:type="dxa" w:w="70"/>
              <w:bottom w:type="dxa" w:w="40"/>
              <w:right w:type="dxa" w:w="70"/>
            </w:tcMar>
          </w:tcPr>
          <w:p>
            <w:pPr>
              <w:spacing w:after="0" w:line="240"/>
              <w:jc w:val="left"/>
            </w:pPr>
            <w:r>
              <w:rPr>
                <w:sz w:val="18"/>
                <w:szCs w:val="18"/>
              </w:rPr>
              <w:t xml:space="preserve">Risk (R)</w:t>
            </w:r>
          </w:p>
        </w:tc>
        <w:tc>
          <w:tcPr>
            <w:tcW w:type="dxa" w:w="7160"/>
            <w:shd w:fill="F2F4F8" w:color="auto" w:val="clear"/>
            <w:tcMar>
              <w:top w:type="dxa" w:w="40"/>
              <w:left w:type="dxa" w:w="70"/>
              <w:bottom w:type="dxa" w:w="40"/>
              <w:right w:type="dxa" w:w="70"/>
            </w:tcMar>
          </w:tcPr>
          <w:p>
            <w:pPr>
              <w:spacing w:after="0" w:line="240"/>
              <w:jc w:val="left"/>
            </w:pPr>
            <w:r>
              <w:rPr>
                <w:sz w:val="18"/>
                <w:szCs w:val="18"/>
              </w:rPr>
              <w:t xml:space="preserve">≈ 70 points</w:t>
            </w:r>
          </w:p>
        </w:tc>
      </w:tr>
      <w:tr>
        <w:tc>
          <w:tcPr>
            <w:tcW w:type="dxa" w:w="2200"/>
            <w:shd w:fill="FFFFFF" w:color="auto" w:val="clear"/>
            <w:tcMar>
              <w:top w:type="dxa" w:w="40"/>
              <w:left w:type="dxa" w:w="70"/>
              <w:bottom w:type="dxa" w:w="40"/>
              <w:right w:type="dxa" w:w="70"/>
            </w:tcMar>
          </w:tcPr>
          <w:p>
            <w:pPr>
              <w:spacing w:after="0" w:line="240"/>
              <w:jc w:val="left"/>
            </w:pPr>
            <w:r>
              <w:rPr>
                <w:sz w:val="18"/>
                <w:szCs w:val="18"/>
              </w:rPr>
              <w:t xml:space="preserve">TP1 / TP2 / TP3</w:t>
            </w:r>
          </w:p>
        </w:tc>
        <w:tc>
          <w:tcPr>
            <w:tcW w:type="dxa" w:w="7160"/>
            <w:shd w:fill="FFFFFF" w:color="auto" w:val="clear"/>
            <w:tcMar>
              <w:top w:type="dxa" w:w="40"/>
              <w:left w:type="dxa" w:w="70"/>
              <w:bottom w:type="dxa" w:w="40"/>
              <w:right w:type="dxa" w:w="70"/>
            </w:tcMar>
          </w:tcPr>
          <w:p>
            <w:pPr>
              <w:spacing w:after="0" w:line="240"/>
              <w:jc w:val="left"/>
            </w:pPr>
            <w:r>
              <w:rPr>
                <w:sz w:val="18"/>
                <w:szCs w:val="18"/>
              </w:rPr>
              <w:t xml:space="preserve">R1 10,579 / R1.5 10,619.8 / R2 10,660.7 (points)</w:t>
            </w:r>
          </w:p>
        </w:tc>
      </w:tr>
      <w:tr>
        <w:tc>
          <w:tcPr>
            <w:tcW w:type="dxa" w:w="2200"/>
            <w:shd w:fill="F2F4F8" w:color="auto" w:val="clear"/>
            <w:tcMar>
              <w:top w:type="dxa" w:w="40"/>
              <w:left w:type="dxa" w:w="70"/>
              <w:bottom w:type="dxa" w:w="40"/>
              <w:right w:type="dxa" w:w="70"/>
            </w:tcMar>
          </w:tcPr>
          <w:p>
            <w:pPr>
              <w:spacing w:after="0" w:line="240"/>
              <w:jc w:val="left"/>
            </w:pPr>
            <w:r>
              <w:rPr>
                <w:sz w:val="18"/>
                <w:szCs w:val="18"/>
              </w:rPr>
              <w:t xml:space="preserve">Invalidation</w:t>
            </w:r>
          </w:p>
        </w:tc>
        <w:tc>
          <w:tcPr>
            <w:tcW w:type="dxa" w:w="7160"/>
            <w:shd w:fill="F2F4F8" w:color="auto" w:val="clear"/>
            <w:tcMar>
              <w:top w:type="dxa" w:w="40"/>
              <w:left w:type="dxa" w:w="70"/>
              <w:bottom w:type="dxa" w:w="40"/>
              <w:right w:type="dxa" w:w="70"/>
            </w:tcMar>
          </w:tcPr>
          <w:p>
            <w:pPr>
              <w:spacing w:after="0" w:line="240"/>
              <w:jc w:val="left"/>
            </w:pPr>
            <w:r>
              <w:rPr>
                <w:sz w:val="18"/>
                <w:szCs w:val="18"/>
              </w:rPr>
              <w:t xml:space="preserve">Daily close back through P 10,531</w:t>
            </w:r>
          </w:p>
        </w:tc>
      </w:tr>
      <w:tr>
        <w:tc>
          <w:tcPr>
            <w:tcW w:type="dxa" w:w="2200"/>
            <w:shd w:fill="FFFFFF" w:color="auto" w:val="clear"/>
            <w:tcMar>
              <w:top w:type="dxa" w:w="40"/>
              <w:left w:type="dxa" w:w="70"/>
              <w:bottom w:type="dxa" w:w="40"/>
              <w:right w:type="dxa" w:w="70"/>
            </w:tcMar>
          </w:tcPr>
          <w:p>
            <w:pPr>
              <w:spacing w:after="0" w:line="240"/>
              <w:jc w:val="left"/>
            </w:pPr>
            <w:r>
              <w:rPr>
                <w:sz w:val="18"/>
                <w:szCs w:val="18"/>
              </w:rPr>
              <w:t xml:space="preserve">Caveats</w:t>
            </w:r>
          </w:p>
        </w:tc>
        <w:tc>
          <w:tcPr>
            <w:tcW w:type="dxa" w:w="7160"/>
            <w:tcMar>
              <w:top w:type="dxa" w:w="40"/>
              <w:left w:type="dxa" w:w="70"/>
              <w:bottom w:type="dxa" w:w="40"/>
              <w:right w:type="dxa" w:w="70"/>
            </w:tcMar>
          </w:tcPr>
          <w:p>
            <w:pPr>
              <w:spacing w:after="0" w:line="240"/>
              <w:jc w:val="left"/>
            </w:pPr>
            <w:r>
              <w:rPr>
                <w:i/>
                <w:iCs/>
              </w:rPr>
              <w:t xml:space="preserve">Daily pivots CORROBORATED; weekly/monthly SINGLE-SOURCE-INDICATIVE. Trade 2 would normally be suppressed if all tiers indicative — retained here per corroboration waiver, on the corroborated daily tier.</w:t>
            </w:r>
          </w:p>
        </w:tc>
      </w:tr>
    </w:tbl>
    <w:p>
      <w:pPr>
        <w:spacing w:after="120" w:line="276"/>
      </w:pPr>
      <w:r>
        <w:rPr>
          <w:b/>
          <w:bCs/>
          <w:color w:val="9C2C6B"/>
        </w:rPr>
        <w:t xml:space="preserve">Trade 3A — Momentum-Pullback (TREND_UP → LONG)</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7160"/>
      </w:tblGrid>
      <w:tr>
        <w:trPr>
          <w:tblHeader/>
        </w:trPr>
        <w:tc>
          <w:tcPr>
            <w:tcW w:type="dxa" w:w="2200"/>
            <w:shd w:fill="1F3864" w:color="auto" w:val="clear"/>
            <w:tcMar>
              <w:top w:type="dxa" w:w="40"/>
              <w:left w:type="dxa" w:w="70"/>
              <w:bottom w:type="dxa" w:w="40"/>
              <w:right w:type="dxa" w:w="70"/>
            </w:tcMar>
          </w:tcPr>
          <w:p>
            <w:pPr>
              <w:spacing w:after="0" w:line="240"/>
              <w:jc w:val="left"/>
            </w:pPr>
            <w:r>
              <w:rPr>
                <w:b/>
                <w:bCs/>
                <w:color w:val="FFFFFF"/>
                <w:sz w:val="18"/>
                <w:szCs w:val="18"/>
              </w:rPr>
              <w:t xml:space="preserve">Field</w:t>
            </w:r>
          </w:p>
        </w:tc>
        <w:tc>
          <w:tcPr>
            <w:tcW w:type="dxa" w:w="7160"/>
            <w:shd w:fill="1F3864" w:color="auto" w:val="clear"/>
            <w:tcMar>
              <w:top w:type="dxa" w:w="40"/>
              <w:left w:type="dxa" w:w="70"/>
              <w:bottom w:type="dxa" w:w="40"/>
              <w:right w:type="dxa" w:w="70"/>
            </w:tcMar>
          </w:tcPr>
          <w:p>
            <w:pPr>
              <w:spacing w:after="0" w:line="240"/>
              <w:jc w:val="left"/>
            </w:pPr>
            <w:r>
              <w:rPr>
                <w:b/>
                <w:bCs/>
                <w:color w:val="FFFFFF"/>
                <w:sz w:val="18"/>
                <w:szCs w:val="18"/>
              </w:rPr>
              <w:t xml:space="preserve">Value</w:t>
            </w:r>
          </w:p>
        </w:tc>
      </w:tr>
      <w:tr>
        <w:tc>
          <w:tcPr>
            <w:tcW w:type="dxa" w:w="2200"/>
            <w:shd w:fill="FFFFFF" w:color="auto" w:val="clear"/>
            <w:tcMar>
              <w:top w:type="dxa" w:w="40"/>
              <w:left w:type="dxa" w:w="70"/>
              <w:bottom w:type="dxa" w:w="40"/>
              <w:right w:type="dxa" w:w="70"/>
            </w:tcMar>
          </w:tcPr>
          <w:p>
            <w:pPr>
              <w:spacing w:after="0" w:line="240"/>
              <w:jc w:val="left"/>
            </w:pPr>
            <w:r>
              <w:rPr>
                <w:sz w:val="18"/>
                <w:szCs w:val="18"/>
              </w:rPr>
              <w:t xml:space="preserve">Direction</w:t>
            </w:r>
          </w:p>
        </w:tc>
        <w:tc>
          <w:tcPr>
            <w:tcW w:type="dxa" w:w="7160"/>
            <w:tcMar>
              <w:top w:type="dxa" w:w="40"/>
              <w:left w:type="dxa" w:w="70"/>
              <w:bottom w:type="dxa" w:w="40"/>
              <w:right w:type="dxa" w:w="70"/>
            </w:tcMar>
          </w:tcPr>
          <w:p>
            <w:pPr>
              <w:spacing w:after="0" w:line="240"/>
              <w:jc w:val="left"/>
            </w:pPr>
            <w:r>
              <w:rPr>
                <w:b/>
                <w:bCs/>
                <w:color w:val="1E6B34"/>
              </w:rPr>
              <w:t xml:space="preserve">LONG</w:t>
            </w:r>
          </w:p>
        </w:tc>
      </w:tr>
      <w:tr>
        <w:tc>
          <w:tcPr>
            <w:tcW w:type="dxa" w:w="2200"/>
            <w:shd w:fill="F2F4F8" w:color="auto" w:val="clear"/>
            <w:tcMar>
              <w:top w:type="dxa" w:w="40"/>
              <w:left w:type="dxa" w:w="70"/>
              <w:bottom w:type="dxa" w:w="40"/>
              <w:right w:type="dxa" w:w="70"/>
            </w:tcMar>
          </w:tcPr>
          <w:p>
            <w:pPr>
              <w:spacing w:after="0" w:line="240"/>
              <w:jc w:val="left"/>
            </w:pPr>
            <w:r>
              <w:rPr>
                <w:sz w:val="18"/>
                <w:szCs w:val="18"/>
              </w:rPr>
              <w:t xml:space="preserve">Fib anchor</w:t>
            </w:r>
          </w:p>
        </w:tc>
        <w:tc>
          <w:tcPr>
            <w:tcW w:type="dxa" w:w="7160"/>
            <w:shd w:fill="F2F4F8" w:color="auto" w:val="clear"/>
            <w:tcMar>
              <w:top w:type="dxa" w:w="40"/>
              <w:left w:type="dxa" w:w="70"/>
              <w:bottom w:type="dxa" w:w="40"/>
              <w:right w:type="dxa" w:w="70"/>
            </w:tcMar>
          </w:tcPr>
          <w:p>
            <w:pPr>
              <w:spacing w:after="0" w:line="240"/>
              <w:jc w:val="left"/>
            </w:pPr>
            <w:r>
              <w:rPr>
                <w:sz w:val="18"/>
                <w:szCs w:val="18"/>
              </w:rPr>
              <w:t xml:space="preserve">Swing low 10,395 (26 Jun) → swing high 10,613 (30 Jun); magnitude ≈ 218 pts ≈ 2.0×ATR (qualifies)</w:t>
            </w:r>
          </w:p>
        </w:tc>
      </w:tr>
      <w:tr>
        <w:tc>
          <w:tcPr>
            <w:tcW w:type="dxa" w:w="2200"/>
            <w:shd w:fill="FFFFFF" w:color="auto" w:val="clear"/>
            <w:tcMar>
              <w:top w:type="dxa" w:w="40"/>
              <w:left w:type="dxa" w:w="70"/>
              <w:bottom w:type="dxa" w:w="40"/>
              <w:right w:type="dxa" w:w="70"/>
            </w:tcMar>
          </w:tcPr>
          <w:p>
            <w:pPr>
              <w:spacing w:after="0" w:line="240"/>
              <w:jc w:val="left"/>
            </w:pPr>
            <w:r>
              <w:rPr>
                <w:sz w:val="18"/>
                <w:szCs w:val="18"/>
              </w:rPr>
              <w:t xml:space="preserve">Entry</w:t>
            </w:r>
          </w:p>
        </w:tc>
        <w:tc>
          <w:tcPr>
            <w:tcW w:type="dxa" w:w="7160"/>
            <w:shd w:fill="FFFFFF" w:color="auto" w:val="clear"/>
            <w:tcMar>
              <w:top w:type="dxa" w:w="40"/>
              <w:left w:type="dxa" w:w="70"/>
              <w:bottom w:type="dxa" w:w="40"/>
              <w:right w:type="dxa" w:w="70"/>
            </w:tcMar>
          </w:tcPr>
          <w:p>
            <w:pPr>
              <w:spacing w:after="0" w:line="240"/>
              <w:jc w:val="left"/>
            </w:pPr>
            <w:r>
              <w:rPr>
                <w:sz w:val="18"/>
                <w:szCs w:val="18"/>
              </w:rPr>
              <w:t xml:space="preserve">57.5% retrace of swing = 10,613 − 0.575×218 ≈ 10,488 (points)</w:t>
            </w:r>
          </w:p>
        </w:tc>
      </w:tr>
      <w:tr>
        <w:tc>
          <w:tcPr>
            <w:tcW w:type="dxa" w:w="2200"/>
            <w:shd w:fill="F2F4F8" w:color="auto" w:val="clear"/>
            <w:tcMar>
              <w:top w:type="dxa" w:w="40"/>
              <w:left w:type="dxa" w:w="70"/>
              <w:bottom w:type="dxa" w:w="40"/>
              <w:right w:type="dxa" w:w="70"/>
            </w:tcMar>
          </w:tcPr>
          <w:p>
            <w:pPr>
              <w:spacing w:after="0" w:line="240"/>
              <w:jc w:val="left"/>
            </w:pPr>
            <w:r>
              <w:rPr>
                <w:sz w:val="18"/>
                <w:szCs w:val="18"/>
              </w:rPr>
              <w:t xml:space="preserve">Stop loss</w:t>
            </w:r>
          </w:p>
        </w:tc>
        <w:tc>
          <w:tcPr>
            <w:tcW w:type="dxa" w:w="7160"/>
            <w:shd w:fill="F2F4F8" w:color="auto" w:val="clear"/>
            <w:tcMar>
              <w:top w:type="dxa" w:w="40"/>
              <w:left w:type="dxa" w:w="70"/>
              <w:bottom w:type="dxa" w:w="40"/>
              <w:right w:type="dxa" w:w="70"/>
            </w:tcMar>
          </w:tcPr>
          <w:p>
            <w:pPr>
              <w:spacing w:after="0" w:line="240"/>
              <w:jc w:val="left"/>
            </w:pPr>
            <w:r>
              <w:rPr>
                <w:sz w:val="18"/>
                <w:szCs w:val="18"/>
              </w:rPr>
              <w:t xml:space="preserve">Below 0% anchor 10,395 − 0.25×ATR ≈ 10,367 · ≈ 121 pts (near ATR cap)</w:t>
            </w:r>
          </w:p>
        </w:tc>
      </w:tr>
      <w:tr>
        <w:tc>
          <w:tcPr>
            <w:tcW w:type="dxa" w:w="2200"/>
            <w:shd w:fill="FFFFFF" w:color="auto" w:val="clear"/>
            <w:tcMar>
              <w:top w:type="dxa" w:w="40"/>
              <w:left w:type="dxa" w:w="70"/>
              <w:bottom w:type="dxa" w:w="40"/>
              <w:right w:type="dxa" w:w="70"/>
            </w:tcMar>
          </w:tcPr>
          <w:p>
            <w:pPr>
              <w:spacing w:after="0" w:line="240"/>
              <w:jc w:val="left"/>
            </w:pPr>
            <w:r>
              <w:rPr>
                <w:sz w:val="18"/>
                <w:szCs w:val="18"/>
              </w:rPr>
              <w:t xml:space="preserve">TP1 / TP2 / TP3</w:t>
            </w:r>
          </w:p>
        </w:tc>
        <w:tc>
          <w:tcPr>
            <w:tcW w:type="dxa" w:w="7160"/>
            <w:shd w:fill="FFFFFF" w:color="auto" w:val="clear"/>
            <w:tcMar>
              <w:top w:type="dxa" w:w="40"/>
              <w:left w:type="dxa" w:w="70"/>
              <w:bottom w:type="dxa" w:w="40"/>
              <w:right w:type="dxa" w:w="70"/>
            </w:tcMar>
          </w:tcPr>
          <w:p>
            <w:pPr>
              <w:spacing w:after="0" w:line="240"/>
              <w:jc w:val="left"/>
            </w:pPr>
            <w:r>
              <w:rPr>
                <w:sz w:val="18"/>
                <w:szCs w:val="18"/>
              </w:rPr>
              <w:t xml:space="preserve">38.2% → 10,530 / 0% swing origin (high) → 10,613 / 100%+ extension → 10,831+</w:t>
            </w:r>
          </w:p>
        </w:tc>
      </w:tr>
      <w:tr>
        <w:tc>
          <w:tcPr>
            <w:tcW w:type="dxa" w:w="2200"/>
            <w:shd w:fill="F2F4F8" w:color="auto" w:val="clear"/>
            <w:tcMar>
              <w:top w:type="dxa" w:w="40"/>
              <w:left w:type="dxa" w:w="70"/>
              <w:bottom w:type="dxa" w:w="40"/>
              <w:right w:type="dxa" w:w="70"/>
            </w:tcMar>
          </w:tcPr>
          <w:p>
            <w:pPr>
              <w:spacing w:after="0" w:line="240"/>
              <w:jc w:val="left"/>
            </w:pPr>
            <w:r>
              <w:rPr>
                <w:sz w:val="18"/>
                <w:szCs w:val="18"/>
              </w:rPr>
              <w:t xml:space="preserve">Runner override</w:t>
            </w:r>
          </w:p>
        </w:tc>
        <w:tc>
          <w:tcPr>
            <w:tcW w:type="dxa" w:w="7160"/>
            <w:shd w:fill="F2F4F8" w:color="auto" w:val="clear"/>
            <w:tcMar>
              <w:top w:type="dxa" w:w="40"/>
              <w:left w:type="dxa" w:w="70"/>
              <w:bottom w:type="dxa" w:w="40"/>
              <w:right w:type="dxa" w:w="70"/>
            </w:tcMar>
          </w:tcPr>
          <w:p>
            <w:pPr>
              <w:spacing w:after="0" w:line="240"/>
              <w:jc w:val="left"/>
            </w:pPr>
            <w:r>
              <w:rPr>
                <w:sz w:val="18"/>
                <w:szCs w:val="18"/>
              </w:rPr>
              <w:t xml:space="preserve">On print above 100% extension, U3 SL → 50% of 1:1 leg (≈ 10,550)</w:t>
            </w:r>
          </w:p>
        </w:tc>
      </w:tr>
      <w:tr>
        <w:tc>
          <w:tcPr>
            <w:tcW w:type="dxa" w:w="2200"/>
            <w:shd w:fill="FFFFFF" w:color="auto" w:val="clear"/>
            <w:tcMar>
              <w:top w:type="dxa" w:w="40"/>
              <w:left w:type="dxa" w:w="70"/>
              <w:bottom w:type="dxa" w:w="40"/>
              <w:right w:type="dxa" w:w="70"/>
            </w:tcMar>
          </w:tcPr>
          <w:p>
            <w:pPr>
              <w:spacing w:after="0" w:line="240"/>
              <w:jc w:val="left"/>
            </w:pPr>
            <w:r>
              <w:rPr>
                <w:sz w:val="18"/>
                <w:szCs w:val="18"/>
              </w:rPr>
              <w:t xml:space="preserve">Invalidation</w:t>
            </w:r>
          </w:p>
        </w:tc>
        <w:tc>
          <w:tcPr>
            <w:tcW w:type="dxa" w:w="7160"/>
            <w:shd w:fill="FFFFFF" w:color="auto" w:val="clear"/>
            <w:tcMar>
              <w:top w:type="dxa" w:w="40"/>
              <w:left w:type="dxa" w:w="70"/>
              <w:bottom w:type="dxa" w:w="40"/>
              <w:right w:type="dxa" w:w="70"/>
            </w:tcMar>
          </w:tcPr>
          <w:p>
            <w:pPr>
              <w:spacing w:after="0" w:line="240"/>
              <w:jc w:val="left"/>
            </w:pPr>
            <w:r>
              <w:rPr>
                <w:sz w:val="18"/>
                <w:szCs w:val="18"/>
              </w:rPr>
              <w:t xml:space="preserve">Daily close below swing-low anchor 10,395</w:t>
            </w:r>
          </w:p>
        </w:tc>
      </w:tr>
      <w:tr>
        <w:tc>
          <w:tcPr>
            <w:tcW w:type="dxa" w:w="2200"/>
            <w:shd w:fill="F2F4F8" w:color="auto" w:val="clear"/>
            <w:tcMar>
              <w:top w:type="dxa" w:w="40"/>
              <w:left w:type="dxa" w:w="70"/>
              <w:bottom w:type="dxa" w:w="40"/>
              <w:right w:type="dxa" w:w="70"/>
            </w:tcMar>
          </w:tcPr>
          <w:p>
            <w:pPr>
              <w:spacing w:after="0" w:line="240"/>
              <w:jc w:val="left"/>
            </w:pPr>
            <w:r>
              <w:rPr>
                <w:sz w:val="18"/>
                <w:szCs w:val="18"/>
              </w:rPr>
              <w:t xml:space="preserve">Caveats</w:t>
            </w:r>
          </w:p>
        </w:tc>
        <w:tc>
          <w:tcPr>
            <w:tcW w:type="dxa" w:w="7160"/>
            <w:shd w:fill="F2F4F8" w:color="auto" w:val="clear"/>
            <w:tcMar>
              <w:top w:type="dxa" w:w="40"/>
              <w:left w:type="dxa" w:w="70"/>
              <w:bottom w:type="dxa" w:w="40"/>
              <w:right w:type="dxa" w:w="70"/>
            </w:tcMar>
          </w:tcPr>
          <w:p>
            <w:pPr>
              <w:spacing w:after="0" w:line="240"/>
              <w:jc w:val="left"/>
            </w:pPr>
            <w:r>
              <w:rPr>
                <w:sz w:val="18"/>
                <w:szCs w:val="18"/>
              </w:rPr>
              <w:t xml:space="preserve">Stop near ATR cap → size reduced commensurately; fib swing uses one indicative endpoint (26 Jun)</w:t>
            </w:r>
          </w:p>
        </w:tc>
      </w:tr>
    </w:tbl>
    <w:p>
      <w:pPr>
        <w:spacing w:after="60" w:before="120"/>
      </w:pPr>
      <w:r>
        <w:rPr>
          <w:b/>
          <w:bCs/>
          <w:color w:val="555555"/>
          <w:sz w:val="21"/>
          <w:szCs w:val="21"/>
        </w:rPr>
        <w:t xml:space="preserve">§21c  5-Session No-Leakage Backtest</w:t>
      </w:r>
    </w:p>
    <w:tbl>
      <w:tblPr>
        <w:tblW w:type="dxa" w:w="9360"/>
        <w:tblBorders>
          <w:top w:val="single" w:color="AAAAAA" w:sz="2"/>
          <w:left w:val="single" w:color="AAAAAA" w:sz="2"/>
          <w:bottom w:val="single" w:color="AAAAAA" w:sz="2"/>
          <w:right w:val="single" w:color="AAAAAA" w:sz="2"/>
          <w:insideH w:val="single" w:color="CCCCCC" w:sz="1"/>
          <w:insideV w:val="single" w:color="CCCCCC" w:sz="1"/>
        </w:tblBorders>
      </w:tblPr>
      <w:tblGrid>
        <w:gridCol w:w="1500"/>
        <w:gridCol w:w="1350"/>
        <w:gridCol w:w="900"/>
        <w:gridCol w:w="900"/>
        <w:gridCol w:w="1900"/>
        <w:gridCol w:w="1710"/>
        <w:gridCol w:w="1100"/>
      </w:tblGrid>
      <w:tr>
        <w:trPr>
          <w:tblHeader/>
        </w:trPr>
        <w:tc>
          <w:tcPr>
            <w:tcW w:type="dxa" w:w="1500"/>
            <w:shd w:fill="1F3864" w:color="auto" w:val="clear"/>
            <w:tcMar>
              <w:top w:type="dxa" w:w="40"/>
              <w:left w:type="dxa" w:w="70"/>
              <w:bottom w:type="dxa" w:w="40"/>
              <w:right w:type="dxa" w:w="70"/>
            </w:tcMar>
          </w:tcPr>
          <w:p>
            <w:pPr>
              <w:spacing w:after="0" w:line="240"/>
              <w:jc w:val="left"/>
            </w:pPr>
            <w:r>
              <w:rPr>
                <w:b/>
                <w:bCs/>
                <w:color w:val="FFFFFF"/>
                <w:sz w:val="18"/>
                <w:szCs w:val="18"/>
              </w:rPr>
              <w:t xml:space="preserve">Date (t−N)</w:t>
            </w:r>
          </w:p>
        </w:tc>
        <w:tc>
          <w:tcPr>
            <w:tcW w:type="dxa" w:w="1350"/>
            <w:shd w:fill="1F3864" w:color="auto" w:val="clear"/>
            <w:tcMar>
              <w:top w:type="dxa" w:w="40"/>
              <w:left w:type="dxa" w:w="70"/>
              <w:bottom w:type="dxa" w:w="40"/>
              <w:right w:type="dxa" w:w="70"/>
            </w:tcMar>
          </w:tcPr>
          <w:p>
            <w:pPr>
              <w:spacing w:after="0" w:line="240"/>
              <w:jc w:val="left"/>
            </w:pPr>
            <w:r>
              <w:rPr>
                <w:b/>
                <w:bCs/>
                <w:color w:val="FFFFFF"/>
                <w:sz w:val="18"/>
                <w:szCs w:val="18"/>
              </w:rPr>
              <w:t xml:space="preserve">Strategy</w:t>
            </w:r>
          </w:p>
        </w:tc>
        <w:tc>
          <w:tcPr>
            <w:tcW w:type="dxa" w:w="900"/>
            <w:shd w:fill="1F3864" w:color="auto" w:val="clear"/>
            <w:tcMar>
              <w:top w:type="dxa" w:w="40"/>
              <w:left w:type="dxa" w:w="70"/>
              <w:bottom w:type="dxa" w:w="40"/>
              <w:right w:type="dxa" w:w="70"/>
            </w:tcMar>
          </w:tcPr>
          <w:p>
            <w:pPr>
              <w:spacing w:after="0" w:line="240"/>
              <w:jc w:val="left"/>
            </w:pPr>
            <w:r>
              <w:rPr>
                <w:b/>
                <w:bCs/>
                <w:color w:val="FFFFFF"/>
                <w:sz w:val="18"/>
                <w:szCs w:val="18"/>
              </w:rPr>
              <w:t xml:space="preserve">Dir.</w:t>
            </w:r>
          </w:p>
        </w:tc>
        <w:tc>
          <w:tcPr>
            <w:tcW w:type="dxa" w:w="900"/>
            <w:shd w:fill="1F3864" w:color="auto" w:val="clear"/>
            <w:tcMar>
              <w:top w:type="dxa" w:w="40"/>
              <w:left w:type="dxa" w:w="70"/>
              <w:bottom w:type="dxa" w:w="40"/>
              <w:right w:type="dxa" w:w="70"/>
            </w:tcMar>
          </w:tcPr>
          <w:p>
            <w:pPr>
              <w:spacing w:after="0" w:line="240"/>
              <w:jc w:val="left"/>
            </w:pPr>
            <w:r>
              <w:rPr>
                <w:b/>
                <w:bCs/>
                <w:color w:val="FFFFFF"/>
                <w:sz w:val="18"/>
                <w:szCs w:val="18"/>
              </w:rPr>
              <w:t xml:space="preserve">Trig.</w:t>
            </w:r>
          </w:p>
        </w:tc>
        <w:tc>
          <w:tcPr>
            <w:tcW w:type="dxa" w:w="1900"/>
            <w:shd w:fill="1F3864" w:color="auto" w:val="clear"/>
            <w:tcMar>
              <w:top w:type="dxa" w:w="40"/>
              <w:left w:type="dxa" w:w="70"/>
              <w:bottom w:type="dxa" w:w="40"/>
              <w:right w:type="dxa" w:w="70"/>
            </w:tcMar>
          </w:tcPr>
          <w:p>
            <w:pPr>
              <w:spacing w:after="0" w:line="240"/>
              <w:jc w:val="left"/>
            </w:pPr>
            <w:r>
              <w:rPr>
                <w:b/>
                <w:bCs/>
                <w:color w:val="FFFFFF"/>
                <w:sz w:val="18"/>
                <w:szCs w:val="18"/>
              </w:rPr>
              <w:t xml:space="preserve">Entry→Exit</w:t>
            </w:r>
          </w:p>
        </w:tc>
        <w:tc>
          <w:tcPr>
            <w:tcW w:type="dxa" w:w="1710"/>
            <w:shd w:fill="1F3864" w:color="auto" w:val="clear"/>
            <w:tcMar>
              <w:top w:type="dxa" w:w="40"/>
              <w:left w:type="dxa" w:w="70"/>
              <w:bottom w:type="dxa" w:w="40"/>
              <w:right w:type="dxa" w:w="70"/>
            </w:tcMar>
          </w:tcPr>
          <w:p>
            <w:pPr>
              <w:spacing w:after="0" w:line="240"/>
              <w:jc w:val="left"/>
            </w:pPr>
            <w:r>
              <w:rPr>
                <w:b/>
                <w:bCs/>
                <w:color w:val="FFFFFF"/>
                <w:sz w:val="18"/>
                <w:szCs w:val="18"/>
              </w:rPr>
              <w:t xml:space="preserve">Outcome (R)</w:t>
            </w:r>
          </w:p>
        </w:tc>
        <w:tc>
          <w:tcPr>
            <w:tcW w:type="dxa" w:w="1100"/>
            <w:shd w:fill="1F3864" w:color="auto" w:val="clear"/>
            <w:tcMar>
              <w:top w:type="dxa" w:w="40"/>
              <w:left w:type="dxa" w:w="70"/>
              <w:bottom w:type="dxa" w:w="40"/>
              <w:right w:type="dxa" w:w="70"/>
            </w:tcMar>
          </w:tcPr>
          <w:p>
            <w:pPr>
              <w:spacing w:after="0" w:line="240"/>
              <w:jc w:val="left"/>
            </w:pPr>
            <w:r>
              <w:rPr>
                <w:b/>
                <w:bCs/>
                <w:color w:val="FFFFFF"/>
                <w:sz w:val="18"/>
                <w:szCs w:val="18"/>
              </w:rPr>
              <w:t xml:space="preserve">Days</w:t>
            </w:r>
          </w:p>
        </w:tc>
      </w:tr>
      <w:tr>
        <w:tc>
          <w:tcPr>
            <w:tcW w:type="dxa" w:w="1500"/>
            <w:shd w:fill="FFFFFF" w:color="auto" w:val="clear"/>
            <w:tcMar>
              <w:top w:type="dxa" w:w="40"/>
              <w:left w:type="dxa" w:w="70"/>
              <w:bottom w:type="dxa" w:w="40"/>
              <w:right w:type="dxa" w:w="70"/>
            </w:tcMar>
          </w:tcPr>
          <w:p>
            <w:pPr>
              <w:spacing w:after="0" w:line="240"/>
              <w:jc w:val="left"/>
            </w:pPr>
            <w:r>
              <w:rPr>
                <w:sz w:val="18"/>
                <w:szCs w:val="18"/>
              </w:rPr>
              <w:t xml:space="preserve">26 Jun (t−4)</w:t>
            </w:r>
          </w:p>
        </w:tc>
        <w:tc>
          <w:tcPr>
            <w:tcW w:type="dxa" w:w="1350"/>
            <w:shd w:fill="FFFFFF" w:color="auto" w:val="clear"/>
            <w:tcMar>
              <w:top w:type="dxa" w:w="40"/>
              <w:left w:type="dxa" w:w="70"/>
              <w:bottom w:type="dxa" w:w="40"/>
              <w:right w:type="dxa" w:w="70"/>
            </w:tcMar>
          </w:tcPr>
          <w:p>
            <w:pPr>
              <w:spacing w:after="0" w:line="240"/>
              <w:jc w:val="left"/>
            </w:pPr>
            <w:r>
              <w:rPr>
                <w:sz w:val="18"/>
                <w:szCs w:val="18"/>
              </w:rPr>
              <w:t xml:space="preserve">Trade 1</w:t>
            </w:r>
          </w:p>
        </w:tc>
        <w:tc>
          <w:tcPr>
            <w:tcW w:type="dxa" w:w="900"/>
            <w:shd w:fill="FFFFFF" w:color="auto" w:val="clear"/>
            <w:tcMar>
              <w:top w:type="dxa" w:w="40"/>
              <w:left w:type="dxa" w:w="70"/>
              <w:bottom w:type="dxa" w:w="40"/>
              <w:right w:type="dxa" w:w="70"/>
            </w:tcMar>
          </w:tcPr>
          <w:p>
            <w:pPr>
              <w:spacing w:after="0" w:line="240"/>
              <w:jc w:val="left"/>
            </w:pPr>
            <w:r>
              <w:rPr>
                <w:sz w:val="18"/>
                <w:szCs w:val="18"/>
              </w:rPr>
              <w:t xml:space="preserve">LONG</w:t>
            </w:r>
          </w:p>
        </w:tc>
        <w:tc>
          <w:tcPr>
            <w:tcW w:type="dxa" w:w="900"/>
            <w:shd w:fill="FFFFFF" w:color="auto" w:val="clear"/>
            <w:tcMar>
              <w:top w:type="dxa" w:w="40"/>
              <w:left w:type="dxa" w:w="70"/>
              <w:bottom w:type="dxa" w:w="40"/>
              <w:right w:type="dxa" w:w="70"/>
            </w:tcMar>
          </w:tcPr>
          <w:p>
            <w:pPr>
              <w:spacing w:after="0" w:line="240"/>
              <w:jc w:val="left"/>
            </w:pPr>
            <w:r>
              <w:rPr>
                <w:sz w:val="18"/>
                <w:szCs w:val="18"/>
              </w:rPr>
              <w:t xml:space="preserve">YES</w:t>
            </w:r>
          </w:p>
        </w:tc>
        <w:tc>
          <w:tcPr>
            <w:tcW w:type="dxa" w:w="1900"/>
            <w:shd w:fill="FFFFFF" w:color="auto" w:val="clear"/>
            <w:tcMar>
              <w:top w:type="dxa" w:w="40"/>
              <w:left w:type="dxa" w:w="70"/>
              <w:bottom w:type="dxa" w:w="40"/>
              <w:right w:type="dxa" w:w="70"/>
            </w:tcMar>
          </w:tcPr>
          <w:p>
            <w:pPr>
              <w:spacing w:after="0" w:line="240"/>
              <w:jc w:val="left"/>
            </w:pPr>
            <w:r>
              <w:rPr>
                <w:sz w:val="18"/>
                <w:szCs w:val="18"/>
              </w:rPr>
              <w:t xml:space="preserve">10,405 → 10,461</w:t>
            </w:r>
          </w:p>
        </w:tc>
        <w:tc>
          <w:tcPr>
            <w:tcW w:type="dxa" w:w="1710"/>
            <w:shd w:fill="FFFFFF" w:color="auto" w:val="clear"/>
            <w:tcMar>
              <w:top w:type="dxa" w:w="40"/>
              <w:left w:type="dxa" w:w="70"/>
              <w:bottom w:type="dxa" w:w="40"/>
              <w:right w:type="dxa" w:w="70"/>
            </w:tcMar>
          </w:tcPr>
          <w:p>
            <w:pPr>
              <w:spacing w:after="0" w:line="240"/>
              <w:jc w:val="left"/>
            </w:pPr>
            <w:r>
              <w:rPr>
                <w:sz w:val="18"/>
                <w:szCs w:val="18"/>
              </w:rPr>
              <w:t xml:space="preserve">+1.0 (TP1), U2 open</w:t>
            </w:r>
          </w:p>
        </w:tc>
        <w:tc>
          <w:tcPr>
            <w:tcW w:type="dxa" w:w="1100"/>
            <w:shd w:fill="FFFFFF" w:color="auto" w:val="clear"/>
            <w:tcMar>
              <w:top w:type="dxa" w:w="40"/>
              <w:left w:type="dxa" w:w="70"/>
              <w:bottom w:type="dxa" w:w="40"/>
              <w:right w:type="dxa" w:w="70"/>
            </w:tcMar>
          </w:tcPr>
          <w:p>
            <w:pPr>
              <w:spacing w:after="0" w:line="240"/>
              <w:jc w:val="left"/>
            </w:pPr>
            <w:r>
              <w:rPr>
                <w:sz w:val="18"/>
                <w:szCs w:val="18"/>
              </w:rPr>
              <w:t xml:space="preserve">1</w:t>
            </w:r>
          </w:p>
        </w:tc>
      </w:tr>
      <w:tr>
        <w:tc>
          <w:tcPr>
            <w:tcW w:type="dxa" w:w="1500"/>
            <w:shd w:fill="F2F4F8" w:color="auto" w:val="clear"/>
            <w:tcMar>
              <w:top w:type="dxa" w:w="40"/>
              <w:left w:type="dxa" w:w="70"/>
              <w:bottom w:type="dxa" w:w="40"/>
              <w:right w:type="dxa" w:w="70"/>
            </w:tcMar>
          </w:tcPr>
          <w:p>
            <w:pPr>
              <w:spacing w:after="0" w:line="240"/>
              <w:jc w:val="left"/>
            </w:pPr>
            <w:r>
              <w:rPr>
                <w:sz w:val="18"/>
                <w:szCs w:val="18"/>
              </w:rPr>
              <w:t xml:space="preserve">26 Jun (t−4)</w:t>
            </w:r>
          </w:p>
        </w:tc>
        <w:tc>
          <w:tcPr>
            <w:tcW w:type="dxa" w:w="1350"/>
            <w:shd w:fill="F2F4F8" w:color="auto" w:val="clear"/>
            <w:tcMar>
              <w:top w:type="dxa" w:w="40"/>
              <w:left w:type="dxa" w:w="70"/>
              <w:bottom w:type="dxa" w:w="40"/>
              <w:right w:type="dxa" w:w="70"/>
            </w:tcMar>
          </w:tcPr>
          <w:p>
            <w:pPr>
              <w:spacing w:after="0" w:line="240"/>
              <w:jc w:val="left"/>
            </w:pPr>
            <w:r>
              <w:rPr>
                <w:sz w:val="18"/>
                <w:szCs w:val="18"/>
              </w:rPr>
              <w:t xml:space="preserve">Trade 3A</w:t>
            </w:r>
          </w:p>
        </w:tc>
        <w:tc>
          <w:tcPr>
            <w:tcW w:type="dxa" w:w="900"/>
            <w:shd w:fill="F2F4F8" w:color="auto" w:val="clear"/>
            <w:tcMar>
              <w:top w:type="dxa" w:w="40"/>
              <w:left w:type="dxa" w:w="70"/>
              <w:bottom w:type="dxa" w:w="40"/>
              <w:right w:type="dxa" w:w="70"/>
            </w:tcMar>
          </w:tcPr>
          <w:p>
            <w:pPr>
              <w:spacing w:after="0" w:line="240"/>
              <w:jc w:val="left"/>
            </w:pPr>
            <w:r>
              <w:rPr>
                <w:sz w:val="18"/>
                <w:szCs w:val="18"/>
              </w:rPr>
              <w:t xml:space="preserve">LONG</w:t>
            </w:r>
          </w:p>
        </w:tc>
        <w:tc>
          <w:tcPr>
            <w:tcW w:type="dxa" w:w="900"/>
            <w:shd w:fill="F2F4F8" w:color="auto" w:val="clear"/>
            <w:tcMar>
              <w:top w:type="dxa" w:w="40"/>
              <w:left w:type="dxa" w:w="70"/>
              <w:bottom w:type="dxa" w:w="40"/>
              <w:right w:type="dxa" w:w="70"/>
            </w:tcMar>
          </w:tcPr>
          <w:p>
            <w:pPr>
              <w:spacing w:after="0" w:line="240"/>
              <w:jc w:val="left"/>
            </w:pPr>
            <w:r>
              <w:rPr>
                <w:sz w:val="18"/>
                <w:szCs w:val="18"/>
              </w:rPr>
              <w:t xml:space="preserve">YES</w:t>
            </w:r>
          </w:p>
        </w:tc>
        <w:tc>
          <w:tcPr>
            <w:tcW w:type="dxa" w:w="1900"/>
            <w:shd w:fill="F2F4F8" w:color="auto" w:val="clear"/>
            <w:tcMar>
              <w:top w:type="dxa" w:w="40"/>
              <w:left w:type="dxa" w:w="70"/>
              <w:bottom w:type="dxa" w:w="40"/>
              <w:right w:type="dxa" w:w="70"/>
            </w:tcMar>
          </w:tcPr>
          <w:p>
            <w:pPr>
              <w:spacing w:after="0" w:line="240"/>
              <w:jc w:val="left"/>
            </w:pPr>
            <w:r>
              <w:rPr>
                <w:sz w:val="18"/>
                <w:szCs w:val="18"/>
              </w:rPr>
              <w:t xml:space="preserve">10,405 → 10,470</w:t>
            </w:r>
          </w:p>
        </w:tc>
        <w:tc>
          <w:tcPr>
            <w:tcW w:type="dxa" w:w="1710"/>
            <w:shd w:fill="F2F4F8" w:color="auto" w:val="clear"/>
            <w:tcMar>
              <w:top w:type="dxa" w:w="40"/>
              <w:left w:type="dxa" w:w="70"/>
              <w:bottom w:type="dxa" w:w="40"/>
              <w:right w:type="dxa" w:w="70"/>
            </w:tcMar>
          </w:tcPr>
          <w:p>
            <w:pPr>
              <w:spacing w:after="0" w:line="240"/>
              <w:jc w:val="left"/>
            </w:pPr>
            <w:r>
              <w:rPr>
                <w:sz w:val="18"/>
                <w:szCs w:val="18"/>
              </w:rPr>
              <w:t xml:space="preserve">+0.6</w:t>
            </w:r>
          </w:p>
        </w:tc>
        <w:tc>
          <w:tcPr>
            <w:tcW w:type="dxa" w:w="1100"/>
            <w:shd w:fill="F2F4F8" w:color="auto" w:val="clear"/>
            <w:tcMar>
              <w:top w:type="dxa" w:w="40"/>
              <w:left w:type="dxa" w:w="70"/>
              <w:bottom w:type="dxa" w:w="40"/>
              <w:right w:type="dxa" w:w="70"/>
            </w:tcMar>
          </w:tcPr>
          <w:p>
            <w:pPr>
              <w:spacing w:after="0" w:line="240"/>
              <w:jc w:val="left"/>
            </w:pPr>
            <w:r>
              <w:rPr>
                <w:sz w:val="18"/>
                <w:szCs w:val="18"/>
              </w:rPr>
              <w:t xml:space="preserve">2</w:t>
            </w:r>
          </w:p>
        </w:tc>
      </w:tr>
      <w:tr>
        <w:tc>
          <w:tcPr>
            <w:tcW w:type="dxa" w:w="1500"/>
            <w:shd w:fill="FFFFFF" w:color="auto" w:val="clear"/>
            <w:tcMar>
              <w:top w:type="dxa" w:w="40"/>
              <w:left w:type="dxa" w:w="70"/>
              <w:bottom w:type="dxa" w:w="40"/>
              <w:right w:type="dxa" w:w="70"/>
            </w:tcMar>
          </w:tcPr>
          <w:p>
            <w:pPr>
              <w:spacing w:after="0" w:line="240"/>
              <w:jc w:val="left"/>
            </w:pPr>
            <w:r>
              <w:rPr>
                <w:sz w:val="18"/>
                <w:szCs w:val="18"/>
              </w:rPr>
              <w:t xml:space="preserve">29 Jun (t−3)</w:t>
            </w:r>
          </w:p>
        </w:tc>
        <w:tc>
          <w:tcPr>
            <w:tcW w:type="dxa" w:w="1350"/>
            <w:shd w:fill="FFFFFF" w:color="auto" w:val="clear"/>
            <w:tcMar>
              <w:top w:type="dxa" w:w="40"/>
              <w:left w:type="dxa" w:w="70"/>
              <w:bottom w:type="dxa" w:w="40"/>
              <w:right w:type="dxa" w:w="70"/>
            </w:tcMar>
          </w:tcPr>
          <w:p>
            <w:pPr>
              <w:spacing w:after="0" w:line="240"/>
              <w:jc w:val="left"/>
            </w:pPr>
            <w:r>
              <w:rPr>
                <w:sz w:val="18"/>
                <w:szCs w:val="18"/>
              </w:rPr>
              <w:t xml:space="preserve">Trade 1</w:t>
            </w:r>
          </w:p>
        </w:tc>
        <w:tc>
          <w:tcPr>
            <w:tcW w:type="dxa" w:w="900"/>
            <w:shd w:fill="FFFFFF" w:color="auto" w:val="clear"/>
            <w:tcMar>
              <w:top w:type="dxa" w:w="40"/>
              <w:left w:type="dxa" w:w="70"/>
              <w:bottom w:type="dxa" w:w="40"/>
              <w:right w:type="dxa" w:w="70"/>
            </w:tcMar>
          </w:tcPr>
          <w:p>
            <w:pPr>
              <w:spacing w:after="0" w:line="240"/>
              <w:jc w:val="left"/>
            </w:pPr>
            <w:r>
              <w:rPr>
                <w:sz w:val="18"/>
                <w:szCs w:val="18"/>
              </w:rPr>
              <w:t xml:space="preserve">LONG</w:t>
            </w:r>
          </w:p>
        </w:tc>
        <w:tc>
          <w:tcPr>
            <w:tcW w:type="dxa" w:w="900"/>
            <w:shd w:fill="FFFFFF" w:color="auto" w:val="clear"/>
            <w:tcMar>
              <w:top w:type="dxa" w:w="40"/>
              <w:left w:type="dxa" w:w="70"/>
              <w:bottom w:type="dxa" w:w="40"/>
              <w:right w:type="dxa" w:w="70"/>
            </w:tcMar>
          </w:tcPr>
          <w:p>
            <w:pPr>
              <w:spacing w:after="0" w:line="240"/>
              <w:jc w:val="left"/>
            </w:pPr>
            <w:r>
              <w:rPr>
                <w:sz w:val="18"/>
                <w:szCs w:val="18"/>
              </w:rPr>
              <w:t xml:space="preserve">YES</w:t>
            </w:r>
          </w:p>
        </w:tc>
        <w:tc>
          <w:tcPr>
            <w:tcW w:type="dxa" w:w="1900"/>
            <w:shd w:fill="FFFFFF" w:color="auto" w:val="clear"/>
            <w:tcMar>
              <w:top w:type="dxa" w:w="40"/>
              <w:left w:type="dxa" w:w="70"/>
              <w:bottom w:type="dxa" w:w="40"/>
              <w:right w:type="dxa" w:w="70"/>
            </w:tcMar>
          </w:tcPr>
          <w:p>
            <w:pPr>
              <w:spacing w:after="0" w:line="240"/>
              <w:jc w:val="left"/>
            </w:pPr>
            <w:r>
              <w:rPr>
                <w:sz w:val="18"/>
                <w:szCs w:val="18"/>
              </w:rPr>
              <w:t xml:space="preserve">10,484 → 10,484</w:t>
            </w:r>
          </w:p>
        </w:tc>
        <w:tc>
          <w:tcPr>
            <w:tcW w:type="dxa" w:w="1710"/>
            <w:shd w:fill="FFFFFF" w:color="auto" w:val="clear"/>
            <w:tcMar>
              <w:top w:type="dxa" w:w="40"/>
              <w:left w:type="dxa" w:w="70"/>
              <w:bottom w:type="dxa" w:w="40"/>
              <w:right w:type="dxa" w:w="70"/>
            </w:tcMar>
          </w:tcPr>
          <w:p>
            <w:pPr>
              <w:spacing w:after="0" w:line="240"/>
              <w:jc w:val="left"/>
            </w:pPr>
            <w:r>
              <w:rPr>
                <w:sz w:val="18"/>
                <w:szCs w:val="18"/>
              </w:rPr>
              <w:t xml:space="preserve">0.0 (flat close)</w:t>
            </w:r>
          </w:p>
        </w:tc>
        <w:tc>
          <w:tcPr>
            <w:tcW w:type="dxa" w:w="1100"/>
            <w:shd w:fill="FFFFFF" w:color="auto" w:val="clear"/>
            <w:tcMar>
              <w:top w:type="dxa" w:w="40"/>
              <w:left w:type="dxa" w:w="70"/>
              <w:bottom w:type="dxa" w:w="40"/>
              <w:right w:type="dxa" w:w="70"/>
            </w:tcMar>
          </w:tcPr>
          <w:p>
            <w:pPr>
              <w:spacing w:after="0" w:line="240"/>
              <w:jc w:val="left"/>
            </w:pPr>
            <w:r>
              <w:rPr>
                <w:sz w:val="18"/>
                <w:szCs w:val="18"/>
              </w:rPr>
              <w:t xml:space="preserve">1</w:t>
            </w:r>
          </w:p>
        </w:tc>
      </w:tr>
      <w:tr>
        <w:tc>
          <w:tcPr>
            <w:tcW w:type="dxa" w:w="1500"/>
            <w:shd w:fill="F2F4F8" w:color="auto" w:val="clear"/>
            <w:tcMar>
              <w:top w:type="dxa" w:w="40"/>
              <w:left w:type="dxa" w:w="70"/>
              <w:bottom w:type="dxa" w:w="40"/>
              <w:right w:type="dxa" w:w="70"/>
            </w:tcMar>
          </w:tcPr>
          <w:p>
            <w:pPr>
              <w:spacing w:after="0" w:line="240"/>
              <w:jc w:val="left"/>
            </w:pPr>
            <w:r>
              <w:rPr>
                <w:sz w:val="18"/>
                <w:szCs w:val="18"/>
              </w:rPr>
              <w:t xml:space="preserve">29 Jun (t−3)</w:t>
            </w:r>
          </w:p>
        </w:tc>
        <w:tc>
          <w:tcPr>
            <w:tcW w:type="dxa" w:w="1350"/>
            <w:shd w:fill="F2F4F8" w:color="auto" w:val="clear"/>
            <w:tcMar>
              <w:top w:type="dxa" w:w="40"/>
              <w:left w:type="dxa" w:w="70"/>
              <w:bottom w:type="dxa" w:w="40"/>
              <w:right w:type="dxa" w:w="70"/>
            </w:tcMar>
          </w:tcPr>
          <w:p>
            <w:pPr>
              <w:spacing w:after="0" w:line="240"/>
              <w:jc w:val="left"/>
            </w:pPr>
            <w:r>
              <w:rPr>
                <w:sz w:val="18"/>
                <w:szCs w:val="18"/>
              </w:rPr>
              <w:t xml:space="preserve">Trade 2</w:t>
            </w:r>
          </w:p>
        </w:tc>
        <w:tc>
          <w:tcPr>
            <w:tcW w:type="dxa" w:w="900"/>
            <w:shd w:fill="F2F4F8" w:color="auto" w:val="clear"/>
            <w:tcMar>
              <w:top w:type="dxa" w:w="40"/>
              <w:left w:type="dxa" w:w="70"/>
              <w:bottom w:type="dxa" w:w="40"/>
              <w:right w:type="dxa" w:w="70"/>
            </w:tcMar>
          </w:tcPr>
          <w:p>
            <w:pPr>
              <w:spacing w:after="0" w:line="240"/>
              <w:jc w:val="left"/>
            </w:pPr>
            <w:r>
              <w:rPr>
                <w:sz w:val="18"/>
                <w:szCs w:val="18"/>
              </w:rPr>
              <w:t xml:space="preserve">LONG</w:t>
            </w:r>
          </w:p>
        </w:tc>
        <w:tc>
          <w:tcPr>
            <w:tcW w:type="dxa" w:w="900"/>
            <w:shd w:fill="F2F4F8" w:color="auto" w:val="clear"/>
            <w:tcMar>
              <w:top w:type="dxa" w:w="40"/>
              <w:left w:type="dxa" w:w="70"/>
              <w:bottom w:type="dxa" w:w="40"/>
              <w:right w:type="dxa" w:w="70"/>
            </w:tcMar>
          </w:tcPr>
          <w:p>
            <w:pPr>
              <w:spacing w:after="0" w:line="240"/>
              <w:jc w:val="left"/>
            </w:pPr>
            <w:r>
              <w:rPr>
                <w:sz w:val="18"/>
                <w:szCs w:val="18"/>
              </w:rPr>
              <w:t xml:space="preserve">NO</w:t>
            </w:r>
          </w:p>
        </w:tc>
        <w:tc>
          <w:tcPr>
            <w:tcW w:type="dxa" w:w="1900"/>
            <w:shd w:fill="F2F4F8" w:color="auto" w:val="clear"/>
            <w:tcMar>
              <w:top w:type="dxa" w:w="40"/>
              <w:left w:type="dxa" w:w="70"/>
              <w:bottom w:type="dxa" w:w="40"/>
              <w:right w:type="dxa" w:w="70"/>
            </w:tcMar>
          </w:tcPr>
          <w:p>
            <w:pPr>
              <w:spacing w:after="0" w:line="240"/>
              <w:jc w:val="left"/>
            </w:pPr>
            <w:r>
              <w:rPr>
                <w:sz w:val="18"/>
                <w:szCs w:val="18"/>
              </w:rPr>
              <w:t xml:space="preserve">limit not reached</w:t>
            </w:r>
          </w:p>
        </w:tc>
        <w:tc>
          <w:tcPr>
            <w:tcW w:type="dxa" w:w="1710"/>
            <w:shd w:fill="F2F4F8" w:color="auto" w:val="clear"/>
            <w:tcMar>
              <w:top w:type="dxa" w:w="40"/>
              <w:left w:type="dxa" w:w="70"/>
              <w:bottom w:type="dxa" w:w="40"/>
              <w:right w:type="dxa" w:w="70"/>
            </w:tcMar>
          </w:tcPr>
          <w:p>
            <w:pPr>
              <w:spacing w:after="0" w:line="240"/>
              <w:jc w:val="left"/>
            </w:pPr>
            <w:r>
              <w:rPr>
                <w:sz w:val="18"/>
                <w:szCs w:val="18"/>
              </w:rPr>
              <w:t xml:space="preserve">—</w:t>
            </w:r>
          </w:p>
        </w:tc>
        <w:tc>
          <w:tcPr>
            <w:tcW w:type="dxa" w:w="1100"/>
            <w:shd w:fill="F2F4F8" w:color="auto" w:val="clear"/>
            <w:tcMar>
              <w:top w:type="dxa" w:w="40"/>
              <w:left w:type="dxa" w:w="70"/>
              <w:bottom w:type="dxa" w:w="40"/>
              <w:right w:type="dxa" w:w="70"/>
            </w:tcMar>
          </w:tcPr>
          <w:p>
            <w:pPr>
              <w:spacing w:after="0" w:line="240"/>
              <w:jc w:val="left"/>
            </w:pPr>
            <w:r>
              <w:rPr>
                <w:sz w:val="18"/>
                <w:szCs w:val="18"/>
              </w:rPr>
              <w:t xml:space="preserve">—</w:t>
            </w:r>
          </w:p>
        </w:tc>
      </w:tr>
      <w:tr>
        <w:tc>
          <w:tcPr>
            <w:tcW w:type="dxa" w:w="1500"/>
            <w:shd w:fill="FFFFFF" w:color="auto" w:val="clear"/>
            <w:tcMar>
              <w:top w:type="dxa" w:w="40"/>
              <w:left w:type="dxa" w:w="70"/>
              <w:bottom w:type="dxa" w:w="40"/>
              <w:right w:type="dxa" w:w="70"/>
            </w:tcMar>
          </w:tcPr>
          <w:p>
            <w:pPr>
              <w:spacing w:after="0" w:line="240"/>
              <w:jc w:val="left"/>
            </w:pPr>
            <w:r>
              <w:rPr>
                <w:sz w:val="18"/>
                <w:szCs w:val="18"/>
              </w:rPr>
              <w:t xml:space="preserve">30 Jun (t−2)</w:t>
            </w:r>
          </w:p>
        </w:tc>
        <w:tc>
          <w:tcPr>
            <w:tcW w:type="dxa" w:w="1350"/>
            <w:shd w:fill="FFFFFF" w:color="auto" w:val="clear"/>
            <w:tcMar>
              <w:top w:type="dxa" w:w="40"/>
              <w:left w:type="dxa" w:w="70"/>
              <w:bottom w:type="dxa" w:w="40"/>
              <w:right w:type="dxa" w:w="70"/>
            </w:tcMar>
          </w:tcPr>
          <w:p>
            <w:pPr>
              <w:spacing w:after="0" w:line="240"/>
              <w:jc w:val="left"/>
            </w:pPr>
            <w:r>
              <w:rPr>
                <w:sz w:val="18"/>
                <w:szCs w:val="18"/>
              </w:rPr>
              <w:t xml:space="preserve">Trade 1</w:t>
            </w:r>
          </w:p>
        </w:tc>
        <w:tc>
          <w:tcPr>
            <w:tcW w:type="dxa" w:w="900"/>
            <w:shd w:fill="FFFFFF" w:color="auto" w:val="clear"/>
            <w:tcMar>
              <w:top w:type="dxa" w:w="40"/>
              <w:left w:type="dxa" w:w="70"/>
              <w:bottom w:type="dxa" w:w="40"/>
              <w:right w:type="dxa" w:w="70"/>
            </w:tcMar>
          </w:tcPr>
          <w:p>
            <w:pPr>
              <w:spacing w:after="0" w:line="240"/>
              <w:jc w:val="left"/>
            </w:pPr>
            <w:r>
              <w:rPr>
                <w:sz w:val="18"/>
                <w:szCs w:val="18"/>
              </w:rPr>
              <w:t xml:space="preserve">LONG</w:t>
            </w:r>
          </w:p>
        </w:tc>
        <w:tc>
          <w:tcPr>
            <w:tcW w:type="dxa" w:w="900"/>
            <w:shd w:fill="FFFFFF" w:color="auto" w:val="clear"/>
            <w:tcMar>
              <w:top w:type="dxa" w:w="40"/>
              <w:left w:type="dxa" w:w="70"/>
              <w:bottom w:type="dxa" w:w="40"/>
              <w:right w:type="dxa" w:w="70"/>
            </w:tcMar>
          </w:tcPr>
          <w:p>
            <w:pPr>
              <w:spacing w:after="0" w:line="240"/>
              <w:jc w:val="left"/>
            </w:pPr>
            <w:r>
              <w:rPr>
                <w:sz w:val="18"/>
                <w:szCs w:val="18"/>
              </w:rPr>
              <w:t xml:space="preserve">YES</w:t>
            </w:r>
          </w:p>
        </w:tc>
        <w:tc>
          <w:tcPr>
            <w:tcW w:type="dxa" w:w="1900"/>
            <w:shd w:fill="FFFFFF" w:color="auto" w:val="clear"/>
            <w:tcMar>
              <w:top w:type="dxa" w:w="40"/>
              <w:left w:type="dxa" w:w="70"/>
              <w:bottom w:type="dxa" w:w="40"/>
              <w:right w:type="dxa" w:w="70"/>
            </w:tcMar>
          </w:tcPr>
          <w:p>
            <w:pPr>
              <w:spacing w:after="0" w:line="240"/>
              <w:jc w:val="left"/>
            </w:pPr>
            <w:r>
              <w:rPr>
                <w:sz w:val="18"/>
                <w:szCs w:val="18"/>
              </w:rPr>
              <w:t xml:space="preserve">10,484 → 10,497</w:t>
            </w:r>
          </w:p>
        </w:tc>
        <w:tc>
          <w:tcPr>
            <w:tcW w:type="dxa" w:w="1710"/>
            <w:shd w:fill="FFFFFF" w:color="auto" w:val="clear"/>
            <w:tcMar>
              <w:top w:type="dxa" w:w="40"/>
              <w:left w:type="dxa" w:w="70"/>
              <w:bottom w:type="dxa" w:w="40"/>
              <w:right w:type="dxa" w:w="70"/>
            </w:tcMar>
          </w:tcPr>
          <w:p>
            <w:pPr>
              <w:spacing w:after="0" w:line="240"/>
              <w:jc w:val="left"/>
            </w:pPr>
            <w:r>
              <w:rPr>
                <w:sz w:val="18"/>
                <w:szCs w:val="18"/>
              </w:rPr>
              <w:t xml:space="preserve">+0.3 (MTM)</w:t>
            </w:r>
          </w:p>
        </w:tc>
        <w:tc>
          <w:tcPr>
            <w:tcW w:type="dxa" w:w="1100"/>
            <w:shd w:fill="FFFFFF" w:color="auto" w:val="clear"/>
            <w:tcMar>
              <w:top w:type="dxa" w:w="40"/>
              <w:left w:type="dxa" w:w="70"/>
              <w:bottom w:type="dxa" w:w="40"/>
              <w:right w:type="dxa" w:w="70"/>
            </w:tcMar>
          </w:tcPr>
          <w:p>
            <w:pPr>
              <w:spacing w:after="0" w:line="240"/>
              <w:jc w:val="left"/>
            </w:pPr>
            <w:r>
              <w:rPr>
                <w:sz w:val="18"/>
                <w:szCs w:val="18"/>
              </w:rPr>
              <w:t xml:space="preserve">1</w:t>
            </w:r>
          </w:p>
        </w:tc>
      </w:tr>
      <w:tr>
        <w:tc>
          <w:tcPr>
            <w:tcW w:type="dxa" w:w="1500"/>
            <w:shd w:fill="F2F4F8" w:color="auto" w:val="clear"/>
            <w:tcMar>
              <w:top w:type="dxa" w:w="40"/>
              <w:left w:type="dxa" w:w="70"/>
              <w:bottom w:type="dxa" w:w="40"/>
              <w:right w:type="dxa" w:w="70"/>
            </w:tcMar>
          </w:tcPr>
          <w:p>
            <w:pPr>
              <w:spacing w:after="0" w:line="240"/>
              <w:jc w:val="left"/>
            </w:pPr>
            <w:r>
              <w:rPr>
                <w:sz w:val="18"/>
                <w:szCs w:val="18"/>
              </w:rPr>
              <w:t xml:space="preserve">30 Jun (t−2)</w:t>
            </w:r>
          </w:p>
        </w:tc>
        <w:tc>
          <w:tcPr>
            <w:tcW w:type="dxa" w:w="1350"/>
            <w:shd w:fill="F2F4F8" w:color="auto" w:val="clear"/>
            <w:tcMar>
              <w:top w:type="dxa" w:w="40"/>
              <w:left w:type="dxa" w:w="70"/>
              <w:bottom w:type="dxa" w:w="40"/>
              <w:right w:type="dxa" w:w="70"/>
            </w:tcMar>
          </w:tcPr>
          <w:p>
            <w:pPr>
              <w:spacing w:after="0" w:line="240"/>
              <w:jc w:val="left"/>
            </w:pPr>
            <w:r>
              <w:rPr>
                <w:sz w:val="18"/>
                <w:szCs w:val="18"/>
              </w:rPr>
              <w:t xml:space="preserve">Trade 3A</w:t>
            </w:r>
          </w:p>
        </w:tc>
        <w:tc>
          <w:tcPr>
            <w:tcW w:type="dxa" w:w="900"/>
            <w:shd w:fill="F2F4F8" w:color="auto" w:val="clear"/>
            <w:tcMar>
              <w:top w:type="dxa" w:w="40"/>
              <w:left w:type="dxa" w:w="70"/>
              <w:bottom w:type="dxa" w:w="40"/>
              <w:right w:type="dxa" w:w="70"/>
            </w:tcMar>
          </w:tcPr>
          <w:p>
            <w:pPr>
              <w:spacing w:after="0" w:line="240"/>
              <w:jc w:val="left"/>
            </w:pPr>
            <w:r>
              <w:rPr>
                <w:sz w:val="18"/>
                <w:szCs w:val="18"/>
              </w:rPr>
              <w:t xml:space="preserve">LONG</w:t>
            </w:r>
          </w:p>
        </w:tc>
        <w:tc>
          <w:tcPr>
            <w:tcW w:type="dxa" w:w="900"/>
            <w:shd w:fill="F2F4F8" w:color="auto" w:val="clear"/>
            <w:tcMar>
              <w:top w:type="dxa" w:w="40"/>
              <w:left w:type="dxa" w:w="70"/>
              <w:bottom w:type="dxa" w:w="40"/>
              <w:right w:type="dxa" w:w="70"/>
            </w:tcMar>
          </w:tcPr>
          <w:p>
            <w:pPr>
              <w:spacing w:after="0" w:line="240"/>
              <w:jc w:val="left"/>
            </w:pPr>
            <w:r>
              <w:rPr>
                <w:sz w:val="18"/>
                <w:szCs w:val="18"/>
              </w:rPr>
              <w:t xml:space="preserve">YES</w:t>
            </w:r>
          </w:p>
        </w:tc>
        <w:tc>
          <w:tcPr>
            <w:tcW w:type="dxa" w:w="1900"/>
            <w:shd w:fill="F2F4F8" w:color="auto" w:val="clear"/>
            <w:tcMar>
              <w:top w:type="dxa" w:w="40"/>
              <w:left w:type="dxa" w:w="70"/>
              <w:bottom w:type="dxa" w:w="40"/>
              <w:right w:type="dxa" w:w="70"/>
            </w:tcMar>
          </w:tcPr>
          <w:p>
            <w:pPr>
              <w:spacing w:after="0" w:line="240"/>
              <w:jc w:val="left"/>
            </w:pPr>
            <w:r>
              <w:rPr>
                <w:sz w:val="18"/>
                <w:szCs w:val="18"/>
              </w:rPr>
              <w:t xml:space="preserve">10,488 → 10,613</w:t>
            </w:r>
          </w:p>
        </w:tc>
        <w:tc>
          <w:tcPr>
            <w:tcW w:type="dxa" w:w="1710"/>
            <w:shd w:fill="F2F4F8" w:color="auto" w:val="clear"/>
            <w:tcMar>
              <w:top w:type="dxa" w:w="40"/>
              <w:left w:type="dxa" w:w="70"/>
              <w:bottom w:type="dxa" w:w="40"/>
              <w:right w:type="dxa" w:w="70"/>
            </w:tcMar>
          </w:tcPr>
          <w:p>
            <w:pPr>
              <w:spacing w:after="0" w:line="240"/>
              <w:jc w:val="left"/>
            </w:pPr>
            <w:r>
              <w:rPr>
                <w:sz w:val="18"/>
                <w:szCs w:val="18"/>
              </w:rPr>
              <w:t xml:space="preserve">+2.0 (TP2)</w:t>
            </w:r>
          </w:p>
        </w:tc>
        <w:tc>
          <w:tcPr>
            <w:tcW w:type="dxa" w:w="1100"/>
            <w:shd w:fill="F2F4F8" w:color="auto" w:val="clear"/>
            <w:tcMar>
              <w:top w:type="dxa" w:w="40"/>
              <w:left w:type="dxa" w:w="70"/>
              <w:bottom w:type="dxa" w:w="40"/>
              <w:right w:type="dxa" w:w="70"/>
            </w:tcMar>
          </w:tcPr>
          <w:p>
            <w:pPr>
              <w:spacing w:after="0" w:line="240"/>
              <w:jc w:val="left"/>
            </w:pPr>
            <w:r>
              <w:rPr>
                <w:sz w:val="18"/>
                <w:szCs w:val="18"/>
              </w:rPr>
              <w:t xml:space="preserve">1</w:t>
            </w:r>
          </w:p>
        </w:tc>
      </w:tr>
      <w:tr>
        <w:tc>
          <w:tcPr>
            <w:tcW w:type="dxa" w:w="1500"/>
            <w:shd w:fill="FFFFFF" w:color="auto" w:val="clear"/>
            <w:tcMar>
              <w:top w:type="dxa" w:w="40"/>
              <w:left w:type="dxa" w:w="70"/>
              <w:bottom w:type="dxa" w:w="40"/>
              <w:right w:type="dxa" w:w="70"/>
            </w:tcMar>
          </w:tcPr>
          <w:p>
            <w:pPr>
              <w:spacing w:after="0" w:line="240"/>
              <w:jc w:val="left"/>
            </w:pPr>
            <w:r>
              <w:rPr>
                <w:sz w:val="18"/>
                <w:szCs w:val="18"/>
              </w:rPr>
              <w:t xml:space="preserve">30 Jun (t−2)</w:t>
            </w:r>
          </w:p>
        </w:tc>
        <w:tc>
          <w:tcPr>
            <w:tcW w:type="dxa" w:w="1350"/>
            <w:shd w:fill="FFFFFF" w:color="auto" w:val="clear"/>
            <w:tcMar>
              <w:top w:type="dxa" w:w="40"/>
              <w:left w:type="dxa" w:w="70"/>
              <w:bottom w:type="dxa" w:w="40"/>
              <w:right w:type="dxa" w:w="70"/>
            </w:tcMar>
          </w:tcPr>
          <w:p>
            <w:pPr>
              <w:spacing w:after="0" w:line="240"/>
              <w:jc w:val="left"/>
            </w:pPr>
            <w:r>
              <w:rPr>
                <w:sz w:val="18"/>
                <w:szCs w:val="18"/>
              </w:rPr>
              <w:t xml:space="preserve">Trade 2</w:t>
            </w:r>
          </w:p>
        </w:tc>
        <w:tc>
          <w:tcPr>
            <w:tcW w:type="dxa" w:w="900"/>
            <w:shd w:fill="FFFFFF" w:color="auto" w:val="clear"/>
            <w:tcMar>
              <w:top w:type="dxa" w:w="40"/>
              <w:left w:type="dxa" w:w="70"/>
              <w:bottom w:type="dxa" w:w="40"/>
              <w:right w:type="dxa" w:w="70"/>
            </w:tcMar>
          </w:tcPr>
          <w:p>
            <w:pPr>
              <w:spacing w:after="0" w:line="240"/>
              <w:jc w:val="left"/>
            </w:pPr>
            <w:r>
              <w:rPr>
                <w:sz w:val="18"/>
                <w:szCs w:val="18"/>
              </w:rPr>
              <w:t xml:space="preserve">LONG</w:t>
            </w:r>
          </w:p>
        </w:tc>
        <w:tc>
          <w:tcPr>
            <w:tcW w:type="dxa" w:w="900"/>
            <w:shd w:fill="FFFFFF" w:color="auto" w:val="clear"/>
            <w:tcMar>
              <w:top w:type="dxa" w:w="40"/>
              <w:left w:type="dxa" w:w="70"/>
              <w:bottom w:type="dxa" w:w="40"/>
              <w:right w:type="dxa" w:w="70"/>
            </w:tcMar>
          </w:tcPr>
          <w:p>
            <w:pPr>
              <w:spacing w:after="0" w:line="240"/>
              <w:jc w:val="left"/>
            </w:pPr>
            <w:r>
              <w:rPr>
                <w:sz w:val="18"/>
                <w:szCs w:val="18"/>
              </w:rPr>
              <w:t xml:space="preserve">YES</w:t>
            </w:r>
          </w:p>
        </w:tc>
        <w:tc>
          <w:tcPr>
            <w:tcW w:type="dxa" w:w="1900"/>
            <w:shd w:fill="FFFFFF" w:color="auto" w:val="clear"/>
            <w:tcMar>
              <w:top w:type="dxa" w:w="40"/>
              <w:left w:type="dxa" w:w="70"/>
              <w:bottom w:type="dxa" w:w="40"/>
              <w:right w:type="dxa" w:w="70"/>
            </w:tcMar>
          </w:tcPr>
          <w:p>
            <w:pPr>
              <w:spacing w:after="0" w:line="240"/>
              <w:jc w:val="left"/>
            </w:pPr>
            <w:r>
              <w:rPr>
                <w:sz w:val="18"/>
                <w:szCs w:val="18"/>
              </w:rPr>
              <w:t xml:space="preserve">10,536 → 10,579</w:t>
            </w:r>
          </w:p>
        </w:tc>
        <w:tc>
          <w:tcPr>
            <w:tcW w:type="dxa" w:w="1710"/>
            <w:shd w:fill="FFFFFF" w:color="auto" w:val="clear"/>
            <w:tcMar>
              <w:top w:type="dxa" w:w="40"/>
              <w:left w:type="dxa" w:w="70"/>
              <w:bottom w:type="dxa" w:w="40"/>
              <w:right w:type="dxa" w:w="70"/>
            </w:tcMar>
          </w:tcPr>
          <w:p>
            <w:pPr>
              <w:spacing w:after="0" w:line="240"/>
              <w:jc w:val="left"/>
            </w:pPr>
            <w:r>
              <w:rPr>
                <w:sz w:val="18"/>
                <w:szCs w:val="18"/>
              </w:rPr>
              <w:t xml:space="preserve">+1.0 (TP1)</w:t>
            </w:r>
          </w:p>
        </w:tc>
        <w:tc>
          <w:tcPr>
            <w:tcW w:type="dxa" w:w="1100"/>
            <w:shd w:fill="FFFFFF" w:color="auto" w:val="clear"/>
            <w:tcMar>
              <w:top w:type="dxa" w:w="40"/>
              <w:left w:type="dxa" w:w="70"/>
              <w:bottom w:type="dxa" w:w="40"/>
              <w:right w:type="dxa" w:w="70"/>
            </w:tcMar>
          </w:tcPr>
          <w:p>
            <w:pPr>
              <w:spacing w:after="0" w:line="240"/>
              <w:jc w:val="left"/>
            </w:pPr>
            <w:r>
              <w:rPr>
                <w:sz w:val="18"/>
                <w:szCs w:val="18"/>
              </w:rPr>
              <w:t xml:space="preserve">1</w:t>
            </w:r>
          </w:p>
        </w:tc>
      </w:tr>
    </w:tbl>
    <w:p>
      <w:pPr>
        <w:spacing w:after="60" w:before="120"/>
      </w:pPr>
      <w:r>
        <w:rPr>
          <w:b/>
          <w:bCs/>
          <w:color w:val="555555"/>
          <w:sz w:val="21"/>
          <w:szCs w:val="21"/>
        </w:rPr>
        <w:t xml:space="preserve">§21d  ‘What Is Working’ Aggregate</w:t>
      </w:r>
    </w:p>
    <w:p>
      <w:pPr>
        <w:spacing w:after="120" w:line="276"/>
      </w:pPr>
      <w:r>
        <w:t xml:space="preserve">Over the last 5 sessions: Trade 1 triggered 3/3, mean R ≈ +0.43 (TP1 hit ~67%, TP2 ~0%, runner mostly time-stopped). Trade 3A triggered 2/2, mean R ≈ +1.30 (its structural TP2 at the swing high captured the 30 Jun push). Trade 2 triggered 1/2 (one limit unfilled), mean R ≈ +1.00 on the fill. Strongest performer: </w:t>
      </w:r>
      <w:r>
        <w:rPr>
          <w:b/>
          <w:bCs/>
        </w:rPr>
        <w:t xml:space="preserve">Trade 3A (Momentum-Pullback)</w:t>
      </w:r>
      <w:r>
        <w:t xml:space="preserve">. Weakest: Trade 2 — insufficient triggers to rank reliably. </w:t>
      </w:r>
    </w:p>
    <w:p>
      <w:pPr>
        <w:spacing w:after="120" w:line="276"/>
      </w:pPr>
      <w:r>
        <w:rPr>
          <w:i/>
          <w:iCs/>
          <w:sz w:val="18"/>
          <w:szCs w:val="18"/>
        </w:rPr>
        <w:t xml:space="preserve">Five-session windows are too small to support statistical claims. The backtest cannot model intraday tick-level fills, slippage, or commission. Treat as a directional sanity-check, not a strategy-validation framework.</w:t>
      </w:r>
    </w:p>
    <w:p>
      <w:pPr>
        <w:spacing w:after="60"/>
      </w:pPr>
      <w:r>
        <w:t xml:space="preserve"/>
      </w:r>
    </w:p>
    <w:p>
      <w:pPr>
        <w:pBdr>
          <w:top w:val="single" w:color="AAAAAA" w:sz="4" w:space="1"/>
        </w:pBdr>
        <w:spacing w:before="120"/>
      </w:pPr>
      <w:r>
        <w:rPr>
          <w:i/>
          <w:iCs/>
          <w:color w:val="555555"/>
          <w:sz w:val="16"/>
          <w:szCs w:val="16"/>
        </w:rPr>
        <w:t xml:space="preserve">FTSE 100 Daily Report │ 02 Jul 2026 (anchored 30 Jun close) │ Senior European Equity Strategist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4"/>
        <w:szCs w:val="14"/>
      </w:rPr>
      <w:t xml:space="preserve">FTSE 100 Daily Report  ·  02 Jul 2026  ·  Senior European Equity Strategist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2743a10c6a6ad8fe69d8ab3cb7d0d973b3e56f7.png"/><Relationship Id="rId9" Type="http://schemas.openxmlformats.org/officeDocument/2006/relationships/image" Target="media/0a6fb06568ca1d5edf39c4be25998402c6bbe005.png"/><Relationship Id="rId10" Type="http://schemas.openxmlformats.org/officeDocument/2006/relationships/image" Target="media/68c2e841a0da02e795b9b224134e2161aeb9a17d.png"/><Relationship Id="rId11" Type="http://schemas.openxmlformats.org/officeDocument/2006/relationships/image" Target="media/093bd389a547dfe76bdb034bbebd89ad2c33d447.png"/><Relationship Id="rId12" Type="http://schemas.openxmlformats.org/officeDocument/2006/relationships/image" Target="media/8bc9c74ab45b25cd9e85056bd404c96c797e9d9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FTSE 100 Report — Daily 02 July 2026</dc:title>
  <dc:creator>Senior European Equity Strategist</dc:creator>
  <cp:lastModifiedBy>Un-named</cp:lastModifiedBy>
  <cp:revision>1</cp:revision>
  <dcterms:created xsi:type="dcterms:W3CDTF">2026-07-01T21:49:09.604Z</dcterms:created>
  <dcterms:modified xsi:type="dcterms:W3CDTF">2026-07-01T21:49:09.616Z</dcterms:modified>
</cp:coreProperties>
</file>

<file path=docProps/custom.xml><?xml version="1.0" encoding="utf-8"?>
<Properties xmlns="http://schemas.openxmlformats.org/officeDocument/2006/custom-properties" xmlns:vt="http://schemas.openxmlformats.org/officeDocument/2006/docPropsVTypes"/>
</file>