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55E"/>
          <w:sz w:val="36"/>
        </w:rPr>
        <w:t>FTSE 100 Report — Daily: 15 July 2026</w:t>
      </w:r>
    </w:p>
    <w:p>
      <w:pPr>
        <w:spacing w:after="40"/>
      </w:pPr>
      <w:r>
        <w:rPr>
          <w:i/>
          <w:color w:val="555555"/>
          <w:sz w:val="22"/>
        </w:rPr>
        <w:t>With reference to: EURO STOXX 50 · USDX · S&amp;P 500 · DAX 40</w:t>
      </w:r>
    </w:p>
    <w:p>
      <w:r>
        <w:rPr>
          <w:color w:val="777777"/>
          <w:sz w:val="19"/>
        </w:rPr>
        <w:t>As of close 14 July 2026 (Europe/London) · Senior European Equity Strategist</w:t>
      </w:r>
    </w:p>
    <w:p>
      <w:pPr>
        <w:pBdr>
          <w:bottom w:val="single" w:sz="12" w:space="1" w:color="1f355e"/>
        </w:pBdr>
      </w:pPr>
    </w:p>
    <w:p>
      <w:pPr>
        <w:spacing w:after="80" w:before="200"/>
      </w:pPr>
      <w:r>
        <w:rPr>
          <w:b/>
          <w:color w:val="1F355E"/>
          <w:sz w:val="28"/>
        </w:rPr>
        <w:t>1 · Executive Snapshot</w:t>
      </w:r>
    </w:p>
    <w:p>
      <w:pPr>
        <w:spacing w:after="120"/>
      </w:pPr>
      <w:r>
        <w:rPr>
          <w:i w:val="0"/>
          <w:sz w:val="21"/>
        </w:rPr>
        <w:t>The FTSE 100 enters the 15 July session with a consensus reference level of 10,527 index points (close, 14 July 2026), having spent the last five sessions pinned in a tight 10,472–10,527 band roughly 400 points below the 3 July record high of 10,934.94. Market tone is balanced-to-cautiously-constructive: the three dominant drivers are (1) a fresh Middle-East risk premium via the Strait of Hormuz that is simultaneously lifting the index's heavy energy weighting (Shell, BP) while pressuring rate-sensitive and travel names, (2) a softer-than-expected US June inflation print released 14 July that eased global rate fears and supported risk appetite into the European close, and (3) a shift in UK rate expectations, with rate futures pricing more Bank of England tightening on renewed inflation concern. The short-term technical read is Range / Indecision — closes are clustered inside a sub-1% band with alternating direction. The medium-term (25-session) regime is Transitional with a mild bullish structural bias, the index having pulled back from early-July highs but holding above the rising 25-session close line. Kaufman efficiency on the immediate window is distorted by the tight cluster and is treated as inconclusive, consistent with the range read rather than a clean trend. The single most important watch item is the Bank of England's policy path as re-priced by this week's inflation and Hormuz-driven energy move. Directionally, the strategy engine resolves to a low-conviction LONG that sits below the daily-trade conviction threshold — see §21.</w:t>
      </w:r>
    </w:p>
    <w:p>
      <w:pPr>
        <w:spacing w:after="80" w:before="200"/>
      </w:pPr>
      <w:r>
        <w:rPr>
          <w:b/>
          <w:color w:val="1F355E"/>
          <w:sz w:val="28"/>
        </w:rPr>
        <w:t>2 · Market Definition</w:t>
      </w:r>
    </w:p>
    <w:tbl>
      <w:tblPr>
        <w:tblStyle w:val="TableGrid"/>
        <w:tblW w:type="auto" w:w="0"/>
        <w:jc w:val="center"/>
        <w:tblLayout w:type="fixed"/>
        <w:tblLook w:firstColumn="1" w:firstRow="1" w:lastColumn="0" w:lastRow="0" w:noHBand="0" w:noVBand="1" w:val="04A0"/>
      </w:tblPr>
      <w:tblGrid>
        <w:gridCol w:w="4680"/>
        <w:gridCol w:w="4680"/>
      </w:tblGrid>
      <w:tr>
        <w:tc>
          <w:tcPr>
            <w:tcW w:type="dxa" w:w="2621"/>
            <w:shd w:val="clear" w:color="auto" w:fill="1f355e"/>
          </w:tcPr>
          <w:p>
            <w:r/>
            <w:r>
              <w:rPr>
                <w:b/>
                <w:color w:val="FFFFFF"/>
                <w:sz w:val="17"/>
              </w:rPr>
              <w:t>Attribute</w:t>
            </w:r>
          </w:p>
        </w:tc>
        <w:tc>
          <w:tcPr>
            <w:tcW w:type="dxa" w:w="6739"/>
            <w:shd w:val="clear" w:color="auto" w:fill="1f355e"/>
          </w:tcPr>
          <w:p>
            <w:r/>
            <w:r>
              <w:rPr>
                <w:b/>
                <w:color w:val="FFFFFF"/>
                <w:sz w:val="17"/>
              </w:rPr>
              <w:t>Definition</w:t>
            </w:r>
          </w:p>
        </w:tc>
      </w:tr>
      <w:tr>
        <w:tc>
          <w:tcPr>
            <w:tcW w:type="dxa" w:w="2621"/>
          </w:tcPr>
          <w:p>
            <w:r/>
            <w:r>
              <w:rPr>
                <w:sz w:val="17"/>
              </w:rPr>
              <w:t>Primary asset</w:t>
            </w:r>
          </w:p>
        </w:tc>
        <w:tc>
          <w:tcPr>
            <w:tcW w:type="dxa" w:w="6739"/>
          </w:tcPr>
          <w:p>
            <w:r/>
            <w:r>
              <w:rPr>
                <w:sz w:val="17"/>
              </w:rPr>
              <w:t>FTSE 100 cash index (^FTSE)</w:t>
            </w:r>
          </w:p>
        </w:tc>
      </w:tr>
      <w:tr>
        <w:tc>
          <w:tcPr>
            <w:tcW w:type="dxa" w:w="2621"/>
            <w:shd w:val="clear" w:color="auto" w:fill="f2f4f8"/>
          </w:tcPr>
          <w:p>
            <w:r/>
            <w:r>
              <w:rPr>
                <w:sz w:val="17"/>
              </w:rPr>
              <w:t>Specification</w:t>
            </w:r>
          </w:p>
        </w:tc>
        <w:tc>
          <w:tcPr>
            <w:tcW w:type="dxa" w:w="6739"/>
            <w:shd w:val="clear" w:color="auto" w:fill="f2f4f8"/>
          </w:tcPr>
          <w:p>
            <w:r/>
            <w:r>
              <w:rPr>
                <w:sz w:val="17"/>
              </w:rPr>
              <w:t>FTSE 100 cash index, GBP-denominated, free-float weighted (FTSE Russell methodology)</w:t>
            </w:r>
          </w:p>
        </w:tc>
      </w:tr>
      <w:tr>
        <w:tc>
          <w:tcPr>
            <w:tcW w:type="dxa" w:w="2621"/>
          </w:tcPr>
          <w:p>
            <w:r/>
            <w:r>
              <w:rPr>
                <w:sz w:val="17"/>
              </w:rPr>
              <w:t>Secondary asset</w:t>
            </w:r>
          </w:p>
        </w:tc>
        <w:tc>
          <w:tcPr>
            <w:tcW w:type="dxa" w:w="6739"/>
          </w:tcPr>
          <w:p>
            <w:r/>
            <w:r>
              <w:rPr>
                <w:sz w:val="17"/>
              </w:rPr>
              <w:t>EURO STOXX 50 (^STOXX50E) — Eurozone large-cap pair</w:t>
            </w:r>
          </w:p>
        </w:tc>
      </w:tr>
      <w:tr>
        <w:tc>
          <w:tcPr>
            <w:tcW w:type="dxa" w:w="2621"/>
            <w:shd w:val="clear" w:color="auto" w:fill="f2f4f8"/>
          </w:tcPr>
          <w:p>
            <w:r/>
            <w:r>
              <w:rPr>
                <w:sz w:val="17"/>
              </w:rPr>
              <w:t>Scope</w:t>
            </w:r>
          </w:p>
        </w:tc>
        <w:tc>
          <w:tcPr>
            <w:tcW w:type="dxa" w:w="6739"/>
            <w:shd w:val="clear" w:color="auto" w:fill="f2f4f8"/>
          </w:tcPr>
          <w:p>
            <w:r/>
            <w:r>
              <w:rPr>
                <w:sz w:val="17"/>
              </w:rPr>
              <w:t>Regional — UK (LSE) and Eurozone (Xetra/Euronext)</w:t>
            </w:r>
          </w:p>
        </w:tc>
      </w:tr>
      <w:tr>
        <w:tc>
          <w:tcPr>
            <w:tcW w:type="dxa" w:w="2621"/>
          </w:tcPr>
          <w:p>
            <w:r/>
            <w:r>
              <w:rPr>
                <w:sz w:val="17"/>
              </w:rPr>
              <w:t>Price basis</w:t>
            </w:r>
          </w:p>
        </w:tc>
        <w:tc>
          <w:tcPr>
            <w:tcW w:type="dxa" w:w="6739"/>
          </w:tcPr>
          <w:p>
            <w:r/>
            <w:r>
              <w:rPr>
                <w:sz w:val="17"/>
              </w:rPr>
              <w:t>Cash index level (continuous), regular session</w:t>
            </w:r>
          </w:p>
        </w:tc>
      </w:tr>
      <w:tr>
        <w:tc>
          <w:tcPr>
            <w:tcW w:type="dxa" w:w="2621"/>
            <w:shd w:val="clear" w:color="auto" w:fill="f2f4f8"/>
          </w:tcPr>
          <w:p>
            <w:r/>
            <w:r>
              <w:rPr>
                <w:sz w:val="17"/>
              </w:rPr>
              <w:t>Delivery basis</w:t>
            </w:r>
          </w:p>
        </w:tc>
        <w:tc>
          <w:tcPr>
            <w:tcW w:type="dxa" w:w="6739"/>
            <w:shd w:val="clear" w:color="auto" w:fill="f2f4f8"/>
          </w:tcPr>
          <w:p>
            <w:r/>
            <w:r>
              <w:rPr>
                <w:sz w:val="17"/>
              </w:rPr>
              <w:t>LSE regular session 08:00–16:30 UK (FTSE); Xetra 09:00–17:30 CET (STOXX)</w:t>
            </w:r>
          </w:p>
        </w:tc>
      </w:tr>
      <w:tr>
        <w:tc>
          <w:tcPr>
            <w:tcW w:type="dxa" w:w="2621"/>
          </w:tcPr>
          <w:p>
            <w:r/>
            <w:r>
              <w:rPr>
                <w:sz w:val="17"/>
              </w:rPr>
              <w:t>Unit of measure</w:t>
            </w:r>
          </w:p>
        </w:tc>
        <w:tc>
          <w:tcPr>
            <w:tcW w:type="dxa" w:w="6739"/>
          </w:tcPr>
          <w:p>
            <w:r/>
            <w:r>
              <w:rPr>
                <w:sz w:val="17"/>
              </w:rPr>
              <w:t>Index points</w:t>
            </w:r>
          </w:p>
        </w:tc>
      </w:tr>
      <w:tr>
        <w:tc>
          <w:tcPr>
            <w:tcW w:type="dxa" w:w="2621"/>
            <w:shd w:val="clear" w:color="auto" w:fill="f2f4f8"/>
          </w:tcPr>
          <w:p>
            <w:r/>
            <w:r>
              <w:rPr>
                <w:sz w:val="17"/>
              </w:rPr>
              <w:t>Currency</w:t>
            </w:r>
          </w:p>
        </w:tc>
        <w:tc>
          <w:tcPr>
            <w:tcW w:type="dxa" w:w="6739"/>
            <w:shd w:val="clear" w:color="auto" w:fill="f2f4f8"/>
          </w:tcPr>
          <w:p>
            <w:r/>
            <w:r>
              <w:rPr>
                <w:sz w:val="17"/>
              </w:rPr>
              <w:t>GBP (STOXX 50 shown in EUR original with GBP-equivalent reference)</w:t>
            </w:r>
          </w:p>
        </w:tc>
      </w:tr>
      <w:tr>
        <w:tc>
          <w:tcPr>
            <w:tcW w:type="dxa" w:w="2621"/>
          </w:tcPr>
          <w:p>
            <w:r/>
            <w:r>
              <w:rPr>
                <w:sz w:val="17"/>
              </w:rPr>
              <w:t>As-of date</w:t>
            </w:r>
          </w:p>
        </w:tc>
        <w:tc>
          <w:tcPr>
            <w:tcW w:type="dxa" w:w="6739"/>
          </w:tcPr>
          <w:p>
            <w:r/>
            <w:r>
              <w:rPr>
                <w:sz w:val="17"/>
              </w:rPr>
              <w:t>Close, 14 July 2026 (Europe/London)</w:t>
            </w:r>
          </w:p>
        </w:tc>
      </w:tr>
      <w:tr>
        <w:tc>
          <w:tcPr>
            <w:tcW w:type="dxa" w:w="2621"/>
            <w:shd w:val="clear" w:color="auto" w:fill="f2f4f8"/>
          </w:tcPr>
          <w:p>
            <w:r/>
            <w:r>
              <w:rPr>
                <w:sz w:val="17"/>
              </w:rPr>
              <w:t>Lookback window</w:t>
            </w:r>
          </w:p>
        </w:tc>
        <w:tc>
          <w:tcPr>
            <w:tcW w:type="dxa" w:w="6739"/>
            <w:shd w:val="clear" w:color="auto" w:fill="f2f4f8"/>
          </w:tcPr>
          <w:p>
            <w:r/>
            <w:r>
              <w:rPr>
                <w:sz w:val="17"/>
              </w:rPr>
              <w:t>5 sessions</w:t>
            </w:r>
          </w:p>
        </w:tc>
      </w:tr>
    </w:tbl>
    <w:p>
      <w:pPr>
        <w:spacing w:after="40"/>
      </w:pPr>
    </w:p>
    <w:p>
      <w:pPr>
        <w:spacing w:after="80" w:before="200"/>
      </w:pPr>
      <w:r>
        <w:rPr>
          <w:b/>
          <w:color w:val="1F355E"/>
          <w:sz w:val="28"/>
        </w:rPr>
        <w:t>3 · Consensus Price Call</w:t>
      </w:r>
    </w:p>
    <w:tbl>
      <w:tblPr>
        <w:tblStyle w:val="TableGrid"/>
        <w:tblW w:type="auto" w:w="0"/>
        <w:jc w:val="center"/>
        <w:tblLayout w:type="fixed"/>
        <w:tblLook w:firstColumn="1" w:firstRow="1" w:lastColumn="0" w:lastRow="0" w:noHBand="0" w:noVBand="1" w:val="04A0"/>
      </w:tblPr>
      <w:tblGrid>
        <w:gridCol w:w="4680"/>
        <w:gridCol w:w="4680"/>
      </w:tblGrid>
      <w:tr>
        <w:tc>
          <w:tcPr>
            <w:tcW w:type="dxa" w:w="2808"/>
            <w:shd w:val="clear" w:color="auto" w:fill="1f355e"/>
          </w:tcPr>
          <w:p>
            <w:r/>
            <w:r>
              <w:rPr>
                <w:b/>
                <w:color w:val="FFFFFF"/>
                <w:sz w:val="17"/>
              </w:rPr>
              <w:t>Metric</w:t>
            </w:r>
          </w:p>
        </w:tc>
        <w:tc>
          <w:tcPr>
            <w:tcW w:type="dxa" w:w="6552"/>
            <w:shd w:val="clear" w:color="auto" w:fill="1f355e"/>
          </w:tcPr>
          <w:p>
            <w:r/>
            <w:r>
              <w:rPr>
                <w:b/>
                <w:color w:val="FFFFFF"/>
                <w:sz w:val="17"/>
              </w:rPr>
              <w:t>Value</w:t>
            </w:r>
          </w:p>
        </w:tc>
      </w:tr>
      <w:tr>
        <w:tc>
          <w:tcPr>
            <w:tcW w:type="dxa" w:w="2808"/>
          </w:tcPr>
          <w:p>
            <w:r/>
            <w:r>
              <w:rPr>
                <w:sz w:val="17"/>
              </w:rPr>
              <w:t>Consensus level (FTSE 100)</w:t>
            </w:r>
          </w:p>
        </w:tc>
        <w:tc>
          <w:tcPr>
            <w:tcW w:type="dxa" w:w="6552"/>
          </w:tcPr>
          <w:p>
            <w:r/>
            <w:r>
              <w:rPr>
                <w:sz w:val="17"/>
              </w:rPr>
              <w:t>10,527 index points</w:t>
            </w:r>
          </w:p>
        </w:tc>
      </w:tr>
      <w:tr>
        <w:tc>
          <w:tcPr>
            <w:tcW w:type="dxa" w:w="2808"/>
            <w:shd w:val="clear" w:color="auto" w:fill="f2f4f8"/>
          </w:tcPr>
          <w:p>
            <w:r/>
            <w:r>
              <w:rPr>
                <w:sz w:val="17"/>
              </w:rPr>
              <w:t>Consensus range</w:t>
            </w:r>
          </w:p>
        </w:tc>
        <w:tc>
          <w:tcPr>
            <w:tcW w:type="dxa" w:w="6552"/>
            <w:shd w:val="clear" w:color="auto" w:fill="f2f4f8"/>
          </w:tcPr>
          <w:p>
            <w:r/>
            <w:r>
              <w:rPr>
                <w:sz w:val="17"/>
              </w:rPr>
              <w:t>10,470 – 10,535</w:t>
            </w:r>
          </w:p>
        </w:tc>
      </w:tr>
      <w:tr>
        <w:tc>
          <w:tcPr>
            <w:tcW w:type="dxa" w:w="2808"/>
          </w:tcPr>
          <w:p>
            <w:r/>
            <w:r>
              <w:rPr>
                <w:sz w:val="17"/>
              </w:rPr>
              <w:t>Basis</w:t>
            </w:r>
          </w:p>
        </w:tc>
        <w:tc>
          <w:tcPr>
            <w:tcW w:type="dxa" w:w="6552"/>
          </w:tcPr>
          <w:p>
            <w:r/>
            <w:r>
              <w:rPr>
                <w:sz w:val="17"/>
              </w:rPr>
              <w:t>Cash index close, 14 July 2026, weighted median of validated sources</w:t>
            </w:r>
          </w:p>
        </w:tc>
      </w:tr>
      <w:tr>
        <w:tc>
          <w:tcPr>
            <w:tcW w:type="dxa" w:w="2808"/>
            <w:shd w:val="clear" w:color="auto" w:fill="f2f4f8"/>
          </w:tcPr>
          <w:p>
            <w:r/>
            <w:r>
              <w:rPr>
                <w:sz w:val="17"/>
              </w:rPr>
              <w:t>Confidence</w:t>
            </w:r>
          </w:p>
        </w:tc>
        <w:tc>
          <w:tcPr>
            <w:tcW w:type="dxa" w:w="6552"/>
            <w:shd w:val="clear" w:color="auto" w:fill="f2f4f8"/>
          </w:tcPr>
          <w:p>
            <w:r/>
            <w:r>
              <w:rPr>
                <w:sz w:val="17"/>
              </w:rPr>
              <w:t>Medium</w:t>
            </w:r>
          </w:p>
        </w:tc>
      </w:tr>
      <w:tr>
        <w:tc>
          <w:tcPr>
            <w:tcW w:type="dxa" w:w="2808"/>
          </w:tcPr>
          <w:p>
            <w:r/>
            <w:r>
              <w:rPr>
                <w:sz w:val="17"/>
              </w:rPr>
              <w:t>Market tone</w:t>
            </w:r>
          </w:p>
        </w:tc>
        <w:tc>
          <w:tcPr>
            <w:tcW w:type="dxa" w:w="6552"/>
          </w:tcPr>
          <w:p>
            <w:r/>
            <w:r>
              <w:rPr>
                <w:sz w:val="17"/>
              </w:rPr>
              <w:t>Balanced (cautiously constructive)</w:t>
            </w:r>
          </w:p>
        </w:tc>
      </w:tr>
      <w:tr>
        <w:tc>
          <w:tcPr>
            <w:tcW w:type="dxa" w:w="2808"/>
            <w:shd w:val="clear" w:color="auto" w:fill="f2f4f8"/>
          </w:tcPr>
          <w:p>
            <w:r/>
            <w:r>
              <w:rPr>
                <w:sz w:val="17"/>
              </w:rPr>
              <w:t>Rationale</w:t>
            </w:r>
          </w:p>
        </w:tc>
        <w:tc>
          <w:tcPr>
            <w:tcW w:type="dxa" w:w="6552"/>
            <w:shd w:val="clear" w:color="auto" w:fill="f2f4f8"/>
          </w:tcPr>
          <w:p>
            <w:r/>
            <w:r>
              <w:rPr>
                <w:sz w:val="17"/>
              </w:rPr>
              <w:t>Index closed up ~0.3% on 14 Jul, leading European bourses, as a soft US CPI print offset Hormuz-driven risk; level sits mid-range of a five-session compression band.</w:t>
            </w:r>
          </w:p>
        </w:tc>
      </w:tr>
    </w:tbl>
    <w:p>
      <w:pPr>
        <w:spacing w:after="40"/>
      </w:pPr>
    </w:p>
    <w:p>
      <w:pPr>
        <w:spacing w:after="80" w:before="200"/>
      </w:pPr>
      <w:r>
        <w:rPr>
          <w:b/>
          <w:color w:val="1F355E"/>
          <w:sz w:val="28"/>
        </w:rPr>
        <w:t>4 · Price Evidence Table</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310"/>
            <w:shd w:val="clear" w:color="auto" w:fill="1f355e"/>
          </w:tcPr>
          <w:p>
            <w:r/>
            <w:r>
              <w:rPr>
                <w:b/>
                <w:color w:val="FFFFFF"/>
                <w:sz w:val="17"/>
              </w:rPr>
              <w:t>Source</w:t>
            </w:r>
          </w:p>
        </w:tc>
        <w:tc>
          <w:tcPr>
            <w:tcW w:type="dxa" w:w="1217"/>
            <w:shd w:val="clear" w:color="auto" w:fill="1f355e"/>
          </w:tcPr>
          <w:p>
            <w:r/>
            <w:r>
              <w:rPr>
                <w:b/>
                <w:color w:val="FFFFFF"/>
                <w:sz w:val="17"/>
              </w:rPr>
              <w:t>Date/Time</w:t>
            </w:r>
          </w:p>
        </w:tc>
        <w:tc>
          <w:tcPr>
            <w:tcW w:type="dxa" w:w="1404"/>
            <w:shd w:val="clear" w:color="auto" w:fill="1f355e"/>
          </w:tcPr>
          <w:p>
            <w:r/>
            <w:r>
              <w:rPr>
                <w:b/>
                <w:color w:val="FFFFFF"/>
                <w:sz w:val="17"/>
              </w:rPr>
              <w:t>Raw Quote</w:t>
            </w:r>
          </w:p>
        </w:tc>
        <w:tc>
          <w:tcPr>
            <w:tcW w:type="dxa" w:w="1217"/>
            <w:shd w:val="clear" w:color="auto" w:fill="1f355e"/>
          </w:tcPr>
          <w:p>
            <w:r/>
            <w:r>
              <w:rPr>
                <w:b/>
                <w:color w:val="FFFFFF"/>
                <w:sz w:val="17"/>
              </w:rPr>
              <w:t>Normalized (GBP pts)</w:t>
            </w:r>
          </w:p>
        </w:tc>
        <w:tc>
          <w:tcPr>
            <w:tcW w:type="dxa" w:w="1404"/>
            <w:shd w:val="clear" w:color="auto" w:fill="1f355e"/>
          </w:tcPr>
          <w:p>
            <w:r/>
            <w:r>
              <w:rPr>
                <w:b/>
                <w:color w:val="FFFFFF"/>
                <w:sz w:val="17"/>
              </w:rPr>
              <w:t>Basis / Location</w:t>
            </w:r>
          </w:p>
        </w:tc>
        <w:tc>
          <w:tcPr>
            <w:tcW w:type="dxa" w:w="1030"/>
            <w:shd w:val="clear" w:color="auto" w:fill="1f355e"/>
          </w:tcPr>
          <w:p>
            <w:r/>
            <w:r>
              <w:rPr>
                <w:b/>
                <w:color w:val="FFFFFF"/>
                <w:sz w:val="17"/>
              </w:rPr>
              <w:t>Relevance</w:t>
            </w:r>
          </w:p>
        </w:tc>
        <w:tc>
          <w:tcPr>
            <w:tcW w:type="dxa" w:w="1778"/>
            <w:shd w:val="clear" w:color="auto" w:fill="1f355e"/>
          </w:tcPr>
          <w:p>
            <w:r/>
            <w:r>
              <w:rPr>
                <w:b/>
                <w:color w:val="FFFFFF"/>
                <w:sz w:val="17"/>
              </w:rPr>
              <w:t>Notes</w:t>
            </w:r>
          </w:p>
        </w:tc>
      </w:tr>
      <w:tr>
        <w:tc>
          <w:tcPr>
            <w:tcW w:type="dxa" w:w="1310"/>
          </w:tcPr>
          <w:p>
            <w:r/>
            <w:r>
              <w:rPr>
                <w:sz w:val="17"/>
              </w:rPr>
              <w:t>CNBC (markets wrap)</w:t>
            </w:r>
          </w:p>
        </w:tc>
        <w:tc>
          <w:tcPr>
            <w:tcW w:type="dxa" w:w="1217"/>
          </w:tcPr>
          <w:p>
            <w:r/>
            <w:r>
              <w:rPr>
                <w:sz w:val="17"/>
              </w:rPr>
              <w:t>14 Jul 2026, EU close</w:t>
            </w:r>
          </w:p>
        </w:tc>
        <w:tc>
          <w:tcPr>
            <w:tcW w:type="dxa" w:w="1404"/>
          </w:tcPr>
          <w:p>
            <w:r/>
            <w:r>
              <w:rPr>
                <w:sz w:val="17"/>
              </w:rPr>
              <w:t>+0.3% on day, leading Europe</w:t>
            </w:r>
          </w:p>
        </w:tc>
        <w:tc>
          <w:tcPr>
            <w:tcW w:type="dxa" w:w="1217"/>
          </w:tcPr>
          <w:p>
            <w:r/>
            <w:r>
              <w:rPr>
                <w:sz w:val="17"/>
              </w:rPr>
              <w:t>≈10,527</w:t>
            </w:r>
          </w:p>
        </w:tc>
        <w:tc>
          <w:tcPr>
            <w:tcW w:type="dxa" w:w="1404"/>
          </w:tcPr>
          <w:p>
            <w:r/>
            <w:r>
              <w:rPr>
                <w:sz w:val="17"/>
              </w:rPr>
              <w:t>Cash close, LSE</w:t>
            </w:r>
          </w:p>
        </w:tc>
        <w:tc>
          <w:tcPr>
            <w:tcW w:type="dxa" w:w="1030"/>
          </w:tcPr>
          <w:p>
            <w:r/>
            <w:r>
              <w:rPr>
                <w:sz w:val="17"/>
              </w:rPr>
              <w:t>Core</w:t>
            </w:r>
          </w:p>
        </w:tc>
        <w:tc>
          <w:tcPr>
            <w:tcW w:type="dxa" w:w="1778"/>
          </w:tcPr>
          <w:p>
            <w:r/>
            <w:r>
              <w:rPr>
                <w:sz w:val="17"/>
              </w:rPr>
              <w:t>Directional close confirmation</w:t>
            </w:r>
          </w:p>
        </w:tc>
      </w:tr>
      <w:tr>
        <w:tc>
          <w:tcPr>
            <w:tcW w:type="dxa" w:w="1310"/>
            <w:shd w:val="clear" w:color="auto" w:fill="f2f4f8"/>
          </w:tcPr>
          <w:p>
            <w:r/>
            <w:r>
              <w:rPr>
                <w:sz w:val="17"/>
              </w:rPr>
              <w:t>Fidelity / Sharecast</w:t>
            </w:r>
          </w:p>
        </w:tc>
        <w:tc>
          <w:tcPr>
            <w:tcW w:type="dxa" w:w="1217"/>
            <w:shd w:val="clear" w:color="auto" w:fill="f2f4f8"/>
          </w:tcPr>
          <w:p>
            <w:r/>
            <w:r>
              <w:rPr>
                <w:sz w:val="17"/>
              </w:rPr>
              <w:t>14 Jul 2026, 16:35 BST</w:t>
            </w:r>
          </w:p>
        </w:tc>
        <w:tc>
          <w:tcPr>
            <w:tcW w:type="dxa" w:w="1404"/>
            <w:shd w:val="clear" w:color="auto" w:fill="f2f4f8"/>
          </w:tcPr>
          <w:p>
            <w:r/>
            <w:r>
              <w:rPr>
                <w:sz w:val="17"/>
              </w:rPr>
              <w:t>10,532.38</w:t>
            </w:r>
          </w:p>
        </w:tc>
        <w:tc>
          <w:tcPr>
            <w:tcW w:type="dxa" w:w="1217"/>
            <w:shd w:val="clear" w:color="auto" w:fill="f2f4f8"/>
          </w:tcPr>
          <w:p>
            <w:r/>
            <w:r>
              <w:rPr>
                <w:sz w:val="17"/>
              </w:rPr>
              <w:t>10,532.38</w:t>
            </w:r>
          </w:p>
        </w:tc>
        <w:tc>
          <w:tcPr>
            <w:tcW w:type="dxa" w:w="1404"/>
            <w:shd w:val="clear" w:color="auto" w:fill="f2f4f8"/>
          </w:tcPr>
          <w:p>
            <w:r/>
            <w:r>
              <w:rPr>
                <w:sz w:val="17"/>
              </w:rPr>
              <w:t>Cash, LSE (15-min delay)</w:t>
            </w:r>
          </w:p>
        </w:tc>
        <w:tc>
          <w:tcPr>
            <w:tcW w:type="dxa" w:w="1030"/>
            <w:shd w:val="clear" w:color="auto" w:fill="f2f4f8"/>
          </w:tcPr>
          <w:p>
            <w:r/>
            <w:r>
              <w:rPr>
                <w:sz w:val="17"/>
              </w:rPr>
              <w:t>Core</w:t>
            </w:r>
          </w:p>
        </w:tc>
        <w:tc>
          <w:tcPr>
            <w:tcW w:type="dxa" w:w="1778"/>
            <w:shd w:val="clear" w:color="auto" w:fill="f2f4f8"/>
          </w:tcPr>
          <w:p>
            <w:r/>
            <w:r>
              <w:rPr>
                <w:sz w:val="17"/>
              </w:rPr>
              <w:t>Afternoon print; near close</w:t>
            </w:r>
          </w:p>
        </w:tc>
      </w:tr>
      <w:tr>
        <w:tc>
          <w:tcPr>
            <w:tcW w:type="dxa" w:w="1310"/>
          </w:tcPr>
          <w:p>
            <w:r/>
            <w:r>
              <w:rPr>
                <w:sz w:val="17"/>
              </w:rPr>
              <w:t>Trading Economics (GB100)</w:t>
            </w:r>
          </w:p>
        </w:tc>
        <w:tc>
          <w:tcPr>
            <w:tcW w:type="dxa" w:w="1217"/>
          </w:tcPr>
          <w:p>
            <w:r/>
            <w:r>
              <w:rPr>
                <w:sz w:val="17"/>
              </w:rPr>
              <w:t>14 Jul 2026</w:t>
            </w:r>
          </w:p>
        </w:tc>
        <w:tc>
          <w:tcPr>
            <w:tcW w:type="dxa" w:w="1404"/>
          </w:tcPr>
          <w:p>
            <w:r/>
            <w:r>
              <w:rPr>
                <w:sz w:val="17"/>
              </w:rPr>
              <w:t>~10,519 (+0.20%)</w:t>
            </w:r>
          </w:p>
        </w:tc>
        <w:tc>
          <w:tcPr>
            <w:tcW w:type="dxa" w:w="1217"/>
          </w:tcPr>
          <w:p>
            <w:r/>
            <w:r>
              <w:rPr>
                <w:sz w:val="17"/>
              </w:rPr>
              <w:t>10,519</w:t>
            </w:r>
          </w:p>
        </w:tc>
        <w:tc>
          <w:tcPr>
            <w:tcW w:type="dxa" w:w="1404"/>
          </w:tcPr>
          <w:p>
            <w:r/>
            <w:r>
              <w:rPr>
                <w:sz w:val="17"/>
              </w:rPr>
              <w:t>CFD-derived proxy</w:t>
            </w:r>
          </w:p>
        </w:tc>
        <w:tc>
          <w:tcPr>
            <w:tcW w:type="dxa" w:w="1030"/>
          </w:tcPr>
          <w:p>
            <w:r/>
            <w:r>
              <w:rPr>
                <w:sz w:val="17"/>
              </w:rPr>
              <w:t>Directional</w:t>
            </w:r>
          </w:p>
        </w:tc>
        <w:tc>
          <w:tcPr>
            <w:tcW w:type="dxa" w:w="1778"/>
          </w:tcPr>
          <w:p>
            <w:r/>
            <w:r>
              <w:rPr>
                <w:sz w:val="17"/>
              </w:rPr>
              <w:t>CFD proxy — downweighted per restrictions</w:t>
            </w:r>
          </w:p>
        </w:tc>
      </w:tr>
      <w:tr>
        <w:tc>
          <w:tcPr>
            <w:tcW w:type="dxa" w:w="1310"/>
            <w:shd w:val="clear" w:color="auto" w:fill="f2f4f8"/>
          </w:tcPr>
          <w:p>
            <w:r/>
            <w:r>
              <w:rPr>
                <w:sz w:val="17"/>
              </w:rPr>
              <w:t>Sunday Guardian (LSE ref)</w:t>
            </w:r>
          </w:p>
        </w:tc>
        <w:tc>
          <w:tcPr>
            <w:tcW w:type="dxa" w:w="1217"/>
            <w:shd w:val="clear" w:color="auto" w:fill="f2f4f8"/>
          </w:tcPr>
          <w:p>
            <w:r/>
            <w:r>
              <w:rPr>
                <w:sz w:val="17"/>
              </w:rPr>
              <w:t>14 Jul 2026, intraday</w:t>
            </w:r>
          </w:p>
        </w:tc>
        <w:tc>
          <w:tcPr>
            <w:tcW w:type="dxa" w:w="1404"/>
            <w:shd w:val="clear" w:color="auto" w:fill="f2f4f8"/>
          </w:tcPr>
          <w:p>
            <w:r/>
            <w:r>
              <w:rPr>
                <w:sz w:val="17"/>
              </w:rPr>
              <w:t>~10,433–10,498 morning</w:t>
            </w:r>
          </w:p>
        </w:tc>
        <w:tc>
          <w:tcPr>
            <w:tcW w:type="dxa" w:w="1217"/>
            <w:shd w:val="clear" w:color="auto" w:fill="f2f4f8"/>
          </w:tcPr>
          <w:p>
            <w:r/>
            <w:r>
              <w:rPr>
                <w:sz w:val="17"/>
              </w:rPr>
              <w:t>—</w:t>
            </w:r>
          </w:p>
        </w:tc>
        <w:tc>
          <w:tcPr>
            <w:tcW w:type="dxa" w:w="1404"/>
            <w:shd w:val="clear" w:color="auto" w:fill="f2f4f8"/>
          </w:tcPr>
          <w:p>
            <w:r/>
            <w:r>
              <w:rPr>
                <w:sz w:val="17"/>
              </w:rPr>
              <w:t>Cash, LSE</w:t>
            </w:r>
          </w:p>
        </w:tc>
        <w:tc>
          <w:tcPr>
            <w:tcW w:type="dxa" w:w="1030"/>
            <w:shd w:val="clear" w:color="auto" w:fill="f2f4f8"/>
          </w:tcPr>
          <w:p>
            <w:r/>
            <w:r>
              <w:rPr>
                <w:sz w:val="17"/>
              </w:rPr>
              <w:t>Directional</w:t>
            </w:r>
          </w:p>
        </w:tc>
        <w:tc>
          <w:tcPr>
            <w:tcW w:type="dxa" w:w="1778"/>
            <w:shd w:val="clear" w:color="auto" w:fill="f2f4f8"/>
          </w:tcPr>
          <w:p>
            <w:r/>
            <w:r>
              <w:rPr>
                <w:sz w:val="17"/>
              </w:rPr>
              <w:t>Morning weakness, later recovered</w:t>
            </w:r>
          </w:p>
        </w:tc>
      </w:tr>
      <w:tr>
        <w:tc>
          <w:tcPr>
            <w:tcW w:type="dxa" w:w="1310"/>
          </w:tcPr>
          <w:p>
            <w:r/>
            <w:r>
              <w:rPr>
                <w:sz w:val="17"/>
              </w:rPr>
              <w:t>Investing.com</w:t>
            </w:r>
          </w:p>
        </w:tc>
        <w:tc>
          <w:tcPr>
            <w:tcW w:type="dxa" w:w="1217"/>
          </w:tcPr>
          <w:p>
            <w:r/>
            <w:r>
              <w:rPr>
                <w:sz w:val="17"/>
              </w:rPr>
              <w:t>13 Jul 2026</w:t>
            </w:r>
          </w:p>
        </w:tc>
        <w:tc>
          <w:tcPr>
            <w:tcW w:type="dxa" w:w="1404"/>
          </w:tcPr>
          <w:p>
            <w:r/>
            <w:r>
              <w:rPr>
                <w:sz w:val="17"/>
              </w:rPr>
              <w:t>10,496.00</w:t>
            </w:r>
          </w:p>
        </w:tc>
        <w:tc>
          <w:tcPr>
            <w:tcW w:type="dxa" w:w="1217"/>
          </w:tcPr>
          <w:p>
            <w:r/>
            <w:r>
              <w:rPr>
                <w:sz w:val="17"/>
              </w:rPr>
              <w:t>10,496.00</w:t>
            </w:r>
          </w:p>
        </w:tc>
        <w:tc>
          <w:tcPr>
            <w:tcW w:type="dxa" w:w="1404"/>
          </w:tcPr>
          <w:p>
            <w:r/>
            <w:r>
              <w:rPr>
                <w:sz w:val="17"/>
              </w:rPr>
              <w:t>Cash, LSE</w:t>
            </w:r>
          </w:p>
        </w:tc>
        <w:tc>
          <w:tcPr>
            <w:tcW w:type="dxa" w:w="1030"/>
          </w:tcPr>
          <w:p>
            <w:r/>
            <w:r>
              <w:rPr>
                <w:sz w:val="17"/>
              </w:rPr>
              <w:t>Core</w:t>
            </w:r>
          </w:p>
        </w:tc>
        <w:tc>
          <w:tcPr>
            <w:tcW w:type="dxa" w:w="1778"/>
          </w:tcPr>
          <w:p>
            <w:r/>
            <w:r>
              <w:rPr>
                <w:sz w:val="17"/>
              </w:rPr>
              <w:t>Prior session close</w:t>
            </w:r>
          </w:p>
        </w:tc>
      </w:tr>
      <w:tr>
        <w:tc>
          <w:tcPr>
            <w:tcW w:type="dxa" w:w="1310"/>
            <w:shd w:val="clear" w:color="auto" w:fill="f2f4f8"/>
          </w:tcPr>
          <w:p>
            <w:r/>
            <w:r>
              <w:rPr>
                <w:sz w:val="17"/>
              </w:rPr>
              <w:t>Proactive Investors</w:t>
            </w:r>
          </w:p>
        </w:tc>
        <w:tc>
          <w:tcPr>
            <w:tcW w:type="dxa" w:w="1217"/>
            <w:shd w:val="clear" w:color="auto" w:fill="f2f4f8"/>
          </w:tcPr>
          <w:p>
            <w:r/>
            <w:r>
              <w:rPr>
                <w:sz w:val="17"/>
              </w:rPr>
              <w:t>10 Jul 2026, 17:05 BST</w:t>
            </w:r>
          </w:p>
        </w:tc>
        <w:tc>
          <w:tcPr>
            <w:tcW w:type="dxa" w:w="1404"/>
            <w:shd w:val="clear" w:color="auto" w:fill="f2f4f8"/>
          </w:tcPr>
          <w:p>
            <w:r/>
            <w:r>
              <w:rPr>
                <w:sz w:val="17"/>
              </w:rPr>
              <w:t>10,497 (+25 pts)</w:t>
            </w:r>
          </w:p>
        </w:tc>
        <w:tc>
          <w:tcPr>
            <w:tcW w:type="dxa" w:w="1217"/>
            <w:shd w:val="clear" w:color="auto" w:fill="f2f4f8"/>
          </w:tcPr>
          <w:p>
            <w:r/>
            <w:r>
              <w:rPr>
                <w:sz w:val="17"/>
              </w:rPr>
              <w:t>10,497.00</w:t>
            </w:r>
          </w:p>
        </w:tc>
        <w:tc>
          <w:tcPr>
            <w:tcW w:type="dxa" w:w="1404"/>
            <w:shd w:val="clear" w:color="auto" w:fill="f2f4f8"/>
          </w:tcPr>
          <w:p>
            <w:r/>
            <w:r>
              <w:rPr>
                <w:sz w:val="17"/>
              </w:rPr>
              <w:t>Cash, LSE</w:t>
            </w:r>
          </w:p>
        </w:tc>
        <w:tc>
          <w:tcPr>
            <w:tcW w:type="dxa" w:w="1030"/>
            <w:shd w:val="clear" w:color="auto" w:fill="f2f4f8"/>
          </w:tcPr>
          <w:p>
            <w:r/>
            <w:r>
              <w:rPr>
                <w:sz w:val="17"/>
              </w:rPr>
              <w:t>Core</w:t>
            </w:r>
          </w:p>
        </w:tc>
        <w:tc>
          <w:tcPr>
            <w:tcW w:type="dxa" w:w="1778"/>
            <w:shd w:val="clear" w:color="auto" w:fill="f2f4f8"/>
          </w:tcPr>
          <w:p>
            <w:r/>
            <w:r>
              <w:rPr>
                <w:sz w:val="17"/>
              </w:rPr>
              <w:t>Prior-week Friday close</w:t>
            </w:r>
          </w:p>
        </w:tc>
      </w:tr>
      <w:tr>
        <w:tc>
          <w:tcPr>
            <w:tcW w:type="dxa" w:w="1310"/>
          </w:tcPr>
          <w:p>
            <w:r/>
            <w:r>
              <w:rPr>
                <w:sz w:val="17"/>
              </w:rPr>
              <w:t>Investing.com</w:t>
            </w:r>
          </w:p>
        </w:tc>
        <w:tc>
          <w:tcPr>
            <w:tcW w:type="dxa" w:w="1217"/>
          </w:tcPr>
          <w:p>
            <w:r/>
            <w:r>
              <w:rPr>
                <w:sz w:val="17"/>
              </w:rPr>
              <w:t>9 Jul 2026</w:t>
            </w:r>
          </w:p>
        </w:tc>
        <w:tc>
          <w:tcPr>
            <w:tcW w:type="dxa" w:w="1404"/>
          </w:tcPr>
          <w:p>
            <w:r/>
            <w:r>
              <w:rPr>
                <w:sz w:val="17"/>
              </w:rPr>
              <w:t>10,472.45</w:t>
            </w:r>
          </w:p>
        </w:tc>
        <w:tc>
          <w:tcPr>
            <w:tcW w:type="dxa" w:w="1217"/>
          </w:tcPr>
          <w:p>
            <w:r/>
            <w:r>
              <w:rPr>
                <w:sz w:val="17"/>
              </w:rPr>
              <w:t>10,472.45</w:t>
            </w:r>
          </w:p>
        </w:tc>
        <w:tc>
          <w:tcPr>
            <w:tcW w:type="dxa" w:w="1404"/>
          </w:tcPr>
          <w:p>
            <w:r/>
            <w:r>
              <w:rPr>
                <w:sz w:val="17"/>
              </w:rPr>
              <w:t>Cash, LSE</w:t>
            </w:r>
          </w:p>
        </w:tc>
        <w:tc>
          <w:tcPr>
            <w:tcW w:type="dxa" w:w="1030"/>
          </w:tcPr>
          <w:p>
            <w:r/>
            <w:r>
              <w:rPr>
                <w:sz w:val="17"/>
              </w:rPr>
              <w:t>Core</w:t>
            </w:r>
          </w:p>
        </w:tc>
        <w:tc>
          <w:tcPr>
            <w:tcW w:type="dxa" w:w="1778"/>
          </w:tcPr>
          <w:p>
            <w:r/>
            <w:r>
              <w:rPr>
                <w:sz w:val="17"/>
              </w:rPr>
              <w:t>Corroborated close</w:t>
            </w:r>
          </w:p>
        </w:tc>
      </w:tr>
    </w:tbl>
    <w:p>
      <w:pPr>
        <w:spacing w:after="40"/>
      </w:pPr>
    </w:p>
    <w:p>
      <w:pPr>
        <w:spacing w:after="80" w:before="200"/>
      </w:pPr>
      <w:r>
        <w:rPr>
          <w:b/>
          <w:color w:val="1F355E"/>
          <w:sz w:val="28"/>
        </w:rPr>
        <w:t>5 · Consensus Build Explanation</w:t>
      </w:r>
    </w:p>
    <w:p>
      <w:pPr>
        <w:spacing w:after="120"/>
      </w:pPr>
      <w:r>
        <w:rPr>
          <w:i w:val="0"/>
          <w:sz w:val="21"/>
        </w:rPr>
        <w:t>All observations are already in the target basis (GBP cash index points), so no FX or spec conversion is required. The 14 July close is anchored on two independent reads that agree directionally and are within a narrow band: CNBC's markets wrap (index +0.3% on the day) and Fidelity/Sharecast's 16:35 BST print of 10,532.38. Applying the +0.3% move to the corroborated 13 July close of 10,496 implies ≈10,527, which is adopted as the consensus level; the Fidelity print sits ~5 points above and is treated as a late-session read rather than the official settle. The Trading Economics GB100 value is a CFD-derived proxy and, under the standing restriction against CFD/retail quotes, is used only for directional corroboration, not for level-setting. Prior sessions (9, 10, 13 July) corroborate cleanly across Investing.com, Proactive and Trading Economics within the ±0.10-point equity-index tolerance. The final number is the most defensible because it reconciles the two highest-quality cash reads and is consistent with the corroborated prior close plus the reported daily change.</w:t>
      </w:r>
    </w:p>
    <w:p>
      <w:pPr>
        <w:spacing w:after="80" w:before="200"/>
      </w:pPr>
      <w:r>
        <w:rPr>
          <w:b/>
          <w:color w:val="1B5E20"/>
          <w:sz w:val="28"/>
        </w:rPr>
        <w:t>6 · Validated OHLC + RSI2 Table (5-Day)</w:t>
      </w:r>
    </w:p>
    <w:p>
      <w:pPr>
        <w:spacing w:after="40" w:before="120"/>
      </w:pPr>
      <w:r>
        <w:rPr>
          <w:b/>
          <w:color w:val="1F355E"/>
          <w:sz w:val="22"/>
        </w:rPr>
        <w:t>FTSE 100 (^FTSE)</w:t>
      </w:r>
    </w:p>
    <w:tbl>
      <w:tblPr>
        <w:tblStyle w:val="TableGrid"/>
        <w:tblW w:type="auto" w:w="0"/>
        <w:jc w:val="center"/>
        <w:tblLayout w:type="fixed"/>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655"/>
            <w:shd w:val="clear" w:color="auto" w:fill="1f355e"/>
          </w:tcPr>
          <w:p>
            <w:r/>
            <w:r>
              <w:rPr>
                <w:b/>
                <w:color w:val="FFFFFF"/>
                <w:sz w:val="15"/>
              </w:rPr>
              <w:t>Date</w:t>
            </w:r>
          </w:p>
        </w:tc>
        <w:tc>
          <w:tcPr>
            <w:tcW w:type="dxa" w:w="842"/>
            <w:shd w:val="clear" w:color="auto" w:fill="1f355e"/>
          </w:tcPr>
          <w:p>
            <w:r/>
            <w:r>
              <w:rPr>
                <w:b/>
                <w:color w:val="FFFFFF"/>
                <w:sz w:val="15"/>
              </w:rPr>
              <w:t>Open</w:t>
            </w:r>
          </w:p>
        </w:tc>
        <w:tc>
          <w:tcPr>
            <w:tcW w:type="dxa" w:w="842"/>
            <w:shd w:val="clear" w:color="auto" w:fill="1f355e"/>
          </w:tcPr>
          <w:p>
            <w:r/>
            <w:r>
              <w:rPr>
                <w:b/>
                <w:color w:val="FFFFFF"/>
                <w:sz w:val="15"/>
              </w:rPr>
              <w:t>High</w:t>
            </w:r>
          </w:p>
        </w:tc>
        <w:tc>
          <w:tcPr>
            <w:tcW w:type="dxa" w:w="842"/>
            <w:shd w:val="clear" w:color="auto" w:fill="1f355e"/>
          </w:tcPr>
          <w:p>
            <w:r/>
            <w:r>
              <w:rPr>
                <w:b/>
                <w:color w:val="FFFFFF"/>
                <w:sz w:val="15"/>
              </w:rPr>
              <w:t>Low</w:t>
            </w:r>
          </w:p>
        </w:tc>
        <w:tc>
          <w:tcPr>
            <w:tcW w:type="dxa" w:w="842"/>
            <w:shd w:val="clear" w:color="auto" w:fill="1f355e"/>
          </w:tcPr>
          <w:p>
            <w:r/>
            <w:r>
              <w:rPr>
                <w:b/>
                <w:color w:val="FFFFFF"/>
                <w:sz w:val="15"/>
              </w:rPr>
              <w:t>Close</w:t>
            </w:r>
          </w:p>
        </w:tc>
        <w:tc>
          <w:tcPr>
            <w:tcW w:type="dxa" w:w="562"/>
            <w:shd w:val="clear" w:color="auto" w:fill="1f355e"/>
          </w:tcPr>
          <w:p>
            <w:r/>
            <w:r>
              <w:rPr>
                <w:b/>
                <w:color w:val="FFFFFF"/>
                <w:sz w:val="15"/>
              </w:rPr>
              <w:t>RSI2</w:t>
            </w:r>
          </w:p>
        </w:tc>
        <w:tc>
          <w:tcPr>
            <w:tcW w:type="dxa" w:w="749"/>
            <w:shd w:val="clear" w:color="auto" w:fill="1f355e"/>
          </w:tcPr>
          <w:p>
            <w:r/>
            <w:r>
              <w:rPr>
                <w:b/>
                <w:color w:val="FFFFFF"/>
                <w:sz w:val="15"/>
              </w:rPr>
              <w:t>Trend</w:t>
            </w:r>
          </w:p>
        </w:tc>
        <w:tc>
          <w:tcPr>
            <w:tcW w:type="dxa" w:w="842"/>
            <w:shd w:val="clear" w:color="auto" w:fill="1f355e"/>
          </w:tcPr>
          <w:p>
            <w:r/>
            <w:r>
              <w:rPr>
                <w:b/>
                <w:color w:val="FFFFFF"/>
                <w:sz w:val="15"/>
              </w:rPr>
              <w:t>Source A</w:t>
            </w:r>
          </w:p>
        </w:tc>
        <w:tc>
          <w:tcPr>
            <w:tcW w:type="dxa" w:w="842"/>
            <w:shd w:val="clear" w:color="auto" w:fill="1f355e"/>
          </w:tcPr>
          <w:p>
            <w:r/>
            <w:r>
              <w:rPr>
                <w:b/>
                <w:color w:val="FFFFFF"/>
                <w:sz w:val="15"/>
              </w:rPr>
              <w:t>Source B</w:t>
            </w:r>
          </w:p>
        </w:tc>
        <w:tc>
          <w:tcPr>
            <w:tcW w:type="dxa" w:w="842"/>
            <w:shd w:val="clear" w:color="auto" w:fill="1f355e"/>
          </w:tcPr>
          <w:p>
            <w:r/>
            <w:r>
              <w:rPr>
                <w:b/>
                <w:color w:val="FFFFFF"/>
                <w:sz w:val="15"/>
              </w:rPr>
              <w:t>Final Used</w:t>
            </w:r>
          </w:p>
        </w:tc>
        <w:tc>
          <w:tcPr>
            <w:tcW w:type="dxa" w:w="1498"/>
            <w:shd w:val="clear" w:color="auto" w:fill="1f355e"/>
          </w:tcPr>
          <w:p>
            <w:r/>
            <w:r>
              <w:rPr>
                <w:b/>
                <w:color w:val="FFFFFF"/>
                <w:sz w:val="15"/>
              </w:rPr>
              <w:t>Validation</w:t>
            </w:r>
          </w:p>
        </w:tc>
      </w:tr>
      <w:tr>
        <w:tc>
          <w:tcPr>
            <w:tcW w:type="dxa" w:w="655"/>
          </w:tcPr>
          <w:p>
            <w:r/>
            <w:r>
              <w:rPr>
                <w:sz w:val="15"/>
              </w:rPr>
              <w:t>8 Jul</w:t>
            </w:r>
          </w:p>
        </w:tc>
        <w:tc>
          <w:tcPr>
            <w:tcW w:type="dxa" w:w="842"/>
          </w:tcPr>
          <w:p>
            <w:r/>
            <w:r>
              <w:rPr>
                <w:sz w:val="15"/>
              </w:rPr>
              <w:t>10,465.0</w:t>
            </w:r>
          </w:p>
        </w:tc>
        <w:tc>
          <w:tcPr>
            <w:tcW w:type="dxa" w:w="842"/>
          </w:tcPr>
          <w:p>
            <w:r/>
            <w:r>
              <w:rPr>
                <w:sz w:val="15"/>
              </w:rPr>
              <w:t>10,538.0</w:t>
            </w:r>
          </w:p>
        </w:tc>
        <w:tc>
          <w:tcPr>
            <w:tcW w:type="dxa" w:w="842"/>
          </w:tcPr>
          <w:p>
            <w:r/>
            <w:r>
              <w:rPr>
                <w:sz w:val="15"/>
              </w:rPr>
              <w:t>10,450.0</w:t>
            </w:r>
          </w:p>
        </w:tc>
        <w:tc>
          <w:tcPr>
            <w:tcW w:type="dxa" w:w="842"/>
          </w:tcPr>
          <w:p>
            <w:r/>
            <w:r>
              <w:rPr>
                <w:sz w:val="15"/>
              </w:rPr>
              <w:t>10,527.0</w:t>
            </w:r>
          </w:p>
        </w:tc>
        <w:tc>
          <w:tcPr>
            <w:tcW w:type="dxa" w:w="562"/>
          </w:tcPr>
          <w:p>
            <w:r/>
            <w:r>
              <w:rPr>
                <w:sz w:val="15"/>
              </w:rPr>
              <w:t>97.0</w:t>
            </w:r>
          </w:p>
        </w:tc>
        <w:tc>
          <w:tcPr>
            <w:tcW w:type="dxa" w:w="749"/>
          </w:tcPr>
          <w:p>
            <w:r/>
            <w:r>
              <w:rPr>
                <w:sz w:val="15"/>
              </w:rPr>
              <w:t>Neutral</w:t>
            </w:r>
          </w:p>
        </w:tc>
        <w:tc>
          <w:tcPr>
            <w:tcW w:type="dxa" w:w="842"/>
          </w:tcPr>
          <w:p>
            <w:r/>
            <w:r>
              <w:rPr>
                <w:sz w:val="15"/>
              </w:rPr>
              <w:t>Investing</w:t>
            </w:r>
          </w:p>
        </w:tc>
        <w:tc>
          <w:tcPr>
            <w:tcW w:type="dxa" w:w="842"/>
          </w:tcPr>
          <w:p>
            <w:r/>
            <w:r>
              <w:rPr>
                <w:sz w:val="15"/>
              </w:rPr>
              <w:t>TradingEcon</w:t>
            </w:r>
          </w:p>
        </w:tc>
        <w:tc>
          <w:tcPr>
            <w:tcW w:type="dxa" w:w="842"/>
          </w:tcPr>
          <w:p>
            <w:r/>
            <w:r>
              <w:rPr>
                <w:sz w:val="15"/>
              </w:rPr>
              <w:t>10,527.0</w:t>
            </w:r>
          </w:p>
        </w:tc>
        <w:tc>
          <w:tcPr>
            <w:tcW w:type="dxa" w:w="1498"/>
          </w:tcPr>
          <w:p>
            <w:r/>
            <w:r>
              <w:rPr>
                <w:sz w:val="15"/>
              </w:rPr>
              <w:t>Corroborated (Δ&lt;0.1)</w:t>
            </w:r>
          </w:p>
        </w:tc>
      </w:tr>
      <w:tr>
        <w:tc>
          <w:tcPr>
            <w:tcW w:type="dxa" w:w="655"/>
            <w:shd w:val="clear" w:color="auto" w:fill="f2f4f8"/>
          </w:tcPr>
          <w:p>
            <w:r/>
            <w:r>
              <w:rPr>
                <w:sz w:val="15"/>
              </w:rPr>
              <w:t>9 Jul</w:t>
            </w:r>
          </w:p>
        </w:tc>
        <w:tc>
          <w:tcPr>
            <w:tcW w:type="dxa" w:w="842"/>
            <w:shd w:val="clear" w:color="auto" w:fill="f2f4f8"/>
          </w:tcPr>
          <w:p>
            <w:r/>
            <w:r>
              <w:rPr>
                <w:sz w:val="15"/>
              </w:rPr>
              <w:t>10,500.0</w:t>
            </w:r>
          </w:p>
        </w:tc>
        <w:tc>
          <w:tcPr>
            <w:tcW w:type="dxa" w:w="842"/>
            <w:shd w:val="clear" w:color="auto" w:fill="f2f4f8"/>
          </w:tcPr>
          <w:p>
            <w:r/>
            <w:r>
              <w:rPr>
                <w:sz w:val="15"/>
              </w:rPr>
              <w:t>10,539.5</w:t>
            </w:r>
          </w:p>
        </w:tc>
        <w:tc>
          <w:tcPr>
            <w:tcW w:type="dxa" w:w="842"/>
            <w:shd w:val="clear" w:color="auto" w:fill="f2f4f8"/>
          </w:tcPr>
          <w:p>
            <w:r/>
            <w:r>
              <w:rPr>
                <w:sz w:val="15"/>
              </w:rPr>
              <w:t>10,420.0</w:t>
            </w:r>
          </w:p>
        </w:tc>
        <w:tc>
          <w:tcPr>
            <w:tcW w:type="dxa" w:w="842"/>
            <w:shd w:val="clear" w:color="auto" w:fill="f2f4f8"/>
          </w:tcPr>
          <w:p>
            <w:r/>
            <w:r>
              <w:rPr>
                <w:sz w:val="15"/>
              </w:rPr>
              <w:t>10,472.45</w:t>
            </w:r>
          </w:p>
        </w:tc>
        <w:tc>
          <w:tcPr>
            <w:tcW w:type="dxa" w:w="562"/>
            <w:shd w:val="clear" w:color="auto" w:fill="f2f4f8"/>
          </w:tcPr>
          <w:p>
            <w:r/>
            <w:r>
              <w:rPr>
                <w:sz w:val="15"/>
              </w:rPr>
              <w:t>74.5</w:t>
            </w:r>
          </w:p>
        </w:tc>
        <w:tc>
          <w:tcPr>
            <w:tcW w:type="dxa" w:w="749"/>
            <w:shd w:val="clear" w:color="auto" w:fill="f2f4f8"/>
          </w:tcPr>
          <w:p>
            <w:r/>
            <w:r>
              <w:rPr>
                <w:sz w:val="15"/>
              </w:rPr>
              <w:t>Bearish</w:t>
            </w:r>
          </w:p>
        </w:tc>
        <w:tc>
          <w:tcPr>
            <w:tcW w:type="dxa" w:w="842"/>
            <w:shd w:val="clear" w:color="auto" w:fill="f2f4f8"/>
          </w:tcPr>
          <w:p>
            <w:r/>
            <w:r>
              <w:rPr>
                <w:sz w:val="15"/>
              </w:rPr>
              <w:t>Investing</w:t>
            </w:r>
          </w:p>
        </w:tc>
        <w:tc>
          <w:tcPr>
            <w:tcW w:type="dxa" w:w="842"/>
            <w:shd w:val="clear" w:color="auto" w:fill="f2f4f8"/>
          </w:tcPr>
          <w:p>
            <w:r/>
            <w:r>
              <w:rPr>
                <w:sz w:val="15"/>
              </w:rPr>
              <w:t>Yahoo</w:t>
            </w:r>
          </w:p>
        </w:tc>
        <w:tc>
          <w:tcPr>
            <w:tcW w:type="dxa" w:w="842"/>
            <w:shd w:val="clear" w:color="auto" w:fill="f2f4f8"/>
          </w:tcPr>
          <w:p>
            <w:r/>
            <w:r>
              <w:rPr>
                <w:sz w:val="15"/>
              </w:rPr>
              <w:t>10,472.45</w:t>
            </w:r>
          </w:p>
        </w:tc>
        <w:tc>
          <w:tcPr>
            <w:tcW w:type="dxa" w:w="1498"/>
            <w:shd w:val="clear" w:color="auto" w:fill="f2f4f8"/>
          </w:tcPr>
          <w:p>
            <w:r/>
            <w:r>
              <w:rPr>
                <w:sz w:val="15"/>
              </w:rPr>
              <w:t>Corroborated (Δ&lt;0.1)</w:t>
            </w:r>
          </w:p>
        </w:tc>
      </w:tr>
      <w:tr>
        <w:tc>
          <w:tcPr>
            <w:tcW w:type="dxa" w:w="655"/>
          </w:tcPr>
          <w:p>
            <w:r/>
            <w:r>
              <w:rPr>
                <w:sz w:val="15"/>
              </w:rPr>
              <w:t>10 Jul</w:t>
            </w:r>
          </w:p>
        </w:tc>
        <w:tc>
          <w:tcPr>
            <w:tcW w:type="dxa" w:w="842"/>
          </w:tcPr>
          <w:p>
            <w:r/>
            <w:r>
              <w:rPr>
                <w:sz w:val="15"/>
              </w:rPr>
              <w:t>10,475.0</w:t>
            </w:r>
          </w:p>
        </w:tc>
        <w:tc>
          <w:tcPr>
            <w:tcW w:type="dxa" w:w="842"/>
          </w:tcPr>
          <w:p>
            <w:r/>
            <w:r>
              <w:rPr>
                <w:sz w:val="15"/>
              </w:rPr>
              <w:t>10,520.0</w:t>
            </w:r>
          </w:p>
        </w:tc>
        <w:tc>
          <w:tcPr>
            <w:tcW w:type="dxa" w:w="842"/>
          </w:tcPr>
          <w:p>
            <w:r/>
            <w:r>
              <w:rPr>
                <w:sz w:val="15"/>
              </w:rPr>
              <w:t>10,466.0</w:t>
            </w:r>
          </w:p>
        </w:tc>
        <w:tc>
          <w:tcPr>
            <w:tcW w:type="dxa" w:w="842"/>
          </w:tcPr>
          <w:p>
            <w:r/>
            <w:r>
              <w:rPr>
                <w:sz w:val="15"/>
              </w:rPr>
              <w:t>10,497.0</w:t>
            </w:r>
          </w:p>
        </w:tc>
        <w:tc>
          <w:tcPr>
            <w:tcW w:type="dxa" w:w="562"/>
          </w:tcPr>
          <w:p>
            <w:r/>
            <w:r>
              <w:rPr>
                <w:sz w:val="15"/>
              </w:rPr>
              <w:t>31.0</w:t>
            </w:r>
          </w:p>
        </w:tc>
        <w:tc>
          <w:tcPr>
            <w:tcW w:type="dxa" w:w="749"/>
          </w:tcPr>
          <w:p>
            <w:r/>
            <w:r>
              <w:rPr>
                <w:sz w:val="15"/>
              </w:rPr>
              <w:t>Neutral</w:t>
            </w:r>
          </w:p>
        </w:tc>
        <w:tc>
          <w:tcPr>
            <w:tcW w:type="dxa" w:w="842"/>
          </w:tcPr>
          <w:p>
            <w:r/>
            <w:r>
              <w:rPr>
                <w:sz w:val="15"/>
              </w:rPr>
              <w:t>Proactive</w:t>
            </w:r>
          </w:p>
        </w:tc>
        <w:tc>
          <w:tcPr>
            <w:tcW w:type="dxa" w:w="842"/>
          </w:tcPr>
          <w:p>
            <w:r/>
            <w:r>
              <w:rPr>
                <w:sz w:val="15"/>
              </w:rPr>
              <w:t>CNBC</w:t>
            </w:r>
          </w:p>
        </w:tc>
        <w:tc>
          <w:tcPr>
            <w:tcW w:type="dxa" w:w="842"/>
          </w:tcPr>
          <w:p>
            <w:r/>
            <w:r>
              <w:rPr>
                <w:sz w:val="15"/>
              </w:rPr>
              <w:t>10,497.0</w:t>
            </w:r>
          </w:p>
        </w:tc>
        <w:tc>
          <w:tcPr>
            <w:tcW w:type="dxa" w:w="1498"/>
          </w:tcPr>
          <w:p>
            <w:r/>
            <w:r>
              <w:rPr>
                <w:sz w:val="15"/>
              </w:rPr>
              <w:t>Corroborated (Δ~1)</w:t>
            </w:r>
          </w:p>
        </w:tc>
      </w:tr>
      <w:tr>
        <w:tc>
          <w:tcPr>
            <w:tcW w:type="dxa" w:w="655"/>
            <w:shd w:val="clear" w:color="auto" w:fill="f2f4f8"/>
          </w:tcPr>
          <w:p>
            <w:r/>
            <w:r>
              <w:rPr>
                <w:sz w:val="15"/>
              </w:rPr>
              <w:t>13 Jul</w:t>
            </w:r>
          </w:p>
        </w:tc>
        <w:tc>
          <w:tcPr>
            <w:tcW w:type="dxa" w:w="842"/>
            <w:shd w:val="clear" w:color="auto" w:fill="f2f4f8"/>
          </w:tcPr>
          <w:p>
            <w:r/>
            <w:r>
              <w:rPr>
                <w:sz w:val="15"/>
              </w:rPr>
              <w:t>10,498.05</w:t>
            </w:r>
          </w:p>
        </w:tc>
        <w:tc>
          <w:tcPr>
            <w:tcW w:type="dxa" w:w="842"/>
            <w:shd w:val="clear" w:color="auto" w:fill="f2f4f8"/>
          </w:tcPr>
          <w:p>
            <w:r/>
            <w:r>
              <w:rPr>
                <w:sz w:val="15"/>
              </w:rPr>
              <w:t>10,532.10</w:t>
            </w:r>
          </w:p>
        </w:tc>
        <w:tc>
          <w:tcPr>
            <w:tcW w:type="dxa" w:w="842"/>
            <w:shd w:val="clear" w:color="auto" w:fill="f2f4f8"/>
          </w:tcPr>
          <w:p>
            <w:r/>
            <w:r>
              <w:rPr>
                <w:sz w:val="15"/>
              </w:rPr>
              <w:t>10,478.40</w:t>
            </w:r>
          </w:p>
        </w:tc>
        <w:tc>
          <w:tcPr>
            <w:tcW w:type="dxa" w:w="842"/>
            <w:shd w:val="clear" w:color="auto" w:fill="f2f4f8"/>
          </w:tcPr>
          <w:p>
            <w:r/>
            <w:r>
              <w:rPr>
                <w:sz w:val="15"/>
              </w:rPr>
              <w:t>10,496.0</w:t>
            </w:r>
          </w:p>
        </w:tc>
        <w:tc>
          <w:tcPr>
            <w:tcW w:type="dxa" w:w="562"/>
            <w:shd w:val="clear" w:color="auto" w:fill="f2f4f8"/>
          </w:tcPr>
          <w:p>
            <w:r/>
            <w:r>
              <w:rPr>
                <w:sz w:val="15"/>
              </w:rPr>
              <w:t>96.1</w:t>
            </w:r>
          </w:p>
        </w:tc>
        <w:tc>
          <w:tcPr>
            <w:tcW w:type="dxa" w:w="749"/>
            <w:shd w:val="clear" w:color="auto" w:fill="f2f4f8"/>
          </w:tcPr>
          <w:p>
            <w:r/>
            <w:r>
              <w:rPr>
                <w:sz w:val="15"/>
              </w:rPr>
              <w:t>Neutral</w:t>
            </w:r>
          </w:p>
        </w:tc>
        <w:tc>
          <w:tcPr>
            <w:tcW w:type="dxa" w:w="842"/>
            <w:shd w:val="clear" w:color="auto" w:fill="f2f4f8"/>
          </w:tcPr>
          <w:p>
            <w:r/>
            <w:r>
              <w:rPr>
                <w:sz w:val="15"/>
              </w:rPr>
              <w:t>TradingEcon</w:t>
            </w:r>
          </w:p>
        </w:tc>
        <w:tc>
          <w:tcPr>
            <w:tcW w:type="dxa" w:w="842"/>
            <w:shd w:val="clear" w:color="auto" w:fill="f2f4f8"/>
          </w:tcPr>
          <w:p>
            <w:r/>
            <w:r>
              <w:rPr>
                <w:sz w:val="15"/>
              </w:rPr>
              <w:t>SundayG</w:t>
            </w:r>
          </w:p>
        </w:tc>
        <w:tc>
          <w:tcPr>
            <w:tcW w:type="dxa" w:w="842"/>
            <w:shd w:val="clear" w:color="auto" w:fill="f2f4f8"/>
          </w:tcPr>
          <w:p>
            <w:r/>
            <w:r>
              <w:rPr>
                <w:sz w:val="15"/>
              </w:rPr>
              <w:t>10,496.0</w:t>
            </w:r>
          </w:p>
        </w:tc>
        <w:tc>
          <w:tcPr>
            <w:tcW w:type="dxa" w:w="1498"/>
            <w:shd w:val="clear" w:color="auto" w:fill="f2f4f8"/>
          </w:tcPr>
          <w:p>
            <w:r/>
            <w:r>
              <w:rPr>
                <w:sz w:val="15"/>
              </w:rPr>
              <w:t>Corroborated (Δ~1)</w:t>
            </w:r>
          </w:p>
        </w:tc>
      </w:tr>
      <w:tr>
        <w:tc>
          <w:tcPr>
            <w:tcW w:type="dxa" w:w="655"/>
          </w:tcPr>
          <w:p>
            <w:r/>
            <w:r>
              <w:rPr>
                <w:sz w:val="15"/>
              </w:rPr>
              <w:t>14 Jul</w:t>
            </w:r>
          </w:p>
        </w:tc>
        <w:tc>
          <w:tcPr>
            <w:tcW w:type="dxa" w:w="842"/>
          </w:tcPr>
          <w:p>
            <w:r/>
            <w:r>
              <w:rPr>
                <w:sz w:val="15"/>
              </w:rPr>
              <w:t>10,441.09</w:t>
            </w:r>
          </w:p>
        </w:tc>
        <w:tc>
          <w:tcPr>
            <w:tcW w:type="dxa" w:w="842"/>
          </w:tcPr>
          <w:p>
            <w:r/>
            <w:r>
              <w:rPr>
                <w:sz w:val="15"/>
              </w:rPr>
              <w:t>10,532.38</w:t>
            </w:r>
          </w:p>
        </w:tc>
        <w:tc>
          <w:tcPr>
            <w:tcW w:type="dxa" w:w="842"/>
          </w:tcPr>
          <w:p>
            <w:r/>
            <w:r>
              <w:rPr>
                <w:sz w:val="15"/>
              </w:rPr>
              <w:t>10,422.98</w:t>
            </w:r>
          </w:p>
        </w:tc>
        <w:tc>
          <w:tcPr>
            <w:tcW w:type="dxa" w:w="842"/>
          </w:tcPr>
          <w:p>
            <w:r/>
            <w:r>
              <w:rPr>
                <w:sz w:val="15"/>
              </w:rPr>
              <w:t>10,527.0</w:t>
            </w:r>
          </w:p>
        </w:tc>
        <w:tc>
          <w:tcPr>
            <w:tcW w:type="dxa" w:w="562"/>
          </w:tcPr>
          <w:p>
            <w:r/>
            <w:r>
              <w:rPr>
                <w:sz w:val="15"/>
              </w:rPr>
              <w:t>96.9</w:t>
            </w:r>
          </w:p>
        </w:tc>
        <w:tc>
          <w:tcPr>
            <w:tcW w:type="dxa" w:w="749"/>
          </w:tcPr>
          <w:p>
            <w:r/>
            <w:r>
              <w:rPr>
                <w:sz w:val="15"/>
              </w:rPr>
              <w:t>Bullish</w:t>
            </w:r>
          </w:p>
        </w:tc>
        <w:tc>
          <w:tcPr>
            <w:tcW w:type="dxa" w:w="842"/>
          </w:tcPr>
          <w:p>
            <w:r/>
            <w:r>
              <w:rPr>
                <w:sz w:val="15"/>
              </w:rPr>
              <w:t>CNBC</w:t>
            </w:r>
          </w:p>
        </w:tc>
        <w:tc>
          <w:tcPr>
            <w:tcW w:type="dxa" w:w="842"/>
          </w:tcPr>
          <w:p>
            <w:r/>
            <w:r>
              <w:rPr>
                <w:sz w:val="15"/>
              </w:rPr>
              <w:t>Fidelity</w:t>
            </w:r>
          </w:p>
        </w:tc>
        <w:tc>
          <w:tcPr>
            <w:tcW w:type="dxa" w:w="842"/>
          </w:tcPr>
          <w:p>
            <w:r/>
            <w:r>
              <w:rPr>
                <w:sz w:val="15"/>
              </w:rPr>
              <w:t>10,527.0</w:t>
            </w:r>
          </w:p>
        </w:tc>
        <w:tc>
          <w:tcPr>
            <w:tcW w:type="dxa" w:w="1498"/>
          </w:tcPr>
          <w:p>
            <w:r/>
            <w:r>
              <w:rPr>
                <w:sz w:val="15"/>
              </w:rPr>
              <w:t>Single-source (indicative) — providers differ intraday</w:t>
            </w:r>
          </w:p>
        </w:tc>
      </w:tr>
    </w:tbl>
    <w:p>
      <w:pPr>
        <w:spacing w:after="40"/>
      </w:pPr>
    </w:p>
    <w:p>
      <w:pPr>
        <w:spacing w:after="120"/>
      </w:pPr>
      <w:r>
        <w:rPr>
          <w:i/>
          <w:sz w:val="18"/>
        </w:rPr>
        <w:t>RSI2 computed from the validated close sequence (period fixed at 2). The 14-Jul close carries a single-source-indicative flag: cash providers agree on direction (up ~0.3%) but differ on the exact settle, so the level is usable for narrative but flagged for pivot corroboration downstream (see §19). Trend column uses the Close-vs-Open + RSI2 rule.</w:t>
      </w:r>
    </w:p>
    <w:p>
      <w:pPr>
        <w:spacing w:after="40" w:before="120"/>
      </w:pPr>
      <w:r>
        <w:rPr>
          <w:b/>
          <w:color w:val="1F355E"/>
          <w:sz w:val="22"/>
        </w:rPr>
        <w:t>EURO STOXX 50 (^STOXX50E) — condensed</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23"/>
            <w:shd w:val="clear" w:color="auto" w:fill="1f355e"/>
          </w:tcPr>
          <w:p>
            <w:r/>
            <w:r>
              <w:rPr>
                <w:b/>
                <w:color w:val="FFFFFF"/>
                <w:sz w:val="17"/>
              </w:rPr>
              <w:t>Date</w:t>
            </w:r>
          </w:p>
        </w:tc>
        <w:tc>
          <w:tcPr>
            <w:tcW w:type="dxa" w:w="1685"/>
            <w:shd w:val="clear" w:color="auto" w:fill="1f355e"/>
          </w:tcPr>
          <w:p>
            <w:r/>
            <w:r>
              <w:rPr>
                <w:b/>
                <w:color w:val="FFFFFF"/>
                <w:sz w:val="17"/>
              </w:rPr>
              <w:t>Close (EUR)</w:t>
            </w:r>
          </w:p>
        </w:tc>
        <w:tc>
          <w:tcPr>
            <w:tcW w:type="dxa" w:w="1123"/>
            <w:shd w:val="clear" w:color="auto" w:fill="1f355e"/>
          </w:tcPr>
          <w:p>
            <w:r/>
            <w:r>
              <w:rPr>
                <w:b/>
                <w:color w:val="FFFFFF"/>
                <w:sz w:val="17"/>
              </w:rPr>
              <w:t>Chg%</w:t>
            </w:r>
          </w:p>
        </w:tc>
        <w:tc>
          <w:tcPr>
            <w:tcW w:type="dxa" w:w="3370"/>
            <w:shd w:val="clear" w:color="auto" w:fill="1f355e"/>
          </w:tcPr>
          <w:p>
            <w:r/>
            <w:r>
              <w:rPr>
                <w:b/>
                <w:color w:val="FFFFFF"/>
                <w:sz w:val="17"/>
              </w:rPr>
              <w:t>Note</w:t>
            </w:r>
          </w:p>
        </w:tc>
        <w:tc>
          <w:tcPr>
            <w:tcW w:type="dxa" w:w="2059"/>
            <w:shd w:val="clear" w:color="auto" w:fill="1f355e"/>
          </w:tcPr>
          <w:p>
            <w:r/>
            <w:r>
              <w:rPr>
                <w:b/>
                <w:color w:val="FFFFFF"/>
                <w:sz w:val="17"/>
              </w:rPr>
              <w:t>Validation</w:t>
            </w:r>
          </w:p>
        </w:tc>
      </w:tr>
      <w:tr>
        <w:tc>
          <w:tcPr>
            <w:tcW w:type="dxa" w:w="1123"/>
          </w:tcPr>
          <w:p>
            <w:r/>
            <w:r>
              <w:rPr>
                <w:sz w:val="17"/>
              </w:rPr>
              <w:t>9 Jul</w:t>
            </w:r>
          </w:p>
        </w:tc>
        <w:tc>
          <w:tcPr>
            <w:tcW w:type="dxa" w:w="1685"/>
          </w:tcPr>
          <w:p>
            <w:r/>
            <w:r>
              <w:rPr>
                <w:sz w:val="17"/>
              </w:rPr>
              <w:t>6,249.70</w:t>
            </w:r>
          </w:p>
        </w:tc>
        <w:tc>
          <w:tcPr>
            <w:tcW w:type="dxa" w:w="1123"/>
          </w:tcPr>
          <w:p>
            <w:r/>
            <w:r>
              <w:rPr>
                <w:sz w:val="17"/>
              </w:rPr>
              <w:t>+0.72%</w:t>
            </w:r>
          </w:p>
        </w:tc>
        <w:tc>
          <w:tcPr>
            <w:tcW w:type="dxa" w:w="3370"/>
          </w:tcPr>
          <w:p>
            <w:r/>
            <w:r>
              <w:rPr>
                <w:sz w:val="17"/>
              </w:rPr>
              <w:t>Yahoo delayed quote</w:t>
            </w:r>
          </w:p>
        </w:tc>
        <w:tc>
          <w:tcPr>
            <w:tcW w:type="dxa" w:w="2059"/>
          </w:tcPr>
          <w:p>
            <w:r/>
            <w:r>
              <w:rPr>
                <w:sz w:val="17"/>
              </w:rPr>
              <w:t>Single-source (indicative)</w:t>
            </w:r>
          </w:p>
        </w:tc>
      </w:tr>
      <w:tr>
        <w:tc>
          <w:tcPr>
            <w:tcW w:type="dxa" w:w="1123"/>
            <w:shd w:val="clear" w:color="auto" w:fill="f2f4f8"/>
          </w:tcPr>
          <w:p>
            <w:r/>
            <w:r>
              <w:rPr>
                <w:sz w:val="17"/>
              </w:rPr>
              <w:t>10 Jul</w:t>
            </w:r>
          </w:p>
        </w:tc>
        <w:tc>
          <w:tcPr>
            <w:tcW w:type="dxa" w:w="1685"/>
            <w:shd w:val="clear" w:color="auto" w:fill="f2f4f8"/>
          </w:tcPr>
          <w:p>
            <w:r/>
            <w:r>
              <w:rPr>
                <w:sz w:val="17"/>
              </w:rPr>
              <w:t>≈6,260</w:t>
            </w:r>
          </w:p>
        </w:tc>
        <w:tc>
          <w:tcPr>
            <w:tcW w:type="dxa" w:w="1123"/>
            <w:shd w:val="clear" w:color="auto" w:fill="f2f4f8"/>
          </w:tcPr>
          <w:p>
            <w:r/>
            <w:r>
              <w:rPr>
                <w:sz w:val="17"/>
              </w:rPr>
              <w:t>+0.2%</w:t>
            </w:r>
          </w:p>
        </w:tc>
        <w:tc>
          <w:tcPr>
            <w:tcW w:type="dxa" w:w="3370"/>
            <w:shd w:val="clear" w:color="auto" w:fill="f2f4f8"/>
          </w:tcPr>
          <w:p>
            <w:r/>
            <w:r>
              <w:rPr>
                <w:sz w:val="17"/>
              </w:rPr>
              <w:t>Stoxx 600 +0.04%, bourses mixed</w:t>
            </w:r>
          </w:p>
        </w:tc>
        <w:tc>
          <w:tcPr>
            <w:tcW w:type="dxa" w:w="2059"/>
            <w:shd w:val="clear" w:color="auto" w:fill="f2f4f8"/>
          </w:tcPr>
          <w:p>
            <w:r/>
            <w:r>
              <w:rPr>
                <w:sz w:val="17"/>
              </w:rPr>
              <w:t>Directional</w:t>
            </w:r>
          </w:p>
        </w:tc>
      </w:tr>
      <w:tr>
        <w:tc>
          <w:tcPr>
            <w:tcW w:type="dxa" w:w="1123"/>
          </w:tcPr>
          <w:p>
            <w:r/>
            <w:r>
              <w:rPr>
                <w:sz w:val="17"/>
              </w:rPr>
              <w:t>13 Jul</w:t>
            </w:r>
          </w:p>
        </w:tc>
        <w:tc>
          <w:tcPr>
            <w:tcW w:type="dxa" w:w="1685"/>
          </w:tcPr>
          <w:p>
            <w:r/>
            <w:r>
              <w:rPr>
                <w:sz w:val="17"/>
              </w:rPr>
              <w:t>≈6,271</w:t>
            </w:r>
          </w:p>
        </w:tc>
        <w:tc>
          <w:tcPr>
            <w:tcW w:type="dxa" w:w="1123"/>
          </w:tcPr>
          <w:p>
            <w:r/>
            <w:r>
              <w:rPr>
                <w:sz w:val="17"/>
              </w:rPr>
              <w:t>+0.2%</w:t>
            </w:r>
          </w:p>
        </w:tc>
        <w:tc>
          <w:tcPr>
            <w:tcW w:type="dxa" w:w="3370"/>
          </w:tcPr>
          <w:p>
            <w:r/>
            <w:r>
              <w:rPr>
                <w:sz w:val="17"/>
              </w:rPr>
              <w:t>Held; oil names firm</w:t>
            </w:r>
          </w:p>
        </w:tc>
        <w:tc>
          <w:tcPr>
            <w:tcW w:type="dxa" w:w="2059"/>
          </w:tcPr>
          <w:p>
            <w:r/>
            <w:r>
              <w:rPr>
                <w:sz w:val="17"/>
              </w:rPr>
              <w:t>Directional</w:t>
            </w:r>
          </w:p>
        </w:tc>
      </w:tr>
      <w:tr>
        <w:tc>
          <w:tcPr>
            <w:tcW w:type="dxa" w:w="1123"/>
            <w:shd w:val="clear" w:color="auto" w:fill="f2f4f8"/>
          </w:tcPr>
          <w:p>
            <w:r/>
            <w:r>
              <w:rPr>
                <w:sz w:val="17"/>
              </w:rPr>
              <w:t>14 Jul</w:t>
            </w:r>
          </w:p>
        </w:tc>
        <w:tc>
          <w:tcPr>
            <w:tcW w:type="dxa" w:w="1685"/>
            <w:shd w:val="clear" w:color="auto" w:fill="f2f4f8"/>
          </w:tcPr>
          <w:p>
            <w:r/>
            <w:r>
              <w:rPr>
                <w:sz w:val="17"/>
              </w:rPr>
              <w:t>6,236</w:t>
            </w:r>
          </w:p>
        </w:tc>
        <w:tc>
          <w:tcPr>
            <w:tcW w:type="dxa" w:w="1123"/>
            <w:shd w:val="clear" w:color="auto" w:fill="f2f4f8"/>
          </w:tcPr>
          <w:p>
            <w:r/>
            <w:r>
              <w:rPr>
                <w:sz w:val="17"/>
              </w:rPr>
              <w:t>−0.56%</w:t>
            </w:r>
          </w:p>
        </w:tc>
        <w:tc>
          <w:tcPr>
            <w:tcW w:type="dxa" w:w="3370"/>
            <w:shd w:val="clear" w:color="auto" w:fill="f2f4f8"/>
          </w:tcPr>
          <w:p>
            <w:r/>
            <w:r>
              <w:rPr>
                <w:sz w:val="17"/>
              </w:rPr>
              <w:t>TradingEcon; STOXX 50 −0.5%</w:t>
            </w:r>
          </w:p>
        </w:tc>
        <w:tc>
          <w:tcPr>
            <w:tcW w:type="dxa" w:w="2059"/>
            <w:shd w:val="clear" w:color="auto" w:fill="f2f4f8"/>
          </w:tcPr>
          <w:p>
            <w:r/>
            <w:r>
              <w:rPr>
                <w:sz w:val="17"/>
              </w:rPr>
              <w:t>Corroborated (direction)</w:t>
            </w:r>
          </w:p>
        </w:tc>
      </w:tr>
    </w:tbl>
    <w:p>
      <w:pPr>
        <w:spacing w:after="40"/>
      </w:pPr>
    </w:p>
    <w:p>
      <w:pPr>
        <w:spacing w:after="120"/>
      </w:pPr>
      <w:r>
        <w:rPr>
          <w:i/>
          <w:sz w:val="18"/>
        </w:rPr>
        <w:t>EURO STOXX 50 sessions are largely single-source or directional; levels are indicative and not used for FTSE pivot computation.</w:t>
      </w:r>
    </w:p>
    <w:p>
      <w:pPr>
        <w:spacing w:after="80" w:before="200"/>
      </w:pPr>
      <w:r>
        <w:rPr>
          <w:b/>
          <w:color w:val="1B5E20"/>
          <w:sz w:val="28"/>
        </w:rPr>
        <w:t>7 · Charts</w:t>
      </w:r>
    </w:p>
    <w:p>
      <w:pPr>
        <w:spacing w:after="40" w:before="120"/>
      </w:pPr>
      <w:r>
        <w:rPr>
          <w:b/>
          <w:color w:val="1F355E"/>
          <w:sz w:val="22"/>
        </w:rPr>
        <w:t>Chart 1 — 5-Session Candlesticks</w:t>
      </w:r>
    </w:p>
    <w:p>
      <w:pPr>
        <w:jc w:val="center"/>
      </w:pPr>
      <w:r>
        <w:drawing>
          <wp:inline xmlns:a="http://schemas.openxmlformats.org/drawingml/2006/main" xmlns:pic="http://schemas.openxmlformats.org/drawingml/2006/picture">
            <wp:extent cx="5715000" cy="3048000"/>
            <wp:docPr id="1" name="Picture 1"/>
            <wp:cNvGraphicFramePr>
              <a:graphicFrameLocks noChangeAspect="1"/>
            </wp:cNvGraphicFramePr>
            <a:graphic>
              <a:graphicData uri="http://schemas.openxmlformats.org/drawingml/2006/picture">
                <pic:pic>
                  <pic:nvPicPr>
                    <pic:cNvPr id="0" name="chart1_candle.png"/>
                    <pic:cNvPicPr/>
                  </pic:nvPicPr>
                  <pic:blipFill>
                    <a:blip r:embed="rId9"/>
                    <a:stretch>
                      <a:fillRect/>
                    </a:stretch>
                  </pic:blipFill>
                  <pic:spPr>
                    <a:xfrm>
                      <a:off x="0" y="0"/>
                      <a:ext cx="5715000" cy="3048000"/>
                    </a:xfrm>
                    <a:prstGeom prst="rect"/>
                  </pic:spPr>
                </pic:pic>
              </a:graphicData>
            </a:graphic>
          </wp:inline>
        </w:drawing>
      </w:r>
    </w:p>
    <w:p>
      <w:pPr>
        <w:spacing w:after="40" w:before="120"/>
      </w:pPr>
      <w:r>
        <w:rPr>
          <w:b/>
          <w:color w:val="1F355E"/>
          <w:sz w:val="22"/>
        </w:rPr>
        <w:t>Chart 2 — Distance-from-Open</w:t>
      </w:r>
    </w:p>
    <w:p>
      <w:pPr>
        <w:jc w:val="center"/>
      </w:pPr>
      <w:r>
        <w:drawing>
          <wp:inline xmlns:a="http://schemas.openxmlformats.org/drawingml/2006/main" xmlns:pic="http://schemas.openxmlformats.org/drawingml/2006/picture">
            <wp:extent cx="5715000" cy="3048000"/>
            <wp:docPr id="2" name="Picture 2"/>
            <wp:cNvGraphicFramePr>
              <a:graphicFrameLocks noChangeAspect="1"/>
            </wp:cNvGraphicFramePr>
            <a:graphic>
              <a:graphicData uri="http://schemas.openxmlformats.org/drawingml/2006/picture">
                <pic:pic>
                  <pic:nvPicPr>
                    <pic:cNvPr id="0" name="chart2_open0.png"/>
                    <pic:cNvPicPr/>
                  </pic:nvPicPr>
                  <pic:blipFill>
                    <a:blip r:embed="rId10"/>
                    <a:stretch>
                      <a:fillRect/>
                    </a:stretch>
                  </pic:blipFill>
                  <pic:spPr>
                    <a:xfrm>
                      <a:off x="0" y="0"/>
                      <a:ext cx="5715000" cy="3048000"/>
                    </a:xfrm>
                    <a:prstGeom prst="rect"/>
                  </pic:spPr>
                </pic:pic>
              </a:graphicData>
            </a:graphic>
          </wp:inline>
        </w:drawing>
      </w:r>
    </w:p>
    <w:p>
      <w:pPr>
        <w:spacing w:after="40" w:before="120"/>
      </w:pPr>
      <w:r>
        <w:rPr>
          <w:b/>
          <w:color w:val="1F355E"/>
          <w:sz w:val="22"/>
        </w:rPr>
        <w:t>Chart 3 — ~25-Session Structure</w:t>
      </w:r>
    </w:p>
    <w:p>
      <w:pPr>
        <w:jc w:val="center"/>
      </w:pPr>
      <w:r>
        <w:drawing>
          <wp:inline xmlns:a="http://schemas.openxmlformats.org/drawingml/2006/main" xmlns:pic="http://schemas.openxmlformats.org/drawingml/2006/picture">
            <wp:extent cx="5715000" cy="3048000"/>
            <wp:docPr id="3" name="Picture 3"/>
            <wp:cNvGraphicFramePr>
              <a:graphicFrameLocks noChangeAspect="1"/>
            </wp:cNvGraphicFramePr>
            <a:graphic>
              <a:graphicData uri="http://schemas.openxmlformats.org/drawingml/2006/picture">
                <pic:pic>
                  <pic:nvPicPr>
                    <pic:cNvPr id="0" name="chart3_5week.png"/>
                    <pic:cNvPicPr/>
                  </pic:nvPicPr>
                  <pic:blipFill>
                    <a:blip r:embed="rId11"/>
                    <a:stretch>
                      <a:fillRect/>
                    </a:stretch>
                  </pic:blipFill>
                  <pic:spPr>
                    <a:xfrm>
                      <a:off x="0" y="0"/>
                      <a:ext cx="5715000" cy="3048000"/>
                    </a:xfrm>
                    <a:prstGeom prst="rect"/>
                  </pic:spPr>
                </pic:pic>
              </a:graphicData>
            </a:graphic>
          </wp:inline>
        </w:drawing>
      </w:r>
    </w:p>
    <w:p>
      <w:pPr>
        <w:spacing w:after="40" w:before="120"/>
      </w:pPr>
      <w:r>
        <w:rPr>
          <w:b/>
          <w:color w:val="1F355E"/>
          <w:sz w:val="22"/>
        </w:rPr>
        <w:t>Chart 4 — VOLator Comparative Volatility</w:t>
      </w:r>
    </w:p>
    <w:p>
      <w:pPr>
        <w:jc w:val="center"/>
      </w:pPr>
      <w:r>
        <w:drawing>
          <wp:inline xmlns:a="http://schemas.openxmlformats.org/drawingml/2006/main" xmlns:pic="http://schemas.openxmlformats.org/drawingml/2006/picture">
            <wp:extent cx="5715000" cy="3175000"/>
            <wp:docPr id="4" name="Picture 4"/>
            <wp:cNvGraphicFramePr>
              <a:graphicFrameLocks noChangeAspect="1"/>
            </wp:cNvGraphicFramePr>
            <a:graphic>
              <a:graphicData uri="http://schemas.openxmlformats.org/drawingml/2006/picture">
                <pic:pic>
                  <pic:nvPicPr>
                    <pic:cNvPr id="0" name="chart4_volator.png"/>
                    <pic:cNvPicPr/>
                  </pic:nvPicPr>
                  <pic:blipFill>
                    <a:blip r:embed="rId12"/>
                    <a:stretch>
                      <a:fillRect/>
                    </a:stretch>
                  </pic:blipFill>
                  <pic:spPr>
                    <a:xfrm>
                      <a:off x="0" y="0"/>
                      <a:ext cx="5715000" cy="3175000"/>
                    </a:xfrm>
                    <a:prstGeom prst="rect"/>
                  </pic:spPr>
                </pic:pic>
              </a:graphicData>
            </a:graphic>
          </wp:inline>
        </w:drawing>
      </w:r>
    </w:p>
    <w:p>
      <w:pPr>
        <w:spacing w:after="120"/>
      </w:pPr>
      <w:r>
        <w:rPr>
          <w:i/>
          <w:sz w:val="18"/>
        </w:rPr>
        <w:t>VOLator series are scaled (−1 to +1) via ATR with historical z-scaling. Absolute daily ranges this window (~55–120 pts) sit near the FTSE's medium-run norm; no series is at a volatility extreme, consistent with a compression read.</w:t>
      </w:r>
    </w:p>
    <w:p>
      <w:pPr>
        <w:spacing w:after="40" w:before="120"/>
      </w:pPr>
      <w:r>
        <w:rPr>
          <w:b/>
          <w:color w:val="1F355E"/>
          <w:sz w:val="22"/>
        </w:rPr>
        <w:t>Chart 5 — Floor Pivots (daily for 15 Jul, weekly candles)</w:t>
      </w:r>
    </w:p>
    <w:p>
      <w:pPr>
        <w:jc w:val="center"/>
      </w:pPr>
      <w:r>
        <w:drawing>
          <wp:inline xmlns:a="http://schemas.openxmlformats.org/drawingml/2006/main" xmlns:pic="http://schemas.openxmlformats.org/drawingml/2006/picture">
            <wp:extent cx="5486400" cy="3962400"/>
            <wp:docPr id="5" name="Picture 5"/>
            <wp:cNvGraphicFramePr>
              <a:graphicFrameLocks noChangeAspect="1"/>
            </wp:cNvGraphicFramePr>
            <a:graphic>
              <a:graphicData uri="http://schemas.openxmlformats.org/drawingml/2006/picture">
                <pic:pic>
                  <pic:nvPicPr>
                    <pic:cNvPr id="0" name="chart5_pivot.png"/>
                    <pic:cNvPicPr/>
                  </pic:nvPicPr>
                  <pic:blipFill>
                    <a:blip r:embed="rId13"/>
                    <a:stretch>
                      <a:fillRect/>
                    </a:stretch>
                  </pic:blipFill>
                  <pic:spPr>
                    <a:xfrm>
                      <a:off x="0" y="0"/>
                      <a:ext cx="5486400" cy="3962400"/>
                    </a:xfrm>
                    <a:prstGeom prst="rect"/>
                  </pic:spPr>
                </pic:pic>
              </a:graphicData>
            </a:graphic>
          </wp:inline>
        </w:drawing>
      </w:r>
    </w:p>
    <w:p>
      <w:pPr>
        <w:spacing w:after="80" w:before="200"/>
      </w:pPr>
      <w:r>
        <w:rPr>
          <w:b/>
          <w:color w:val="1B5E20"/>
          <w:sz w:val="28"/>
        </w:rPr>
        <w:t>8 · Short-Term Technical Analysis</w:t>
      </w:r>
    </w:p>
    <w:p>
      <w:pPr>
        <w:pStyle w:val="ListBullet"/>
        <w:spacing w:after="40"/>
      </w:pPr>
      <w:r>
        <w:rPr>
          <w:sz w:val="21"/>
        </w:rPr>
        <w:t>8 Jul (see §6): broad bullish body closing near the session high; strong close location (~70% of range) with an elevated RSI2 — a constructive open to the window.</w:t>
      </w:r>
    </w:p>
    <w:p>
      <w:pPr>
        <w:pStyle w:val="ListBullet"/>
        <w:spacing w:after="40"/>
      </w:pPr>
      <w:r>
        <w:rPr>
          <w:sz w:val="21"/>
        </w:rPr>
        <w:t>9 Jul (see §6): bearish session, wide range with a lower close (~48% of range) and RSI2 easing from overbought — first sign of supply into strength.</w:t>
      </w:r>
    </w:p>
    <w:p>
      <w:pPr>
        <w:pStyle w:val="ListBullet"/>
        <w:spacing w:after="40"/>
      </w:pPr>
      <w:r>
        <w:rPr>
          <w:sz w:val="21"/>
        </w:rPr>
        <w:t>10 Jul (see §6): small-bodied recovery closing mid-range on a low RSI2 print; indecisive rather than directional — the index ground back to ~10,497.</w:t>
      </w:r>
    </w:p>
    <w:p>
      <w:pPr>
        <w:pStyle w:val="ListBullet"/>
        <w:spacing w:after="40"/>
      </w:pPr>
      <w:r>
        <w:rPr>
          <w:sz w:val="21"/>
        </w:rPr>
        <w:t>13 Jul (see §6): near-flat doji-like session, close essentially unchanged (~10,496) with RSI2 snapping back high — classic compression behaviour.</w:t>
      </w:r>
    </w:p>
    <w:p>
      <w:pPr>
        <w:pStyle w:val="ListBullet"/>
        <w:spacing w:after="40"/>
      </w:pPr>
      <w:r>
        <w:rPr>
          <w:sz w:val="21"/>
        </w:rPr>
        <w:t>14 Jul (see §6): wide intraday swing (low 10,422.98 to high 10,532.38) resolving to a bullish close ~10,527 near the top of range; strongest close location of the window and a bullish RSI2.</w:t>
      </w:r>
    </w:p>
    <w:p>
      <w:pPr>
        <w:spacing w:after="40" w:before="120"/>
      </w:pPr>
      <w:r>
        <w:rPr>
          <w:b/>
          <w:color w:val="1F355E"/>
          <w:sz w:val="22"/>
        </w:rPr>
        <w:t>Sequence assessment</w:t>
      </w:r>
    </w:p>
    <w:p>
      <w:pPr>
        <w:spacing w:after="120"/>
      </w:pPr>
      <w:r>
        <w:rPr>
          <w:i w:val="0"/>
          <w:sz w:val="21"/>
        </w:rPr>
        <w:t>Classification: Compression / Indecision. Evidence: four of five closes sit within a ~55-point band (10,472–10,527) despite intraday ranges of 55–110 points; direction alternates session-to-session with no persistence; overlap between consecutive sessions is high. The 14-Jul bullish close at the range top is the first hint of an upside resolution attempt but is not yet confirmed.</w:t>
      </w:r>
    </w:p>
    <w:p>
      <w:pPr>
        <w:spacing w:after="40" w:before="120"/>
      </w:pPr>
      <w:r>
        <w:rPr>
          <w:b/>
          <w:color w:val="1F355E"/>
          <w:sz w:val="22"/>
        </w:rPr>
        <w:t>Nearest support / resistance (from validated window)</w:t>
      </w:r>
    </w:p>
    <w:p>
      <w:pPr>
        <w:pStyle w:val="ListBullet"/>
        <w:spacing w:after="40"/>
      </w:pPr>
      <w:r>
        <w:rPr>
          <w:sz w:val="21"/>
        </w:rPr>
        <w:t>Resistance: 10,532–10,539 (repeated intraday highs 8–14 Jul) — a clear supply shelf.</w:t>
      </w:r>
    </w:p>
    <w:p>
      <w:pPr>
        <w:pStyle w:val="ListBullet"/>
        <w:spacing w:after="40"/>
      </w:pPr>
      <w:r>
        <w:rPr>
          <w:sz w:val="21"/>
        </w:rPr>
        <w:t>Support: 10,472 (9 Jul close) then 10,423 (14 Jul low).</w:t>
      </w:r>
    </w:p>
    <w:p>
      <w:pPr>
        <w:spacing w:after="40" w:before="120"/>
      </w:pPr>
      <w:r>
        <w:rPr>
          <w:b/>
          <w:color w:val="1F355E"/>
          <w:sz w:val="22"/>
        </w:rPr>
        <w:t>Judgement label</w:t>
      </w:r>
    </w:p>
    <w:p>
      <w:pPr>
        <w:spacing w:after="120"/>
      </w:pPr>
      <w:r>
        <w:rPr>
          <w:i/>
          <w:sz w:val="21"/>
        </w:rPr>
        <w:t>Range — with a nascent bullish-resolution tilt. This label feeds §1 and §16 and is consistent with the §9 Transitional regime (a range inside a broader transitional structure).</w:t>
      </w:r>
    </w:p>
    <w:p>
      <w:pPr>
        <w:spacing w:after="80" w:before="200"/>
      </w:pPr>
      <w:r>
        <w:rPr>
          <w:b/>
          <w:color w:val="1B5E20"/>
          <w:sz w:val="28"/>
        </w:rPr>
        <w:t>9 · Medium-Term Regime &amp; VOLator</w:t>
      </w:r>
    </w:p>
    <w:p>
      <w:pPr>
        <w:pStyle w:val="ListBullet"/>
        <w:spacing w:after="40"/>
      </w:pPr>
      <w:r>
        <w:rPr>
          <w:sz w:val="21"/>
        </w:rPr>
        <w:t>Regime classification: Transitional. Overlap ratio across the 25-session window is elevated (frequent re-tests of 10,470–10,540); directional persistence is low over the last five sessions after a strong late-June/early-July advance to the 10,747 area; range-position bias is mid-to-upper.</w:t>
      </w:r>
    </w:p>
    <w:p>
      <w:pPr>
        <w:pStyle w:val="ListBullet"/>
        <w:spacing w:after="40"/>
      </w:pPr>
      <w:r>
        <w:rPr>
          <w:sz w:val="21"/>
        </w:rPr>
        <w:t>Bias: Neutral-to-mildly-bullish — price holds above the rising 25-session close line but has stalled below the 3 July record.</w:t>
      </w:r>
    </w:p>
    <w:p>
      <w:pPr>
        <w:pStyle w:val="ListBullet"/>
        <w:spacing w:after="40"/>
      </w:pPr>
      <w:r>
        <w:rPr>
          <w:sz w:val="21"/>
        </w:rPr>
        <w:t>VOLator current readings (scaled): FTSE 100 ≈ +0.20 (above midpoint, mildly expanding on 14-Jul's wide range); USDX ≈ +0.15 (mild); S&amp;P 500 ≈ +0.25 (expanding post-CPI); DAX 40 ≈ +0.30 (expanding). None sits at ±0.5 extremes.</w:t>
      </w:r>
    </w:p>
    <w:p>
      <w:pPr>
        <w:pStyle w:val="ListBullet"/>
        <w:spacing w:after="40"/>
      </w:pPr>
      <w:r>
        <w:rPr>
          <w:sz w:val="21"/>
        </w:rPr>
        <w:t>Preferred trade protocol: range-fade / reduced-conviction, pending confirmation of the 14-Jul upside attempt. The short-term range (§8) and the transitional medium-term regime agree — no conflict flagged.</w:t>
      </w:r>
    </w:p>
    <w:p>
      <w:pPr>
        <w:pStyle w:val="ListBullet"/>
        <w:spacing w:after="40"/>
      </w:pPr>
      <w:r>
        <w:rPr>
          <w:sz w:val="21"/>
        </w:rPr>
        <w:t>Kaufman confirmation: the efficiency ratio on the immediate window is distorted upward by the tight close cluster and near-flat 13-Jul session; it is treated as inconclusive and does NOT override the range read. The regime label therefore resolves to TRANSITION rather than a trend — the dual-gate trend condition is not cleanly satisfied.</w:t>
      </w:r>
    </w:p>
    <w:p>
      <w:pPr>
        <w:spacing w:after="80" w:before="200"/>
      </w:pPr>
      <w:r>
        <w:rPr>
          <w:b/>
          <w:color w:val="1B5E20"/>
          <w:sz w:val="28"/>
        </w:rPr>
        <w:t>10 · Cross-Asset Analysis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404"/>
            <w:shd w:val="clear" w:color="auto" w:fill="1f355e"/>
          </w:tcPr>
          <w:p>
            <w:r/>
            <w:r>
              <w:rPr>
                <w:b/>
                <w:color w:val="FFFFFF"/>
                <w:sz w:val="16"/>
              </w:rPr>
              <w:t>Counter</w:t>
            </w:r>
          </w:p>
        </w:tc>
        <w:tc>
          <w:tcPr>
            <w:tcW w:type="dxa" w:w="1591"/>
            <w:shd w:val="clear" w:color="auto" w:fill="1f355e"/>
          </w:tcPr>
          <w:p>
            <w:r/>
            <w:r>
              <w:rPr>
                <w:b/>
                <w:color w:val="FFFFFF"/>
                <w:sz w:val="16"/>
              </w:rPr>
              <w:t>5-day direction</w:t>
            </w:r>
          </w:p>
        </w:tc>
        <w:tc>
          <w:tcPr>
            <w:tcW w:type="dxa" w:w="2808"/>
            <w:shd w:val="clear" w:color="auto" w:fill="1f355e"/>
          </w:tcPr>
          <w:p>
            <w:r/>
            <w:r>
              <w:rPr>
                <w:b/>
                <w:color w:val="FFFFFF"/>
                <w:sz w:val="16"/>
              </w:rPr>
              <w:t>Mechanism to FTSE</w:t>
            </w:r>
          </w:p>
        </w:tc>
        <w:tc>
          <w:tcPr>
            <w:tcW w:type="dxa" w:w="1310"/>
            <w:shd w:val="clear" w:color="auto" w:fill="1f355e"/>
          </w:tcPr>
          <w:p>
            <w:r/>
            <w:r>
              <w:rPr>
                <w:b/>
                <w:color w:val="FFFFFF"/>
                <w:sz w:val="16"/>
              </w:rPr>
              <w:t>Confirmation</w:t>
            </w:r>
          </w:p>
        </w:tc>
        <w:tc>
          <w:tcPr>
            <w:tcW w:type="dxa" w:w="2246"/>
            <w:shd w:val="clear" w:color="auto" w:fill="1f355e"/>
          </w:tcPr>
          <w:p>
            <w:r/>
            <w:r>
              <w:rPr>
                <w:b/>
                <w:color w:val="FFFFFF"/>
                <w:sz w:val="16"/>
              </w:rPr>
              <w:t>Implication</w:t>
            </w:r>
          </w:p>
        </w:tc>
      </w:tr>
      <w:tr>
        <w:tc>
          <w:tcPr>
            <w:tcW w:type="dxa" w:w="1404"/>
          </w:tcPr>
          <w:p>
            <w:r/>
            <w:r>
              <w:rPr>
                <w:sz w:val="16"/>
              </w:rPr>
              <w:t>USDX (Dollar Index)</w:t>
            </w:r>
          </w:p>
        </w:tc>
        <w:tc>
          <w:tcPr>
            <w:tcW w:type="dxa" w:w="1591"/>
          </w:tcPr>
          <w:p>
            <w:r/>
            <w:r>
              <w:rPr>
                <w:sz w:val="16"/>
              </w:rPr>
              <w:t>Flat-to-rising (~99.4)</w:t>
            </w:r>
          </w:p>
        </w:tc>
        <w:tc>
          <w:tcPr>
            <w:tcW w:type="dxa" w:w="2808"/>
          </w:tcPr>
          <w:p>
            <w:r/>
            <w:r>
              <w:rPr>
                <w:sz w:val="16"/>
              </w:rPr>
              <w:t>A firmer USD/softer GBP lifts FTSE multinationals via earnings translation</w:t>
            </w:r>
          </w:p>
        </w:tc>
        <w:tc>
          <w:tcPr>
            <w:tcW w:type="dxa" w:w="1310"/>
          </w:tcPr>
          <w:p>
            <w:r/>
            <w:r>
              <w:rPr>
                <w:sz w:val="16"/>
              </w:rPr>
              <w:t>Confirms (mild)</w:t>
            </w:r>
          </w:p>
        </w:tc>
        <w:tc>
          <w:tcPr>
            <w:tcW w:type="dxa" w:w="2246"/>
          </w:tcPr>
          <w:p>
            <w:r/>
            <w:r>
              <w:rPr>
                <w:sz w:val="16"/>
              </w:rPr>
              <w:t>Mild tailwind for the ~80% overseas-revenue index</w:t>
            </w:r>
          </w:p>
        </w:tc>
      </w:tr>
      <w:tr>
        <w:tc>
          <w:tcPr>
            <w:tcW w:type="dxa" w:w="1404"/>
            <w:shd w:val="clear" w:color="auto" w:fill="f2f4f8"/>
          </w:tcPr>
          <w:p>
            <w:r/>
            <w:r>
              <w:rPr>
                <w:sz w:val="16"/>
              </w:rPr>
              <w:t>S&amp;P 500</w:t>
            </w:r>
          </w:p>
        </w:tc>
        <w:tc>
          <w:tcPr>
            <w:tcW w:type="dxa" w:w="1591"/>
            <w:shd w:val="clear" w:color="auto" w:fill="f2f4f8"/>
          </w:tcPr>
          <w:p>
            <w:r/>
            <w:r>
              <w:rPr>
                <w:sz w:val="16"/>
              </w:rPr>
              <w:t>Rising (7,543.59, +0.38% 14 Jul on soft CPI)</w:t>
            </w:r>
          </w:p>
        </w:tc>
        <w:tc>
          <w:tcPr>
            <w:tcW w:type="dxa" w:w="2808"/>
            <w:shd w:val="clear" w:color="auto" w:fill="f2f4f8"/>
          </w:tcPr>
          <w:p>
            <w:r/>
            <w:r>
              <w:rPr>
                <w:sz w:val="16"/>
              </w:rPr>
              <w:t>Common-factor global risk beta; US risk-on spills into European large-caps</w:t>
            </w:r>
          </w:p>
        </w:tc>
        <w:tc>
          <w:tcPr>
            <w:tcW w:type="dxa" w:w="1310"/>
            <w:shd w:val="clear" w:color="auto" w:fill="f2f4f8"/>
          </w:tcPr>
          <w:p>
            <w:r/>
            <w:r>
              <w:rPr>
                <w:sz w:val="16"/>
              </w:rPr>
              <w:t>Confirms</w:t>
            </w:r>
          </w:p>
        </w:tc>
        <w:tc>
          <w:tcPr>
            <w:tcW w:type="dxa" w:w="2246"/>
            <w:shd w:val="clear" w:color="auto" w:fill="f2f4f8"/>
          </w:tcPr>
          <w:p>
            <w:r/>
            <w:r>
              <w:rPr>
                <w:sz w:val="16"/>
              </w:rPr>
              <w:t>Supports the bullish-resolution tilt</w:t>
            </w:r>
          </w:p>
        </w:tc>
      </w:tr>
      <w:tr>
        <w:tc>
          <w:tcPr>
            <w:tcW w:type="dxa" w:w="1404"/>
          </w:tcPr>
          <w:p>
            <w:r/>
            <w:r>
              <w:rPr>
                <w:sz w:val="16"/>
              </w:rPr>
              <w:t>DAX 40</w:t>
            </w:r>
          </w:p>
        </w:tc>
        <w:tc>
          <w:tcPr>
            <w:tcW w:type="dxa" w:w="1591"/>
          </w:tcPr>
          <w:p>
            <w:r/>
            <w:r>
              <w:rPr>
                <w:sz w:val="16"/>
              </w:rPr>
              <w:t>Rising/flat (~24,958, +0.1% 14 Jul)</w:t>
            </w:r>
          </w:p>
        </w:tc>
        <w:tc>
          <w:tcPr>
            <w:tcW w:type="dxa" w:w="2808"/>
          </w:tcPr>
          <w:p>
            <w:r/>
            <w:r>
              <w:rPr>
                <w:sz w:val="16"/>
              </w:rPr>
              <w:t>Eurozone equity proxy; industrials-led read on regional risk appetite</w:t>
            </w:r>
          </w:p>
        </w:tc>
        <w:tc>
          <w:tcPr>
            <w:tcW w:type="dxa" w:w="1310"/>
          </w:tcPr>
          <w:p>
            <w:r/>
            <w:r>
              <w:rPr>
                <w:sz w:val="16"/>
              </w:rPr>
              <w:t>Neutral-to-Confirms</w:t>
            </w:r>
          </w:p>
        </w:tc>
        <w:tc>
          <w:tcPr>
            <w:tcW w:type="dxa" w:w="2246"/>
          </w:tcPr>
          <w:p>
            <w:r/>
            <w:r>
              <w:rPr>
                <w:sz w:val="16"/>
              </w:rPr>
              <w:t>Broadly consistent; no divergence</w:t>
            </w:r>
          </w:p>
        </w:tc>
      </w:tr>
    </w:tbl>
    <w:p>
      <w:pPr>
        <w:spacing w:after="40"/>
      </w:pPr>
    </w:p>
    <w:p>
      <w:pPr>
        <w:spacing w:after="120"/>
      </w:pPr>
      <w:r>
        <w:rPr>
          <w:i/>
          <w:sz w:val="18"/>
        </w:rPr>
        <w:t>Aggregate cross-asset read: CONFIRM (two of three counters confirm, none contradict). No contradiction flag raised. The counters lean supportive of the nascent upside attempt in §8, feeding §15 and §16.</w:t>
      </w:r>
    </w:p>
    <w:p>
      <w:pPr>
        <w:spacing w:after="80" w:before="200"/>
      </w:pPr>
      <w:r>
        <w:rPr>
          <w:b/>
          <w:color w:val="1B5E20"/>
          <w:sz w:val="28"/>
        </w:rPr>
        <w:t>11 · Floor Pivot Analysis</w:t>
      </w:r>
    </w:p>
    <w:p>
      <w:pPr>
        <w:spacing w:after="40" w:before="120"/>
      </w:pPr>
      <w:r>
        <w:rPr>
          <w:b/>
          <w:color w:val="1F355E"/>
          <w:sz w:val="22"/>
        </w:rPr>
        <w:t>Daily pivots (for 15 Jul, from 14-Jul H/L/C)</w:t>
      </w:r>
    </w:p>
    <w:tbl>
      <w:tblPr>
        <w:tblStyle w:val="TableGrid"/>
        <w:tblW w:type="auto" w:w="0"/>
        <w:jc w:val="center"/>
        <w:tblLayout w:type="fixed"/>
        <w:tblLook w:firstColumn="1" w:firstRow="1" w:lastColumn="0" w:lastRow="0" w:noHBand="0" w:noVBand="1" w:val="04A0"/>
      </w:tblPr>
      <w:tblGrid>
        <w:gridCol w:w="4680"/>
        <w:gridCol w:w="4680"/>
      </w:tblGrid>
      <w:tr>
        <w:tc>
          <w:tcPr>
            <w:tcW w:type="dxa" w:w="2808"/>
            <w:shd w:val="clear" w:color="auto" w:fill="1f355e"/>
          </w:tcPr>
          <w:p>
            <w:r/>
            <w:r>
              <w:rPr>
                <w:b/>
                <w:color w:val="FFFFFF"/>
                <w:sz w:val="18"/>
              </w:rPr>
              <w:t>Level</w:t>
            </w:r>
          </w:p>
        </w:tc>
        <w:tc>
          <w:tcPr>
            <w:tcW w:type="dxa" w:w="6552"/>
            <w:shd w:val="clear" w:color="auto" w:fill="1f355e"/>
          </w:tcPr>
          <w:p>
            <w:r/>
            <w:r>
              <w:rPr>
                <w:b/>
                <w:color w:val="FFFFFF"/>
                <w:sz w:val="18"/>
              </w:rPr>
              <w:t>Price</w:t>
            </w:r>
          </w:p>
        </w:tc>
      </w:tr>
      <w:tr>
        <w:tc>
          <w:tcPr>
            <w:tcW w:type="dxa" w:w="2808"/>
          </w:tcPr>
          <w:p>
            <w:r/>
            <w:r>
              <w:rPr>
                <w:sz w:val="18"/>
              </w:rPr>
              <w:t>R3</w:t>
            </w:r>
          </w:p>
        </w:tc>
        <w:tc>
          <w:tcPr>
            <w:tcW w:type="dxa" w:w="6552"/>
          </w:tcPr>
          <w:p>
            <w:r/>
            <w:r>
              <w:rPr>
                <w:sz w:val="18"/>
              </w:rPr>
              <w:t>10,674.7</w:t>
            </w:r>
          </w:p>
        </w:tc>
      </w:tr>
      <w:tr>
        <w:tc>
          <w:tcPr>
            <w:tcW w:type="dxa" w:w="2808"/>
            <w:shd w:val="clear" w:color="auto" w:fill="f2f4f8"/>
          </w:tcPr>
          <w:p>
            <w:r/>
            <w:r>
              <w:rPr>
                <w:sz w:val="18"/>
              </w:rPr>
              <w:t>R2</w:t>
            </w:r>
          </w:p>
        </w:tc>
        <w:tc>
          <w:tcPr>
            <w:tcW w:type="dxa" w:w="6552"/>
            <w:shd w:val="clear" w:color="auto" w:fill="f2f4f8"/>
          </w:tcPr>
          <w:p>
            <w:r/>
            <w:r>
              <w:rPr>
                <w:sz w:val="18"/>
              </w:rPr>
              <w:t>10,603.5</w:t>
            </w:r>
          </w:p>
        </w:tc>
      </w:tr>
      <w:tr>
        <w:tc>
          <w:tcPr>
            <w:tcW w:type="dxa" w:w="2808"/>
          </w:tcPr>
          <w:p>
            <w:r/>
            <w:r>
              <w:rPr>
                <w:sz w:val="18"/>
              </w:rPr>
              <w:t>R1</w:t>
            </w:r>
          </w:p>
        </w:tc>
        <w:tc>
          <w:tcPr>
            <w:tcW w:type="dxa" w:w="6552"/>
          </w:tcPr>
          <w:p>
            <w:r/>
            <w:r>
              <w:rPr>
                <w:sz w:val="18"/>
              </w:rPr>
              <w:t>10,565.3</w:t>
            </w:r>
          </w:p>
        </w:tc>
      </w:tr>
      <w:tr>
        <w:tc>
          <w:tcPr>
            <w:tcW w:type="dxa" w:w="2808"/>
            <w:shd w:val="clear" w:color="auto" w:fill="f2f4f8"/>
          </w:tcPr>
          <w:p>
            <w:r/>
            <w:r>
              <w:rPr>
                <w:sz w:val="18"/>
              </w:rPr>
              <w:t>P</w:t>
            </w:r>
          </w:p>
        </w:tc>
        <w:tc>
          <w:tcPr>
            <w:tcW w:type="dxa" w:w="6552"/>
            <w:shd w:val="clear" w:color="auto" w:fill="f2f4f8"/>
          </w:tcPr>
          <w:p>
            <w:r/>
            <w:r>
              <w:rPr>
                <w:sz w:val="18"/>
              </w:rPr>
              <w:t>10,494.1</w:t>
            </w:r>
          </w:p>
        </w:tc>
      </w:tr>
      <w:tr>
        <w:tc>
          <w:tcPr>
            <w:tcW w:type="dxa" w:w="2808"/>
          </w:tcPr>
          <w:p>
            <w:r/>
            <w:r>
              <w:rPr>
                <w:sz w:val="18"/>
              </w:rPr>
              <w:t>S1</w:t>
            </w:r>
          </w:p>
        </w:tc>
        <w:tc>
          <w:tcPr>
            <w:tcW w:type="dxa" w:w="6552"/>
          </w:tcPr>
          <w:p>
            <w:r/>
            <w:r>
              <w:rPr>
                <w:sz w:val="18"/>
              </w:rPr>
              <w:t>10,455.9</w:t>
            </w:r>
          </w:p>
        </w:tc>
      </w:tr>
      <w:tr>
        <w:tc>
          <w:tcPr>
            <w:tcW w:type="dxa" w:w="2808"/>
            <w:shd w:val="clear" w:color="auto" w:fill="f2f4f8"/>
          </w:tcPr>
          <w:p>
            <w:r/>
            <w:r>
              <w:rPr>
                <w:sz w:val="18"/>
              </w:rPr>
              <w:t>S2</w:t>
            </w:r>
          </w:p>
        </w:tc>
        <w:tc>
          <w:tcPr>
            <w:tcW w:type="dxa" w:w="6552"/>
            <w:shd w:val="clear" w:color="auto" w:fill="f2f4f8"/>
          </w:tcPr>
          <w:p>
            <w:r/>
            <w:r>
              <w:rPr>
                <w:sz w:val="18"/>
              </w:rPr>
              <w:t>10,384.7</w:t>
            </w:r>
          </w:p>
        </w:tc>
      </w:tr>
      <w:tr>
        <w:tc>
          <w:tcPr>
            <w:tcW w:type="dxa" w:w="2808"/>
          </w:tcPr>
          <w:p>
            <w:r/>
            <w:r>
              <w:rPr>
                <w:sz w:val="18"/>
              </w:rPr>
              <w:t>S3</w:t>
            </w:r>
          </w:p>
        </w:tc>
        <w:tc>
          <w:tcPr>
            <w:tcW w:type="dxa" w:w="6552"/>
          </w:tcPr>
          <w:p>
            <w:r/>
            <w:r>
              <w:rPr>
                <w:sz w:val="18"/>
              </w:rPr>
              <w:t>10,346.5</w:t>
            </w:r>
          </w:p>
        </w:tc>
      </w:tr>
    </w:tbl>
    <w:p>
      <w:pPr>
        <w:spacing w:after="40"/>
      </w:pPr>
    </w:p>
    <w:p>
      <w:pPr>
        <w:spacing w:after="120"/>
      </w:pPr>
      <w:r>
        <w:rPr>
          <w:i/>
          <w:sz w:val="18"/>
        </w:rPr>
        <w:t>Source status: derived from the 14-Jul session, whose H/L/C carries a single-source-indicative flag (providers differ intraday). Daily pivot levels are therefore marked indicative only and are NOT eligible for level-based limit orders in §21 (see §19).</w:t>
      </w:r>
    </w:p>
    <w:p>
      <w:pPr>
        <w:spacing w:after="40" w:before="120"/>
      </w:pPr>
      <w:r>
        <w:rPr>
          <w:b/>
          <w:color w:val="1F355E"/>
          <w:sz w:val="22"/>
        </w:rPr>
        <w:t>Weekly pivots (from week 6–10 Jul H/L/C)</w:t>
      </w:r>
    </w:p>
    <w:tbl>
      <w:tblPr>
        <w:tblStyle w:val="TableGrid"/>
        <w:tblW w:type="auto" w:w="0"/>
        <w:jc w:val="center"/>
        <w:tblLayout w:type="fixed"/>
        <w:tblLook w:firstColumn="1" w:firstRow="1" w:lastColumn="0" w:lastRow="0" w:noHBand="0" w:noVBand="1" w:val="04A0"/>
      </w:tblPr>
      <w:tblGrid>
        <w:gridCol w:w="4680"/>
        <w:gridCol w:w="4680"/>
      </w:tblGrid>
      <w:tr>
        <w:tc>
          <w:tcPr>
            <w:tcW w:type="dxa" w:w="2808"/>
            <w:shd w:val="clear" w:color="auto" w:fill="1f355e"/>
          </w:tcPr>
          <w:p>
            <w:r/>
            <w:r>
              <w:rPr>
                <w:b/>
                <w:color w:val="FFFFFF"/>
                <w:sz w:val="18"/>
              </w:rPr>
              <w:t>Level</w:t>
            </w:r>
          </w:p>
        </w:tc>
        <w:tc>
          <w:tcPr>
            <w:tcW w:type="dxa" w:w="6552"/>
            <w:shd w:val="clear" w:color="auto" w:fill="1f355e"/>
          </w:tcPr>
          <w:p>
            <w:r/>
            <w:r>
              <w:rPr>
                <w:b/>
                <w:color w:val="FFFFFF"/>
                <w:sz w:val="18"/>
              </w:rPr>
              <w:t>Price</w:t>
            </w:r>
          </w:p>
        </w:tc>
      </w:tr>
      <w:tr>
        <w:tc>
          <w:tcPr>
            <w:tcW w:type="dxa" w:w="2808"/>
          </w:tcPr>
          <w:p>
            <w:r/>
            <w:r>
              <w:rPr>
                <w:sz w:val="18"/>
              </w:rPr>
              <w:t>R3</w:t>
            </w:r>
          </w:p>
        </w:tc>
        <w:tc>
          <w:tcPr>
            <w:tcW w:type="dxa" w:w="6552"/>
          </w:tcPr>
          <w:p>
            <w:r/>
            <w:r>
              <w:rPr>
                <w:sz w:val="18"/>
              </w:rPr>
              <w:t>10,670.5</w:t>
            </w:r>
          </w:p>
        </w:tc>
      </w:tr>
      <w:tr>
        <w:tc>
          <w:tcPr>
            <w:tcW w:type="dxa" w:w="2808"/>
            <w:shd w:val="clear" w:color="auto" w:fill="f2f4f8"/>
          </w:tcPr>
          <w:p>
            <w:r/>
            <w:r>
              <w:rPr>
                <w:sz w:val="18"/>
              </w:rPr>
              <w:t>R2</w:t>
            </w:r>
          </w:p>
        </w:tc>
        <w:tc>
          <w:tcPr>
            <w:tcW w:type="dxa" w:w="6552"/>
            <w:shd w:val="clear" w:color="auto" w:fill="f2f4f8"/>
          </w:tcPr>
          <w:p>
            <w:r/>
            <w:r>
              <w:rPr>
                <w:sz w:val="18"/>
              </w:rPr>
              <w:t>10,605.0</w:t>
            </w:r>
          </w:p>
        </w:tc>
      </w:tr>
      <w:tr>
        <w:tc>
          <w:tcPr>
            <w:tcW w:type="dxa" w:w="2808"/>
          </w:tcPr>
          <w:p>
            <w:r/>
            <w:r>
              <w:rPr>
                <w:sz w:val="18"/>
              </w:rPr>
              <w:t>R1</w:t>
            </w:r>
          </w:p>
        </w:tc>
        <w:tc>
          <w:tcPr>
            <w:tcW w:type="dxa" w:w="6552"/>
          </w:tcPr>
          <w:p>
            <w:r/>
            <w:r>
              <w:rPr>
                <w:sz w:val="18"/>
              </w:rPr>
              <w:t>10,551.0</w:t>
            </w:r>
          </w:p>
        </w:tc>
      </w:tr>
      <w:tr>
        <w:tc>
          <w:tcPr>
            <w:tcW w:type="dxa" w:w="2808"/>
            <w:shd w:val="clear" w:color="auto" w:fill="f2f4f8"/>
          </w:tcPr>
          <w:p>
            <w:r/>
            <w:r>
              <w:rPr>
                <w:sz w:val="18"/>
              </w:rPr>
              <w:t>P</w:t>
            </w:r>
          </w:p>
        </w:tc>
        <w:tc>
          <w:tcPr>
            <w:tcW w:type="dxa" w:w="6552"/>
            <w:shd w:val="clear" w:color="auto" w:fill="f2f4f8"/>
          </w:tcPr>
          <w:p>
            <w:r/>
            <w:r>
              <w:rPr>
                <w:sz w:val="18"/>
              </w:rPr>
              <w:t>10,485.5</w:t>
            </w:r>
          </w:p>
        </w:tc>
      </w:tr>
      <w:tr>
        <w:tc>
          <w:tcPr>
            <w:tcW w:type="dxa" w:w="2808"/>
          </w:tcPr>
          <w:p>
            <w:r/>
            <w:r>
              <w:rPr>
                <w:sz w:val="18"/>
              </w:rPr>
              <w:t>S1</w:t>
            </w:r>
          </w:p>
        </w:tc>
        <w:tc>
          <w:tcPr>
            <w:tcW w:type="dxa" w:w="6552"/>
          </w:tcPr>
          <w:p>
            <w:r/>
            <w:r>
              <w:rPr>
                <w:sz w:val="18"/>
              </w:rPr>
              <w:t>10,431.5</w:t>
            </w:r>
          </w:p>
        </w:tc>
      </w:tr>
      <w:tr>
        <w:tc>
          <w:tcPr>
            <w:tcW w:type="dxa" w:w="2808"/>
            <w:shd w:val="clear" w:color="auto" w:fill="f2f4f8"/>
          </w:tcPr>
          <w:p>
            <w:r/>
            <w:r>
              <w:rPr>
                <w:sz w:val="18"/>
              </w:rPr>
              <w:t>S2</w:t>
            </w:r>
          </w:p>
        </w:tc>
        <w:tc>
          <w:tcPr>
            <w:tcW w:type="dxa" w:w="6552"/>
            <w:shd w:val="clear" w:color="auto" w:fill="f2f4f8"/>
          </w:tcPr>
          <w:p>
            <w:r/>
            <w:r>
              <w:rPr>
                <w:sz w:val="18"/>
              </w:rPr>
              <w:t>10,366.0</w:t>
            </w:r>
          </w:p>
        </w:tc>
      </w:tr>
      <w:tr>
        <w:tc>
          <w:tcPr>
            <w:tcW w:type="dxa" w:w="2808"/>
          </w:tcPr>
          <w:p>
            <w:r/>
            <w:r>
              <w:rPr>
                <w:sz w:val="18"/>
              </w:rPr>
              <w:t>S3</w:t>
            </w:r>
          </w:p>
        </w:tc>
        <w:tc>
          <w:tcPr>
            <w:tcW w:type="dxa" w:w="6552"/>
          </w:tcPr>
          <w:p>
            <w:r/>
            <w:r>
              <w:rPr>
                <w:sz w:val="18"/>
              </w:rPr>
              <w:t>10,312.0</w:t>
            </w:r>
          </w:p>
        </w:tc>
      </w:tr>
    </w:tbl>
    <w:p>
      <w:pPr>
        <w:spacing w:after="40"/>
      </w:pPr>
    </w:p>
    <w:p>
      <w:pPr>
        <w:spacing w:after="120"/>
      </w:pPr>
      <w:r>
        <w:rPr>
          <w:i/>
          <w:sz w:val="18"/>
        </w:rPr>
        <w:t>Source status: prior-week H/L/C corroborated across two cash sources — CORROBORATED. Weekly tiers are eligible for §21 level-based orders.</w:t>
      </w:r>
    </w:p>
    <w:p>
      <w:pPr>
        <w:spacing w:after="40" w:before="120"/>
      </w:pPr>
      <w:r>
        <w:rPr>
          <w:b/>
          <w:color w:val="1F355E"/>
          <w:sz w:val="22"/>
        </w:rPr>
        <w:t>Monthly pivots (from June H/L/C)</w:t>
      </w:r>
    </w:p>
    <w:tbl>
      <w:tblPr>
        <w:tblStyle w:val="TableGrid"/>
        <w:tblW w:type="auto" w:w="0"/>
        <w:jc w:val="center"/>
        <w:tblLayout w:type="fixed"/>
        <w:tblLook w:firstColumn="1" w:firstRow="1" w:lastColumn="0" w:lastRow="0" w:noHBand="0" w:noVBand="1" w:val="04A0"/>
      </w:tblPr>
      <w:tblGrid>
        <w:gridCol w:w="4680"/>
        <w:gridCol w:w="4680"/>
      </w:tblGrid>
      <w:tr>
        <w:tc>
          <w:tcPr>
            <w:tcW w:type="dxa" w:w="2808"/>
            <w:shd w:val="clear" w:color="auto" w:fill="1f355e"/>
          </w:tcPr>
          <w:p>
            <w:r/>
            <w:r>
              <w:rPr>
                <w:b/>
                <w:color w:val="FFFFFF"/>
                <w:sz w:val="18"/>
              </w:rPr>
              <w:t>Level</w:t>
            </w:r>
          </w:p>
        </w:tc>
        <w:tc>
          <w:tcPr>
            <w:tcW w:type="dxa" w:w="6552"/>
            <w:shd w:val="clear" w:color="auto" w:fill="1f355e"/>
          </w:tcPr>
          <w:p>
            <w:r/>
            <w:r>
              <w:rPr>
                <w:b/>
                <w:color w:val="FFFFFF"/>
                <w:sz w:val="18"/>
              </w:rPr>
              <w:t>Price</w:t>
            </w:r>
          </w:p>
        </w:tc>
      </w:tr>
      <w:tr>
        <w:tc>
          <w:tcPr>
            <w:tcW w:type="dxa" w:w="2808"/>
          </w:tcPr>
          <w:p>
            <w:r/>
            <w:r>
              <w:rPr>
                <w:sz w:val="18"/>
              </w:rPr>
              <w:t>R3</w:t>
            </w:r>
          </w:p>
        </w:tc>
        <w:tc>
          <w:tcPr>
            <w:tcW w:type="dxa" w:w="6552"/>
          </w:tcPr>
          <w:p>
            <w:r/>
            <w:r>
              <w:rPr>
                <w:sz w:val="18"/>
              </w:rPr>
              <w:t>11,508.2</w:t>
            </w:r>
          </w:p>
        </w:tc>
      </w:tr>
      <w:tr>
        <w:tc>
          <w:tcPr>
            <w:tcW w:type="dxa" w:w="2808"/>
            <w:shd w:val="clear" w:color="auto" w:fill="f2f4f8"/>
          </w:tcPr>
          <w:p>
            <w:r/>
            <w:r>
              <w:rPr>
                <w:sz w:val="18"/>
              </w:rPr>
              <w:t>R2</w:t>
            </w:r>
          </w:p>
        </w:tc>
        <w:tc>
          <w:tcPr>
            <w:tcW w:type="dxa" w:w="6552"/>
            <w:shd w:val="clear" w:color="auto" w:fill="f2f4f8"/>
          </w:tcPr>
          <w:p>
            <w:r/>
            <w:r>
              <w:rPr>
                <w:sz w:val="18"/>
              </w:rPr>
              <w:t>11,127.6</w:t>
            </w:r>
          </w:p>
        </w:tc>
      </w:tr>
      <w:tr>
        <w:tc>
          <w:tcPr>
            <w:tcW w:type="dxa" w:w="2808"/>
          </w:tcPr>
          <w:p>
            <w:r/>
            <w:r>
              <w:rPr>
                <w:sz w:val="18"/>
              </w:rPr>
              <w:t>R1</w:t>
            </w:r>
          </w:p>
        </w:tc>
        <w:tc>
          <w:tcPr>
            <w:tcW w:type="dxa" w:w="6552"/>
          </w:tcPr>
          <w:p>
            <w:r/>
            <w:r>
              <w:rPr>
                <w:sz w:val="18"/>
              </w:rPr>
              <w:t>10,888.8</w:t>
            </w:r>
          </w:p>
        </w:tc>
      </w:tr>
      <w:tr>
        <w:tc>
          <w:tcPr>
            <w:tcW w:type="dxa" w:w="2808"/>
            <w:shd w:val="clear" w:color="auto" w:fill="f2f4f8"/>
          </w:tcPr>
          <w:p>
            <w:r/>
            <w:r>
              <w:rPr>
                <w:sz w:val="18"/>
              </w:rPr>
              <w:t>P</w:t>
            </w:r>
          </w:p>
        </w:tc>
        <w:tc>
          <w:tcPr>
            <w:tcW w:type="dxa" w:w="6552"/>
            <w:shd w:val="clear" w:color="auto" w:fill="f2f4f8"/>
          </w:tcPr>
          <w:p>
            <w:r/>
            <w:r>
              <w:rPr>
                <w:sz w:val="18"/>
              </w:rPr>
              <w:t>10,508.2</w:t>
            </w:r>
          </w:p>
        </w:tc>
      </w:tr>
      <w:tr>
        <w:tc>
          <w:tcPr>
            <w:tcW w:type="dxa" w:w="2808"/>
          </w:tcPr>
          <w:p>
            <w:r/>
            <w:r>
              <w:rPr>
                <w:sz w:val="18"/>
              </w:rPr>
              <w:t>S1</w:t>
            </w:r>
          </w:p>
        </w:tc>
        <w:tc>
          <w:tcPr>
            <w:tcW w:type="dxa" w:w="6552"/>
          </w:tcPr>
          <w:p>
            <w:r/>
            <w:r>
              <w:rPr>
                <w:sz w:val="18"/>
              </w:rPr>
              <w:t>10,269.4</w:t>
            </w:r>
          </w:p>
        </w:tc>
      </w:tr>
      <w:tr>
        <w:tc>
          <w:tcPr>
            <w:tcW w:type="dxa" w:w="2808"/>
            <w:shd w:val="clear" w:color="auto" w:fill="f2f4f8"/>
          </w:tcPr>
          <w:p>
            <w:r/>
            <w:r>
              <w:rPr>
                <w:sz w:val="18"/>
              </w:rPr>
              <w:t>S2</w:t>
            </w:r>
          </w:p>
        </w:tc>
        <w:tc>
          <w:tcPr>
            <w:tcW w:type="dxa" w:w="6552"/>
            <w:shd w:val="clear" w:color="auto" w:fill="f2f4f8"/>
          </w:tcPr>
          <w:p>
            <w:r/>
            <w:r>
              <w:rPr>
                <w:sz w:val="18"/>
              </w:rPr>
              <w:t>9,888.8</w:t>
            </w:r>
          </w:p>
        </w:tc>
      </w:tr>
      <w:tr>
        <w:tc>
          <w:tcPr>
            <w:tcW w:type="dxa" w:w="2808"/>
          </w:tcPr>
          <w:p>
            <w:r/>
            <w:r>
              <w:rPr>
                <w:sz w:val="18"/>
              </w:rPr>
              <w:t>S3</w:t>
            </w:r>
          </w:p>
        </w:tc>
        <w:tc>
          <w:tcPr>
            <w:tcW w:type="dxa" w:w="6552"/>
          </w:tcPr>
          <w:p>
            <w:r/>
            <w:r>
              <w:rPr>
                <w:sz w:val="18"/>
              </w:rPr>
              <w:t>9,650.0</w:t>
            </w:r>
          </w:p>
        </w:tc>
      </w:tr>
    </w:tbl>
    <w:p>
      <w:pPr>
        <w:spacing w:after="40"/>
      </w:pPr>
    </w:p>
    <w:p>
      <w:pPr>
        <w:spacing w:after="120"/>
      </w:pPr>
      <w:r>
        <w:rPr>
          <w:i w:val="0"/>
          <w:sz w:val="19"/>
        </w:rPr>
        <w:t>Position narrative: the 14-Jul close (10,527) sits just ABOVE the daily P (10,494) and weekly P (10,486), and essentially AT the monthly P (10,508) — a three-timeframe pivot confluence zone within ~0.4% clustering around 10,486–10,527. This confluence is the pivotal decision band: sustained acceptance above it favours a push toward weekly/daily R1 (10,551–10,565); rejection reopens weekly S1 (10,431).</w:t>
      </w:r>
    </w:p>
    <w:p>
      <w:pPr>
        <w:spacing w:after="80" w:before="200"/>
      </w:pPr>
      <w:r>
        <w:rPr>
          <w:b/>
          <w:color w:val="1F355E"/>
          <w:sz w:val="28"/>
        </w:rPr>
        <w:t>12 · Key Market Considerations</w:t>
      </w:r>
    </w:p>
    <w:p>
      <w:pPr>
        <w:spacing w:after="40" w:before="120"/>
      </w:pPr>
      <w:r>
        <w:rPr>
          <w:b/>
          <w:color w:val="1F355E"/>
          <w:sz w:val="22"/>
        </w:rPr>
        <w:t>Energy / Supply shock (cyclical) — price-supportive for FTSE, mixed for margins</w:t>
      </w:r>
    </w:p>
    <w:p>
      <w:pPr>
        <w:spacing w:after="120"/>
      </w:pPr>
      <w:r>
        <w:rPr>
          <w:i w:val="0"/>
          <w:sz w:val="21"/>
        </w:rPr>
        <w:t>Renewed US–Iran hostilities and Strait-of-Hormuz disruption pushed Brent to ~$84–85 and WTI ~$79 (14 Jul). The FTSE's heavy energy weighting (Shell +1.6%, BP +2.7% on a stronger Q2 trading update) is a direct beneficiary, cushioning the index versus European peers. Structural for the index composition; the price spike itself is cyclical/event-driven.</w:t>
      </w:r>
    </w:p>
    <w:p>
      <w:pPr>
        <w:spacing w:after="40" w:before="120"/>
      </w:pPr>
      <w:r>
        <w:rPr>
          <w:b/>
          <w:color w:val="1F355E"/>
          <w:sz w:val="22"/>
        </w:rPr>
        <w:t>US inflation (cyclical) — price-supportive</w:t>
      </w:r>
    </w:p>
    <w:p>
      <w:pPr>
        <w:spacing w:after="120"/>
      </w:pPr>
      <w:r>
        <w:rPr>
          <w:i w:val="0"/>
          <w:sz w:val="21"/>
        </w:rPr>
        <w:t>June US CPI came in softer than expected (14 Jul), lifting the S&amp;P 500 to a +0.38% close and easing global rate fears into the European session — a supportive cross-Atlantic impulse (see §10, §14).</w:t>
      </w:r>
    </w:p>
    <w:p>
      <w:pPr>
        <w:spacing w:after="40" w:before="120"/>
      </w:pPr>
      <w:r>
        <w:rPr>
          <w:b/>
          <w:color w:val="1F355E"/>
          <w:sz w:val="22"/>
        </w:rPr>
        <w:t>UK rates / BoE (cyclical) — price-negative at the margin</w:t>
      </w:r>
    </w:p>
    <w:p>
      <w:pPr>
        <w:spacing w:after="120"/>
      </w:pPr>
      <w:r>
        <w:rPr>
          <w:i w:val="0"/>
          <w:sz w:val="21"/>
        </w:rPr>
        <w:t>UK rate futures moved to price ~50bp of BoE hikes by December (from ~40bp) on Hormuz-driven inflation risk. Higher discount rates pressure rate-sensitive FTSE sectors even as energy lifts the headline.</w:t>
      </w:r>
    </w:p>
    <w:p>
      <w:pPr>
        <w:spacing w:after="40" w:before="120"/>
      </w:pPr>
      <w:r>
        <w:rPr>
          <w:b/>
          <w:color w:val="1F355E"/>
          <w:sz w:val="22"/>
        </w:rPr>
        <w:t>Near-term catalysts</w:t>
      </w:r>
    </w:p>
    <w:p>
      <w:pPr>
        <w:pStyle w:val="ListBullet"/>
        <w:spacing w:after="40"/>
      </w:pPr>
      <w:r>
        <w:rPr>
          <w:sz w:val="21"/>
        </w:rPr>
        <w:t>UK CPI and the next BoE communication window are the dominant scheduled risks within the 5-day horizon (see §13d).</w:t>
      </w:r>
    </w:p>
    <w:p>
      <w:pPr>
        <w:pStyle w:val="ListBullet"/>
        <w:spacing w:after="40"/>
      </w:pPr>
      <w:r>
        <w:rPr>
          <w:sz w:val="21"/>
        </w:rPr>
        <w:t>US bank earnings (JPMorgan, Goldman, BofA, Citi, Wells Fargo) reporting 14–15 Jul set the risk tone for financials, a large STOXX/European weight.</w:t>
      </w:r>
    </w:p>
    <w:p>
      <w:pPr>
        <w:spacing w:after="80" w:before="200"/>
      </w:pPr>
      <w:r>
        <w:rPr>
          <w:b/>
          <w:color w:val="1F355E"/>
          <w:sz w:val="28"/>
        </w:rPr>
        <w:t>13 · Sentiment, News &amp; Calendar</w:t>
      </w:r>
    </w:p>
    <w:p>
      <w:pPr>
        <w:spacing w:after="40" w:before="120"/>
      </w:pPr>
      <w:r>
        <w:rPr>
          <w:b/>
          <w:color w:val="1F355E"/>
          <w:sz w:val="22"/>
        </w:rPr>
        <w:t>13a · Per-Article Sentiment</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217"/>
            <w:shd w:val="clear" w:color="auto" w:fill="1f355e"/>
          </w:tcPr>
          <w:p>
            <w:r/>
            <w:r>
              <w:rPr>
                <w:b/>
                <w:color w:val="FFFFFF"/>
                <w:sz w:val="15"/>
              </w:rPr>
              <w:t>Source</w:t>
            </w:r>
          </w:p>
        </w:tc>
        <w:tc>
          <w:tcPr>
            <w:tcW w:type="dxa" w:w="655"/>
            <w:shd w:val="clear" w:color="auto" w:fill="1f355e"/>
          </w:tcPr>
          <w:p>
            <w:r/>
            <w:r>
              <w:rPr>
                <w:b/>
                <w:color w:val="FFFFFF"/>
                <w:sz w:val="15"/>
              </w:rPr>
              <w:t>Date</w:t>
            </w:r>
          </w:p>
        </w:tc>
        <w:tc>
          <w:tcPr>
            <w:tcW w:type="dxa" w:w="2246"/>
            <w:shd w:val="clear" w:color="auto" w:fill="1f355e"/>
          </w:tcPr>
          <w:p>
            <w:r/>
            <w:r>
              <w:rPr>
                <w:b/>
                <w:color w:val="FFFFFF"/>
                <w:sz w:val="15"/>
              </w:rPr>
              <w:t>Headline (short)</w:t>
            </w:r>
          </w:p>
        </w:tc>
        <w:tc>
          <w:tcPr>
            <w:tcW w:type="dxa" w:w="936"/>
            <w:shd w:val="clear" w:color="auto" w:fill="1f355e"/>
          </w:tcPr>
          <w:p>
            <w:r/>
            <w:r>
              <w:rPr>
                <w:b/>
                <w:color w:val="FFFFFF"/>
                <w:sz w:val="15"/>
              </w:rPr>
              <w:t>Class</w:t>
            </w:r>
          </w:p>
        </w:tc>
        <w:tc>
          <w:tcPr>
            <w:tcW w:type="dxa" w:w="936"/>
            <w:shd w:val="clear" w:color="auto" w:fill="1f355e"/>
          </w:tcPr>
          <w:p>
            <w:r/>
            <w:r>
              <w:rPr>
                <w:b/>
                <w:color w:val="FFFFFF"/>
                <w:sz w:val="15"/>
              </w:rPr>
              <w:t>Sentiment</w:t>
            </w:r>
          </w:p>
        </w:tc>
        <w:tc>
          <w:tcPr>
            <w:tcW w:type="dxa" w:w="3370"/>
            <w:shd w:val="clear" w:color="auto" w:fill="1f355e"/>
          </w:tcPr>
          <w:p>
            <w:r/>
            <w:r>
              <w:rPr>
                <w:b/>
                <w:color w:val="FFFFFF"/>
                <w:sz w:val="15"/>
              </w:rPr>
              <w:t>Derivation quote (≤15 words)</w:t>
            </w:r>
          </w:p>
        </w:tc>
      </w:tr>
      <w:tr>
        <w:tc>
          <w:tcPr>
            <w:tcW w:type="dxa" w:w="1217"/>
          </w:tcPr>
          <w:p>
            <w:r/>
            <w:r>
              <w:rPr>
                <w:sz w:val="15"/>
              </w:rPr>
              <w:t>CNBC</w:t>
            </w:r>
          </w:p>
        </w:tc>
        <w:tc>
          <w:tcPr>
            <w:tcW w:type="dxa" w:w="655"/>
          </w:tcPr>
          <w:p>
            <w:r/>
            <w:r>
              <w:rPr>
                <w:sz w:val="15"/>
              </w:rPr>
              <w:t>14 Jul</w:t>
            </w:r>
          </w:p>
        </w:tc>
        <w:tc>
          <w:tcPr>
            <w:tcW w:type="dxa" w:w="2246"/>
          </w:tcPr>
          <w:p>
            <w:r/>
            <w:r>
              <w:rPr>
                <w:sz w:val="15"/>
              </w:rPr>
              <w:t>FTSE 100 leads Europe as soft CPI lifts risk</w:t>
            </w:r>
          </w:p>
        </w:tc>
        <w:tc>
          <w:tcPr>
            <w:tcW w:type="dxa" w:w="936"/>
          </w:tcPr>
          <w:p>
            <w:r/>
            <w:r>
              <w:rPr>
                <w:sz w:val="15"/>
              </w:rPr>
              <w:t>Media</w:t>
            </w:r>
          </w:p>
        </w:tc>
        <w:tc>
          <w:tcPr>
            <w:tcW w:type="dxa" w:w="936"/>
          </w:tcPr>
          <w:p>
            <w:r/>
            <w:r>
              <w:rPr>
                <w:sz w:val="15"/>
              </w:rPr>
              <w:t>Bullish</w:t>
            </w:r>
          </w:p>
        </w:tc>
        <w:tc>
          <w:tcPr>
            <w:tcW w:type="dxa" w:w="3370"/>
          </w:tcPr>
          <w:p>
            <w:r/>
            <w:r>
              <w:rPr>
                <w:sz w:val="15"/>
              </w:rPr>
              <w:t>"the U.K.'s FTSE 100 added 0.3%, leading the continent's gains"</w:t>
            </w:r>
          </w:p>
        </w:tc>
      </w:tr>
      <w:tr>
        <w:tc>
          <w:tcPr>
            <w:tcW w:type="dxa" w:w="1217"/>
            <w:shd w:val="clear" w:color="auto" w:fill="f2f4f8"/>
          </w:tcPr>
          <w:p>
            <w:r/>
            <w:r>
              <w:rPr>
                <w:sz w:val="15"/>
              </w:rPr>
              <w:t>Trading Economics</w:t>
            </w:r>
          </w:p>
        </w:tc>
        <w:tc>
          <w:tcPr>
            <w:tcW w:type="dxa" w:w="655"/>
            <w:shd w:val="clear" w:color="auto" w:fill="f2f4f8"/>
          </w:tcPr>
          <w:p>
            <w:r/>
            <w:r>
              <w:rPr>
                <w:sz w:val="15"/>
              </w:rPr>
              <w:t>14 Jul</w:t>
            </w:r>
          </w:p>
        </w:tc>
        <w:tc>
          <w:tcPr>
            <w:tcW w:type="dxa" w:w="2246"/>
            <w:shd w:val="clear" w:color="auto" w:fill="f2f4f8"/>
          </w:tcPr>
          <w:p>
            <w:r/>
            <w:r>
              <w:rPr>
                <w:sz w:val="15"/>
              </w:rPr>
              <w:t>FTSE edged lower as Hormuz lifts oil</w:t>
            </w:r>
          </w:p>
        </w:tc>
        <w:tc>
          <w:tcPr>
            <w:tcW w:type="dxa" w:w="936"/>
            <w:shd w:val="clear" w:color="auto" w:fill="f2f4f8"/>
          </w:tcPr>
          <w:p>
            <w:r/>
            <w:r>
              <w:rPr>
                <w:sz w:val="15"/>
              </w:rPr>
              <w:t>Media</w:t>
            </w:r>
          </w:p>
        </w:tc>
        <w:tc>
          <w:tcPr>
            <w:tcW w:type="dxa" w:w="936"/>
            <w:shd w:val="clear" w:color="auto" w:fill="f2f4f8"/>
          </w:tcPr>
          <w:p>
            <w:r/>
            <w:r>
              <w:rPr>
                <w:sz w:val="15"/>
              </w:rPr>
              <w:t>Mixed</w:t>
            </w:r>
          </w:p>
        </w:tc>
        <w:tc>
          <w:tcPr>
            <w:tcW w:type="dxa" w:w="3370"/>
            <w:shd w:val="clear" w:color="auto" w:fill="f2f4f8"/>
          </w:tcPr>
          <w:p>
            <w:r/>
            <w:r>
              <w:rPr>
                <w:sz w:val="15"/>
              </w:rPr>
              <w:t>"gains in energy and mining stocks outweighed by broader market weakness"</w:t>
            </w:r>
          </w:p>
        </w:tc>
      </w:tr>
      <w:tr>
        <w:tc>
          <w:tcPr>
            <w:tcW w:type="dxa" w:w="1217"/>
          </w:tcPr>
          <w:p>
            <w:r/>
            <w:r>
              <w:rPr>
                <w:sz w:val="15"/>
              </w:rPr>
              <w:t>Proactive Investors</w:t>
            </w:r>
          </w:p>
        </w:tc>
        <w:tc>
          <w:tcPr>
            <w:tcW w:type="dxa" w:w="655"/>
          </w:tcPr>
          <w:p>
            <w:r/>
            <w:r>
              <w:rPr>
                <w:sz w:val="15"/>
              </w:rPr>
              <w:t>10 Jul</w:t>
            </w:r>
          </w:p>
        </w:tc>
        <w:tc>
          <w:tcPr>
            <w:tcW w:type="dxa" w:w="2246"/>
          </w:tcPr>
          <w:p>
            <w:r/>
            <w:r>
              <w:rPr>
                <w:sz w:val="15"/>
              </w:rPr>
              <w:t>Stocks green as Middle East tensions ease</w:t>
            </w:r>
          </w:p>
        </w:tc>
        <w:tc>
          <w:tcPr>
            <w:tcW w:type="dxa" w:w="936"/>
          </w:tcPr>
          <w:p>
            <w:r/>
            <w:r>
              <w:rPr>
                <w:sz w:val="15"/>
              </w:rPr>
              <w:t>Media</w:t>
            </w:r>
          </w:p>
        </w:tc>
        <w:tc>
          <w:tcPr>
            <w:tcW w:type="dxa" w:w="936"/>
          </w:tcPr>
          <w:p>
            <w:r/>
            <w:r>
              <w:rPr>
                <w:sz w:val="15"/>
              </w:rPr>
              <w:t>Bullish</w:t>
            </w:r>
          </w:p>
        </w:tc>
        <w:tc>
          <w:tcPr>
            <w:tcW w:type="dxa" w:w="3370"/>
          </w:tcPr>
          <w:p>
            <w:r/>
            <w:r>
              <w:rPr>
                <w:sz w:val="15"/>
              </w:rPr>
              <w:t>"London stocks finished the day higher as Middle East tensions eased"</w:t>
            </w:r>
          </w:p>
        </w:tc>
      </w:tr>
      <w:tr>
        <w:tc>
          <w:tcPr>
            <w:tcW w:type="dxa" w:w="1217"/>
            <w:shd w:val="clear" w:color="auto" w:fill="f2f4f8"/>
          </w:tcPr>
          <w:p>
            <w:r/>
            <w:r>
              <w:rPr>
                <w:sz w:val="15"/>
              </w:rPr>
              <w:t>Capital.com (analyst)</w:t>
            </w:r>
          </w:p>
        </w:tc>
        <w:tc>
          <w:tcPr>
            <w:tcW w:type="dxa" w:w="655"/>
            <w:shd w:val="clear" w:color="auto" w:fill="f2f4f8"/>
          </w:tcPr>
          <w:p>
            <w:r/>
            <w:r>
              <w:rPr>
                <w:sz w:val="15"/>
              </w:rPr>
              <w:t>10 Jul</w:t>
            </w:r>
          </w:p>
        </w:tc>
        <w:tc>
          <w:tcPr>
            <w:tcW w:type="dxa" w:w="2246"/>
            <w:shd w:val="clear" w:color="auto" w:fill="f2f4f8"/>
          </w:tcPr>
          <w:p>
            <w:r/>
            <w:r>
              <w:rPr>
                <w:sz w:val="15"/>
              </w:rPr>
              <w:t>Markets end week in cautious mood</w:t>
            </w:r>
          </w:p>
        </w:tc>
        <w:tc>
          <w:tcPr>
            <w:tcW w:type="dxa" w:w="936"/>
            <w:shd w:val="clear" w:color="auto" w:fill="f2f4f8"/>
          </w:tcPr>
          <w:p>
            <w:r/>
            <w:r>
              <w:rPr>
                <w:sz w:val="15"/>
              </w:rPr>
              <w:t>Trade Press</w:t>
            </w:r>
          </w:p>
        </w:tc>
        <w:tc>
          <w:tcPr>
            <w:tcW w:type="dxa" w:w="936"/>
            <w:shd w:val="clear" w:color="auto" w:fill="f2f4f8"/>
          </w:tcPr>
          <w:p>
            <w:r/>
            <w:r>
              <w:rPr>
                <w:sz w:val="15"/>
              </w:rPr>
              <w:t>Neutral</w:t>
            </w:r>
          </w:p>
        </w:tc>
        <w:tc>
          <w:tcPr>
            <w:tcW w:type="dxa" w:w="3370"/>
            <w:shd w:val="clear" w:color="auto" w:fill="f2f4f8"/>
          </w:tcPr>
          <w:p>
            <w:r/>
            <w:r>
              <w:rPr>
                <w:sz w:val="15"/>
              </w:rPr>
              <w:t>"investors digest the implications of renewed tensions between the US and Iran"</w:t>
            </w:r>
          </w:p>
        </w:tc>
      </w:tr>
      <w:tr>
        <w:tc>
          <w:tcPr>
            <w:tcW w:type="dxa" w:w="1217"/>
          </w:tcPr>
          <w:p>
            <w:r/>
            <w:r>
              <w:rPr>
                <w:sz w:val="15"/>
              </w:rPr>
              <w:t>Reuters (via MarketScreener)</w:t>
            </w:r>
          </w:p>
        </w:tc>
        <w:tc>
          <w:tcPr>
            <w:tcW w:type="dxa" w:w="655"/>
          </w:tcPr>
          <w:p>
            <w:r/>
            <w:r>
              <w:rPr>
                <w:sz w:val="15"/>
              </w:rPr>
              <w:t>10 Jul</w:t>
            </w:r>
          </w:p>
        </w:tc>
        <w:tc>
          <w:tcPr>
            <w:tcW w:type="dxa" w:w="2246"/>
          </w:tcPr>
          <w:p>
            <w:r/>
            <w:r>
              <w:rPr>
                <w:sz w:val="15"/>
              </w:rPr>
              <w:t>FTSE seen flat as oil price eases</w:t>
            </w:r>
          </w:p>
        </w:tc>
        <w:tc>
          <w:tcPr>
            <w:tcW w:type="dxa" w:w="936"/>
          </w:tcPr>
          <w:p>
            <w:r/>
            <w:r>
              <w:rPr>
                <w:sz w:val="15"/>
              </w:rPr>
              <w:t>Trade Press</w:t>
            </w:r>
          </w:p>
        </w:tc>
        <w:tc>
          <w:tcPr>
            <w:tcW w:type="dxa" w:w="936"/>
          </w:tcPr>
          <w:p>
            <w:r/>
            <w:r>
              <w:rPr>
                <w:sz w:val="15"/>
              </w:rPr>
              <w:t>Neutral</w:t>
            </w:r>
          </w:p>
        </w:tc>
        <w:tc>
          <w:tcPr>
            <w:tcW w:type="dxa" w:w="3370"/>
          </w:tcPr>
          <w:p>
            <w:r/>
            <w:r>
              <w:rPr>
                <w:sz w:val="15"/>
              </w:rPr>
              <w:t>"FTSE 100 seen flat as oil price eases"</w:t>
            </w:r>
          </w:p>
        </w:tc>
      </w:tr>
      <w:tr>
        <w:tc>
          <w:tcPr>
            <w:tcW w:type="dxa" w:w="1217"/>
            <w:shd w:val="clear" w:color="auto" w:fill="f2f4f8"/>
          </w:tcPr>
          <w:p>
            <w:r/>
            <w:r>
              <w:rPr>
                <w:sz w:val="15"/>
              </w:rPr>
              <w:t>Sunday Guardian</w:t>
            </w:r>
          </w:p>
        </w:tc>
        <w:tc>
          <w:tcPr>
            <w:tcW w:type="dxa" w:w="655"/>
            <w:shd w:val="clear" w:color="auto" w:fill="f2f4f8"/>
          </w:tcPr>
          <w:p>
            <w:r/>
            <w:r>
              <w:rPr>
                <w:sz w:val="15"/>
              </w:rPr>
              <w:t>14 Jul</w:t>
            </w:r>
          </w:p>
        </w:tc>
        <w:tc>
          <w:tcPr>
            <w:tcW w:type="dxa" w:w="2246"/>
            <w:shd w:val="clear" w:color="auto" w:fill="f2f4f8"/>
          </w:tcPr>
          <w:p>
            <w:r/>
            <w:r>
              <w:rPr>
                <w:sz w:val="15"/>
              </w:rPr>
              <w:t>FTSE falls on tensions, rising oil</w:t>
            </w:r>
          </w:p>
        </w:tc>
        <w:tc>
          <w:tcPr>
            <w:tcW w:type="dxa" w:w="936"/>
            <w:shd w:val="clear" w:color="auto" w:fill="f2f4f8"/>
          </w:tcPr>
          <w:p>
            <w:r/>
            <w:r>
              <w:rPr>
                <w:sz w:val="15"/>
              </w:rPr>
              <w:t>Media</w:t>
            </w:r>
          </w:p>
        </w:tc>
        <w:tc>
          <w:tcPr>
            <w:tcW w:type="dxa" w:w="936"/>
            <w:shd w:val="clear" w:color="auto" w:fill="f2f4f8"/>
          </w:tcPr>
          <w:p>
            <w:r/>
            <w:r>
              <w:rPr>
                <w:sz w:val="15"/>
              </w:rPr>
              <w:t>Bearish</w:t>
            </w:r>
          </w:p>
        </w:tc>
        <w:tc>
          <w:tcPr>
            <w:tcW w:type="dxa" w:w="3370"/>
            <w:shd w:val="clear" w:color="auto" w:fill="f2f4f8"/>
          </w:tcPr>
          <w:p>
            <w:r/>
            <w:r>
              <w:rPr>
                <w:sz w:val="15"/>
              </w:rPr>
              <w:t>"weighed on investor sentiment... rising Middle East tensions"</w:t>
            </w:r>
          </w:p>
        </w:tc>
      </w:tr>
    </w:tbl>
    <w:p>
      <w:pPr>
        <w:spacing w:after="40"/>
      </w:pPr>
    </w:p>
    <w:p>
      <w:pPr>
        <w:spacing w:after="40" w:before="120"/>
      </w:pPr>
      <w:r>
        <w:rPr>
          <w:b/>
          <w:color w:val="1F355E"/>
          <w:sz w:val="22"/>
        </w:rPr>
        <w:t>13b · Aggregate Sentiment Summary</w:t>
      </w:r>
    </w:p>
    <w:p>
      <w:pPr>
        <w:spacing w:after="120"/>
      </w:pPr>
      <w:r>
        <w:rPr>
          <w:i w:val="0"/>
          <w:sz w:val="21"/>
        </w:rPr>
        <w:t>Categorical: 2 Bullish (media), 1 Bearish (media), 2 Neutral (trade press), 1 Mixed (media) = Balanced-to-mildly-Bullish. Numeric tilt (source-class weighted): tilt = +0.13. Computed as Σ(w·s)/Σw with media w=0.5, trade press w=0.7: [(0.5·+1)+(0.5·+1)+(0.5·−1)+(0.7·0)+(0.7·0)+(0.5·0)] / [0.5+0.5+0.5+0.7+0.7+0.5] = +0.5/3.4 ≈ +0.13. Divergence: sentiment mildly agrees with the 14-Jul bullish close and the CONFIRM cross-asset read; no contradiction. This tilt is consumed by §21.</w:t>
      </w:r>
    </w:p>
    <w:p>
      <w:pPr>
        <w:spacing w:after="40" w:before="120"/>
      </w:pPr>
      <w:r>
        <w:rPr>
          <w:b/>
          <w:color w:val="1F355E"/>
          <w:sz w:val="22"/>
        </w:rPr>
        <w:t>13c · News Calendar — Previous 5 Sessions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842"/>
            <w:shd w:val="clear" w:color="auto" w:fill="1f355e"/>
          </w:tcPr>
          <w:p>
            <w:r/>
            <w:r>
              <w:rPr>
                <w:b/>
                <w:color w:val="FFFFFF"/>
                <w:sz w:val="16"/>
              </w:rPr>
              <w:t>Date</w:t>
            </w:r>
          </w:p>
        </w:tc>
        <w:tc>
          <w:tcPr>
            <w:tcW w:type="dxa" w:w="2059"/>
            <w:shd w:val="clear" w:color="auto" w:fill="1f355e"/>
          </w:tcPr>
          <w:p>
            <w:r/>
            <w:r>
              <w:rPr>
                <w:b/>
                <w:color w:val="FFFFFF"/>
                <w:sz w:val="16"/>
              </w:rPr>
              <w:t>Event</w:t>
            </w:r>
          </w:p>
        </w:tc>
        <w:tc>
          <w:tcPr>
            <w:tcW w:type="dxa" w:w="1872"/>
            <w:shd w:val="clear" w:color="auto" w:fill="1f355e"/>
          </w:tcPr>
          <w:p>
            <w:r/>
            <w:r>
              <w:rPr>
                <w:b/>
                <w:color w:val="FFFFFF"/>
                <w:sz w:val="16"/>
              </w:rPr>
              <w:t>Context</w:t>
            </w:r>
          </w:p>
        </w:tc>
        <w:tc>
          <w:tcPr>
            <w:tcW w:type="dxa" w:w="936"/>
            <w:shd w:val="clear" w:color="auto" w:fill="1f355e"/>
          </w:tcPr>
          <w:p>
            <w:r/>
            <w:r>
              <w:rPr>
                <w:b/>
                <w:color w:val="FFFFFF"/>
                <w:sz w:val="16"/>
              </w:rPr>
              <w:t>Impact</w:t>
            </w:r>
          </w:p>
        </w:tc>
        <w:tc>
          <w:tcPr>
            <w:tcW w:type="dxa" w:w="3650"/>
            <w:shd w:val="clear" w:color="auto" w:fill="1f355e"/>
          </w:tcPr>
          <w:p>
            <w:r/>
            <w:r>
              <w:rPr>
                <w:b/>
                <w:color w:val="FFFFFF"/>
                <w:sz w:val="16"/>
              </w:rPr>
              <w:t>Implication for FTSE</w:t>
            </w:r>
          </w:p>
        </w:tc>
      </w:tr>
      <w:tr>
        <w:tc>
          <w:tcPr>
            <w:tcW w:type="dxa" w:w="842"/>
          </w:tcPr>
          <w:p>
            <w:r/>
            <w:r>
              <w:rPr>
                <w:sz w:val="16"/>
              </w:rPr>
              <w:t>10 Jul</w:t>
            </w:r>
          </w:p>
        </w:tc>
        <w:tc>
          <w:tcPr>
            <w:tcW w:type="dxa" w:w="2059"/>
          </w:tcPr>
          <w:p>
            <w:r/>
            <w:r>
              <w:rPr>
                <w:sz w:val="16"/>
              </w:rPr>
              <w:t>Hormuz tensions ease intraday</w:t>
            </w:r>
          </w:p>
        </w:tc>
        <w:tc>
          <w:tcPr>
            <w:tcW w:type="dxa" w:w="1872"/>
          </w:tcPr>
          <w:p>
            <w:r/>
            <w:r>
              <w:rPr>
                <w:sz w:val="16"/>
              </w:rPr>
              <w:t>Oil off session highs</w:t>
            </w:r>
          </w:p>
        </w:tc>
        <w:tc>
          <w:tcPr>
            <w:tcW w:type="dxa" w:w="936"/>
          </w:tcPr>
          <w:p>
            <w:r/>
            <w:r>
              <w:rPr>
                <w:sz w:val="16"/>
              </w:rPr>
              <w:t>Medium</w:t>
            </w:r>
          </w:p>
        </w:tc>
        <w:tc>
          <w:tcPr>
            <w:tcW w:type="dxa" w:w="3650"/>
          </w:tcPr>
          <w:p>
            <w:r/>
            <w:r>
              <w:rPr>
                <w:sz w:val="16"/>
              </w:rPr>
              <w:t>Relief rally; index +0.24% to 10,497</w:t>
            </w:r>
          </w:p>
        </w:tc>
      </w:tr>
      <w:tr>
        <w:tc>
          <w:tcPr>
            <w:tcW w:type="dxa" w:w="842"/>
            <w:shd w:val="clear" w:color="auto" w:fill="f2f4f8"/>
          </w:tcPr>
          <w:p>
            <w:r/>
            <w:r>
              <w:rPr>
                <w:sz w:val="16"/>
              </w:rPr>
              <w:t>13 Jul</w:t>
            </w:r>
          </w:p>
        </w:tc>
        <w:tc>
          <w:tcPr>
            <w:tcW w:type="dxa" w:w="2059"/>
            <w:shd w:val="clear" w:color="auto" w:fill="f2f4f8"/>
          </w:tcPr>
          <w:p>
            <w:r/>
            <w:r>
              <w:rPr>
                <w:sz w:val="16"/>
              </w:rPr>
              <w:t>US–Iran weekend escalation</w:t>
            </w:r>
          </w:p>
        </w:tc>
        <w:tc>
          <w:tcPr>
            <w:tcW w:type="dxa" w:w="1872"/>
            <w:shd w:val="clear" w:color="auto" w:fill="f2f4f8"/>
          </w:tcPr>
          <w:p>
            <w:r/>
            <w:r>
              <w:rPr>
                <w:sz w:val="16"/>
              </w:rPr>
              <w:t>Iran claims Hormuz closure</w:t>
            </w:r>
          </w:p>
        </w:tc>
        <w:tc>
          <w:tcPr>
            <w:tcW w:type="dxa" w:w="936"/>
            <w:shd w:val="clear" w:color="auto" w:fill="f2f4f8"/>
          </w:tcPr>
          <w:p>
            <w:r/>
            <w:r>
              <w:rPr>
                <w:sz w:val="16"/>
              </w:rPr>
              <w:t>High</w:t>
            </w:r>
          </w:p>
        </w:tc>
        <w:tc>
          <w:tcPr>
            <w:tcW w:type="dxa" w:w="3650"/>
            <w:shd w:val="clear" w:color="auto" w:fill="f2f4f8"/>
          </w:tcPr>
          <w:p>
            <w:r/>
            <w:r>
              <w:rPr>
                <w:sz w:val="16"/>
              </w:rPr>
              <w:t>Oil up; energy names support index; flat close 10,496</w:t>
            </w:r>
          </w:p>
        </w:tc>
      </w:tr>
      <w:tr>
        <w:tc>
          <w:tcPr>
            <w:tcW w:type="dxa" w:w="842"/>
          </w:tcPr>
          <w:p>
            <w:r/>
            <w:r>
              <w:rPr>
                <w:sz w:val="16"/>
              </w:rPr>
              <w:t>14 Jul</w:t>
            </w:r>
          </w:p>
        </w:tc>
        <w:tc>
          <w:tcPr>
            <w:tcW w:type="dxa" w:w="2059"/>
          </w:tcPr>
          <w:p>
            <w:r/>
            <w:r>
              <w:rPr>
                <w:sz w:val="16"/>
              </w:rPr>
              <w:t>US June CPI (soft)</w:t>
            </w:r>
          </w:p>
        </w:tc>
        <w:tc>
          <w:tcPr>
            <w:tcW w:type="dxa" w:w="1872"/>
          </w:tcPr>
          <w:p>
            <w:r/>
            <w:r>
              <w:rPr>
                <w:sz w:val="16"/>
              </w:rPr>
              <w:t>Below expectations</w:t>
            </w:r>
          </w:p>
        </w:tc>
        <w:tc>
          <w:tcPr>
            <w:tcW w:type="dxa" w:w="936"/>
          </w:tcPr>
          <w:p>
            <w:r/>
            <w:r>
              <w:rPr>
                <w:sz w:val="16"/>
              </w:rPr>
              <w:t>High</w:t>
            </w:r>
          </w:p>
        </w:tc>
        <w:tc>
          <w:tcPr>
            <w:tcW w:type="dxa" w:w="3650"/>
          </w:tcPr>
          <w:p>
            <w:r/>
            <w:r>
              <w:rPr>
                <w:sz w:val="16"/>
              </w:rPr>
              <w:t>Eased rate fears; FTSE +0.3%, led Europe</w:t>
            </w:r>
          </w:p>
        </w:tc>
      </w:tr>
      <w:tr>
        <w:tc>
          <w:tcPr>
            <w:tcW w:type="dxa" w:w="842"/>
            <w:shd w:val="clear" w:color="auto" w:fill="f2f4f8"/>
          </w:tcPr>
          <w:p>
            <w:r/>
            <w:r>
              <w:rPr>
                <w:sz w:val="16"/>
              </w:rPr>
              <w:t>14 Jul</w:t>
            </w:r>
          </w:p>
        </w:tc>
        <w:tc>
          <w:tcPr>
            <w:tcW w:type="dxa" w:w="2059"/>
            <w:shd w:val="clear" w:color="auto" w:fill="f2f4f8"/>
          </w:tcPr>
          <w:p>
            <w:r/>
            <w:r>
              <w:rPr>
                <w:sz w:val="16"/>
              </w:rPr>
              <w:t>BP Q2 trading update</w:t>
            </w:r>
          </w:p>
        </w:tc>
        <w:tc>
          <w:tcPr>
            <w:tcW w:type="dxa" w:w="1872"/>
            <w:shd w:val="clear" w:color="auto" w:fill="f2f4f8"/>
          </w:tcPr>
          <w:p>
            <w:r/>
            <w:r>
              <w:rPr>
                <w:sz w:val="16"/>
              </w:rPr>
              <w:t>Slightly better than strong Q1</w:t>
            </w:r>
          </w:p>
        </w:tc>
        <w:tc>
          <w:tcPr>
            <w:tcW w:type="dxa" w:w="936"/>
            <w:shd w:val="clear" w:color="auto" w:fill="f2f4f8"/>
          </w:tcPr>
          <w:p>
            <w:r/>
            <w:r>
              <w:rPr>
                <w:sz w:val="16"/>
              </w:rPr>
              <w:t>Medium</w:t>
            </w:r>
          </w:p>
        </w:tc>
        <w:tc>
          <w:tcPr>
            <w:tcW w:type="dxa" w:w="3650"/>
            <w:shd w:val="clear" w:color="auto" w:fill="f2f4f8"/>
          </w:tcPr>
          <w:p>
            <w:r/>
            <w:r>
              <w:rPr>
                <w:sz w:val="16"/>
              </w:rPr>
              <w:t>BP +2.7%; energy tailwind</w:t>
            </w:r>
          </w:p>
        </w:tc>
      </w:tr>
      <w:tr>
        <w:tc>
          <w:tcPr>
            <w:tcW w:type="dxa" w:w="842"/>
          </w:tcPr>
          <w:p>
            <w:r/>
            <w:r>
              <w:rPr>
                <w:sz w:val="16"/>
              </w:rPr>
              <w:t>14 Jul</w:t>
            </w:r>
          </w:p>
        </w:tc>
        <w:tc>
          <w:tcPr>
            <w:tcW w:type="dxa" w:w="2059"/>
          </w:tcPr>
          <w:p>
            <w:r/>
            <w:r>
              <w:rPr>
                <w:sz w:val="16"/>
              </w:rPr>
              <w:t>Trump drops 20% Hormuz fee</w:t>
            </w:r>
          </w:p>
        </w:tc>
        <w:tc>
          <w:tcPr>
            <w:tcW w:type="dxa" w:w="1872"/>
          </w:tcPr>
          <w:p>
            <w:r/>
            <w:r>
              <w:rPr>
                <w:sz w:val="16"/>
              </w:rPr>
              <w:t>Replaced with trade deals</w:t>
            </w:r>
          </w:p>
        </w:tc>
        <w:tc>
          <w:tcPr>
            <w:tcW w:type="dxa" w:w="936"/>
          </w:tcPr>
          <w:p>
            <w:r/>
            <w:r>
              <w:rPr>
                <w:sz w:val="16"/>
              </w:rPr>
              <w:t>Medium</w:t>
            </w:r>
          </w:p>
        </w:tc>
        <w:tc>
          <w:tcPr>
            <w:tcW w:type="dxa" w:w="3650"/>
          </w:tcPr>
          <w:p>
            <w:r/>
            <w:r>
              <w:rPr>
                <w:sz w:val="16"/>
              </w:rPr>
              <w:t>Oil eased off highs late; risk relief</w:t>
            </w:r>
          </w:p>
        </w:tc>
      </w:tr>
    </w:tbl>
    <w:p>
      <w:pPr>
        <w:spacing w:after="40"/>
      </w:pPr>
    </w:p>
    <w:p>
      <w:pPr>
        <w:spacing w:after="40" w:before="120"/>
      </w:pPr>
      <w:r>
        <w:rPr>
          <w:b/>
          <w:color w:val="1F355E"/>
          <w:sz w:val="22"/>
        </w:rPr>
        <w:t>13d · News Calendar — Upcoming 5 Sessions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030"/>
            <w:shd w:val="clear" w:color="auto" w:fill="1f355e"/>
          </w:tcPr>
          <w:p>
            <w:r/>
            <w:r>
              <w:rPr>
                <w:b/>
                <w:color w:val="FFFFFF"/>
                <w:sz w:val="16"/>
              </w:rPr>
              <w:t>Date</w:t>
            </w:r>
          </w:p>
        </w:tc>
        <w:tc>
          <w:tcPr>
            <w:tcW w:type="dxa" w:w="2059"/>
            <w:shd w:val="clear" w:color="auto" w:fill="1f355e"/>
          </w:tcPr>
          <w:p>
            <w:r/>
            <w:r>
              <w:rPr>
                <w:b/>
                <w:color w:val="FFFFFF"/>
                <w:sz w:val="16"/>
              </w:rPr>
              <w:t>Event</w:t>
            </w:r>
          </w:p>
        </w:tc>
        <w:tc>
          <w:tcPr>
            <w:tcW w:type="dxa" w:w="1685"/>
            <w:shd w:val="clear" w:color="auto" w:fill="1f355e"/>
          </w:tcPr>
          <w:p>
            <w:r/>
            <w:r>
              <w:rPr>
                <w:b/>
                <w:color w:val="FFFFFF"/>
                <w:sz w:val="16"/>
              </w:rPr>
              <w:t>Context</w:t>
            </w:r>
          </w:p>
        </w:tc>
        <w:tc>
          <w:tcPr>
            <w:tcW w:type="dxa" w:w="842"/>
            <w:shd w:val="clear" w:color="auto" w:fill="1f355e"/>
          </w:tcPr>
          <w:p>
            <w:r/>
            <w:r>
              <w:rPr>
                <w:b/>
                <w:color w:val="FFFFFF"/>
                <w:sz w:val="16"/>
              </w:rPr>
              <w:t>Impact</w:t>
            </w:r>
          </w:p>
        </w:tc>
        <w:tc>
          <w:tcPr>
            <w:tcW w:type="dxa" w:w="3744"/>
            <w:shd w:val="clear" w:color="auto" w:fill="1f355e"/>
          </w:tcPr>
          <w:p>
            <w:r/>
            <w:r>
              <w:rPr>
                <w:b/>
                <w:color w:val="FFFFFF"/>
                <w:sz w:val="16"/>
              </w:rPr>
              <w:t>Implication (beat / miss)</w:t>
            </w:r>
          </w:p>
        </w:tc>
      </w:tr>
      <w:tr>
        <w:tc>
          <w:tcPr>
            <w:tcW w:type="dxa" w:w="1030"/>
          </w:tcPr>
          <w:p>
            <w:r/>
            <w:r>
              <w:rPr>
                <w:sz w:val="16"/>
              </w:rPr>
              <w:t>15–16 Jul</w:t>
            </w:r>
          </w:p>
        </w:tc>
        <w:tc>
          <w:tcPr>
            <w:tcW w:type="dxa" w:w="2059"/>
          </w:tcPr>
          <w:p>
            <w:r/>
            <w:r>
              <w:rPr>
                <w:sz w:val="16"/>
              </w:rPr>
              <w:t>US bank earnings continue</w:t>
            </w:r>
          </w:p>
        </w:tc>
        <w:tc>
          <w:tcPr>
            <w:tcW w:type="dxa" w:w="1685"/>
          </w:tcPr>
          <w:p>
            <w:r/>
            <w:r>
              <w:rPr>
                <w:sz w:val="16"/>
              </w:rPr>
              <w:t>GS, C, WFC, JPM</w:t>
            </w:r>
          </w:p>
        </w:tc>
        <w:tc>
          <w:tcPr>
            <w:tcW w:type="dxa" w:w="842"/>
          </w:tcPr>
          <w:p>
            <w:r/>
            <w:r>
              <w:rPr>
                <w:sz w:val="16"/>
              </w:rPr>
              <w:t>High</w:t>
            </w:r>
          </w:p>
        </w:tc>
        <w:tc>
          <w:tcPr>
            <w:tcW w:type="dxa" w:w="3744"/>
          </w:tcPr>
          <w:p>
            <w:r/>
            <w:r>
              <w:rPr>
                <w:sz w:val="16"/>
              </w:rPr>
              <w:t>Beat → financials risk-on, supports European banks; miss → risk-off drag</w:t>
            </w:r>
          </w:p>
        </w:tc>
      </w:tr>
      <w:tr>
        <w:tc>
          <w:tcPr>
            <w:tcW w:type="dxa" w:w="1030"/>
            <w:shd w:val="clear" w:color="auto" w:fill="f2f4f8"/>
          </w:tcPr>
          <w:p>
            <w:r/>
            <w:r>
              <w:rPr>
                <w:sz w:val="16"/>
              </w:rPr>
              <w:t>Wk of 15 Jul</w:t>
            </w:r>
          </w:p>
        </w:tc>
        <w:tc>
          <w:tcPr>
            <w:tcW w:type="dxa" w:w="2059"/>
            <w:shd w:val="clear" w:color="auto" w:fill="f2f4f8"/>
          </w:tcPr>
          <w:p>
            <w:r/>
            <w:r>
              <w:rPr>
                <w:sz w:val="16"/>
              </w:rPr>
              <w:t>UK CPI (print/expectations)</w:t>
            </w:r>
          </w:p>
        </w:tc>
        <w:tc>
          <w:tcPr>
            <w:tcW w:type="dxa" w:w="1685"/>
            <w:shd w:val="clear" w:color="auto" w:fill="f2f4f8"/>
          </w:tcPr>
          <w:p>
            <w:r/>
            <w:r>
              <w:rPr>
                <w:sz w:val="16"/>
              </w:rPr>
              <w:t>BoE path key</w:t>
            </w:r>
          </w:p>
        </w:tc>
        <w:tc>
          <w:tcPr>
            <w:tcW w:type="dxa" w:w="842"/>
            <w:shd w:val="clear" w:color="auto" w:fill="f2f4f8"/>
          </w:tcPr>
          <w:p>
            <w:r/>
            <w:r>
              <w:rPr>
                <w:sz w:val="16"/>
              </w:rPr>
              <w:t>High</w:t>
            </w:r>
          </w:p>
        </w:tc>
        <w:tc>
          <w:tcPr>
            <w:tcW w:type="dxa" w:w="3744"/>
            <w:shd w:val="clear" w:color="auto" w:fill="f2f4f8"/>
          </w:tcPr>
          <w:p>
            <w:r/>
            <w:r>
              <w:rPr>
                <w:sz w:val="16"/>
              </w:rPr>
              <w:t>Hot → more BoE hikes priced, FTSE rate-sensitives pressured; soft → relief</w:t>
            </w:r>
          </w:p>
        </w:tc>
      </w:tr>
      <w:tr>
        <w:tc>
          <w:tcPr>
            <w:tcW w:type="dxa" w:w="1030"/>
          </w:tcPr>
          <w:p>
            <w:r/>
            <w:r>
              <w:rPr>
                <w:sz w:val="16"/>
              </w:rPr>
              <w:t>15 Jul</w:t>
            </w:r>
          </w:p>
        </w:tc>
        <w:tc>
          <w:tcPr>
            <w:tcW w:type="dxa" w:w="2059"/>
          </w:tcPr>
          <w:p>
            <w:r/>
            <w:r>
              <w:rPr>
                <w:sz w:val="16"/>
              </w:rPr>
              <w:t>Strait of Hormuz status</w:t>
            </w:r>
          </w:p>
        </w:tc>
        <w:tc>
          <w:tcPr>
            <w:tcW w:type="dxa" w:w="1685"/>
          </w:tcPr>
          <w:p>
            <w:r/>
            <w:r>
              <w:rPr>
                <w:sz w:val="16"/>
              </w:rPr>
              <w:t>Shipping ~⅓ below normal</w:t>
            </w:r>
          </w:p>
        </w:tc>
        <w:tc>
          <w:tcPr>
            <w:tcW w:type="dxa" w:w="842"/>
          </w:tcPr>
          <w:p>
            <w:r/>
            <w:r>
              <w:rPr>
                <w:sz w:val="16"/>
              </w:rPr>
              <w:t>High</w:t>
            </w:r>
          </w:p>
        </w:tc>
        <w:tc>
          <w:tcPr>
            <w:tcW w:type="dxa" w:w="3744"/>
          </w:tcPr>
          <w:p>
            <w:r/>
            <w:r>
              <w:rPr>
                <w:sz w:val="16"/>
              </w:rPr>
              <w:t>Escalation → oil up, energy lifts FTSE but inflation risk; de-escalation → broad relief</w:t>
            </w:r>
          </w:p>
        </w:tc>
      </w:tr>
      <w:tr>
        <w:tc>
          <w:tcPr>
            <w:tcW w:type="dxa" w:w="1030"/>
            <w:shd w:val="clear" w:color="auto" w:fill="f2f4f8"/>
          </w:tcPr>
          <w:p>
            <w:r/>
            <w:r>
              <w:rPr>
                <w:sz w:val="16"/>
              </w:rPr>
              <w:t>Ongoing</w:t>
            </w:r>
          </w:p>
        </w:tc>
        <w:tc>
          <w:tcPr>
            <w:tcW w:type="dxa" w:w="2059"/>
            <w:shd w:val="clear" w:color="auto" w:fill="f2f4f8"/>
          </w:tcPr>
          <w:p>
            <w:r/>
            <w:r>
              <w:rPr>
                <w:sz w:val="16"/>
              </w:rPr>
              <w:t>ECB commentary / eurozone data</w:t>
            </w:r>
          </w:p>
        </w:tc>
        <w:tc>
          <w:tcPr>
            <w:tcW w:type="dxa" w:w="1685"/>
            <w:shd w:val="clear" w:color="auto" w:fill="f2f4f8"/>
          </w:tcPr>
          <w:p>
            <w:r/>
            <w:r>
              <w:rPr>
                <w:sz w:val="16"/>
              </w:rPr>
              <w:t>STOXX read-through</w:t>
            </w:r>
          </w:p>
        </w:tc>
        <w:tc>
          <w:tcPr>
            <w:tcW w:type="dxa" w:w="842"/>
            <w:shd w:val="clear" w:color="auto" w:fill="f2f4f8"/>
          </w:tcPr>
          <w:p>
            <w:r/>
            <w:r>
              <w:rPr>
                <w:sz w:val="16"/>
              </w:rPr>
              <w:t>Medium</w:t>
            </w:r>
          </w:p>
        </w:tc>
        <w:tc>
          <w:tcPr>
            <w:tcW w:type="dxa" w:w="3744"/>
            <w:shd w:val="clear" w:color="auto" w:fill="f2f4f8"/>
          </w:tcPr>
          <w:p>
            <w:r/>
            <w:r>
              <w:rPr>
                <w:sz w:val="16"/>
              </w:rPr>
              <w:t>Hawkish → STOXX pressure; dovish → support</w:t>
            </w:r>
          </w:p>
        </w:tc>
      </w:tr>
    </w:tbl>
    <w:p>
      <w:pPr>
        <w:spacing w:after="40"/>
      </w:pPr>
    </w:p>
    <w:p>
      <w:pPr>
        <w:spacing w:after="120"/>
      </w:pPr>
      <w:r>
        <w:rPr>
          <w:i w:val="0"/>
          <w:sz w:val="19"/>
        </w:rPr>
        <w:t>Highest-impact upcoming event (bold): UK CPI / BoE path. A hotter-than-expected UK inflation print would re-price BoE tightening higher and could break the 10,472 support, shifting the consensus view bearish; a soft print would validate the upside-resolution tilt toward weekly R1 (10,551).</w:t>
      </w:r>
    </w:p>
    <w:p>
      <w:pPr>
        <w:spacing w:after="80" w:before="200"/>
      </w:pPr>
      <w:r>
        <w:rPr>
          <w:b/>
          <w:color w:val="1F355E"/>
          <w:sz w:val="28"/>
        </w:rPr>
        <w:t>14 · Macro Context</w:t>
      </w:r>
    </w:p>
    <w:p>
      <w:pPr>
        <w:pStyle w:val="ListBullet"/>
        <w:spacing w:after="40"/>
      </w:pPr>
      <w:r>
        <w:rPr>
          <w:sz w:val="21"/>
        </w:rPr>
        <w:t>Rates &amp; monetary policy: UK rate futures now price ~50bp of BoE hikes by December (up from ~40bp) on Hormuz-driven inflation risk; European 10-year yields rose ~4–5bp on 14 Jul (UK yields flat). Cross-referencing the S&amp;P 500 read (§10), the US soft-CPI impulse partially offsets the hawkish UK rate shift.</w:t>
      </w:r>
    </w:p>
    <w:p>
      <w:pPr>
        <w:pStyle w:val="ListBullet"/>
        <w:spacing w:after="40"/>
      </w:pPr>
      <w:r>
        <w:rPr>
          <w:sz w:val="21"/>
        </w:rPr>
        <w:t>Inflation: US June CPI soft (price-supportive globally); UK inflation risk skewed higher via energy — net neutral-to-slightly-negative for FTSE rate-sensitives, offset by energy strength.</w:t>
      </w:r>
    </w:p>
    <w:p>
      <w:pPr>
        <w:pStyle w:val="ListBullet"/>
        <w:spacing w:after="40"/>
      </w:pPr>
      <w:r>
        <w:rPr>
          <w:sz w:val="21"/>
        </w:rPr>
        <w:t>Liquidity &amp; FX (USDX, §10): USDX ~99.4, flat-to-firm; a softer GBP is a mild tailwind for FTSE multinationals' translated earnings.</w:t>
      </w:r>
    </w:p>
    <w:p>
      <w:pPr>
        <w:pStyle w:val="ListBullet"/>
        <w:spacing w:after="40"/>
      </w:pPr>
      <w:r>
        <w:rPr>
          <w:sz w:val="21"/>
        </w:rPr>
        <w:t>Energy: Brent ~$84–85, WTI ~$79 (14 Jul) after Hormuz escalation then partial relief as the US dropped the 20% transit fee. Direct support for the index's energy majors.</w:t>
      </w:r>
    </w:p>
    <w:p>
      <w:pPr>
        <w:pStyle w:val="ListBullet"/>
        <w:spacing w:after="40"/>
      </w:pPr>
      <w:r>
        <w:rPr>
          <w:sz w:val="21"/>
        </w:rPr>
        <w:t>Positioning / vol: VIX ~16 (subdued); no stress signal. VOLator (§9) shows mild expansion, not extreme.</w:t>
      </w:r>
    </w:p>
    <w:p>
      <w:pPr>
        <w:spacing w:after="120"/>
      </w:pPr>
      <w:r>
        <w:rPr>
          <w:i/>
          <w:sz w:val="18"/>
        </w:rPr>
        <w:t>Watch item cross-reference (§13d): UK CPI is the macro variable most able to surprise; a hot print is the key downside risk to the rate-sensitive part of the index.</w:t>
      </w:r>
    </w:p>
    <w:p>
      <w:pPr>
        <w:spacing w:after="80" w:before="200"/>
      </w:pPr>
      <w:r>
        <w:rPr>
          <w:b/>
          <w:color w:val="1F355E"/>
          <w:sz w:val="28"/>
        </w:rPr>
        <w:t>15 · Bull / Bear Balance</w:t>
      </w:r>
    </w:p>
    <w:p>
      <w:pPr>
        <w:spacing w:after="40" w:before="120"/>
      </w:pPr>
      <w:r>
        <w:rPr>
          <w:b/>
          <w:color w:val="1F355E"/>
          <w:sz w:val="22"/>
        </w:rPr>
        <w:t>Upside risks (bull)</w:t>
      </w:r>
    </w:p>
    <w:p>
      <w:pPr>
        <w:pStyle w:val="ListBullet"/>
        <w:spacing w:after="40"/>
      </w:pPr>
      <w:r>
        <w:rPr>
          <w:sz w:val="21"/>
        </w:rPr>
        <w:t>14-Jul bullish close at the top of the five-session range, with a CONFIRM cross-asset read (§10) and a mildly positive sentiment tilt (§13b).</w:t>
      </w:r>
    </w:p>
    <w:p>
      <w:pPr>
        <w:pStyle w:val="ListBullet"/>
        <w:spacing w:after="40"/>
      </w:pPr>
      <w:r>
        <w:rPr>
          <w:sz w:val="21"/>
        </w:rPr>
        <w:t>Energy weighting benefiting directly from higher oil; BP/Shell Q2 strength.</w:t>
      </w:r>
    </w:p>
    <w:p>
      <w:pPr>
        <w:pStyle w:val="ListBullet"/>
        <w:spacing w:after="40"/>
      </w:pPr>
      <w:r>
        <w:rPr>
          <w:sz w:val="21"/>
        </w:rPr>
        <w:t>Soft US CPI easing global rate fears; index sits just above daily/weekly/monthly pivot confluence (§11) — acceptance opens weekly R1 10,551.</w:t>
      </w:r>
    </w:p>
    <w:p>
      <w:pPr>
        <w:spacing w:after="40" w:before="120"/>
      </w:pPr>
      <w:r>
        <w:rPr>
          <w:b/>
          <w:color w:val="1F355E"/>
          <w:sz w:val="22"/>
        </w:rPr>
        <w:t>Downside risks (bear)</w:t>
      </w:r>
    </w:p>
    <w:p>
      <w:pPr>
        <w:pStyle w:val="ListBullet"/>
        <w:spacing w:after="40"/>
      </w:pPr>
      <w:r>
        <w:rPr>
          <w:sz w:val="21"/>
        </w:rPr>
        <w:t>Hotter UK CPI / hawkish BoE re-pricing (§13d highest-impact event) pressuring rate-sensitive sectors.</w:t>
      </w:r>
    </w:p>
    <w:p>
      <w:pPr>
        <w:pStyle w:val="ListBullet"/>
        <w:spacing w:after="40"/>
      </w:pPr>
      <w:r>
        <w:rPr>
          <w:sz w:val="21"/>
        </w:rPr>
        <w:t>Hormuz re-escalation lifting oil to the point where inflation/rate fear outweighs the energy-earnings benefit.</w:t>
      </w:r>
    </w:p>
    <w:p>
      <w:pPr>
        <w:pStyle w:val="ListBullet"/>
        <w:spacing w:after="40"/>
      </w:pPr>
      <w:r>
        <w:rPr>
          <w:sz w:val="21"/>
        </w:rPr>
        <w:t>Loss of the 10,472 support (§8) / weekly S1 10,431 would confirm range breakdown.</w:t>
      </w:r>
    </w:p>
    <w:p>
      <w:pPr>
        <w:spacing w:after="120"/>
      </w:pPr>
      <w:r>
        <w:rPr>
          <w:i/>
          <w:sz w:val="19"/>
        </w:rPr>
        <w:t>Balance: modestly skewed to the upside on the immediate technical/cross-asset read, but capped by the UK-rate risk into the CPI print. Net: balanced with a mild bullish tilt.</w:t>
      </w:r>
    </w:p>
    <w:p>
      <w:pPr>
        <w:spacing w:after="80" w:before="200"/>
      </w:pPr>
      <w:r>
        <w:rPr>
          <w:b/>
          <w:color w:val="1F355E"/>
          <w:sz w:val="28"/>
        </w:rPr>
        <w:t>16 · Forward View</w:t>
      </w:r>
    </w:p>
    <w:p>
      <w:pPr>
        <w:spacing w:after="120"/>
      </w:pPr>
      <w:r>
        <w:rPr>
          <w:i w:val="0"/>
          <w:sz w:val="21"/>
        </w:rPr>
        <w:t>Expected direction (next 5 sessions): sideways-to-mildly-higher, respecting the §9 Transitional regime. The base case is continued rotation inside 10,431–10,565, with the 14-Jul upside attempt favouring the upper half of that band while the pivot confluence (10,486–10,527) holds as support. A decisive daily close above weekly R1 (10,551) would open the 10,600–10,675 resistance shelf and the path back toward the 3 July record; a daily close back below 10,472 would invalidate the bullish-resolution tilt and reopen 10,431 then 10,384. This view respects — does not contradict — the technical regime. Primary watch items: UK CPI / BoE path and Hormuz status (§13d).</w:t>
      </w:r>
    </w:p>
    <w:p>
      <w:pPr>
        <w:spacing w:after="80" w:before="200"/>
      </w:pPr>
      <w:r>
        <w:rPr>
          <w:b/>
          <w:color w:val="1F355E"/>
          <w:sz w:val="28"/>
        </w:rPr>
        <w:t>17 · Forecast (one sentence)</w:t>
      </w:r>
    </w:p>
    <w:p>
      <w:pPr>
        <w:spacing w:after="120"/>
      </w:pPr>
      <w:r>
        <w:rPr>
          <w:i/>
          <w:sz w:val="21"/>
        </w:rPr>
        <w:t>The FTSE 100 is expected to hold its pivot-confluence support near 10,490–10,527 and grind modestly higher toward weekly R1 (10,551) over the coming sessions, contingent on the UK CPI print not forcing a hawkish BoE re-pricing.</w:t>
      </w:r>
    </w:p>
    <w:p>
      <w:pPr>
        <w:spacing w:after="80" w:before="200"/>
      </w:pPr>
      <w:r>
        <w:rPr>
          <w:b/>
          <w:color w:val="1F355E"/>
          <w:sz w:val="28"/>
        </w:rPr>
        <w:t>18 · Final Analyst Judgement</w:t>
      </w:r>
    </w:p>
    <w:p>
      <w:pPr>
        <w:pStyle w:val="ListBullet"/>
        <w:spacing w:after="40"/>
      </w:pPr>
      <w:r>
        <w:rPr>
          <w:sz w:val="21"/>
        </w:rPr>
        <w:t>Consensus price call: 10,527 index points (range 10,470–10,535).</w:t>
      </w:r>
    </w:p>
    <w:p>
      <w:pPr>
        <w:pStyle w:val="ListBullet"/>
        <w:spacing w:after="40"/>
      </w:pPr>
      <w:r>
        <w:rPr>
          <w:sz w:val="21"/>
        </w:rPr>
        <w:t>Confidence: Medium.</w:t>
      </w:r>
    </w:p>
    <w:p>
      <w:pPr>
        <w:pStyle w:val="ListBullet"/>
        <w:spacing w:after="40"/>
      </w:pPr>
      <w:r>
        <w:rPr>
          <w:sz w:val="21"/>
        </w:rPr>
        <w:t>Three most important reasons: (1) five-session compression resolving with a bullish 14-Jul close at range top; (2) CONFIRM cross-asset read plus soft US CPI; (3) three-timeframe pivot confluence at 10,486–10,527 providing structural support.</w:t>
      </w:r>
    </w:p>
    <w:p>
      <w:pPr>
        <w:pStyle w:val="ListBullet"/>
        <w:spacing w:after="40"/>
      </w:pPr>
      <w:r>
        <w:rPr>
          <w:sz w:val="21"/>
        </w:rPr>
        <w:t>Single watch item: UK CPI / BoE rate path.</w:t>
      </w:r>
    </w:p>
    <w:p>
      <w:pPr>
        <w:spacing w:after="80" w:before="200"/>
      </w:pPr>
      <w:r>
        <w:rPr>
          <w:b/>
          <w:color w:val="1F355E"/>
          <w:sz w:val="28"/>
        </w:rPr>
        <w:t>19 · Source Discipline Note</w:t>
      </w:r>
    </w:p>
    <w:p>
      <w:pPr>
        <w:pStyle w:val="ListBullet"/>
        <w:spacing w:after="40"/>
      </w:pPr>
      <w:r>
        <w:rPr>
          <w:sz w:val="21"/>
        </w:rPr>
        <w:t>Live vs indicative: 9–13 Jul closes corroborated across two cash sources each (within ±0.10-pt equity tolerance where exact levels published). The 14-Jul close is single-source-indicative — providers agree on direction (+~0.3%) but differ on the exact settle (10,527 implied vs 10,532.38 Fidelity).</w:t>
      </w:r>
    </w:p>
    <w:p>
      <w:pPr>
        <w:pStyle w:val="ListBullet"/>
        <w:spacing w:after="40"/>
      </w:pPr>
      <w:r>
        <w:rPr>
          <w:sz w:val="21"/>
        </w:rPr>
        <w:t>Data gaps: EURO STOXX 50 intraday OHLC is largely single-source/directional; used for context only, not for FTSE pivot inputs.</w:t>
      </w:r>
    </w:p>
    <w:p>
      <w:pPr>
        <w:pStyle w:val="ListBullet"/>
        <w:spacing w:after="40"/>
      </w:pPr>
      <w:r>
        <w:rPr>
          <w:sz w:val="21"/>
        </w:rPr>
        <w:t>Corroboration status per pivot timeframe (contract for §21): Daily pivots = SINGLE-SOURCE-INDICATIVE (built on 14-Jul H/L/C). Weekly pivots = CORROBORATED. Monthly pivots = CORROBORATED (June range).</w:t>
      </w:r>
    </w:p>
    <w:p>
      <w:pPr>
        <w:pStyle w:val="ListBullet"/>
        <w:spacing w:after="40"/>
      </w:pPr>
      <w:r>
        <w:rPr>
          <w:sz w:val="21"/>
        </w:rPr>
        <w:t>Normalization: no FX/spec conversion required; all values native GBP index points. CFD-derived GB100 quotes excluded from level-setting per standing restrictions.</w:t>
      </w:r>
    </w:p>
    <w:p>
      <w:pPr>
        <w:spacing w:after="80" w:before="200"/>
      </w:pPr>
      <w:r>
        <w:rPr>
          <w:b/>
          <w:color w:val="1F355E"/>
          <w:sz w:val="28"/>
        </w:rPr>
        <w:t>20 · Agent Log</w:t>
      </w:r>
    </w:p>
    <w:p>
      <w:pPr>
        <w:pStyle w:val="ListBullet"/>
        <w:spacing w:after="40"/>
      </w:pPr>
      <w:r>
        <w:rPr>
          <w:sz w:val="21"/>
        </w:rPr>
        <w:t>Sources attempted: Investing.com, Trading Economics, Yahoo Finance, CNBC, Fidelity/Sharecast, Proactive Investors, Sunday Guardian, MarketScreener/Reuters, Bloomberg (headline only). Validation by two-source cash corroboration within equity-index tolerance.</w:t>
      </w:r>
    </w:p>
    <w:p>
      <w:pPr>
        <w:pStyle w:val="ListBullet"/>
        <w:spacing w:after="40"/>
      </w:pPr>
      <w:r>
        <w:rPr>
          <w:sz w:val="21"/>
        </w:rPr>
        <w:t>Corroboration pairs (close): 9 Jul Investing×Yahoo; 10 Jul Proactive×CNBC; 13 Jul TradingEcon×SundayGuardian; 14 Jul CNBC(direction)×Fidelity(level) → flagged single-source-indicative.</w:t>
      </w:r>
    </w:p>
    <w:p>
      <w:pPr>
        <w:pStyle w:val="ListBullet"/>
        <w:spacing w:after="40"/>
      </w:pPr>
      <w:r>
        <w:rPr>
          <w:sz w:val="21"/>
        </w:rPr>
        <w:t>Override applied: the daily-open anchor for this run was overridden from the configured 07:00 UK pre-open anchor; this session was anchored to the prior cash close (14 Jul) per the run instruction. Recorded here for traceability.</w:t>
      </w:r>
    </w:p>
    <w:p>
      <w:pPr>
        <w:pStyle w:val="ListBullet"/>
        <w:spacing w:after="40"/>
      </w:pPr>
      <w:r>
        <w:rPr>
          <w:sz w:val="21"/>
        </w:rPr>
        <w:t>Sentiment derivation: six articles, source-class weighted; numeric tilt +0.13 (low-confidence note: computed on six articles, above the three-article floor, but media-heavy — weight accordingly).</w:t>
      </w:r>
    </w:p>
    <w:p>
      <w:pPr>
        <w:pStyle w:val="ListBullet"/>
        <w:spacing w:after="40"/>
      </w:pPr>
      <w:r>
        <w:rPr>
          <w:sz w:val="21"/>
        </w:rPr>
        <w:t>Direction-score weights basis: DEFAULTS (v2.1 baseline, unchanged). No tuning applied; weight-lock intact.</w:t>
      </w:r>
    </w:p>
    <w:p>
      <w:pPr>
        <w:pStyle w:val="ListBullet"/>
        <w:spacing w:after="40"/>
      </w:pPr>
      <w:r>
        <w:rPr>
          <w:sz w:val="21"/>
        </w:rPr>
        <w:t>Strategy trace: Trade 1 direction score below conviction threshold → suppressed. Trade 2 built on weekly (corroborated) pivots; daily indicative pivots not used for entries. Trade 3 fork resolved to momentum-pullback given transitional/range read.</w:t>
      </w:r>
    </w:p>
    <w:p>
      <w:pPr>
        <w:pStyle w:val="ListBullet"/>
        <w:spacing w:after="40"/>
      </w:pPr>
      <w:r>
        <w:rPr>
          <w:sz w:val="21"/>
        </w:rPr>
        <w:t>Backtest reconstruction: 5 sessions replayed at each t−1 close with no forward leakage; sentiment/regime/ATR/pivots recomputed per session. See §21c.</w:t>
      </w:r>
    </w:p>
    <w:p>
      <w:pPr>
        <w:pStyle w:val="ListBullet"/>
        <w:spacing w:after="40"/>
      </w:pPr>
      <w:r>
        <w:rPr>
          <w:sz w:val="21"/>
        </w:rPr>
        <w:t>Anomalies: RSI2 on the tight 10–13 Jul cluster is noisy (near-flat sessions); KER distorted upward and treated as inconclusive. Timestamp: generated for the 15 Jul 2026 session, Europe/London.</w:t>
      </w:r>
    </w:p>
    <w:p>
      <w:pPr>
        <w:spacing w:after="80" w:before="200"/>
      </w:pPr>
      <w:r>
        <w:rPr>
          <w:b/>
          <w:color w:val="880E4F"/>
          <w:sz w:val="28"/>
        </w:rPr>
        <w:t>21 · Strategy Recommendations</w:t>
      </w:r>
    </w:p>
    <w:p>
      <w:pPr>
        <w:spacing w:after="40" w:before="120"/>
      </w:pPr>
      <w:r>
        <w:rPr>
          <w:b/>
          <w:color w:val="880E4F"/>
          <w:sz w:val="22"/>
        </w:rPr>
        <w:t>21a · Directional Conviction</w:t>
      </w:r>
    </w:p>
    <w:p>
      <w:pPr>
        <w:spacing w:after="120"/>
      </w:pPr>
      <w:r>
        <w:rPr>
          <w:i w:val="0"/>
          <w:sz w:val="21"/>
        </w:rPr>
        <w:t>Direction: LONG (low conviction). Score: +0.19. Three highest-weighted contributing signals: short-term technical bias (§8) mildly positive on the 14-Jul range-top close (+0.06 net after range discount), cross-asset confirmation (§10) +0.15 (CONFIRM), sentiment tilt (§13b) +0.13 weighted in at +0.02. The medium-term transitional regime (§9) contributes near-zero and the distorted KER is excluded. Conflict flag: the directional score (LONG) aligns with the §17 forecast (mildly higher) — no conflict. Weights basis: defaults. Because |0.19| is below the daily-directional conviction threshold, Trade 1 is suppressed; Trades 2 and 3 are regime-driven and produce regardless.</w:t>
      </w:r>
    </w:p>
    <w:p>
      <w:pPr>
        <w:spacing w:after="40" w:before="120"/>
      </w:pPr>
      <w:r>
        <w:rPr>
          <w:b/>
          <w:color w:val="880E4F"/>
          <w:sz w:val="22"/>
        </w:rPr>
        <w:t>21b · Trade Cards</w:t>
      </w:r>
    </w:p>
    <w:p>
      <w:pPr>
        <w:spacing w:after="120"/>
      </w:pPr>
      <w:r>
        <w:rPr>
          <w:i w:val="0"/>
          <w:sz w:val="20"/>
        </w:rPr>
        <w:t>Trade 1 — Daily Directional</w:t>
      </w:r>
    </w:p>
    <w:tbl>
      <w:tblPr>
        <w:tblStyle w:val="TableGrid"/>
        <w:tblW w:type="auto" w:w="0"/>
        <w:jc w:val="center"/>
        <w:tblLayout w:type="fixed"/>
        <w:tblLook w:firstColumn="1" w:firstRow="1" w:lastColumn="0" w:lastRow="0" w:noHBand="0" w:noVBand="1" w:val="04A0"/>
      </w:tblPr>
      <w:tblGrid>
        <w:gridCol w:w="4680"/>
        <w:gridCol w:w="4680"/>
      </w:tblGrid>
      <w:tr>
        <w:tc>
          <w:tcPr>
            <w:tcW w:type="dxa" w:w="3276"/>
            <w:shd w:val="clear" w:color="auto" w:fill="1f355e"/>
          </w:tcPr>
          <w:p>
            <w:r/>
            <w:r>
              <w:rPr>
                <w:b/>
                <w:color w:val="FFFFFF"/>
                <w:sz w:val="18"/>
              </w:rPr>
              <w:t>Trade 1 — Daily Directional</w:t>
            </w:r>
          </w:p>
        </w:tc>
        <w:tc>
          <w:tcPr>
            <w:tcW w:type="dxa" w:w="6084"/>
            <w:shd w:val="clear" w:color="auto" w:fill="1f355e"/>
          </w:tcPr>
          <w:p>
            <w:r/>
            <w:r>
              <w:rPr>
                <w:b/>
                <w:color w:val="FFFFFF"/>
                <w:sz w:val="18"/>
              </w:rPr>
              <w:t>SUPPRESSED — Reason</w:t>
            </w:r>
          </w:p>
        </w:tc>
      </w:tr>
      <w:tr>
        <w:tc>
          <w:tcPr>
            <w:tcW w:type="dxa" w:w="3276"/>
          </w:tcPr>
          <w:p>
            <w:r/>
            <w:r>
              <w:rPr>
                <w:sz w:val="18"/>
              </w:rPr>
              <w:t>Status</w:t>
            </w:r>
          </w:p>
        </w:tc>
        <w:tc>
          <w:tcPr>
            <w:tcW w:type="dxa" w:w="6084"/>
          </w:tcPr>
          <w:p>
            <w:r/>
            <w:r>
              <w:rPr>
                <w:sz w:val="18"/>
              </w:rPr>
              <w:t>SUPPRESSED — direction score |0.19| below conviction threshold (0.25).</w:t>
            </w:r>
          </w:p>
        </w:tc>
      </w:tr>
    </w:tbl>
    <w:p>
      <w:pPr>
        <w:spacing w:after="40"/>
      </w:pPr>
    </w:p>
    <w:p>
      <w:pPr>
        <w:spacing w:after="120"/>
      </w:pPr>
      <w:r>
        <w:rPr>
          <w:i w:val="0"/>
          <w:sz w:val="20"/>
        </w:rPr>
        <w:t>Trade 2 — Pivot (regime-aware, RANGE/TRANSITION → fade toward confluence)</w:t>
      </w:r>
    </w:p>
    <w:tbl>
      <w:tblPr>
        <w:tblStyle w:val="TableGrid"/>
        <w:tblW w:type="auto" w:w="0"/>
        <w:jc w:val="center"/>
        <w:tblLayout w:type="fixed"/>
        <w:tblLook w:firstColumn="1" w:firstRow="1" w:lastColumn="0" w:lastRow="0" w:noHBand="0" w:noVBand="1" w:val="04A0"/>
      </w:tblPr>
      <w:tblGrid>
        <w:gridCol w:w="4680"/>
        <w:gridCol w:w="4680"/>
      </w:tblGrid>
      <w:tr>
        <w:tc>
          <w:tcPr>
            <w:tcW w:type="dxa" w:w="2246"/>
            <w:shd w:val="clear" w:color="auto" w:fill="1f355e"/>
          </w:tcPr>
          <w:p>
            <w:r/>
            <w:r>
              <w:rPr>
                <w:b/>
                <w:color w:val="FFFFFF"/>
                <w:sz w:val="17"/>
              </w:rPr>
              <w:t>Field</w:t>
            </w:r>
          </w:p>
        </w:tc>
        <w:tc>
          <w:tcPr>
            <w:tcW w:type="dxa" w:w="7114"/>
            <w:shd w:val="clear" w:color="auto" w:fill="1f355e"/>
          </w:tcPr>
          <w:p>
            <w:r/>
            <w:r>
              <w:rPr>
                <w:b/>
                <w:color w:val="FFFFFF"/>
                <w:sz w:val="17"/>
              </w:rPr>
              <w:t>Detail</w:t>
            </w:r>
          </w:p>
        </w:tc>
      </w:tr>
      <w:tr>
        <w:tc>
          <w:tcPr>
            <w:tcW w:type="dxa" w:w="2246"/>
          </w:tcPr>
          <w:p>
            <w:r/>
            <w:r>
              <w:rPr>
                <w:sz w:val="17"/>
              </w:rPr>
              <w:t>Trade type</w:t>
            </w:r>
          </w:p>
        </w:tc>
        <w:tc>
          <w:tcPr>
            <w:tcW w:type="dxa" w:w="7114"/>
          </w:tcPr>
          <w:p>
            <w:r/>
            <w:r>
              <w:rPr>
                <w:sz w:val="17"/>
              </w:rPr>
              <w:t>Trade 2 — Pivot (regime-aware). Transitional regime → buy support at corroborated weekly pivot confluence.</w:t>
            </w:r>
          </w:p>
        </w:tc>
      </w:tr>
      <w:tr>
        <w:tc>
          <w:tcPr>
            <w:tcW w:type="dxa" w:w="2246"/>
            <w:shd w:val="clear" w:color="auto" w:fill="f2f4f8"/>
          </w:tcPr>
          <w:p>
            <w:r/>
            <w:r>
              <w:rPr>
                <w:sz w:val="17"/>
              </w:rPr>
              <w:t>Direction</w:t>
            </w:r>
          </w:p>
        </w:tc>
        <w:tc>
          <w:tcPr>
            <w:tcW w:type="dxa" w:w="7114"/>
            <w:shd w:val="clear" w:color="auto" w:fill="f2f4f8"/>
          </w:tcPr>
          <w:p>
            <w:r/>
            <w:r>
              <w:rPr>
                <w:sz w:val="17"/>
              </w:rPr>
              <w:t>LONG — buy the pivot-confluence support inside the transitional range.</w:t>
            </w:r>
          </w:p>
        </w:tc>
      </w:tr>
      <w:tr>
        <w:tc>
          <w:tcPr>
            <w:tcW w:type="dxa" w:w="2246"/>
          </w:tcPr>
          <w:p>
            <w:r/>
            <w:r>
              <w:rPr>
                <w:sz w:val="17"/>
              </w:rPr>
              <w:t>Entry</w:t>
            </w:r>
          </w:p>
        </w:tc>
        <w:tc>
          <w:tcPr>
            <w:tcW w:type="dxa" w:w="7114"/>
          </w:tcPr>
          <w:p>
            <w:r/>
            <w:r>
              <w:rPr>
                <w:sz w:val="17"/>
              </w:rPr>
              <w:t>Buy limit 10,486 (weekly P) — order rests at the corroborated weekly pivot; timing: working orders for the 15 Jul session.</w:t>
            </w:r>
          </w:p>
        </w:tc>
      </w:tr>
      <w:tr>
        <w:tc>
          <w:tcPr>
            <w:tcW w:type="dxa" w:w="2246"/>
            <w:shd w:val="clear" w:color="auto" w:fill="f2f4f8"/>
          </w:tcPr>
          <w:p>
            <w:r/>
            <w:r>
              <w:rPr>
                <w:sz w:val="17"/>
              </w:rPr>
              <w:t>Stop loss</w:t>
            </w:r>
          </w:p>
        </w:tc>
        <w:tc>
          <w:tcPr>
            <w:tcW w:type="dxa" w:w="7114"/>
            <w:shd w:val="clear" w:color="auto" w:fill="f2f4f8"/>
          </w:tcPr>
          <w:p>
            <w:r/>
            <w:r>
              <w:rPr>
                <w:sz w:val="17"/>
              </w:rPr>
              <w:t>10,431 — 55 points below entry (weekly S1 / structural range floor).</w:t>
            </w:r>
          </w:p>
        </w:tc>
      </w:tr>
      <w:tr>
        <w:tc>
          <w:tcPr>
            <w:tcW w:type="dxa" w:w="2246"/>
          </w:tcPr>
          <w:p>
            <w:r/>
            <w:r>
              <w:rPr>
                <w:sz w:val="17"/>
              </w:rPr>
              <w:t>Risk (R)</w:t>
            </w:r>
          </w:p>
        </w:tc>
        <w:tc>
          <w:tcPr>
            <w:tcW w:type="dxa" w:w="7114"/>
          </w:tcPr>
          <w:p>
            <w:r/>
            <w:r>
              <w:rPr>
                <w:sz w:val="17"/>
              </w:rPr>
              <w:t>55 points (1R = 55 pts).</w:t>
            </w:r>
          </w:p>
        </w:tc>
      </w:tr>
      <w:tr>
        <w:tc>
          <w:tcPr>
            <w:tcW w:type="dxa" w:w="2246"/>
            <w:shd w:val="clear" w:color="auto" w:fill="f2f4f8"/>
          </w:tcPr>
          <w:p>
            <w:r/>
            <w:r>
              <w:rPr>
                <w:sz w:val="17"/>
              </w:rPr>
              <w:t>TP1 (Unit 1)</w:t>
            </w:r>
          </w:p>
        </w:tc>
        <w:tc>
          <w:tcPr>
            <w:tcW w:type="dxa" w:w="7114"/>
            <w:shd w:val="clear" w:color="auto" w:fill="f2f4f8"/>
          </w:tcPr>
          <w:p>
            <w:r/>
            <w:r>
              <w:rPr>
                <w:sz w:val="17"/>
              </w:rPr>
              <w:t>10,541 — +1R (+55 pts). Coincides with weekly R1 10,551 zone / prior supply shelf.</w:t>
            </w:r>
          </w:p>
        </w:tc>
      </w:tr>
      <w:tr>
        <w:tc>
          <w:tcPr>
            <w:tcW w:type="dxa" w:w="2246"/>
          </w:tcPr>
          <w:p>
            <w:r/>
            <w:r>
              <w:rPr>
                <w:sz w:val="17"/>
              </w:rPr>
              <w:t>TP2 (Unit 2)</w:t>
            </w:r>
          </w:p>
        </w:tc>
        <w:tc>
          <w:tcPr>
            <w:tcW w:type="dxa" w:w="7114"/>
          </w:tcPr>
          <w:p>
            <w:r/>
            <w:r>
              <w:rPr>
                <w:sz w:val="17"/>
              </w:rPr>
              <w:t>10,596 — +2R (+110 pts). Near daily R2 10,603.</w:t>
            </w:r>
          </w:p>
        </w:tc>
      </w:tr>
      <w:tr>
        <w:tc>
          <w:tcPr>
            <w:tcW w:type="dxa" w:w="2246"/>
            <w:shd w:val="clear" w:color="auto" w:fill="f2f4f8"/>
          </w:tcPr>
          <w:p>
            <w:r/>
            <w:r>
              <w:rPr>
                <w:sz w:val="17"/>
              </w:rPr>
              <w:t>TP3 (Unit 3, runner)</w:t>
            </w:r>
          </w:p>
        </w:tc>
        <w:tc>
          <w:tcPr>
            <w:tcW w:type="dxa" w:w="7114"/>
            <w:shd w:val="clear" w:color="auto" w:fill="f2f4f8"/>
          </w:tcPr>
          <w:p>
            <w:r/>
            <w:r>
              <w:rPr>
                <w:sz w:val="17"/>
              </w:rPr>
              <w:t>Runner exits at pivot P re-test failure or 10,675 (daily R3 / resistance shelf); trail per tranche rule.</w:t>
            </w:r>
          </w:p>
        </w:tc>
      </w:tr>
      <w:tr>
        <w:tc>
          <w:tcPr>
            <w:tcW w:type="dxa" w:w="2246"/>
          </w:tcPr>
          <w:p>
            <w:r/>
            <w:r>
              <w:rPr>
                <w:sz w:val="17"/>
              </w:rPr>
              <w:t>Tranche management</w:t>
            </w:r>
          </w:p>
        </w:tc>
        <w:tc>
          <w:tcPr>
            <w:tcW w:type="dxa" w:w="7114"/>
          </w:tcPr>
          <w:p>
            <w:r/>
            <w:r>
              <w:rPr>
                <w:sz w:val="17"/>
              </w:rPr>
              <w:t>3 equal units; Unit 1 exits at TP1; Unit 2 exits at TP2; on Unit 2 fill, Unit 3 stop moves to entry + 0.2R (10,497).</w:t>
            </w:r>
          </w:p>
        </w:tc>
      </w:tr>
      <w:tr>
        <w:tc>
          <w:tcPr>
            <w:tcW w:type="dxa" w:w="2246"/>
            <w:shd w:val="clear" w:color="auto" w:fill="f2f4f8"/>
          </w:tcPr>
          <w:p>
            <w:r/>
            <w:r>
              <w:rPr>
                <w:sz w:val="17"/>
              </w:rPr>
              <w:t>Confluences</w:t>
            </w:r>
          </w:p>
        </w:tc>
        <w:tc>
          <w:tcPr>
            <w:tcW w:type="dxa" w:w="7114"/>
            <w:shd w:val="clear" w:color="auto" w:fill="f2f4f8"/>
          </w:tcPr>
          <w:p>
            <w:r/>
            <w:r>
              <w:rPr>
                <w:sz w:val="17"/>
              </w:rPr>
              <w:t>Entry 10,486: weekly P + daily P (10,494) + monthly P (10,508) within ~0.2% → STRONG confluence. Stop 10,431: weekly S1. TP1 10,541: weekly R1 shelf.</w:t>
            </w:r>
          </w:p>
        </w:tc>
      </w:tr>
      <w:tr>
        <w:tc>
          <w:tcPr>
            <w:tcW w:type="dxa" w:w="2246"/>
          </w:tcPr>
          <w:p>
            <w:r/>
            <w:r>
              <w:rPr>
                <w:sz w:val="17"/>
              </w:rPr>
              <w:t>Thesis invalidation</w:t>
            </w:r>
          </w:p>
        </w:tc>
        <w:tc>
          <w:tcPr>
            <w:tcW w:type="dxa" w:w="7114"/>
          </w:tcPr>
          <w:p>
            <w:r/>
            <w:r>
              <w:rPr>
                <w:sz w:val="17"/>
              </w:rPr>
              <w:t>Daily close below 10,472 (9-Jul close / range support) breaks the range-hold narrative — distinct from the 10,431 stop.</w:t>
            </w:r>
          </w:p>
        </w:tc>
      </w:tr>
      <w:tr>
        <w:tc>
          <w:tcPr>
            <w:tcW w:type="dxa" w:w="2246"/>
            <w:shd w:val="clear" w:color="auto" w:fill="f2f4f8"/>
          </w:tcPr>
          <w:p>
            <w:r/>
            <w:r>
              <w:rPr>
                <w:sz w:val="17"/>
              </w:rPr>
              <w:t>Caveats</w:t>
            </w:r>
          </w:p>
        </w:tc>
        <w:tc>
          <w:tcPr>
            <w:tcW w:type="dxa" w:w="7114"/>
            <w:shd w:val="clear" w:color="auto" w:fill="f2f4f8"/>
          </w:tcPr>
          <w:p>
            <w:r/>
            <w:r>
              <w:rPr>
                <w:sz w:val="17"/>
              </w:rPr>
              <w:t>Entry uses CORROBORATED weekly pivots (daily pivots are single-source-indicative and are NOT used for entry); holding period collides with UK CPI (§13d Tier-1) — size accordingly; low-confidence sentiment tilt.</w:t>
            </w:r>
          </w:p>
        </w:tc>
      </w:tr>
    </w:tbl>
    <w:p>
      <w:pPr>
        <w:spacing w:after="40"/>
      </w:pPr>
    </w:p>
    <w:p>
      <w:pPr>
        <w:spacing w:after="120"/>
      </w:pPr>
      <w:r>
        <w:rPr>
          <w:i w:val="0"/>
          <w:sz w:val="20"/>
        </w:rPr>
        <w:t>Trade 3 — Momentum-Pullback (3A)</w:t>
      </w:r>
    </w:p>
    <w:tbl>
      <w:tblPr>
        <w:tblStyle w:val="TableGrid"/>
        <w:tblW w:type="auto" w:w="0"/>
        <w:jc w:val="center"/>
        <w:tblLayout w:type="fixed"/>
        <w:tblLook w:firstColumn="1" w:firstRow="1" w:lastColumn="0" w:lastRow="0" w:noHBand="0" w:noVBand="1" w:val="04A0"/>
      </w:tblPr>
      <w:tblGrid>
        <w:gridCol w:w="4680"/>
        <w:gridCol w:w="4680"/>
      </w:tblGrid>
      <w:tr>
        <w:tc>
          <w:tcPr>
            <w:tcW w:type="dxa" w:w="2246"/>
            <w:shd w:val="clear" w:color="auto" w:fill="1f355e"/>
          </w:tcPr>
          <w:p>
            <w:r/>
            <w:r>
              <w:rPr>
                <w:b/>
                <w:color w:val="FFFFFF"/>
                <w:sz w:val="17"/>
              </w:rPr>
              <w:t>Field</w:t>
            </w:r>
          </w:p>
        </w:tc>
        <w:tc>
          <w:tcPr>
            <w:tcW w:type="dxa" w:w="7114"/>
            <w:shd w:val="clear" w:color="auto" w:fill="1f355e"/>
          </w:tcPr>
          <w:p>
            <w:r/>
            <w:r>
              <w:rPr>
                <w:b/>
                <w:color w:val="FFFFFF"/>
                <w:sz w:val="17"/>
              </w:rPr>
              <w:t>Detail</w:t>
            </w:r>
          </w:p>
        </w:tc>
      </w:tr>
      <w:tr>
        <w:tc>
          <w:tcPr>
            <w:tcW w:type="dxa" w:w="2246"/>
          </w:tcPr>
          <w:p>
            <w:r/>
            <w:r>
              <w:rPr>
                <w:sz w:val="17"/>
              </w:rPr>
              <w:t>Trade type</w:t>
            </w:r>
          </w:p>
        </w:tc>
        <w:tc>
          <w:tcPr>
            <w:tcW w:type="dxa" w:w="7114"/>
          </w:tcPr>
          <w:p>
            <w:r/>
            <w:r>
              <w:rPr>
                <w:sz w:val="17"/>
              </w:rPr>
              <w:t>Trade 3A — Momentum-Pullback. 14-Jul range-top close + CONFIRM cross-asset → buy a shallow pullback in the resolution attempt.</w:t>
            </w:r>
          </w:p>
        </w:tc>
      </w:tr>
      <w:tr>
        <w:tc>
          <w:tcPr>
            <w:tcW w:type="dxa" w:w="2246"/>
            <w:shd w:val="clear" w:color="auto" w:fill="f2f4f8"/>
          </w:tcPr>
          <w:p>
            <w:r/>
            <w:r>
              <w:rPr>
                <w:sz w:val="17"/>
              </w:rPr>
              <w:t>Direction</w:t>
            </w:r>
          </w:p>
        </w:tc>
        <w:tc>
          <w:tcPr>
            <w:tcW w:type="dxa" w:w="7114"/>
            <w:shd w:val="clear" w:color="auto" w:fill="f2f4f8"/>
          </w:tcPr>
          <w:p>
            <w:r/>
            <w:r>
              <w:rPr>
                <w:sz w:val="17"/>
              </w:rPr>
              <w:t>LONG — momentum-pullback within the nascent upside break.</w:t>
            </w:r>
          </w:p>
        </w:tc>
      </w:tr>
      <w:tr>
        <w:tc>
          <w:tcPr>
            <w:tcW w:type="dxa" w:w="2246"/>
          </w:tcPr>
          <w:p>
            <w:r/>
            <w:r>
              <w:rPr>
                <w:sz w:val="17"/>
              </w:rPr>
              <w:t>Entry</w:t>
            </w:r>
          </w:p>
        </w:tc>
        <w:tc>
          <w:tcPr>
            <w:tcW w:type="dxa" w:w="7114"/>
          </w:tcPr>
          <w:p>
            <w:r/>
            <w:r>
              <w:rPr>
                <w:sz w:val="17"/>
              </w:rPr>
              <w:t>Stop-entry 10,533 on a confirmed break above the 10,532 supply shelf (buy-stop); timing: 15 Jul session.</w:t>
            </w:r>
          </w:p>
        </w:tc>
      </w:tr>
      <w:tr>
        <w:tc>
          <w:tcPr>
            <w:tcW w:type="dxa" w:w="2246"/>
            <w:shd w:val="clear" w:color="auto" w:fill="f2f4f8"/>
          </w:tcPr>
          <w:p>
            <w:r/>
            <w:r>
              <w:rPr>
                <w:sz w:val="17"/>
              </w:rPr>
              <w:t>Stop loss</w:t>
            </w:r>
          </w:p>
        </w:tc>
        <w:tc>
          <w:tcPr>
            <w:tcW w:type="dxa" w:w="7114"/>
            <w:shd w:val="clear" w:color="auto" w:fill="f2f4f8"/>
          </w:tcPr>
          <w:p>
            <w:r/>
            <w:r>
              <w:rPr>
                <w:sz w:val="17"/>
              </w:rPr>
              <w:t>10,486 — 47 points below entry (weekly P confluence).</w:t>
            </w:r>
          </w:p>
        </w:tc>
      </w:tr>
      <w:tr>
        <w:tc>
          <w:tcPr>
            <w:tcW w:type="dxa" w:w="2246"/>
          </w:tcPr>
          <w:p>
            <w:r/>
            <w:r>
              <w:rPr>
                <w:sz w:val="17"/>
              </w:rPr>
              <w:t>Risk (R)</w:t>
            </w:r>
          </w:p>
        </w:tc>
        <w:tc>
          <w:tcPr>
            <w:tcW w:type="dxa" w:w="7114"/>
          </w:tcPr>
          <w:p>
            <w:r/>
            <w:r>
              <w:rPr>
                <w:sz w:val="17"/>
              </w:rPr>
              <w:t>47 points (1R = 47 pts).</w:t>
            </w:r>
          </w:p>
        </w:tc>
      </w:tr>
      <w:tr>
        <w:tc>
          <w:tcPr>
            <w:tcW w:type="dxa" w:w="2246"/>
            <w:shd w:val="clear" w:color="auto" w:fill="f2f4f8"/>
          </w:tcPr>
          <w:p>
            <w:r/>
            <w:r>
              <w:rPr>
                <w:sz w:val="17"/>
              </w:rPr>
              <w:t>TP1 (Unit 1)</w:t>
            </w:r>
          </w:p>
        </w:tc>
        <w:tc>
          <w:tcPr>
            <w:tcW w:type="dxa" w:w="7114"/>
            <w:shd w:val="clear" w:color="auto" w:fill="f2f4f8"/>
          </w:tcPr>
          <w:p>
            <w:r/>
            <w:r>
              <w:rPr>
                <w:sz w:val="17"/>
              </w:rPr>
              <w:t>38.2% extension target ≈ 10,562 — first structural target (weekly R1 zone).</w:t>
            </w:r>
          </w:p>
        </w:tc>
      </w:tr>
      <w:tr>
        <w:tc>
          <w:tcPr>
            <w:tcW w:type="dxa" w:w="2246"/>
          </w:tcPr>
          <w:p>
            <w:r/>
            <w:r>
              <w:rPr>
                <w:sz w:val="17"/>
              </w:rPr>
              <w:t>TP2 (Unit 2)</w:t>
            </w:r>
          </w:p>
        </w:tc>
        <w:tc>
          <w:tcPr>
            <w:tcW w:type="dxa" w:w="7114"/>
          </w:tcPr>
          <w:p>
            <w:r/>
            <w:r>
              <w:rPr>
                <w:sz w:val="17"/>
              </w:rPr>
              <w:t>Measured move ≈ 10,596 (range width ~110 pts projected).</w:t>
            </w:r>
          </w:p>
        </w:tc>
      </w:tr>
      <w:tr>
        <w:tc>
          <w:tcPr>
            <w:tcW w:type="dxa" w:w="2246"/>
            <w:shd w:val="clear" w:color="auto" w:fill="f2f4f8"/>
          </w:tcPr>
          <w:p>
            <w:r/>
            <w:r>
              <w:rPr>
                <w:sz w:val="17"/>
              </w:rPr>
              <w:t>TP3 (Unit 3, runner)</w:t>
            </w:r>
          </w:p>
        </w:tc>
        <w:tc>
          <w:tcPr>
            <w:tcW w:type="dxa" w:w="7114"/>
            <w:shd w:val="clear" w:color="auto" w:fill="f2f4f8"/>
          </w:tcPr>
          <w:p>
            <w:r/>
            <w:r>
              <w:rPr>
                <w:sz w:val="17"/>
              </w:rPr>
              <w:t>100%+ extension / break toward 10,675 (daily R3); structural runner override if the extension breaks.</w:t>
            </w:r>
          </w:p>
        </w:tc>
      </w:tr>
      <w:tr>
        <w:tc>
          <w:tcPr>
            <w:tcW w:type="dxa" w:w="2246"/>
          </w:tcPr>
          <w:p>
            <w:r/>
            <w:r>
              <w:rPr>
                <w:sz w:val="17"/>
              </w:rPr>
              <w:t>Tranche management</w:t>
            </w:r>
          </w:p>
        </w:tc>
        <w:tc>
          <w:tcPr>
            <w:tcW w:type="dxa" w:w="7114"/>
          </w:tcPr>
          <w:p>
            <w:r/>
            <w:r>
              <w:rPr>
                <w:sz w:val="17"/>
              </w:rPr>
              <w:t>3 equal units; Unit 1 at TP1; Unit 2 at TP2; on Unit 2 fill, Unit 3 stop → entry + 0.2R (10,542). 3A override: on 100%-extension break, stop → halfway between entry and 0% anchor.</w:t>
            </w:r>
          </w:p>
        </w:tc>
      </w:tr>
      <w:tr>
        <w:tc>
          <w:tcPr>
            <w:tcW w:type="dxa" w:w="2246"/>
            <w:shd w:val="clear" w:color="auto" w:fill="f2f4f8"/>
          </w:tcPr>
          <w:p>
            <w:r/>
            <w:r>
              <w:rPr>
                <w:sz w:val="17"/>
              </w:rPr>
              <w:t>Confluences</w:t>
            </w:r>
          </w:p>
        </w:tc>
        <w:tc>
          <w:tcPr>
            <w:tcW w:type="dxa" w:w="7114"/>
            <w:shd w:val="clear" w:color="auto" w:fill="f2f4f8"/>
          </w:tcPr>
          <w:p>
            <w:r/>
            <w:r>
              <w:rPr>
                <w:sz w:val="17"/>
              </w:rPr>
              <w:t>Entry 10,533: repeated intraday high shelf (8–14 Jul). Stop 10,486: triple-pivot confluence. TP1 10,562: weekly R1.</w:t>
            </w:r>
          </w:p>
        </w:tc>
      </w:tr>
      <w:tr>
        <w:tc>
          <w:tcPr>
            <w:tcW w:type="dxa" w:w="2246"/>
          </w:tcPr>
          <w:p>
            <w:r/>
            <w:r>
              <w:rPr>
                <w:sz w:val="17"/>
              </w:rPr>
              <w:t>Thesis invalidation</w:t>
            </w:r>
          </w:p>
        </w:tc>
        <w:tc>
          <w:tcPr>
            <w:tcW w:type="dxa" w:w="7114"/>
          </w:tcPr>
          <w:p>
            <w:r/>
            <w:r>
              <w:rPr>
                <w:sz w:val="17"/>
              </w:rPr>
              <w:t>Daily close back below 10,486 pivot confluence negates the breakout attempt.</w:t>
            </w:r>
          </w:p>
        </w:tc>
      </w:tr>
      <w:tr>
        <w:tc>
          <w:tcPr>
            <w:tcW w:type="dxa" w:w="2246"/>
            <w:shd w:val="clear" w:color="auto" w:fill="f2f4f8"/>
          </w:tcPr>
          <w:p>
            <w:r/>
            <w:r>
              <w:rPr>
                <w:sz w:val="17"/>
              </w:rPr>
              <w:t>Caveats</w:t>
            </w:r>
          </w:p>
        </w:tc>
        <w:tc>
          <w:tcPr>
            <w:tcW w:type="dxa" w:w="7114"/>
            <w:shd w:val="clear" w:color="auto" w:fill="f2f4f8"/>
          </w:tcPr>
          <w:p>
            <w:r/>
            <w:r>
              <w:rPr>
                <w:sz w:val="17"/>
              </w:rPr>
              <w:t>Break not yet confirmed (14-Jul close just below shelf); UK CPI collision (§13d); low-confidence sentiment.</w:t>
            </w:r>
          </w:p>
        </w:tc>
      </w:tr>
    </w:tbl>
    <w:p>
      <w:pPr>
        <w:spacing w:after="40"/>
      </w:pPr>
    </w:p>
    <w:p>
      <w:pPr>
        <w:spacing w:after="40" w:before="120"/>
      </w:pPr>
      <w:r>
        <w:rPr>
          <w:b/>
          <w:color w:val="880E4F"/>
          <w:sz w:val="22"/>
        </w:rPr>
        <w:t>21c · 5-Session No-Leakage Backtest</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217"/>
            <w:shd w:val="clear" w:color="auto" w:fill="1f355e"/>
          </w:tcPr>
          <w:p>
            <w:r/>
            <w:r>
              <w:rPr>
                <w:b/>
                <w:color w:val="FFFFFF"/>
                <w:sz w:val="16"/>
              </w:rPr>
              <w:t>Date (t−N)</w:t>
            </w:r>
          </w:p>
        </w:tc>
        <w:tc>
          <w:tcPr>
            <w:tcW w:type="dxa" w:w="1123"/>
            <w:shd w:val="clear" w:color="auto" w:fill="1f355e"/>
          </w:tcPr>
          <w:p>
            <w:r/>
            <w:r>
              <w:rPr>
                <w:b/>
                <w:color w:val="FFFFFF"/>
                <w:sz w:val="16"/>
              </w:rPr>
              <w:t>Strategy</w:t>
            </w:r>
          </w:p>
        </w:tc>
        <w:tc>
          <w:tcPr>
            <w:tcW w:type="dxa" w:w="1217"/>
            <w:shd w:val="clear" w:color="auto" w:fill="1f355e"/>
          </w:tcPr>
          <w:p>
            <w:r/>
            <w:r>
              <w:rPr>
                <w:b/>
                <w:color w:val="FFFFFF"/>
                <w:sz w:val="16"/>
              </w:rPr>
              <w:t>Direction</w:t>
            </w:r>
          </w:p>
        </w:tc>
        <w:tc>
          <w:tcPr>
            <w:tcW w:type="dxa" w:w="1123"/>
            <w:shd w:val="clear" w:color="auto" w:fill="1f355e"/>
          </w:tcPr>
          <w:p>
            <w:r/>
            <w:r>
              <w:rPr>
                <w:b/>
                <w:color w:val="FFFFFF"/>
                <w:sz w:val="16"/>
              </w:rPr>
              <w:t>Triggered</w:t>
            </w:r>
          </w:p>
        </w:tc>
        <w:tc>
          <w:tcPr>
            <w:tcW w:type="dxa" w:w="1685"/>
            <w:shd w:val="clear" w:color="auto" w:fill="1f355e"/>
          </w:tcPr>
          <w:p>
            <w:r/>
            <w:r>
              <w:rPr>
                <w:b/>
                <w:color w:val="FFFFFF"/>
                <w:sz w:val="16"/>
              </w:rPr>
              <w:t>Entry / Exit</w:t>
            </w:r>
          </w:p>
        </w:tc>
        <w:tc>
          <w:tcPr>
            <w:tcW w:type="dxa" w:w="1498"/>
            <w:shd w:val="clear" w:color="auto" w:fill="1f355e"/>
          </w:tcPr>
          <w:p>
            <w:r/>
            <w:r>
              <w:rPr>
                <w:b/>
                <w:color w:val="FFFFFF"/>
                <w:sz w:val="16"/>
              </w:rPr>
              <w:t>Outcome (R)</w:t>
            </w:r>
          </w:p>
        </w:tc>
        <w:tc>
          <w:tcPr>
            <w:tcW w:type="dxa" w:w="1498"/>
            <w:shd w:val="clear" w:color="auto" w:fill="1f355e"/>
          </w:tcPr>
          <w:p>
            <w:r/>
            <w:r>
              <w:rPr>
                <w:b/>
                <w:color w:val="FFFFFF"/>
                <w:sz w:val="16"/>
              </w:rPr>
              <w:t>Days to res.</w:t>
            </w:r>
          </w:p>
        </w:tc>
      </w:tr>
      <w:tr>
        <w:tc>
          <w:tcPr>
            <w:tcW w:type="dxa" w:w="1217"/>
          </w:tcPr>
          <w:p>
            <w:r/>
            <w:r>
              <w:rPr>
                <w:sz w:val="16"/>
              </w:rPr>
              <w:t>8 Jul (t−5)</w:t>
            </w:r>
          </w:p>
        </w:tc>
        <w:tc>
          <w:tcPr>
            <w:tcW w:type="dxa" w:w="1123"/>
          </w:tcPr>
          <w:p>
            <w:r/>
            <w:r>
              <w:rPr>
                <w:sz w:val="16"/>
              </w:rPr>
              <w:t>Trade 2</w:t>
            </w:r>
          </w:p>
        </w:tc>
        <w:tc>
          <w:tcPr>
            <w:tcW w:type="dxa" w:w="1217"/>
          </w:tcPr>
          <w:p>
            <w:r/>
            <w:r>
              <w:rPr>
                <w:sz w:val="16"/>
              </w:rPr>
              <w:t>LONG</w:t>
            </w:r>
          </w:p>
        </w:tc>
        <w:tc>
          <w:tcPr>
            <w:tcW w:type="dxa" w:w="1123"/>
          </w:tcPr>
          <w:p>
            <w:r/>
            <w:r>
              <w:rPr>
                <w:sz w:val="16"/>
              </w:rPr>
              <w:t>YES</w:t>
            </w:r>
          </w:p>
        </w:tc>
        <w:tc>
          <w:tcPr>
            <w:tcW w:type="dxa" w:w="1685"/>
          </w:tcPr>
          <w:p>
            <w:r/>
            <w:r>
              <w:rPr>
                <w:sz w:val="16"/>
              </w:rPr>
              <w:t>10,470 / 10,527</w:t>
            </w:r>
          </w:p>
        </w:tc>
        <w:tc>
          <w:tcPr>
            <w:tcW w:type="dxa" w:w="1498"/>
          </w:tcPr>
          <w:p>
            <w:r/>
            <w:r>
              <w:rPr>
                <w:sz w:val="16"/>
              </w:rPr>
              <w:t>+1.0R (TP1)</w:t>
            </w:r>
          </w:p>
        </w:tc>
        <w:tc>
          <w:tcPr>
            <w:tcW w:type="dxa" w:w="1498"/>
          </w:tcPr>
          <w:p>
            <w:r/>
            <w:r>
              <w:rPr>
                <w:sz w:val="16"/>
              </w:rPr>
              <w:t>1</w:t>
            </w:r>
          </w:p>
        </w:tc>
      </w:tr>
      <w:tr>
        <w:tc>
          <w:tcPr>
            <w:tcW w:type="dxa" w:w="1217"/>
            <w:shd w:val="clear" w:color="auto" w:fill="f2f4f8"/>
          </w:tcPr>
          <w:p>
            <w:r/>
            <w:r>
              <w:rPr>
                <w:sz w:val="16"/>
              </w:rPr>
              <w:t>8 Jul (t−5)</w:t>
            </w:r>
          </w:p>
        </w:tc>
        <w:tc>
          <w:tcPr>
            <w:tcW w:type="dxa" w:w="1123"/>
            <w:shd w:val="clear" w:color="auto" w:fill="f2f4f8"/>
          </w:tcPr>
          <w:p>
            <w:r/>
            <w:r>
              <w:rPr>
                <w:sz w:val="16"/>
              </w:rPr>
              <w:t>Trade 3A</w:t>
            </w:r>
          </w:p>
        </w:tc>
        <w:tc>
          <w:tcPr>
            <w:tcW w:type="dxa" w:w="1217"/>
            <w:shd w:val="clear" w:color="auto" w:fill="f2f4f8"/>
          </w:tcPr>
          <w:p>
            <w:r/>
            <w:r>
              <w:rPr>
                <w:sz w:val="16"/>
              </w:rPr>
              <w:t>LONG</w:t>
            </w:r>
          </w:p>
        </w:tc>
        <w:tc>
          <w:tcPr>
            <w:tcW w:type="dxa" w:w="1123"/>
            <w:shd w:val="clear" w:color="auto" w:fill="f2f4f8"/>
          </w:tcPr>
          <w:p>
            <w:r/>
            <w:r>
              <w:rPr>
                <w:sz w:val="16"/>
              </w:rPr>
              <w:t>NO</w:t>
            </w:r>
          </w:p>
        </w:tc>
        <w:tc>
          <w:tcPr>
            <w:tcW w:type="dxa" w:w="1685"/>
            <w:shd w:val="clear" w:color="auto" w:fill="f2f4f8"/>
          </w:tcPr>
          <w:p>
            <w:r/>
            <w:r>
              <w:rPr>
                <w:sz w:val="16"/>
              </w:rPr>
              <w:t>break not reached</w:t>
            </w:r>
          </w:p>
        </w:tc>
        <w:tc>
          <w:tcPr>
            <w:tcW w:type="dxa" w:w="1498"/>
            <w:shd w:val="clear" w:color="auto" w:fill="f2f4f8"/>
          </w:tcPr>
          <w:p>
            <w:r/>
            <w:r>
              <w:rPr>
                <w:sz w:val="16"/>
              </w:rPr>
              <w:t>—</w:t>
            </w:r>
          </w:p>
        </w:tc>
        <w:tc>
          <w:tcPr>
            <w:tcW w:type="dxa" w:w="1498"/>
            <w:shd w:val="clear" w:color="auto" w:fill="f2f4f8"/>
          </w:tcPr>
          <w:p>
            <w:r/>
            <w:r>
              <w:rPr>
                <w:sz w:val="16"/>
              </w:rPr>
              <w:t>—</w:t>
            </w:r>
          </w:p>
        </w:tc>
      </w:tr>
      <w:tr>
        <w:tc>
          <w:tcPr>
            <w:tcW w:type="dxa" w:w="1217"/>
          </w:tcPr>
          <w:p>
            <w:r/>
            <w:r>
              <w:rPr>
                <w:sz w:val="16"/>
              </w:rPr>
              <w:t>9 Jul (t−4)</w:t>
            </w:r>
          </w:p>
        </w:tc>
        <w:tc>
          <w:tcPr>
            <w:tcW w:type="dxa" w:w="1123"/>
          </w:tcPr>
          <w:p>
            <w:r/>
            <w:r>
              <w:rPr>
                <w:sz w:val="16"/>
              </w:rPr>
              <w:t>Trade 2</w:t>
            </w:r>
          </w:p>
        </w:tc>
        <w:tc>
          <w:tcPr>
            <w:tcW w:type="dxa" w:w="1217"/>
          </w:tcPr>
          <w:p>
            <w:r/>
            <w:r>
              <w:rPr>
                <w:sz w:val="16"/>
              </w:rPr>
              <w:t>LONG</w:t>
            </w:r>
          </w:p>
        </w:tc>
        <w:tc>
          <w:tcPr>
            <w:tcW w:type="dxa" w:w="1123"/>
          </w:tcPr>
          <w:p>
            <w:r/>
            <w:r>
              <w:rPr>
                <w:sz w:val="16"/>
              </w:rPr>
              <w:t>YES</w:t>
            </w:r>
          </w:p>
        </w:tc>
        <w:tc>
          <w:tcPr>
            <w:tcW w:type="dxa" w:w="1685"/>
          </w:tcPr>
          <w:p>
            <w:r/>
            <w:r>
              <w:rPr>
                <w:sz w:val="16"/>
              </w:rPr>
              <w:t>10,472 / 10,497 open</w:t>
            </w:r>
          </w:p>
        </w:tc>
        <w:tc>
          <w:tcPr>
            <w:tcW w:type="dxa" w:w="1498"/>
          </w:tcPr>
          <w:p>
            <w:r/>
            <w:r>
              <w:rPr>
                <w:sz w:val="16"/>
              </w:rPr>
              <w:t>OPEN @ +0.4R</w:t>
            </w:r>
          </w:p>
        </w:tc>
        <w:tc>
          <w:tcPr>
            <w:tcW w:type="dxa" w:w="1498"/>
          </w:tcPr>
          <w:p>
            <w:r/>
            <w:r>
              <w:rPr>
                <w:sz w:val="16"/>
              </w:rPr>
              <w:t>5+ (open)</w:t>
            </w:r>
          </w:p>
        </w:tc>
      </w:tr>
      <w:tr>
        <w:tc>
          <w:tcPr>
            <w:tcW w:type="dxa" w:w="1217"/>
            <w:shd w:val="clear" w:color="auto" w:fill="f2f4f8"/>
          </w:tcPr>
          <w:p>
            <w:r/>
            <w:r>
              <w:rPr>
                <w:sz w:val="16"/>
              </w:rPr>
              <w:t>9 Jul (t−4)</w:t>
            </w:r>
          </w:p>
        </w:tc>
        <w:tc>
          <w:tcPr>
            <w:tcW w:type="dxa" w:w="1123"/>
            <w:shd w:val="clear" w:color="auto" w:fill="f2f4f8"/>
          </w:tcPr>
          <w:p>
            <w:r/>
            <w:r>
              <w:rPr>
                <w:sz w:val="16"/>
              </w:rPr>
              <w:t>Trade 1</w:t>
            </w:r>
          </w:p>
        </w:tc>
        <w:tc>
          <w:tcPr>
            <w:tcW w:type="dxa" w:w="1217"/>
            <w:shd w:val="clear" w:color="auto" w:fill="f2f4f8"/>
          </w:tcPr>
          <w:p>
            <w:r/>
            <w:r>
              <w:rPr>
                <w:sz w:val="16"/>
              </w:rPr>
              <w:t>SHORT</w:t>
            </w:r>
          </w:p>
        </w:tc>
        <w:tc>
          <w:tcPr>
            <w:tcW w:type="dxa" w:w="1123"/>
            <w:shd w:val="clear" w:color="auto" w:fill="f2f4f8"/>
          </w:tcPr>
          <w:p>
            <w:r/>
            <w:r>
              <w:rPr>
                <w:sz w:val="16"/>
              </w:rPr>
              <w:t>SUPPRESSED</w:t>
            </w:r>
          </w:p>
        </w:tc>
        <w:tc>
          <w:tcPr>
            <w:tcW w:type="dxa" w:w="1685"/>
            <w:shd w:val="clear" w:color="auto" w:fill="f2f4f8"/>
          </w:tcPr>
          <w:p>
            <w:r/>
            <w:r>
              <w:rPr>
                <w:sz w:val="16"/>
              </w:rPr>
              <w:t>—</w:t>
            </w:r>
          </w:p>
        </w:tc>
        <w:tc>
          <w:tcPr>
            <w:tcW w:type="dxa" w:w="1498"/>
            <w:shd w:val="clear" w:color="auto" w:fill="f2f4f8"/>
          </w:tcPr>
          <w:p>
            <w:r/>
            <w:r>
              <w:rPr>
                <w:sz w:val="16"/>
              </w:rPr>
              <w:t>—</w:t>
            </w:r>
          </w:p>
        </w:tc>
        <w:tc>
          <w:tcPr>
            <w:tcW w:type="dxa" w:w="1498"/>
            <w:shd w:val="clear" w:color="auto" w:fill="f2f4f8"/>
          </w:tcPr>
          <w:p>
            <w:r/>
            <w:r>
              <w:rPr>
                <w:sz w:val="16"/>
              </w:rPr>
              <w:t>—</w:t>
            </w:r>
          </w:p>
        </w:tc>
      </w:tr>
      <w:tr>
        <w:tc>
          <w:tcPr>
            <w:tcW w:type="dxa" w:w="1217"/>
          </w:tcPr>
          <w:p>
            <w:r/>
            <w:r>
              <w:rPr>
                <w:sz w:val="16"/>
              </w:rPr>
              <w:t>10 Jul (t−3)</w:t>
            </w:r>
          </w:p>
        </w:tc>
        <w:tc>
          <w:tcPr>
            <w:tcW w:type="dxa" w:w="1123"/>
          </w:tcPr>
          <w:p>
            <w:r/>
            <w:r>
              <w:rPr>
                <w:sz w:val="16"/>
              </w:rPr>
              <w:t>Trade 2</w:t>
            </w:r>
          </w:p>
        </w:tc>
        <w:tc>
          <w:tcPr>
            <w:tcW w:type="dxa" w:w="1217"/>
          </w:tcPr>
          <w:p>
            <w:r/>
            <w:r>
              <w:rPr>
                <w:sz w:val="16"/>
              </w:rPr>
              <w:t>LONG</w:t>
            </w:r>
          </w:p>
        </w:tc>
        <w:tc>
          <w:tcPr>
            <w:tcW w:type="dxa" w:w="1123"/>
          </w:tcPr>
          <w:p>
            <w:r/>
            <w:r>
              <w:rPr>
                <w:sz w:val="16"/>
              </w:rPr>
              <w:t>NO</w:t>
            </w:r>
          </w:p>
        </w:tc>
        <w:tc>
          <w:tcPr>
            <w:tcW w:type="dxa" w:w="1685"/>
          </w:tcPr>
          <w:p>
            <w:r/>
            <w:r>
              <w:rPr>
                <w:sz w:val="16"/>
              </w:rPr>
              <w:t>limit not hit</w:t>
            </w:r>
          </w:p>
        </w:tc>
        <w:tc>
          <w:tcPr>
            <w:tcW w:type="dxa" w:w="1498"/>
          </w:tcPr>
          <w:p>
            <w:r/>
            <w:r>
              <w:rPr>
                <w:sz w:val="16"/>
              </w:rPr>
              <w:t>—</w:t>
            </w:r>
          </w:p>
        </w:tc>
        <w:tc>
          <w:tcPr>
            <w:tcW w:type="dxa" w:w="1498"/>
          </w:tcPr>
          <w:p>
            <w:r/>
            <w:r>
              <w:rPr>
                <w:sz w:val="16"/>
              </w:rPr>
              <w:t>—</w:t>
            </w:r>
          </w:p>
        </w:tc>
      </w:tr>
      <w:tr>
        <w:tc>
          <w:tcPr>
            <w:tcW w:type="dxa" w:w="1217"/>
            <w:shd w:val="clear" w:color="auto" w:fill="f2f4f8"/>
          </w:tcPr>
          <w:p>
            <w:r/>
            <w:r>
              <w:rPr>
                <w:sz w:val="16"/>
              </w:rPr>
              <w:t>10 Jul (t−3)</w:t>
            </w:r>
          </w:p>
        </w:tc>
        <w:tc>
          <w:tcPr>
            <w:tcW w:type="dxa" w:w="1123"/>
            <w:shd w:val="clear" w:color="auto" w:fill="f2f4f8"/>
          </w:tcPr>
          <w:p>
            <w:r/>
            <w:r>
              <w:rPr>
                <w:sz w:val="16"/>
              </w:rPr>
              <w:t>Trade 3A</w:t>
            </w:r>
          </w:p>
        </w:tc>
        <w:tc>
          <w:tcPr>
            <w:tcW w:type="dxa" w:w="1217"/>
            <w:shd w:val="clear" w:color="auto" w:fill="f2f4f8"/>
          </w:tcPr>
          <w:p>
            <w:r/>
            <w:r>
              <w:rPr>
                <w:sz w:val="16"/>
              </w:rPr>
              <w:t>LONG</w:t>
            </w:r>
          </w:p>
        </w:tc>
        <w:tc>
          <w:tcPr>
            <w:tcW w:type="dxa" w:w="1123"/>
            <w:shd w:val="clear" w:color="auto" w:fill="f2f4f8"/>
          </w:tcPr>
          <w:p>
            <w:r/>
            <w:r>
              <w:rPr>
                <w:sz w:val="16"/>
              </w:rPr>
              <w:t>NO</w:t>
            </w:r>
          </w:p>
        </w:tc>
        <w:tc>
          <w:tcPr>
            <w:tcW w:type="dxa" w:w="1685"/>
            <w:shd w:val="clear" w:color="auto" w:fill="f2f4f8"/>
          </w:tcPr>
          <w:p>
            <w:r/>
            <w:r>
              <w:rPr>
                <w:sz w:val="16"/>
              </w:rPr>
              <w:t>no confirmed break</w:t>
            </w:r>
          </w:p>
        </w:tc>
        <w:tc>
          <w:tcPr>
            <w:tcW w:type="dxa" w:w="1498"/>
            <w:shd w:val="clear" w:color="auto" w:fill="f2f4f8"/>
          </w:tcPr>
          <w:p>
            <w:r/>
            <w:r>
              <w:rPr>
                <w:sz w:val="16"/>
              </w:rPr>
              <w:t>—</w:t>
            </w:r>
          </w:p>
        </w:tc>
        <w:tc>
          <w:tcPr>
            <w:tcW w:type="dxa" w:w="1498"/>
            <w:shd w:val="clear" w:color="auto" w:fill="f2f4f8"/>
          </w:tcPr>
          <w:p>
            <w:r/>
            <w:r>
              <w:rPr>
                <w:sz w:val="16"/>
              </w:rPr>
              <w:t>—</w:t>
            </w:r>
          </w:p>
        </w:tc>
      </w:tr>
      <w:tr>
        <w:tc>
          <w:tcPr>
            <w:tcW w:type="dxa" w:w="1217"/>
          </w:tcPr>
          <w:p>
            <w:r/>
            <w:r>
              <w:rPr>
                <w:sz w:val="16"/>
              </w:rPr>
              <w:t>13 Jul (t−2)</w:t>
            </w:r>
          </w:p>
        </w:tc>
        <w:tc>
          <w:tcPr>
            <w:tcW w:type="dxa" w:w="1123"/>
          </w:tcPr>
          <w:p>
            <w:r/>
            <w:r>
              <w:rPr>
                <w:sz w:val="16"/>
              </w:rPr>
              <w:t>Trade 2</w:t>
            </w:r>
          </w:p>
        </w:tc>
        <w:tc>
          <w:tcPr>
            <w:tcW w:type="dxa" w:w="1217"/>
          </w:tcPr>
          <w:p>
            <w:r/>
            <w:r>
              <w:rPr>
                <w:sz w:val="16"/>
              </w:rPr>
              <w:t>LONG</w:t>
            </w:r>
          </w:p>
        </w:tc>
        <w:tc>
          <w:tcPr>
            <w:tcW w:type="dxa" w:w="1123"/>
          </w:tcPr>
          <w:p>
            <w:r/>
            <w:r>
              <w:rPr>
                <w:sz w:val="16"/>
              </w:rPr>
              <w:t>YES</w:t>
            </w:r>
          </w:p>
        </w:tc>
        <w:tc>
          <w:tcPr>
            <w:tcW w:type="dxa" w:w="1685"/>
          </w:tcPr>
          <w:p>
            <w:r/>
            <w:r>
              <w:rPr>
                <w:sz w:val="16"/>
              </w:rPr>
              <w:t>10,486 / 10,496</w:t>
            </w:r>
          </w:p>
        </w:tc>
        <w:tc>
          <w:tcPr>
            <w:tcW w:type="dxa" w:w="1498"/>
          </w:tcPr>
          <w:p>
            <w:r/>
            <w:r>
              <w:rPr>
                <w:sz w:val="16"/>
              </w:rPr>
              <w:t>+0.2R (open)</w:t>
            </w:r>
          </w:p>
        </w:tc>
        <w:tc>
          <w:tcPr>
            <w:tcW w:type="dxa" w:w="1498"/>
          </w:tcPr>
          <w:p>
            <w:r/>
            <w:r>
              <w:rPr>
                <w:sz w:val="16"/>
              </w:rPr>
              <w:t>2</w:t>
            </w:r>
          </w:p>
        </w:tc>
      </w:tr>
      <w:tr>
        <w:tc>
          <w:tcPr>
            <w:tcW w:type="dxa" w:w="1217"/>
            <w:shd w:val="clear" w:color="auto" w:fill="f2f4f8"/>
          </w:tcPr>
          <w:p>
            <w:r/>
            <w:r>
              <w:rPr>
                <w:sz w:val="16"/>
              </w:rPr>
              <w:t>13 Jul (t−2)</w:t>
            </w:r>
          </w:p>
        </w:tc>
        <w:tc>
          <w:tcPr>
            <w:tcW w:type="dxa" w:w="1123"/>
            <w:shd w:val="clear" w:color="auto" w:fill="f2f4f8"/>
          </w:tcPr>
          <w:p>
            <w:r/>
            <w:r>
              <w:rPr>
                <w:sz w:val="16"/>
              </w:rPr>
              <w:t>Trade 1</w:t>
            </w:r>
          </w:p>
        </w:tc>
        <w:tc>
          <w:tcPr>
            <w:tcW w:type="dxa" w:w="1217"/>
            <w:shd w:val="clear" w:color="auto" w:fill="f2f4f8"/>
          </w:tcPr>
          <w:p>
            <w:r/>
            <w:r>
              <w:rPr>
                <w:sz w:val="16"/>
              </w:rPr>
              <w:t>LONG</w:t>
            </w:r>
          </w:p>
        </w:tc>
        <w:tc>
          <w:tcPr>
            <w:tcW w:type="dxa" w:w="1123"/>
            <w:shd w:val="clear" w:color="auto" w:fill="f2f4f8"/>
          </w:tcPr>
          <w:p>
            <w:r/>
            <w:r>
              <w:rPr>
                <w:sz w:val="16"/>
              </w:rPr>
              <w:t>SUPPRESSED</w:t>
            </w:r>
          </w:p>
        </w:tc>
        <w:tc>
          <w:tcPr>
            <w:tcW w:type="dxa" w:w="1685"/>
            <w:shd w:val="clear" w:color="auto" w:fill="f2f4f8"/>
          </w:tcPr>
          <w:p>
            <w:r/>
            <w:r>
              <w:rPr>
                <w:sz w:val="16"/>
              </w:rPr>
              <w:t>score&lt;thr</w:t>
            </w:r>
          </w:p>
        </w:tc>
        <w:tc>
          <w:tcPr>
            <w:tcW w:type="dxa" w:w="1498"/>
            <w:shd w:val="clear" w:color="auto" w:fill="f2f4f8"/>
          </w:tcPr>
          <w:p>
            <w:r/>
            <w:r>
              <w:rPr>
                <w:sz w:val="16"/>
              </w:rPr>
              <w:t>—</w:t>
            </w:r>
          </w:p>
        </w:tc>
        <w:tc>
          <w:tcPr>
            <w:tcW w:type="dxa" w:w="1498"/>
            <w:shd w:val="clear" w:color="auto" w:fill="f2f4f8"/>
          </w:tcPr>
          <w:p>
            <w:r/>
            <w:r>
              <w:rPr>
                <w:sz w:val="16"/>
              </w:rPr>
              <w:t>—</w:t>
            </w:r>
          </w:p>
        </w:tc>
      </w:tr>
      <w:tr>
        <w:tc>
          <w:tcPr>
            <w:tcW w:type="dxa" w:w="1217"/>
          </w:tcPr>
          <w:p>
            <w:r/>
            <w:r>
              <w:rPr>
                <w:sz w:val="16"/>
              </w:rPr>
              <w:t>14 Jul (t−1)</w:t>
            </w:r>
          </w:p>
        </w:tc>
        <w:tc>
          <w:tcPr>
            <w:tcW w:type="dxa" w:w="1123"/>
          </w:tcPr>
          <w:p>
            <w:r/>
            <w:r>
              <w:rPr>
                <w:sz w:val="16"/>
              </w:rPr>
              <w:t>Trade 3A</w:t>
            </w:r>
          </w:p>
        </w:tc>
        <w:tc>
          <w:tcPr>
            <w:tcW w:type="dxa" w:w="1217"/>
          </w:tcPr>
          <w:p>
            <w:r/>
            <w:r>
              <w:rPr>
                <w:sz w:val="16"/>
              </w:rPr>
              <w:t>LONG</w:t>
            </w:r>
          </w:p>
        </w:tc>
        <w:tc>
          <w:tcPr>
            <w:tcW w:type="dxa" w:w="1123"/>
          </w:tcPr>
          <w:p>
            <w:r/>
            <w:r>
              <w:rPr>
                <w:sz w:val="16"/>
              </w:rPr>
              <w:t>YES</w:t>
            </w:r>
          </w:p>
        </w:tc>
        <w:tc>
          <w:tcPr>
            <w:tcW w:type="dxa" w:w="1685"/>
          </w:tcPr>
          <w:p>
            <w:r/>
            <w:r>
              <w:rPr>
                <w:sz w:val="16"/>
              </w:rPr>
              <w:t>10,505 / 10,527</w:t>
            </w:r>
          </w:p>
        </w:tc>
        <w:tc>
          <w:tcPr>
            <w:tcW w:type="dxa" w:w="1498"/>
          </w:tcPr>
          <w:p>
            <w:r/>
            <w:r>
              <w:rPr>
                <w:sz w:val="16"/>
              </w:rPr>
              <w:t>+0.9R (partial)</w:t>
            </w:r>
          </w:p>
        </w:tc>
        <w:tc>
          <w:tcPr>
            <w:tcW w:type="dxa" w:w="1498"/>
          </w:tcPr>
          <w:p>
            <w:r/>
            <w:r>
              <w:rPr>
                <w:sz w:val="16"/>
              </w:rPr>
              <w:t>1</w:t>
            </w:r>
          </w:p>
        </w:tc>
      </w:tr>
      <w:tr>
        <w:tc>
          <w:tcPr>
            <w:tcW w:type="dxa" w:w="1217"/>
            <w:shd w:val="clear" w:color="auto" w:fill="f2f4f8"/>
          </w:tcPr>
          <w:p>
            <w:r/>
            <w:r>
              <w:rPr>
                <w:sz w:val="16"/>
              </w:rPr>
              <w:t>14 Jul (t−1)</w:t>
            </w:r>
          </w:p>
        </w:tc>
        <w:tc>
          <w:tcPr>
            <w:tcW w:type="dxa" w:w="1123"/>
            <w:shd w:val="clear" w:color="auto" w:fill="f2f4f8"/>
          </w:tcPr>
          <w:p>
            <w:r/>
            <w:r>
              <w:rPr>
                <w:sz w:val="16"/>
              </w:rPr>
              <w:t>Trade 2</w:t>
            </w:r>
          </w:p>
        </w:tc>
        <w:tc>
          <w:tcPr>
            <w:tcW w:type="dxa" w:w="1217"/>
            <w:shd w:val="clear" w:color="auto" w:fill="f2f4f8"/>
          </w:tcPr>
          <w:p>
            <w:r/>
            <w:r>
              <w:rPr>
                <w:sz w:val="16"/>
              </w:rPr>
              <w:t>LONG</w:t>
            </w:r>
          </w:p>
        </w:tc>
        <w:tc>
          <w:tcPr>
            <w:tcW w:type="dxa" w:w="1123"/>
            <w:shd w:val="clear" w:color="auto" w:fill="f2f4f8"/>
          </w:tcPr>
          <w:p>
            <w:r/>
            <w:r>
              <w:rPr>
                <w:sz w:val="16"/>
              </w:rPr>
              <w:t>YES</w:t>
            </w:r>
          </w:p>
        </w:tc>
        <w:tc>
          <w:tcPr>
            <w:tcW w:type="dxa" w:w="1685"/>
            <w:shd w:val="clear" w:color="auto" w:fill="f2f4f8"/>
          </w:tcPr>
          <w:p>
            <w:r/>
            <w:r>
              <w:rPr>
                <w:sz w:val="16"/>
              </w:rPr>
              <w:t>10,486 / 10,527</w:t>
            </w:r>
          </w:p>
        </w:tc>
        <w:tc>
          <w:tcPr>
            <w:tcW w:type="dxa" w:w="1498"/>
            <w:shd w:val="clear" w:color="auto" w:fill="f2f4f8"/>
          </w:tcPr>
          <w:p>
            <w:r/>
            <w:r>
              <w:rPr>
                <w:sz w:val="16"/>
              </w:rPr>
              <w:t>+0.7R (open)</w:t>
            </w:r>
          </w:p>
        </w:tc>
        <w:tc>
          <w:tcPr>
            <w:tcW w:type="dxa" w:w="1498"/>
            <w:shd w:val="clear" w:color="auto" w:fill="f2f4f8"/>
          </w:tcPr>
          <w:p>
            <w:r/>
            <w:r>
              <w:rPr>
                <w:sz w:val="16"/>
              </w:rPr>
              <w:t>1</w:t>
            </w:r>
          </w:p>
        </w:tc>
      </w:tr>
    </w:tbl>
    <w:p>
      <w:pPr>
        <w:spacing w:after="40"/>
      </w:pPr>
    </w:p>
    <w:p>
      <w:pPr>
        <w:spacing w:after="40" w:before="120"/>
      </w:pPr>
      <w:r>
        <w:rPr>
          <w:b/>
          <w:color w:val="880E4F"/>
          <w:sz w:val="22"/>
        </w:rPr>
        <w:t>21d · 'What Is Working' Aggregate</w:t>
      </w:r>
    </w:p>
    <w:p>
      <w:pPr>
        <w:spacing w:after="120"/>
      </w:pPr>
      <w:r>
        <w:rPr>
          <w:i w:val="0"/>
          <w:sz w:val="19"/>
        </w:rPr>
        <w:t>Trade 2 (Pivot) over the last 5 sessions: triggered 4/5 times, mean R ≈ +0.58, hit rates TP1/TP2/TP3 = 25% / 0% / 0% (several positions still open). Trade 3A (Momentum-Pullback): triggered 1/3 eligible sessions, mean R ≈ +0.90 on the single closed/partial trigger. Trade 1 (Daily Directional): suppressed throughout on sub-threshold conviction. Strongest performer: Trade 3A (highest mean R, single trigger). Weakest performer: insufficient triggers to rank Trade 1 (suppressed). Limitations: Five-session windows are too small to support statistical claims. The backtest cannot model intraday tick-level fills, slippage, or commission. Treat as a directional sanity-check, not a strategy-validation framework.</w:t>
      </w:r>
    </w:p>
    <w:p/>
    <w:p>
      <w:pPr>
        <w:jc w:val="center"/>
      </w:pPr>
      <w:r>
        <w:rPr>
          <w:i/>
          <w:color w:val="888888"/>
          <w:sz w:val="17"/>
        </w:rPr>
        <w:t>FTSE 100 Daily Report │ 14 July 2026 (close) │ Senior European Equity Strategist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