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864"/>
          <w:sz w:val="36"/>
        </w:rPr>
        <w:t>FTSE 100 Report — Daily: 14 May 2026</w:t>
      </w:r>
    </w:p>
    <w:p>
      <w:r>
        <w:rPr>
          <w:i/>
          <w:color w:val="595959"/>
          <w:sz w:val="22"/>
        </w:rPr>
        <w:t>With reference to: EURO STOXX 50 · Dollar Index · S&amp;P 500 · DAX 40</w:t>
      </w:r>
    </w:p>
    <w:p>
      <w:r>
        <w:rPr>
          <w:i/>
          <w:color w:val="808080"/>
          <w:sz w:val="18"/>
        </w:rPr>
        <w:t>Prepared by: Senior European Equity Strategist  ·  As of 07:00 UK, 14 May 2026</w:t>
      </w:r>
    </w:p>
    <w:p>
      <w:r>
        <w:rPr>
          <w:i/>
          <w:color w:val="808080"/>
          <w:sz w:val="16"/>
        </w:rPr>
        <w:t>Run-time override: daily-open anchor advanced to the 14-May session pre-open window. All other instance settings unchanged.</w:t>
      </w:r>
    </w:p>
    <w:p>
      <w:pPr>
        <w:spacing w:before="200" w:after="80"/>
      </w:pPr>
      <w:r>
        <w:rPr>
          <w:b/>
          <w:color w:val="1F3864"/>
          <w:sz w:val="28"/>
        </w:rPr>
        <w:t>§1  Executive Snapshot</w:t>
      </w:r>
    </w:p>
    <w:p>
      <w:pPr>
        <w:spacing w:after="80"/>
      </w:pPr>
      <w:r>
        <w:rPr>
          <w:b w:val="0"/>
          <w:i w:val="0"/>
          <w:sz w:val="20"/>
        </w:rPr>
        <w:t>FTSE 100 enters 14 May 2026 in a consolidating two-week pullback, with the index sitting near 10,265 after Wednesday's mixed session that erased a 0.8% intraday gain back to roughly flat. The 13 May close at 10,265.32 sits just below the 25-session midpoint and approximately 1.8% beneath the early-May highs near 10,457. Three dominant drivers shape the tone: (i) a renewed banking-sector risk premium tied to UK political uncertainty around Prime Minister Starmer's leadership challenge, (ii) elevated but stabilising oil prices near $102/bbl WTI underpinning the index's heavy energy weight, and (iii) a stronger US dollar following hotter-than-expected US CPI that has pressured the broader European complex. Short-term technical regime reads as TRANSITION — recent candles show indecision (small bodies, overlapping ranges), RSI2 has cycled between oversold and neutral, and the 5-day distance-from-open is flat. Medium-term regime classification: RANGE-WITH-DOWN-BIAS — the 25-session structure is rolling lower from the late-April peaks but has not broken the early-March swing low. The Kaufman Efficiency Ratio reads low-magnitude negative (approximately −0.12), placing the market in 'Ranging — Mild Down-Bias' territory and below the 0.13 trending threshold. Single most important watch item: the 10,197 support shelf (4 May effective close) — a daily close below activates the next descending channel toward 10,050–10,100. EURO STOXX 50 is weaker on a relative basis, having declined 1.48% to 5,808.45 on 12 May before stabilising near 5,870 on 13 May, with the regime read more clearly bearish than FTSE.</w:t>
      </w:r>
    </w:p>
    <w:p>
      <w:pPr>
        <w:spacing w:before="200" w:after="80"/>
      </w:pPr>
      <w:r>
        <w:rPr>
          <w:b/>
          <w:color w:val="1F3864"/>
          <w:sz w:val="28"/>
        </w:rPr>
        <w:t>§2  Market Definition</w:t>
      </w:r>
    </w:p>
    <w:tbl>
      <w:tblPr>
        <w:tblStyle w:val="LightGrid-Accent1"/>
        <w:tblW w:type="auto" w:w="0"/>
        <w:jc w:val="left"/>
        <w:tblLook w:firstColumn="1" w:firstRow="1" w:lastColumn="0" w:lastRow="0" w:noHBand="0" w:noVBand="1" w:val="04A0"/>
      </w:tblPr>
      <w:tblGrid>
        <w:gridCol w:w="4986"/>
        <w:gridCol w:w="4986"/>
      </w:tblGrid>
      <w:tr>
        <w:tc>
          <w:tcPr>
            <w:tcW w:type="dxa" w:w="2304"/>
            <w:shd w:val="clear" w:color="auto" w:fill="1F3864"/>
            <w:vAlign w:val="center"/>
          </w:tcPr>
          <w:p>
            <w:r/>
            <w:r>
              <w:rPr>
                <w:b/>
                <w:color w:val="FFFFFF"/>
                <w:sz w:val="18"/>
              </w:rPr>
              <w:t>Field</w:t>
            </w:r>
          </w:p>
        </w:tc>
        <w:tc>
          <w:tcPr>
            <w:tcW w:type="dxa" w:w="7200"/>
            <w:shd w:val="clear" w:color="auto" w:fill="1F3864"/>
            <w:vAlign w:val="center"/>
          </w:tcPr>
          <w:p>
            <w:r/>
            <w:r>
              <w:rPr>
                <w:b/>
                <w:color w:val="FFFFFF"/>
                <w:sz w:val="18"/>
              </w:rPr>
              <w:t>Value</w:t>
            </w:r>
          </w:p>
        </w:tc>
      </w:tr>
      <w:tr>
        <w:tc>
          <w:tcPr>
            <w:tcW w:type="dxa" w:w="2304"/>
            <w:vAlign w:val="center"/>
          </w:tcPr>
          <w:p>
            <w:r/>
            <w:r>
              <w:rPr>
                <w:b/>
                <w:sz w:val="18"/>
              </w:rPr>
              <w:t>Primary asset</w:t>
            </w:r>
          </w:p>
        </w:tc>
        <w:tc>
          <w:tcPr>
            <w:tcW w:type="dxa" w:w="7200"/>
            <w:vAlign w:val="center"/>
          </w:tcPr>
          <w:p>
            <w:r/>
            <w:r>
              <w:rPr>
                <w:sz w:val="18"/>
              </w:rPr>
              <w:t>FTSE 100 cash index (^FTSE)</w:t>
            </w:r>
          </w:p>
        </w:tc>
      </w:tr>
      <w:tr>
        <w:tc>
          <w:tcPr>
            <w:tcW w:type="dxa" w:w="2304"/>
            <w:vAlign w:val="center"/>
          </w:tcPr>
          <w:p>
            <w:r/>
            <w:r>
              <w:rPr>
                <w:b/>
                <w:sz w:val="18"/>
              </w:rPr>
              <w:t>Specification</w:t>
            </w:r>
          </w:p>
        </w:tc>
        <w:tc>
          <w:tcPr>
            <w:tcW w:type="dxa" w:w="7200"/>
            <w:vAlign w:val="center"/>
          </w:tcPr>
          <w:p>
            <w:r/>
            <w:r>
              <w:rPr>
                <w:sz w:val="18"/>
              </w:rPr>
              <w:t>FTSE 100 cash, GBP-denominated, free-float weighted; FTSE Russell methodology</w:t>
            </w:r>
          </w:p>
        </w:tc>
      </w:tr>
      <w:tr>
        <w:tc>
          <w:tcPr>
            <w:tcW w:type="dxa" w:w="2304"/>
            <w:vAlign w:val="center"/>
          </w:tcPr>
          <w:p>
            <w:r/>
            <w:r>
              <w:rPr>
                <w:b/>
                <w:sz w:val="18"/>
              </w:rPr>
              <w:t>Secondary asset</w:t>
            </w:r>
          </w:p>
        </w:tc>
        <w:tc>
          <w:tcPr>
            <w:tcW w:type="dxa" w:w="7200"/>
            <w:vAlign w:val="center"/>
          </w:tcPr>
          <w:p>
            <w:r/>
            <w:r>
              <w:rPr>
                <w:sz w:val="18"/>
              </w:rPr>
              <w:t>EURO STOXX 50 (^STOXX50E) — full §6 OHLC table alongside FTSE</w:t>
            </w:r>
          </w:p>
        </w:tc>
      </w:tr>
      <w:tr>
        <w:tc>
          <w:tcPr>
            <w:tcW w:type="dxa" w:w="2304"/>
            <w:vAlign w:val="center"/>
          </w:tcPr>
          <w:p>
            <w:r/>
            <w:r>
              <w:rPr>
                <w:b/>
                <w:sz w:val="18"/>
              </w:rPr>
              <w:t>Asset class</w:t>
            </w:r>
          </w:p>
        </w:tc>
        <w:tc>
          <w:tcPr>
            <w:tcW w:type="dxa" w:w="7200"/>
            <w:vAlign w:val="center"/>
          </w:tcPr>
          <w:p>
            <w:r/>
            <w:r>
              <w:rPr>
                <w:sz w:val="18"/>
              </w:rPr>
              <w:t>Equity Index — Large-Cap European</w:t>
            </w:r>
          </w:p>
        </w:tc>
      </w:tr>
      <w:tr>
        <w:tc>
          <w:tcPr>
            <w:tcW w:type="dxa" w:w="2304"/>
            <w:vAlign w:val="center"/>
          </w:tcPr>
          <w:p>
            <w:r/>
            <w:r>
              <w:rPr>
                <w:b/>
                <w:sz w:val="18"/>
              </w:rPr>
              <w:t>Market scope</w:t>
            </w:r>
          </w:p>
        </w:tc>
        <w:tc>
          <w:tcPr>
            <w:tcW w:type="dxa" w:w="7200"/>
            <w:vAlign w:val="center"/>
          </w:tcPr>
          <w:p>
            <w:r/>
            <w:r>
              <w:rPr>
                <w:sz w:val="18"/>
              </w:rPr>
              <w:t>Regional — Europe (UK + Eurozone)</w:t>
            </w:r>
          </w:p>
        </w:tc>
      </w:tr>
      <w:tr>
        <w:tc>
          <w:tcPr>
            <w:tcW w:type="dxa" w:w="2304"/>
            <w:vAlign w:val="center"/>
          </w:tcPr>
          <w:p>
            <w:r/>
            <w:r>
              <w:rPr>
                <w:b/>
                <w:sz w:val="18"/>
              </w:rPr>
              <w:t>Price objective</w:t>
            </w:r>
          </w:p>
        </w:tc>
        <w:tc>
          <w:tcPr>
            <w:tcW w:type="dxa" w:w="7200"/>
            <w:vAlign w:val="center"/>
          </w:tcPr>
          <w:p>
            <w:r/>
            <w:r>
              <w:rPr>
                <w:sz w:val="18"/>
              </w:rPr>
              <w:t>Current FTSE 100 cash index level, with EURO STOXX 50 reference</w:t>
            </w:r>
          </w:p>
        </w:tc>
      </w:tr>
      <w:tr>
        <w:tc>
          <w:tcPr>
            <w:tcW w:type="dxa" w:w="2304"/>
            <w:vAlign w:val="center"/>
          </w:tcPr>
          <w:p>
            <w:r/>
            <w:r>
              <w:rPr>
                <w:b/>
                <w:sz w:val="18"/>
              </w:rPr>
              <w:t>Delivery basis</w:t>
            </w:r>
          </w:p>
        </w:tc>
        <w:tc>
          <w:tcPr>
            <w:tcW w:type="dxa" w:w="7200"/>
            <w:vAlign w:val="center"/>
          </w:tcPr>
          <w:p>
            <w:r/>
            <w:r>
              <w:rPr>
                <w:sz w:val="18"/>
              </w:rPr>
              <w:t>LSE regular session 08:00–16:30 UK (FTSE); Xetra 09:00–17:30 CET (STOXX)</w:t>
            </w:r>
          </w:p>
        </w:tc>
      </w:tr>
      <w:tr>
        <w:tc>
          <w:tcPr>
            <w:tcW w:type="dxa" w:w="2304"/>
            <w:vAlign w:val="center"/>
          </w:tcPr>
          <w:p>
            <w:r/>
            <w:r>
              <w:rPr>
                <w:b/>
                <w:sz w:val="18"/>
              </w:rPr>
              <w:t>Unit / currency</w:t>
            </w:r>
          </w:p>
        </w:tc>
        <w:tc>
          <w:tcPr>
            <w:tcW w:type="dxa" w:w="7200"/>
            <w:vAlign w:val="center"/>
          </w:tcPr>
          <w:p>
            <w:r/>
            <w:r>
              <w:rPr>
                <w:sz w:val="18"/>
              </w:rPr>
              <w:t>Index points / GBP (STOXX original EUR noted in tables)</w:t>
            </w:r>
          </w:p>
        </w:tc>
      </w:tr>
      <w:tr>
        <w:tc>
          <w:tcPr>
            <w:tcW w:type="dxa" w:w="2304"/>
            <w:vAlign w:val="center"/>
          </w:tcPr>
          <w:p>
            <w:r/>
            <w:r>
              <w:rPr>
                <w:b/>
                <w:sz w:val="18"/>
              </w:rPr>
              <w:t>Tick size / name</w:t>
            </w:r>
          </w:p>
        </w:tc>
        <w:tc>
          <w:tcPr>
            <w:tcW w:type="dxa" w:w="7200"/>
            <w:vAlign w:val="center"/>
          </w:tcPr>
          <w:p>
            <w:r/>
            <w:r>
              <w:rPr>
                <w:sz w:val="18"/>
              </w:rPr>
              <w:t>0.01 / point</w:t>
            </w:r>
          </w:p>
        </w:tc>
      </w:tr>
      <w:tr>
        <w:tc>
          <w:tcPr>
            <w:tcW w:type="dxa" w:w="2304"/>
            <w:vAlign w:val="center"/>
          </w:tcPr>
          <w:p>
            <w:r/>
            <w:r>
              <w:rPr>
                <w:b/>
                <w:sz w:val="18"/>
              </w:rPr>
              <w:t>As-of date / TZ</w:t>
            </w:r>
          </w:p>
        </w:tc>
        <w:tc>
          <w:tcPr>
            <w:tcW w:type="dxa" w:w="7200"/>
            <w:vAlign w:val="center"/>
          </w:tcPr>
          <w:p>
            <w:r/>
            <w:r>
              <w:rPr>
                <w:sz w:val="18"/>
              </w:rPr>
              <w:t>14 May 2026 / Europe/London</w:t>
            </w:r>
          </w:p>
        </w:tc>
      </w:tr>
      <w:tr>
        <w:tc>
          <w:tcPr>
            <w:tcW w:type="dxa" w:w="2304"/>
            <w:vAlign w:val="center"/>
          </w:tcPr>
          <w:p>
            <w:r/>
            <w:r>
              <w:rPr>
                <w:b/>
                <w:sz w:val="18"/>
              </w:rPr>
              <w:t>Lookback window</w:t>
            </w:r>
          </w:p>
        </w:tc>
        <w:tc>
          <w:tcPr>
            <w:tcW w:type="dxa" w:w="7200"/>
            <w:vAlign w:val="center"/>
          </w:tcPr>
          <w:p>
            <w:r/>
            <w:r>
              <w:rPr>
                <w:sz w:val="18"/>
              </w:rPr>
              <w:t>5 days short / 25 days medium</w:t>
            </w:r>
          </w:p>
        </w:tc>
      </w:tr>
      <w:tr>
        <w:tc>
          <w:tcPr>
            <w:tcW w:type="dxa" w:w="2304"/>
            <w:vAlign w:val="center"/>
          </w:tcPr>
          <w:p>
            <w:r/>
            <w:r>
              <w:rPr>
                <w:b/>
                <w:sz w:val="18"/>
              </w:rPr>
              <w:t>Decision use case</w:t>
            </w:r>
          </w:p>
        </w:tc>
        <w:tc>
          <w:tcPr>
            <w:tcW w:type="dxa" w:w="7200"/>
            <w:vAlign w:val="center"/>
          </w:tcPr>
          <w:p>
            <w:r/>
            <w:r>
              <w:rPr>
                <w:sz w:val="18"/>
              </w:rPr>
              <w:t>Trading and risk review (forward-test)</w:t>
            </w:r>
          </w:p>
        </w:tc>
      </w:tr>
    </w:tbl>
    <w:p>
      <w:pPr>
        <w:spacing w:after="80"/>
      </w:pPr>
    </w:p>
    <w:p>
      <w:pPr>
        <w:spacing w:before="200" w:after="80"/>
      </w:pPr>
      <w:r>
        <w:rPr>
          <w:b/>
          <w:color w:val="1F3864"/>
          <w:sz w:val="28"/>
        </w:rPr>
        <w:t>§3  Consensus Price Call</w:t>
      </w:r>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40"/>
            <w:shd w:val="clear" w:color="auto" w:fill="1F3864"/>
            <w:vAlign w:val="center"/>
          </w:tcPr>
          <w:p>
            <w:r/>
            <w:r>
              <w:rPr>
                <w:b/>
                <w:color w:val="FFFFFF"/>
                <w:sz w:val="18"/>
              </w:rPr>
              <w:t>Asset</w:t>
            </w:r>
          </w:p>
        </w:tc>
        <w:tc>
          <w:tcPr>
            <w:tcW w:type="dxa" w:w="1152"/>
            <w:shd w:val="clear" w:color="auto" w:fill="1F3864"/>
            <w:vAlign w:val="center"/>
          </w:tcPr>
          <w:p>
            <w:r/>
            <w:r>
              <w:rPr>
                <w:b/>
                <w:color w:val="FFFFFF"/>
                <w:sz w:val="18"/>
              </w:rPr>
              <w:t>Consensus</w:t>
            </w:r>
          </w:p>
        </w:tc>
        <w:tc>
          <w:tcPr>
            <w:tcW w:type="dxa" w:w="1584"/>
            <w:shd w:val="clear" w:color="auto" w:fill="1F3864"/>
            <w:vAlign w:val="center"/>
          </w:tcPr>
          <w:p>
            <w:r/>
            <w:r>
              <w:rPr>
                <w:b/>
                <w:color w:val="FFFFFF"/>
                <w:sz w:val="18"/>
              </w:rPr>
              <w:t>Range</w:t>
            </w:r>
          </w:p>
        </w:tc>
        <w:tc>
          <w:tcPr>
            <w:tcW w:type="dxa" w:w="1728"/>
            <w:shd w:val="clear" w:color="auto" w:fill="1F3864"/>
            <w:vAlign w:val="center"/>
          </w:tcPr>
          <w:p>
            <w:r/>
            <w:r>
              <w:rPr>
                <w:b/>
                <w:color w:val="FFFFFF"/>
                <w:sz w:val="18"/>
              </w:rPr>
              <w:t>Basis</w:t>
            </w:r>
          </w:p>
        </w:tc>
        <w:tc>
          <w:tcPr>
            <w:tcW w:type="dxa" w:w="864"/>
            <w:shd w:val="clear" w:color="auto" w:fill="1F3864"/>
            <w:vAlign w:val="center"/>
          </w:tcPr>
          <w:p>
            <w:r/>
            <w:r>
              <w:rPr>
                <w:b/>
                <w:color w:val="FFFFFF"/>
                <w:sz w:val="18"/>
              </w:rPr>
              <w:t>Confidence</w:t>
            </w:r>
          </w:p>
        </w:tc>
        <w:tc>
          <w:tcPr>
            <w:tcW w:type="dxa" w:w="1152"/>
            <w:shd w:val="clear" w:color="auto" w:fill="1F3864"/>
            <w:vAlign w:val="center"/>
          </w:tcPr>
          <w:p>
            <w:r/>
            <w:r>
              <w:rPr>
                <w:b/>
                <w:color w:val="FFFFFF"/>
                <w:sz w:val="18"/>
              </w:rPr>
              <w:t>Tone</w:t>
            </w:r>
          </w:p>
        </w:tc>
        <w:tc>
          <w:tcPr>
            <w:tcW w:type="dxa" w:w="2304"/>
            <w:shd w:val="clear" w:color="auto" w:fill="1F3864"/>
            <w:vAlign w:val="center"/>
          </w:tcPr>
          <w:p>
            <w:r/>
            <w:r>
              <w:rPr>
                <w:b/>
                <w:color w:val="FFFFFF"/>
                <w:sz w:val="18"/>
              </w:rPr>
              <w:t>Rationale</w:t>
            </w:r>
          </w:p>
        </w:tc>
      </w:tr>
      <w:tr>
        <w:tc>
          <w:tcPr>
            <w:tcW w:type="dxa" w:w="1440"/>
            <w:vAlign w:val="center"/>
          </w:tcPr>
          <w:p>
            <w:r/>
            <w:r>
              <w:rPr>
                <w:sz w:val="18"/>
              </w:rPr>
              <w:t>FTSE 100</w:t>
            </w:r>
          </w:p>
        </w:tc>
        <w:tc>
          <w:tcPr>
            <w:tcW w:type="dxa" w:w="1152"/>
            <w:vAlign w:val="center"/>
          </w:tcPr>
          <w:p>
            <w:r/>
            <w:r>
              <w:rPr>
                <w:sz w:val="18"/>
              </w:rPr>
              <w:t>10,265</w:t>
            </w:r>
          </w:p>
        </w:tc>
        <w:tc>
          <w:tcPr>
            <w:tcW w:type="dxa" w:w="1584"/>
            <w:vAlign w:val="center"/>
          </w:tcPr>
          <w:p>
            <w:r/>
            <w:r>
              <w:rPr>
                <w:sz w:val="18"/>
              </w:rPr>
              <w:t>10,245 – 10,290</w:t>
            </w:r>
          </w:p>
        </w:tc>
        <w:tc>
          <w:tcPr>
            <w:tcW w:type="dxa" w:w="1728"/>
            <w:vAlign w:val="center"/>
          </w:tcPr>
          <w:p>
            <w:r/>
            <w:r>
              <w:rPr>
                <w:sz w:val="18"/>
              </w:rPr>
              <w:t>Cash index, intraday consensus</w:t>
            </w:r>
          </w:p>
        </w:tc>
        <w:tc>
          <w:tcPr>
            <w:tcW w:type="dxa" w:w="864"/>
            <w:vAlign w:val="center"/>
          </w:tcPr>
          <w:p>
            <w:r/>
            <w:r>
              <w:rPr>
                <w:sz w:val="18"/>
              </w:rPr>
              <w:t>Medium</w:t>
            </w:r>
          </w:p>
        </w:tc>
        <w:tc>
          <w:tcPr>
            <w:tcW w:type="dxa" w:w="1152"/>
            <w:vAlign w:val="center"/>
          </w:tcPr>
          <w:p>
            <w:r/>
            <w:r>
              <w:rPr>
                <w:sz w:val="18"/>
              </w:rPr>
              <w:t>Neutral-to-soft</w:t>
            </w:r>
          </w:p>
        </w:tc>
        <w:tc>
          <w:tcPr>
            <w:tcW w:type="dxa" w:w="2304"/>
            <w:vAlign w:val="center"/>
          </w:tcPr>
          <w:p>
            <w:r/>
            <w:r>
              <w:rPr>
                <w:sz w:val="18"/>
              </w:rPr>
              <w:t>Recovery from 12 May low (10,226) capped by 10,341 resistance; banking complex stabilising but sellers active above 10,300.</w:t>
            </w:r>
          </w:p>
        </w:tc>
      </w:tr>
      <w:tr>
        <w:tc>
          <w:tcPr>
            <w:tcW w:type="dxa" w:w="1440"/>
            <w:vAlign w:val="center"/>
          </w:tcPr>
          <w:p>
            <w:r/>
            <w:r>
              <w:rPr>
                <w:sz w:val="18"/>
              </w:rPr>
              <w:t>EURO STOXX 50</w:t>
            </w:r>
          </w:p>
        </w:tc>
        <w:tc>
          <w:tcPr>
            <w:tcW w:type="dxa" w:w="1152"/>
            <w:vAlign w:val="center"/>
          </w:tcPr>
          <w:p>
            <w:r/>
            <w:r>
              <w:rPr>
                <w:sz w:val="18"/>
              </w:rPr>
              <w:t>5,870</w:t>
            </w:r>
          </w:p>
        </w:tc>
        <w:tc>
          <w:tcPr>
            <w:tcW w:type="dxa" w:w="1584"/>
            <w:vAlign w:val="center"/>
          </w:tcPr>
          <w:p>
            <w:r/>
            <w:r>
              <w:rPr>
                <w:sz w:val="18"/>
              </w:rPr>
              <w:t>5,830 – 5,895</w:t>
            </w:r>
          </w:p>
        </w:tc>
        <w:tc>
          <w:tcPr>
            <w:tcW w:type="dxa" w:w="1728"/>
            <w:vAlign w:val="center"/>
          </w:tcPr>
          <w:p>
            <w:r/>
            <w:r>
              <w:rPr>
                <w:sz w:val="18"/>
              </w:rPr>
              <w:t>Cash index, intraday consensus</w:t>
            </w:r>
          </w:p>
        </w:tc>
        <w:tc>
          <w:tcPr>
            <w:tcW w:type="dxa" w:w="864"/>
            <w:vAlign w:val="center"/>
          </w:tcPr>
          <w:p>
            <w:r/>
            <w:r>
              <w:rPr>
                <w:sz w:val="18"/>
              </w:rPr>
              <w:t>Medium</w:t>
            </w:r>
          </w:p>
        </w:tc>
        <w:tc>
          <w:tcPr>
            <w:tcW w:type="dxa" w:w="1152"/>
            <w:vAlign w:val="center"/>
          </w:tcPr>
          <w:p>
            <w:r/>
            <w:r>
              <w:rPr>
                <w:sz w:val="18"/>
              </w:rPr>
              <w:t>Soft / cautious</w:t>
            </w:r>
          </w:p>
        </w:tc>
        <w:tc>
          <w:tcPr>
            <w:tcW w:type="dxa" w:w="2304"/>
            <w:vAlign w:val="center"/>
          </w:tcPr>
          <w:p>
            <w:r/>
            <w:r>
              <w:rPr>
                <w:sz w:val="18"/>
              </w:rPr>
              <w:t>Stabilisation after 12 May 1.48% decline; rebound led by tech (ASML, Infineon) and Allianz earnings, capped by Middle-East risk overhang.</w:t>
            </w:r>
          </w:p>
        </w:tc>
      </w:tr>
    </w:tbl>
    <w:p>
      <w:pPr>
        <w:spacing w:after="80"/>
      </w:pPr>
    </w:p>
    <w:p>
      <w:pPr>
        <w:spacing w:before="200" w:after="80"/>
      </w:pPr>
      <w:r>
        <w:rPr>
          <w:b/>
          <w:color w:val="1F3864"/>
          <w:sz w:val="28"/>
        </w:rPr>
        <w:t>§4  Price Evidence Table</w:t>
      </w:r>
    </w:p>
    <w:p>
      <w:pPr>
        <w:spacing w:after="80"/>
      </w:pPr>
      <w:r>
        <w:rPr>
          <w:b w:val="0"/>
          <w:i/>
          <w:sz w:val="18"/>
        </w:rPr>
        <w:t>FTSE 100 — minimum six sources (cash index basis, GBP):</w:t>
      </w:r>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40"/>
            <w:shd w:val="clear" w:color="auto" w:fill="1F3864"/>
            <w:vAlign w:val="center"/>
          </w:tcPr>
          <w:p>
            <w:r/>
            <w:r>
              <w:rPr>
                <w:b/>
                <w:color w:val="FFFFFF"/>
                <w:sz w:val="18"/>
              </w:rPr>
              <w:t>Source</w:t>
            </w:r>
          </w:p>
        </w:tc>
        <w:tc>
          <w:tcPr>
            <w:tcW w:type="dxa" w:w="1440"/>
            <w:shd w:val="clear" w:color="auto" w:fill="1F3864"/>
            <w:vAlign w:val="center"/>
          </w:tcPr>
          <w:p>
            <w:r/>
            <w:r>
              <w:rPr>
                <w:b/>
                <w:color w:val="FFFFFF"/>
                <w:sz w:val="18"/>
              </w:rPr>
              <w:t>Date / Time</w:t>
            </w:r>
          </w:p>
        </w:tc>
        <w:tc>
          <w:tcPr>
            <w:tcW w:type="dxa" w:w="1584"/>
            <w:shd w:val="clear" w:color="auto" w:fill="1F3864"/>
            <w:vAlign w:val="center"/>
          </w:tcPr>
          <w:p>
            <w:r/>
            <w:r>
              <w:rPr>
                <w:b/>
                <w:color w:val="FFFFFF"/>
                <w:sz w:val="18"/>
              </w:rPr>
              <w:t>Raw quote</w:t>
            </w:r>
          </w:p>
        </w:tc>
        <w:tc>
          <w:tcPr>
            <w:tcW w:type="dxa" w:w="1440"/>
            <w:shd w:val="clear" w:color="auto" w:fill="1F3864"/>
            <w:vAlign w:val="center"/>
          </w:tcPr>
          <w:p>
            <w:r/>
            <w:r>
              <w:rPr>
                <w:b/>
                <w:color w:val="FFFFFF"/>
                <w:sz w:val="18"/>
              </w:rPr>
              <w:t>Normalized (GBP, cash)</w:t>
            </w:r>
          </w:p>
        </w:tc>
        <w:tc>
          <w:tcPr>
            <w:tcW w:type="dxa" w:w="1440"/>
            <w:shd w:val="clear" w:color="auto" w:fill="1F3864"/>
            <w:vAlign w:val="center"/>
          </w:tcPr>
          <w:p>
            <w:r/>
            <w:r>
              <w:rPr>
                <w:b/>
                <w:color w:val="FFFFFF"/>
                <w:sz w:val="18"/>
              </w:rPr>
              <w:t>Basis / Location</w:t>
            </w:r>
          </w:p>
        </w:tc>
        <w:tc>
          <w:tcPr>
            <w:tcW w:type="dxa" w:w="864"/>
            <w:shd w:val="clear" w:color="auto" w:fill="1F3864"/>
            <w:vAlign w:val="center"/>
          </w:tcPr>
          <w:p>
            <w:r/>
            <w:r>
              <w:rPr>
                <w:b/>
                <w:color w:val="FFFFFF"/>
                <w:sz w:val="18"/>
              </w:rPr>
              <w:t>Relevance</w:t>
            </w:r>
          </w:p>
        </w:tc>
        <w:tc>
          <w:tcPr>
            <w:tcW w:type="dxa" w:w="2016"/>
            <w:shd w:val="clear" w:color="auto" w:fill="1F3864"/>
            <w:vAlign w:val="center"/>
          </w:tcPr>
          <w:p>
            <w:r/>
            <w:r>
              <w:rPr>
                <w:b/>
                <w:color w:val="FFFFFF"/>
                <w:sz w:val="18"/>
              </w:rPr>
              <w:t>Notes</w:t>
            </w:r>
          </w:p>
        </w:tc>
      </w:tr>
      <w:tr>
        <w:tc>
          <w:tcPr>
            <w:tcW w:type="dxa" w:w="1440"/>
            <w:vAlign w:val="center"/>
          </w:tcPr>
          <w:p>
            <w:r/>
            <w:r>
              <w:rPr>
                <w:sz w:val="18"/>
              </w:rPr>
              <w:t>FTSE Russell official</w:t>
            </w:r>
          </w:p>
        </w:tc>
        <w:tc>
          <w:tcPr>
            <w:tcW w:type="dxa" w:w="1440"/>
            <w:vAlign w:val="center"/>
          </w:tcPr>
          <w:p>
            <w:r/>
            <w:r>
              <w:rPr>
                <w:sz w:val="18"/>
              </w:rPr>
              <w:t>13 May 2026 16:35 UK</w:t>
            </w:r>
          </w:p>
        </w:tc>
        <w:tc>
          <w:tcPr>
            <w:tcW w:type="dxa" w:w="1584"/>
            <w:vAlign w:val="center"/>
          </w:tcPr>
          <w:p>
            <w:r/>
            <w:r>
              <w:rPr>
                <w:sz w:val="18"/>
              </w:rPr>
              <w:t>10,265.32</w:t>
            </w:r>
          </w:p>
        </w:tc>
        <w:tc>
          <w:tcPr>
            <w:tcW w:type="dxa" w:w="1440"/>
            <w:vAlign w:val="center"/>
          </w:tcPr>
          <w:p>
            <w:r/>
            <w:r>
              <w:rPr>
                <w:sz w:val="18"/>
              </w:rPr>
              <w:t>10,265.32</w:t>
            </w:r>
          </w:p>
        </w:tc>
        <w:tc>
          <w:tcPr>
            <w:tcW w:type="dxa" w:w="1440"/>
            <w:vAlign w:val="center"/>
          </w:tcPr>
          <w:p>
            <w:r/>
            <w:r>
              <w:rPr>
                <w:sz w:val="18"/>
              </w:rPr>
              <w:t>London cash close</w:t>
            </w:r>
          </w:p>
        </w:tc>
        <w:tc>
          <w:tcPr>
            <w:tcW w:type="dxa" w:w="864"/>
            <w:vAlign w:val="center"/>
          </w:tcPr>
          <w:p>
            <w:r/>
            <w:r>
              <w:rPr>
                <w:sz w:val="18"/>
              </w:rPr>
              <w:t>Tier-1 exchange</w:t>
            </w:r>
          </w:p>
        </w:tc>
        <w:tc>
          <w:tcPr>
            <w:tcW w:type="dxa" w:w="2016"/>
            <w:vAlign w:val="center"/>
          </w:tcPr>
          <w:p>
            <w:r/>
            <w:r>
              <w:rPr>
                <w:sz w:val="18"/>
              </w:rPr>
              <w:t>Index provider authoritative settlement</w:t>
            </w:r>
          </w:p>
        </w:tc>
      </w:tr>
      <w:tr>
        <w:tc>
          <w:tcPr>
            <w:tcW w:type="dxa" w:w="1440"/>
            <w:vAlign w:val="center"/>
          </w:tcPr>
          <w:p>
            <w:r/>
            <w:r>
              <w:rPr>
                <w:sz w:val="18"/>
              </w:rPr>
              <w:t>LSE exchange data</w:t>
            </w:r>
          </w:p>
        </w:tc>
        <w:tc>
          <w:tcPr>
            <w:tcW w:type="dxa" w:w="1440"/>
            <w:vAlign w:val="center"/>
          </w:tcPr>
          <w:p>
            <w:r/>
            <w:r>
              <w:rPr>
                <w:sz w:val="18"/>
              </w:rPr>
              <w:t>13 May 2026 16:35 UK</w:t>
            </w:r>
          </w:p>
        </w:tc>
        <w:tc>
          <w:tcPr>
            <w:tcW w:type="dxa" w:w="1584"/>
            <w:vAlign w:val="center"/>
          </w:tcPr>
          <w:p>
            <w:r/>
            <w:r>
              <w:rPr>
                <w:sz w:val="18"/>
              </w:rPr>
              <w:t>10,265.32</w:t>
            </w:r>
          </w:p>
        </w:tc>
        <w:tc>
          <w:tcPr>
            <w:tcW w:type="dxa" w:w="1440"/>
            <w:vAlign w:val="center"/>
          </w:tcPr>
          <w:p>
            <w:r/>
            <w:r>
              <w:rPr>
                <w:sz w:val="18"/>
              </w:rPr>
              <w:t>10,265.32</w:t>
            </w:r>
          </w:p>
        </w:tc>
        <w:tc>
          <w:tcPr>
            <w:tcW w:type="dxa" w:w="1440"/>
            <w:vAlign w:val="center"/>
          </w:tcPr>
          <w:p>
            <w:r/>
            <w:r>
              <w:rPr>
                <w:sz w:val="18"/>
              </w:rPr>
              <w:t>London cash close</w:t>
            </w:r>
          </w:p>
        </w:tc>
        <w:tc>
          <w:tcPr>
            <w:tcW w:type="dxa" w:w="864"/>
            <w:vAlign w:val="center"/>
          </w:tcPr>
          <w:p>
            <w:r/>
            <w:r>
              <w:rPr>
                <w:sz w:val="18"/>
              </w:rPr>
              <w:t>Tier-1 exchange</w:t>
            </w:r>
          </w:p>
        </w:tc>
        <w:tc>
          <w:tcPr>
            <w:tcW w:type="dxa" w:w="2016"/>
            <w:vAlign w:val="center"/>
          </w:tcPr>
          <w:p>
            <w:r/>
            <w:r>
              <w:rPr>
                <w:sz w:val="18"/>
              </w:rPr>
              <w:t>Mirrors FTSE Russell — corroborates</w:t>
            </w:r>
          </w:p>
        </w:tc>
      </w:tr>
      <w:tr>
        <w:tc>
          <w:tcPr>
            <w:tcW w:type="dxa" w:w="1440"/>
            <w:vAlign w:val="center"/>
          </w:tcPr>
          <w:p>
            <w:r/>
            <w:r>
              <w:rPr>
                <w:sz w:val="18"/>
              </w:rPr>
              <w:t>Yahoo Finance ^FTSE</w:t>
            </w:r>
          </w:p>
        </w:tc>
        <w:tc>
          <w:tcPr>
            <w:tcW w:type="dxa" w:w="1440"/>
            <w:vAlign w:val="center"/>
          </w:tcPr>
          <w:p>
            <w:r/>
            <w:r>
              <w:rPr>
                <w:sz w:val="18"/>
              </w:rPr>
              <w:t>13 May 2026 16:35 UK</w:t>
            </w:r>
          </w:p>
        </w:tc>
        <w:tc>
          <w:tcPr>
            <w:tcW w:type="dxa" w:w="1584"/>
            <w:vAlign w:val="center"/>
          </w:tcPr>
          <w:p>
            <w:r/>
            <w:r>
              <w:rPr>
                <w:sz w:val="18"/>
              </w:rPr>
              <w:t>10,265.32 (−0.04%)</w:t>
            </w:r>
          </w:p>
        </w:tc>
        <w:tc>
          <w:tcPr>
            <w:tcW w:type="dxa" w:w="1440"/>
            <w:vAlign w:val="center"/>
          </w:tcPr>
          <w:p>
            <w:r/>
            <w:r>
              <w:rPr>
                <w:sz w:val="18"/>
              </w:rPr>
              <w:t>10,265.32</w:t>
            </w:r>
          </w:p>
        </w:tc>
        <w:tc>
          <w:tcPr>
            <w:tcW w:type="dxa" w:w="1440"/>
            <w:vAlign w:val="center"/>
          </w:tcPr>
          <w:p>
            <w:r/>
            <w:r>
              <w:rPr>
                <w:sz w:val="18"/>
              </w:rPr>
              <w:t>London cash close</w:t>
            </w:r>
          </w:p>
        </w:tc>
        <w:tc>
          <w:tcPr>
            <w:tcW w:type="dxa" w:w="864"/>
            <w:vAlign w:val="center"/>
          </w:tcPr>
          <w:p>
            <w:r/>
            <w:r>
              <w:rPr>
                <w:sz w:val="18"/>
              </w:rPr>
              <w:t>Tier-2 aggregator</w:t>
            </w:r>
          </w:p>
        </w:tc>
        <w:tc>
          <w:tcPr>
            <w:tcW w:type="dxa" w:w="2016"/>
            <w:vAlign w:val="center"/>
          </w:tcPr>
          <w:p>
            <w:r/>
            <w:r>
              <w:rPr>
                <w:sz w:val="18"/>
              </w:rPr>
              <w:t>Matches index provider</w:t>
            </w:r>
          </w:p>
        </w:tc>
      </w:tr>
      <w:tr>
        <w:tc>
          <w:tcPr>
            <w:tcW w:type="dxa" w:w="1440"/>
            <w:vAlign w:val="center"/>
          </w:tcPr>
          <w:p>
            <w:r/>
            <w:r>
              <w:rPr>
                <w:sz w:val="18"/>
              </w:rPr>
              <w:t>Investing.com UK 100</w:t>
            </w:r>
          </w:p>
        </w:tc>
        <w:tc>
          <w:tcPr>
            <w:tcW w:type="dxa" w:w="1440"/>
            <w:vAlign w:val="center"/>
          </w:tcPr>
          <w:p>
            <w:r/>
            <w:r>
              <w:rPr>
                <w:sz w:val="18"/>
              </w:rPr>
              <w:t>13 May 2026</w:t>
            </w:r>
          </w:p>
        </w:tc>
        <w:tc>
          <w:tcPr>
            <w:tcW w:type="dxa" w:w="1584"/>
            <w:vAlign w:val="center"/>
          </w:tcPr>
          <w:p>
            <w:r/>
            <w:r>
              <w:rPr>
                <w:sz w:val="18"/>
              </w:rPr>
              <w:t>Open 10,318.66 / Close ~10,268</w:t>
            </w:r>
          </w:p>
        </w:tc>
        <w:tc>
          <w:tcPr>
            <w:tcW w:type="dxa" w:w="1440"/>
            <w:vAlign w:val="center"/>
          </w:tcPr>
          <w:p>
            <w:r/>
            <w:r>
              <w:rPr>
                <w:sz w:val="18"/>
              </w:rPr>
              <w:t>10,265–10,268</w:t>
            </w:r>
          </w:p>
        </w:tc>
        <w:tc>
          <w:tcPr>
            <w:tcW w:type="dxa" w:w="1440"/>
            <w:vAlign w:val="center"/>
          </w:tcPr>
          <w:p>
            <w:r/>
            <w:r>
              <w:rPr>
                <w:sz w:val="18"/>
              </w:rPr>
              <w:t>London cash, end-of-session</w:t>
            </w:r>
          </w:p>
        </w:tc>
        <w:tc>
          <w:tcPr>
            <w:tcW w:type="dxa" w:w="864"/>
            <w:vAlign w:val="center"/>
          </w:tcPr>
          <w:p>
            <w:r/>
            <w:r>
              <w:rPr>
                <w:sz w:val="18"/>
              </w:rPr>
              <w:t>Tier-2 aggregator</w:t>
            </w:r>
          </w:p>
        </w:tc>
        <w:tc>
          <w:tcPr>
            <w:tcW w:type="dxa" w:w="2016"/>
            <w:vAlign w:val="center"/>
          </w:tcPr>
          <w:p>
            <w:r/>
            <w:r>
              <w:rPr>
                <w:sz w:val="18"/>
              </w:rPr>
              <w:t>Aggregator close minor variance vs LSE</w:t>
            </w:r>
          </w:p>
        </w:tc>
      </w:tr>
      <w:tr>
        <w:tc>
          <w:tcPr>
            <w:tcW w:type="dxa" w:w="1440"/>
            <w:vAlign w:val="center"/>
          </w:tcPr>
          <w:p>
            <w:r/>
            <w:r>
              <w:rPr>
                <w:sz w:val="18"/>
              </w:rPr>
              <w:t>Trading Economics GB100</w:t>
            </w:r>
          </w:p>
        </w:tc>
        <w:tc>
          <w:tcPr>
            <w:tcW w:type="dxa" w:w="1440"/>
            <w:vAlign w:val="center"/>
          </w:tcPr>
          <w:p>
            <w:r/>
            <w:r>
              <w:rPr>
                <w:sz w:val="18"/>
              </w:rPr>
              <w:t>13 May 2026 close</w:t>
            </w:r>
          </w:p>
        </w:tc>
        <w:tc>
          <w:tcPr>
            <w:tcW w:type="dxa" w:w="1584"/>
            <w:vAlign w:val="center"/>
          </w:tcPr>
          <w:p>
            <w:r/>
            <w:r>
              <w:rPr>
                <w:sz w:val="18"/>
              </w:rPr>
              <w:t>10,325 CFD basis (+0.58%)</w:t>
            </w:r>
          </w:p>
        </w:tc>
        <w:tc>
          <w:tcPr>
            <w:tcW w:type="dxa" w:w="1440"/>
            <w:vAlign w:val="center"/>
          </w:tcPr>
          <w:p>
            <w:r/>
            <w:r>
              <w:rPr>
                <w:sz w:val="18"/>
              </w:rPr>
              <w:t>10,265.32 cash equivalent</w:t>
            </w:r>
          </w:p>
        </w:tc>
        <w:tc>
          <w:tcPr>
            <w:tcW w:type="dxa" w:w="1440"/>
            <w:vAlign w:val="center"/>
          </w:tcPr>
          <w:p>
            <w:r/>
            <w:r>
              <w:rPr>
                <w:sz w:val="18"/>
              </w:rPr>
              <w:t>CFD basis — declared</w:t>
            </w:r>
          </w:p>
        </w:tc>
        <w:tc>
          <w:tcPr>
            <w:tcW w:type="dxa" w:w="864"/>
            <w:vAlign w:val="center"/>
          </w:tcPr>
          <w:p>
            <w:r/>
            <w:r>
              <w:rPr>
                <w:sz w:val="18"/>
              </w:rPr>
              <w:t>Tier-3 (CFD)</w:t>
            </w:r>
          </w:p>
        </w:tc>
        <w:tc>
          <w:tcPr>
            <w:tcW w:type="dxa" w:w="2016"/>
            <w:vAlign w:val="center"/>
          </w:tcPr>
          <w:p>
            <w:r/>
            <w:r>
              <w:rPr>
                <w:sz w:val="18"/>
              </w:rPr>
              <w:t>Basis differs from cash; declared and used as directional corroboration only per source restrictions</w:t>
            </w:r>
          </w:p>
        </w:tc>
      </w:tr>
      <w:tr>
        <w:tc>
          <w:tcPr>
            <w:tcW w:type="dxa" w:w="1440"/>
            <w:vAlign w:val="center"/>
          </w:tcPr>
          <w:p>
            <w:r/>
            <w:r>
              <w:rPr>
                <w:sz w:val="18"/>
              </w:rPr>
              <w:t>Bloomberg consensus</w:t>
            </w:r>
          </w:p>
        </w:tc>
        <w:tc>
          <w:tcPr>
            <w:tcW w:type="dxa" w:w="1440"/>
            <w:vAlign w:val="center"/>
          </w:tcPr>
          <w:p>
            <w:r/>
            <w:r>
              <w:rPr>
                <w:sz w:val="18"/>
              </w:rPr>
              <w:t>13 May 2026 close</w:t>
            </w:r>
          </w:p>
        </w:tc>
        <w:tc>
          <w:tcPr>
            <w:tcW w:type="dxa" w:w="1584"/>
            <w:vAlign w:val="center"/>
          </w:tcPr>
          <w:p>
            <w:r/>
            <w:r>
              <w:rPr>
                <w:sz w:val="18"/>
              </w:rPr>
              <w:t>10,265 area</w:t>
            </w:r>
          </w:p>
        </w:tc>
        <w:tc>
          <w:tcPr>
            <w:tcW w:type="dxa" w:w="1440"/>
            <w:vAlign w:val="center"/>
          </w:tcPr>
          <w:p>
            <w:r/>
            <w:r>
              <w:rPr>
                <w:sz w:val="18"/>
              </w:rPr>
              <w:t>10,265</w:t>
            </w:r>
          </w:p>
        </w:tc>
        <w:tc>
          <w:tcPr>
            <w:tcW w:type="dxa" w:w="1440"/>
            <w:vAlign w:val="center"/>
          </w:tcPr>
          <w:p>
            <w:r/>
            <w:r>
              <w:rPr>
                <w:sz w:val="18"/>
              </w:rPr>
              <w:t>London cash close</w:t>
            </w:r>
          </w:p>
        </w:tc>
        <w:tc>
          <w:tcPr>
            <w:tcW w:type="dxa" w:w="864"/>
            <w:vAlign w:val="center"/>
          </w:tcPr>
          <w:p>
            <w:r/>
            <w:r>
              <w:rPr>
                <w:sz w:val="18"/>
              </w:rPr>
              <w:t>Tier-4 institutional</w:t>
            </w:r>
          </w:p>
        </w:tc>
        <w:tc>
          <w:tcPr>
            <w:tcW w:type="dxa" w:w="2016"/>
            <w:vAlign w:val="center"/>
          </w:tcPr>
          <w:p>
            <w:r/>
            <w:r>
              <w:rPr>
                <w:sz w:val="18"/>
              </w:rPr>
              <w:t>Fifth-tier corroboration per source policy</w:t>
            </w:r>
          </w:p>
        </w:tc>
      </w:tr>
      <w:tr>
        <w:tc>
          <w:tcPr>
            <w:tcW w:type="dxa" w:w="1440"/>
            <w:vAlign w:val="center"/>
          </w:tcPr>
          <w:p>
            <w:r/>
            <w:r>
              <w:rPr>
                <w:sz w:val="18"/>
              </w:rPr>
              <w:t>Sharecast / Fidelity feed</w:t>
            </w:r>
          </w:p>
        </w:tc>
        <w:tc>
          <w:tcPr>
            <w:tcW w:type="dxa" w:w="1440"/>
            <w:vAlign w:val="center"/>
          </w:tcPr>
          <w:p>
            <w:r/>
            <w:r>
              <w:rPr>
                <w:sz w:val="18"/>
              </w:rPr>
              <w:t>13 May 2026 16:40 BST</w:t>
            </w:r>
          </w:p>
        </w:tc>
        <w:tc>
          <w:tcPr>
            <w:tcW w:type="dxa" w:w="1584"/>
            <w:vAlign w:val="center"/>
          </w:tcPr>
          <w:p>
            <w:r/>
            <w:r>
              <w:rPr>
                <w:sz w:val="18"/>
              </w:rPr>
              <w:t>10,300.78 (intraday)</w:t>
            </w:r>
          </w:p>
        </w:tc>
        <w:tc>
          <w:tcPr>
            <w:tcW w:type="dxa" w:w="1440"/>
            <w:vAlign w:val="center"/>
          </w:tcPr>
          <w:p>
            <w:r/>
            <w:r>
              <w:rPr>
                <w:sz w:val="18"/>
              </w:rPr>
              <w:t>10,265.32 (close)</w:t>
            </w:r>
          </w:p>
        </w:tc>
        <w:tc>
          <w:tcPr>
            <w:tcW w:type="dxa" w:w="1440"/>
            <w:vAlign w:val="center"/>
          </w:tcPr>
          <w:p>
            <w:r/>
            <w:r>
              <w:rPr>
                <w:sz w:val="18"/>
              </w:rPr>
              <w:t>London intraday vs close</w:t>
            </w:r>
          </w:p>
        </w:tc>
        <w:tc>
          <w:tcPr>
            <w:tcW w:type="dxa" w:w="864"/>
            <w:vAlign w:val="center"/>
          </w:tcPr>
          <w:p>
            <w:r/>
            <w:r>
              <w:rPr>
                <w:sz w:val="18"/>
              </w:rPr>
              <w:t>Tier-2 aggregator</w:t>
            </w:r>
          </w:p>
        </w:tc>
        <w:tc>
          <w:tcPr>
            <w:tcW w:type="dxa" w:w="2016"/>
            <w:vAlign w:val="center"/>
          </w:tcPr>
          <w:p>
            <w:r/>
            <w:r>
              <w:rPr>
                <w:sz w:val="18"/>
              </w:rPr>
              <w:t>Intraday print; resolved to LSE close</w:t>
            </w:r>
          </w:p>
        </w:tc>
      </w:tr>
    </w:tbl>
    <w:p>
      <w:pPr>
        <w:spacing w:after="80"/>
      </w:pPr>
    </w:p>
    <w:p>
      <w:pPr>
        <w:spacing w:after="80"/>
      </w:pPr>
      <w:r>
        <w:rPr>
          <w:b w:val="0"/>
          <w:i/>
          <w:sz w:val="18"/>
        </w:rPr>
        <w:t>EURO STOXX 50 — minimum six sources (cash index, GBP-equivalent shown with EUR original):</w:t>
      </w:r>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40"/>
            <w:shd w:val="clear" w:color="auto" w:fill="1F3864"/>
            <w:vAlign w:val="center"/>
          </w:tcPr>
          <w:p>
            <w:r/>
            <w:r>
              <w:rPr>
                <w:b/>
                <w:color w:val="FFFFFF"/>
                <w:sz w:val="18"/>
              </w:rPr>
              <w:t>Source</w:t>
            </w:r>
          </w:p>
        </w:tc>
        <w:tc>
          <w:tcPr>
            <w:tcW w:type="dxa" w:w="1440"/>
            <w:shd w:val="clear" w:color="auto" w:fill="1F3864"/>
            <w:vAlign w:val="center"/>
          </w:tcPr>
          <w:p>
            <w:r/>
            <w:r>
              <w:rPr>
                <w:b/>
                <w:color w:val="FFFFFF"/>
                <w:sz w:val="18"/>
              </w:rPr>
              <w:t>Date / Time</w:t>
            </w:r>
          </w:p>
        </w:tc>
        <w:tc>
          <w:tcPr>
            <w:tcW w:type="dxa" w:w="1584"/>
            <w:shd w:val="clear" w:color="auto" w:fill="1F3864"/>
            <w:vAlign w:val="center"/>
          </w:tcPr>
          <w:p>
            <w:r/>
            <w:r>
              <w:rPr>
                <w:b/>
                <w:color w:val="FFFFFF"/>
                <w:sz w:val="18"/>
              </w:rPr>
              <w:t>Raw quote</w:t>
            </w:r>
          </w:p>
        </w:tc>
        <w:tc>
          <w:tcPr>
            <w:tcW w:type="dxa" w:w="1440"/>
            <w:shd w:val="clear" w:color="auto" w:fill="1F3864"/>
            <w:vAlign w:val="center"/>
          </w:tcPr>
          <w:p>
            <w:r/>
            <w:r>
              <w:rPr>
                <w:b/>
                <w:color w:val="FFFFFF"/>
                <w:sz w:val="18"/>
              </w:rPr>
              <w:t>Normalized</w:t>
            </w:r>
          </w:p>
        </w:tc>
        <w:tc>
          <w:tcPr>
            <w:tcW w:type="dxa" w:w="1440"/>
            <w:shd w:val="clear" w:color="auto" w:fill="1F3864"/>
            <w:vAlign w:val="center"/>
          </w:tcPr>
          <w:p>
            <w:r/>
            <w:r>
              <w:rPr>
                <w:b/>
                <w:color w:val="FFFFFF"/>
                <w:sz w:val="18"/>
              </w:rPr>
              <w:t>Basis / Location</w:t>
            </w:r>
          </w:p>
        </w:tc>
        <w:tc>
          <w:tcPr>
            <w:tcW w:type="dxa" w:w="1008"/>
            <w:shd w:val="clear" w:color="auto" w:fill="1F3864"/>
            <w:vAlign w:val="center"/>
          </w:tcPr>
          <w:p>
            <w:r/>
            <w:r>
              <w:rPr>
                <w:b/>
                <w:color w:val="FFFFFF"/>
                <w:sz w:val="18"/>
              </w:rPr>
              <w:t>Relevance</w:t>
            </w:r>
          </w:p>
        </w:tc>
        <w:tc>
          <w:tcPr>
            <w:tcW w:type="dxa" w:w="1872"/>
            <w:shd w:val="clear" w:color="auto" w:fill="1F3864"/>
            <w:vAlign w:val="center"/>
          </w:tcPr>
          <w:p>
            <w:r/>
            <w:r>
              <w:rPr>
                <w:b/>
                <w:color w:val="FFFFFF"/>
                <w:sz w:val="18"/>
              </w:rPr>
              <w:t>Notes</w:t>
            </w:r>
          </w:p>
        </w:tc>
      </w:tr>
      <w:tr>
        <w:tc>
          <w:tcPr>
            <w:tcW w:type="dxa" w:w="1440"/>
            <w:vAlign w:val="center"/>
          </w:tcPr>
          <w:p>
            <w:r/>
            <w:r>
              <w:rPr>
                <w:sz w:val="18"/>
              </w:rPr>
              <w:t>STOXX Ltd official</w:t>
            </w:r>
          </w:p>
        </w:tc>
        <w:tc>
          <w:tcPr>
            <w:tcW w:type="dxa" w:w="1440"/>
            <w:vAlign w:val="center"/>
          </w:tcPr>
          <w:p>
            <w:r/>
            <w:r>
              <w:rPr>
                <w:sz w:val="18"/>
              </w:rPr>
              <w:t>13 May 2026 17:30 CET</w:t>
            </w:r>
          </w:p>
        </w:tc>
        <w:tc>
          <w:tcPr>
            <w:tcW w:type="dxa" w:w="1584"/>
            <w:vAlign w:val="center"/>
          </w:tcPr>
          <w:p>
            <w:r/>
            <w:r>
              <w:rPr>
                <w:sz w:val="18"/>
              </w:rPr>
              <w:t>5,870.0 EUR</w:t>
            </w:r>
          </w:p>
        </w:tc>
        <w:tc>
          <w:tcPr>
            <w:tcW w:type="dxa" w:w="1440"/>
            <w:vAlign w:val="center"/>
          </w:tcPr>
          <w:p>
            <w:r/>
            <w:r>
              <w:rPr>
                <w:sz w:val="18"/>
              </w:rPr>
              <w:t>≈5,072 GBP-equiv</w:t>
            </w:r>
          </w:p>
        </w:tc>
        <w:tc>
          <w:tcPr>
            <w:tcW w:type="dxa" w:w="1440"/>
            <w:vAlign w:val="center"/>
          </w:tcPr>
          <w:p>
            <w:r/>
            <w:r>
              <w:rPr>
                <w:sz w:val="18"/>
              </w:rPr>
              <w:t>Eurozone cash close</w:t>
            </w:r>
          </w:p>
        </w:tc>
        <w:tc>
          <w:tcPr>
            <w:tcW w:type="dxa" w:w="1008"/>
            <w:vAlign w:val="center"/>
          </w:tcPr>
          <w:p>
            <w:r/>
            <w:r>
              <w:rPr>
                <w:sz w:val="18"/>
              </w:rPr>
              <w:t>Tier-1 index provider</w:t>
            </w:r>
          </w:p>
        </w:tc>
        <w:tc>
          <w:tcPr>
            <w:tcW w:type="dxa" w:w="1872"/>
            <w:vAlign w:val="center"/>
          </w:tcPr>
          <w:p>
            <w:r/>
            <w:r>
              <w:rPr>
                <w:sz w:val="18"/>
              </w:rPr>
              <w:t>Authoritative settlement; rebound +1.0% from 12 May</w:t>
            </w:r>
          </w:p>
        </w:tc>
      </w:tr>
      <w:tr>
        <w:tc>
          <w:tcPr>
            <w:tcW w:type="dxa" w:w="1440"/>
            <w:vAlign w:val="center"/>
          </w:tcPr>
          <w:p>
            <w:r/>
            <w:r>
              <w:rPr>
                <w:sz w:val="18"/>
              </w:rPr>
              <w:t>Xetra exchange feed</w:t>
            </w:r>
          </w:p>
        </w:tc>
        <w:tc>
          <w:tcPr>
            <w:tcW w:type="dxa" w:w="1440"/>
            <w:vAlign w:val="center"/>
          </w:tcPr>
          <w:p>
            <w:r/>
            <w:r>
              <w:rPr>
                <w:sz w:val="18"/>
              </w:rPr>
              <w:t>13 May 2026 17:30 CET</w:t>
            </w:r>
          </w:p>
        </w:tc>
        <w:tc>
          <w:tcPr>
            <w:tcW w:type="dxa" w:w="1584"/>
            <w:vAlign w:val="center"/>
          </w:tcPr>
          <w:p>
            <w:r/>
            <w:r>
              <w:rPr>
                <w:sz w:val="18"/>
              </w:rPr>
              <w:t>5,870.0 EUR</w:t>
            </w:r>
          </w:p>
        </w:tc>
        <w:tc>
          <w:tcPr>
            <w:tcW w:type="dxa" w:w="1440"/>
            <w:vAlign w:val="center"/>
          </w:tcPr>
          <w:p>
            <w:r/>
            <w:r>
              <w:rPr>
                <w:sz w:val="18"/>
              </w:rPr>
              <w:t>≈5,072 GBP-equiv</w:t>
            </w:r>
          </w:p>
        </w:tc>
        <w:tc>
          <w:tcPr>
            <w:tcW w:type="dxa" w:w="1440"/>
            <w:vAlign w:val="center"/>
          </w:tcPr>
          <w:p>
            <w:r/>
            <w:r>
              <w:rPr>
                <w:sz w:val="18"/>
              </w:rPr>
              <w:t>Frankfurt cash close</w:t>
            </w:r>
          </w:p>
        </w:tc>
        <w:tc>
          <w:tcPr>
            <w:tcW w:type="dxa" w:w="1008"/>
            <w:vAlign w:val="center"/>
          </w:tcPr>
          <w:p>
            <w:r/>
            <w:r>
              <w:rPr>
                <w:sz w:val="18"/>
              </w:rPr>
              <w:t>Tier-1 exchange</w:t>
            </w:r>
          </w:p>
        </w:tc>
        <w:tc>
          <w:tcPr>
            <w:tcW w:type="dxa" w:w="1872"/>
            <w:vAlign w:val="center"/>
          </w:tcPr>
          <w:p>
            <w:r/>
            <w:r>
              <w:rPr>
                <w:sz w:val="18"/>
              </w:rPr>
              <w:t>Matches STOXX Ltd</w:t>
            </w:r>
          </w:p>
        </w:tc>
      </w:tr>
      <w:tr>
        <w:tc>
          <w:tcPr>
            <w:tcW w:type="dxa" w:w="1440"/>
            <w:vAlign w:val="center"/>
          </w:tcPr>
          <w:p>
            <w:r/>
            <w:r>
              <w:rPr>
                <w:sz w:val="18"/>
              </w:rPr>
              <w:t>Yahoo Finance ^STOXX50E</w:t>
            </w:r>
          </w:p>
        </w:tc>
        <w:tc>
          <w:tcPr>
            <w:tcW w:type="dxa" w:w="1440"/>
            <w:vAlign w:val="center"/>
          </w:tcPr>
          <w:p>
            <w:r/>
            <w:r>
              <w:rPr>
                <w:sz w:val="18"/>
              </w:rPr>
              <w:t>12 May 2026 18:00 CET</w:t>
            </w:r>
          </w:p>
        </w:tc>
        <w:tc>
          <w:tcPr>
            <w:tcW w:type="dxa" w:w="1584"/>
            <w:vAlign w:val="center"/>
          </w:tcPr>
          <w:p>
            <w:r/>
            <w:r>
              <w:rPr>
                <w:sz w:val="18"/>
              </w:rPr>
              <w:t>5,808.45 EUR (−1.48%)</w:t>
            </w:r>
          </w:p>
        </w:tc>
        <w:tc>
          <w:tcPr>
            <w:tcW w:type="dxa" w:w="1440"/>
            <w:vAlign w:val="center"/>
          </w:tcPr>
          <w:p>
            <w:r/>
            <w:r>
              <w:rPr>
                <w:sz w:val="18"/>
              </w:rPr>
              <w:t>≈5,019 GBP-equiv</w:t>
            </w:r>
          </w:p>
        </w:tc>
        <w:tc>
          <w:tcPr>
            <w:tcW w:type="dxa" w:w="1440"/>
            <w:vAlign w:val="center"/>
          </w:tcPr>
          <w:p>
            <w:r/>
            <w:r>
              <w:rPr>
                <w:sz w:val="18"/>
              </w:rPr>
              <w:t>Zurich cash close</w:t>
            </w:r>
          </w:p>
        </w:tc>
        <w:tc>
          <w:tcPr>
            <w:tcW w:type="dxa" w:w="1008"/>
            <w:vAlign w:val="center"/>
          </w:tcPr>
          <w:p>
            <w:r/>
            <w:r>
              <w:rPr>
                <w:sz w:val="18"/>
              </w:rPr>
              <w:t>Tier-2 aggregator</w:t>
            </w:r>
          </w:p>
        </w:tc>
        <w:tc>
          <w:tcPr>
            <w:tcW w:type="dxa" w:w="1872"/>
            <w:vAlign w:val="center"/>
          </w:tcPr>
          <w:p>
            <w:r/>
            <w:r>
              <w:rPr>
                <w:sz w:val="18"/>
              </w:rPr>
              <w:t>Prior-day reference; 13 May rebound consistent</w:t>
            </w:r>
          </w:p>
        </w:tc>
      </w:tr>
      <w:tr>
        <w:tc>
          <w:tcPr>
            <w:tcW w:type="dxa" w:w="1440"/>
            <w:vAlign w:val="center"/>
          </w:tcPr>
          <w:p>
            <w:r/>
            <w:r>
              <w:rPr>
                <w:sz w:val="18"/>
              </w:rPr>
              <w:t>Investing.com EU Stoxx 50</w:t>
            </w:r>
          </w:p>
        </w:tc>
        <w:tc>
          <w:tcPr>
            <w:tcW w:type="dxa" w:w="1440"/>
            <w:vAlign w:val="center"/>
          </w:tcPr>
          <w:p>
            <w:r/>
            <w:r>
              <w:rPr>
                <w:sz w:val="18"/>
              </w:rPr>
              <w:t>13 May 2026</w:t>
            </w:r>
          </w:p>
        </w:tc>
        <w:tc>
          <w:tcPr>
            <w:tcW w:type="dxa" w:w="1584"/>
            <w:vAlign w:val="center"/>
          </w:tcPr>
          <w:p>
            <w:r/>
            <w:r>
              <w:rPr>
                <w:sz w:val="18"/>
              </w:rPr>
              <w:t>Open 6,044.36 (futures basis); cash 5,870 area</w:t>
            </w:r>
          </w:p>
        </w:tc>
        <w:tc>
          <w:tcPr>
            <w:tcW w:type="dxa" w:w="1440"/>
            <w:vAlign w:val="center"/>
          </w:tcPr>
          <w:p>
            <w:r/>
            <w:r>
              <w:rPr>
                <w:sz w:val="18"/>
              </w:rPr>
              <w:t>≈5,072 GBP-equiv</w:t>
            </w:r>
          </w:p>
        </w:tc>
        <w:tc>
          <w:tcPr>
            <w:tcW w:type="dxa" w:w="1440"/>
            <w:vAlign w:val="center"/>
          </w:tcPr>
          <w:p>
            <w:r/>
            <w:r>
              <w:rPr>
                <w:sz w:val="18"/>
              </w:rPr>
              <w:t>Eurozone cash / futures mixed</w:t>
            </w:r>
          </w:p>
        </w:tc>
        <w:tc>
          <w:tcPr>
            <w:tcW w:type="dxa" w:w="1008"/>
            <w:vAlign w:val="center"/>
          </w:tcPr>
          <w:p>
            <w:r/>
            <w:r>
              <w:rPr>
                <w:sz w:val="18"/>
              </w:rPr>
              <w:t>Tier-2 aggregator</w:t>
            </w:r>
          </w:p>
        </w:tc>
        <w:tc>
          <w:tcPr>
            <w:tcW w:type="dxa" w:w="1872"/>
            <w:vAlign w:val="center"/>
          </w:tcPr>
          <w:p>
            <w:r/>
            <w:r>
              <w:rPr>
                <w:sz w:val="18"/>
              </w:rPr>
              <w:t>Futures vs cash basis declared</w:t>
            </w:r>
          </w:p>
        </w:tc>
      </w:tr>
      <w:tr>
        <w:tc>
          <w:tcPr>
            <w:tcW w:type="dxa" w:w="1440"/>
            <w:vAlign w:val="center"/>
          </w:tcPr>
          <w:p>
            <w:r/>
            <w:r>
              <w:rPr>
                <w:sz w:val="18"/>
              </w:rPr>
              <w:t>Trading Economics STOXX 50</w:t>
            </w:r>
          </w:p>
        </w:tc>
        <w:tc>
          <w:tcPr>
            <w:tcW w:type="dxa" w:w="1440"/>
            <w:vAlign w:val="center"/>
          </w:tcPr>
          <w:p>
            <w:r/>
            <w:r>
              <w:rPr>
                <w:sz w:val="18"/>
              </w:rPr>
              <w:t>13 May 2026 close</w:t>
            </w:r>
          </w:p>
        </w:tc>
        <w:tc>
          <w:tcPr>
            <w:tcW w:type="dxa" w:w="1584"/>
            <w:vAlign w:val="center"/>
          </w:tcPr>
          <w:p>
            <w:r/>
            <w:r>
              <w:rPr>
                <w:sz w:val="18"/>
              </w:rPr>
              <w:t>5,870.0 EUR (+1.0%)</w:t>
            </w:r>
          </w:p>
        </w:tc>
        <w:tc>
          <w:tcPr>
            <w:tcW w:type="dxa" w:w="1440"/>
            <w:vAlign w:val="center"/>
          </w:tcPr>
          <w:p>
            <w:r/>
            <w:r>
              <w:rPr>
                <w:sz w:val="18"/>
              </w:rPr>
              <w:t>≈5,072 GBP-equiv</w:t>
            </w:r>
          </w:p>
        </w:tc>
        <w:tc>
          <w:tcPr>
            <w:tcW w:type="dxa" w:w="1440"/>
            <w:vAlign w:val="center"/>
          </w:tcPr>
          <w:p>
            <w:r/>
            <w:r>
              <w:rPr>
                <w:sz w:val="18"/>
              </w:rPr>
              <w:t>Eurozone cash close</w:t>
            </w:r>
          </w:p>
        </w:tc>
        <w:tc>
          <w:tcPr>
            <w:tcW w:type="dxa" w:w="1008"/>
            <w:vAlign w:val="center"/>
          </w:tcPr>
          <w:p>
            <w:r/>
            <w:r>
              <w:rPr>
                <w:sz w:val="18"/>
              </w:rPr>
              <w:t>Tier-3</w:t>
            </w:r>
          </w:p>
        </w:tc>
        <w:tc>
          <w:tcPr>
            <w:tcW w:type="dxa" w:w="1872"/>
            <w:vAlign w:val="center"/>
          </w:tcPr>
          <w:p>
            <w:r/>
            <w:r>
              <w:rPr>
                <w:sz w:val="18"/>
              </w:rPr>
              <w:t>Mirrors index provider</w:t>
            </w:r>
          </w:p>
        </w:tc>
      </w:tr>
      <w:tr>
        <w:tc>
          <w:tcPr>
            <w:tcW w:type="dxa" w:w="1440"/>
            <w:vAlign w:val="center"/>
          </w:tcPr>
          <w:p>
            <w:r/>
            <w:r>
              <w:rPr>
                <w:sz w:val="18"/>
              </w:rPr>
              <w:t>Bloomberg SX5E</w:t>
            </w:r>
          </w:p>
        </w:tc>
        <w:tc>
          <w:tcPr>
            <w:tcW w:type="dxa" w:w="1440"/>
            <w:vAlign w:val="center"/>
          </w:tcPr>
          <w:p>
            <w:r/>
            <w:r>
              <w:rPr>
                <w:sz w:val="18"/>
              </w:rPr>
              <w:t>13 May 2026 close</w:t>
            </w:r>
          </w:p>
        </w:tc>
        <w:tc>
          <w:tcPr>
            <w:tcW w:type="dxa" w:w="1584"/>
            <w:vAlign w:val="center"/>
          </w:tcPr>
          <w:p>
            <w:r/>
            <w:r>
              <w:rPr>
                <w:sz w:val="18"/>
              </w:rPr>
              <w:t>5,870 area EUR</w:t>
            </w:r>
          </w:p>
        </w:tc>
        <w:tc>
          <w:tcPr>
            <w:tcW w:type="dxa" w:w="1440"/>
            <w:vAlign w:val="center"/>
          </w:tcPr>
          <w:p>
            <w:r/>
            <w:r>
              <w:rPr>
                <w:sz w:val="18"/>
              </w:rPr>
              <w:t>≈5,072 GBP-equiv</w:t>
            </w:r>
          </w:p>
        </w:tc>
        <w:tc>
          <w:tcPr>
            <w:tcW w:type="dxa" w:w="1440"/>
            <w:vAlign w:val="center"/>
          </w:tcPr>
          <w:p>
            <w:r/>
            <w:r>
              <w:rPr>
                <w:sz w:val="18"/>
              </w:rPr>
              <w:t>Eurozone cash close</w:t>
            </w:r>
          </w:p>
        </w:tc>
        <w:tc>
          <w:tcPr>
            <w:tcW w:type="dxa" w:w="1008"/>
            <w:vAlign w:val="center"/>
          </w:tcPr>
          <w:p>
            <w:r/>
            <w:r>
              <w:rPr>
                <w:sz w:val="18"/>
              </w:rPr>
              <w:t>Tier-4 institutional</w:t>
            </w:r>
          </w:p>
        </w:tc>
        <w:tc>
          <w:tcPr>
            <w:tcW w:type="dxa" w:w="1872"/>
            <w:vAlign w:val="center"/>
          </w:tcPr>
          <w:p>
            <w:r/>
            <w:r>
              <w:rPr>
                <w:sz w:val="18"/>
              </w:rPr>
              <w:t>Corroborates</w:t>
            </w:r>
          </w:p>
        </w:tc>
      </w:tr>
    </w:tbl>
    <w:p>
      <w:pPr>
        <w:spacing w:after="80"/>
      </w:pPr>
    </w:p>
    <w:p>
      <w:pPr>
        <w:spacing w:after="80"/>
      </w:pPr>
      <w:r>
        <w:rPr>
          <w:b w:val="0"/>
          <w:i/>
          <w:sz w:val="16"/>
        </w:rPr>
        <w:t>GBP/EUR ≈ 1.1528 applied for the GBP-equivalent translation (see §10).</w:t>
      </w:r>
    </w:p>
    <w:p>
      <w:pPr>
        <w:spacing w:before="200" w:after="80"/>
      </w:pPr>
      <w:r>
        <w:rPr>
          <w:b/>
          <w:color w:val="1F3864"/>
          <w:sz w:val="28"/>
        </w:rPr>
        <w:t>§5  Consensus Build Explanation</w:t>
      </w:r>
    </w:p>
    <w:p>
      <w:pPr>
        <w:spacing w:after="80"/>
      </w:pPr>
      <w:r>
        <w:rPr>
          <w:b w:val="0"/>
          <w:i w:val="0"/>
          <w:sz w:val="20"/>
        </w:rPr>
        <w:t>Both indices are cash benchmarks with single authoritative settlements: FTSE Russell for FTSE 100 and STOXX Ltd for EURO STOXX 50. Consensus is therefore a tight observation around the official close rather than a weighted normalization across heterogeneous bases. The principal normalization handled in this report concerns (a) CFD-basis quotes (Trading Economics GB100 reads near 10,325 vs the 10,265.32 cash close on 13 May — the 60-point gap is a typical CFD-funding/dividend-adjustment spread, declared and used directionally only, in line with the explicit exclusion of retail CFD quotes from the price-level consensus), and (b) the EURO STOXX 50 GBP-equivalent column, computed at the prevailing GBP/EUR ≈ 1.1528. The weighted-median method down-weights the CFD print and the futures-basis Investing.com open quote and centres on the FTSE Russell / LSE / Yahoo / STOXX Ltd / Xetra cluster. Exclusions: no retail-broker CFD spreads, no pre-open futures-implied 'fair value' synthetics. Final consensus of FTSE 10,265 and STOXX 5,870 is the most defensible because it is anchored to the index providers' own end-of-session calculations.</w:t>
      </w:r>
    </w:p>
    <w:p>
      <w:pPr>
        <w:spacing w:before="200" w:after="80"/>
      </w:pPr>
      <w:r>
        <w:rPr>
          <w:b/>
          <w:color w:val="1F3864"/>
          <w:sz w:val="28"/>
        </w:rPr>
        <w:t>§6  Validated OHLC + RSI2 (5-Day)</w:t>
      </w:r>
    </w:p>
    <w:p>
      <w:pPr>
        <w:spacing w:after="80"/>
      </w:pPr>
      <w:r>
        <w:rPr>
          <w:b w:val="0"/>
          <w:i/>
          <w:sz w:val="18"/>
        </w:rPr>
        <w:t>FTSE 100 — 5 validated sessions to 13 May 2026 (in points):</w:t>
      </w:r>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40"/>
            <w:shd w:val="clear" w:color="auto" w:fill="1F3864"/>
            <w:vAlign w:val="center"/>
          </w:tcPr>
          <w:p>
            <w:r/>
            <w:r>
              <w:rPr>
                <w:b/>
                <w:color w:val="FFFFFF"/>
                <w:sz w:val="18"/>
              </w:rPr>
              <w:t>Date</w:t>
            </w:r>
          </w:p>
        </w:tc>
        <w:tc>
          <w:tcPr>
            <w:tcW w:type="dxa" w:w="1296"/>
            <w:shd w:val="clear" w:color="auto" w:fill="1F3864"/>
            <w:vAlign w:val="center"/>
          </w:tcPr>
          <w:p>
            <w:r/>
            <w:r>
              <w:rPr>
                <w:b/>
                <w:color w:val="FFFFFF"/>
                <w:sz w:val="18"/>
              </w:rPr>
              <w:t>Open</w:t>
            </w:r>
          </w:p>
        </w:tc>
        <w:tc>
          <w:tcPr>
            <w:tcW w:type="dxa" w:w="1296"/>
            <w:shd w:val="clear" w:color="auto" w:fill="1F3864"/>
            <w:vAlign w:val="center"/>
          </w:tcPr>
          <w:p>
            <w:r/>
            <w:r>
              <w:rPr>
                <w:b/>
                <w:color w:val="FFFFFF"/>
                <w:sz w:val="18"/>
              </w:rPr>
              <w:t>High</w:t>
            </w:r>
          </w:p>
        </w:tc>
        <w:tc>
          <w:tcPr>
            <w:tcW w:type="dxa" w:w="1296"/>
            <w:shd w:val="clear" w:color="auto" w:fill="1F3864"/>
            <w:vAlign w:val="center"/>
          </w:tcPr>
          <w:p>
            <w:r/>
            <w:r>
              <w:rPr>
                <w:b/>
                <w:color w:val="FFFFFF"/>
                <w:sz w:val="18"/>
              </w:rPr>
              <w:t>Low</w:t>
            </w:r>
          </w:p>
        </w:tc>
        <w:tc>
          <w:tcPr>
            <w:tcW w:type="dxa" w:w="1296"/>
            <w:shd w:val="clear" w:color="auto" w:fill="1F3864"/>
            <w:vAlign w:val="center"/>
          </w:tcPr>
          <w:p>
            <w:r/>
            <w:r>
              <w:rPr>
                <w:b/>
                <w:color w:val="FFFFFF"/>
                <w:sz w:val="18"/>
              </w:rPr>
              <w:t>Close</w:t>
            </w:r>
          </w:p>
        </w:tc>
        <w:tc>
          <w:tcPr>
            <w:tcW w:type="dxa" w:w="2016"/>
            <w:shd w:val="clear" w:color="auto" w:fill="1F3864"/>
            <w:vAlign w:val="center"/>
          </w:tcPr>
          <w:p>
            <w:r/>
            <w:r>
              <w:rPr>
                <w:b/>
                <w:color w:val="FFFFFF"/>
                <w:sz w:val="18"/>
              </w:rPr>
              <w:t>Source A / B</w:t>
            </w:r>
          </w:p>
        </w:tc>
        <w:tc>
          <w:tcPr>
            <w:tcW w:type="dxa" w:w="864"/>
            <w:shd w:val="clear" w:color="auto" w:fill="1F3864"/>
            <w:vAlign w:val="center"/>
          </w:tcPr>
          <w:p>
            <w:r/>
            <w:r>
              <w:rPr>
                <w:b/>
                <w:color w:val="FFFFFF"/>
                <w:sz w:val="18"/>
              </w:rPr>
              <w:t>RSI2</w:t>
            </w:r>
          </w:p>
        </w:tc>
      </w:tr>
      <w:tr>
        <w:tc>
          <w:tcPr>
            <w:tcW w:type="dxa" w:w="1440"/>
            <w:vAlign w:val="center"/>
          </w:tcPr>
          <w:p>
            <w:r/>
            <w:r>
              <w:rPr>
                <w:sz w:val="18"/>
              </w:rPr>
              <w:t>Wed 06 May</w:t>
            </w:r>
          </w:p>
        </w:tc>
        <w:tc>
          <w:tcPr>
            <w:tcW w:type="dxa" w:w="1296"/>
            <w:vAlign w:val="center"/>
          </w:tcPr>
          <w:p>
            <w:r/>
            <w:r>
              <w:rPr>
                <w:sz w:val="18"/>
              </w:rPr>
              <w:t>10,272.81</w:t>
            </w:r>
          </w:p>
        </w:tc>
        <w:tc>
          <w:tcPr>
            <w:tcW w:type="dxa" w:w="1296"/>
            <w:vAlign w:val="center"/>
          </w:tcPr>
          <w:p>
            <w:r/>
            <w:r>
              <w:rPr>
                <w:sz w:val="18"/>
              </w:rPr>
              <w:t>10,330.40</w:t>
            </w:r>
          </w:p>
        </w:tc>
        <w:tc>
          <w:tcPr>
            <w:tcW w:type="dxa" w:w="1296"/>
            <w:vAlign w:val="center"/>
          </w:tcPr>
          <w:p>
            <w:r/>
            <w:r>
              <w:rPr>
                <w:sz w:val="18"/>
              </w:rPr>
              <w:t>10,251.20</w:t>
            </w:r>
          </w:p>
        </w:tc>
        <w:tc>
          <w:tcPr>
            <w:tcW w:type="dxa" w:w="1296"/>
            <w:vAlign w:val="center"/>
          </w:tcPr>
          <w:p>
            <w:r/>
            <w:r>
              <w:rPr>
                <w:sz w:val="18"/>
              </w:rPr>
              <w:t>10,277.40</w:t>
            </w:r>
          </w:p>
        </w:tc>
        <w:tc>
          <w:tcPr>
            <w:tcW w:type="dxa" w:w="2016"/>
            <w:vAlign w:val="center"/>
          </w:tcPr>
          <w:p>
            <w:r/>
            <w:r>
              <w:rPr>
                <w:sz w:val="18"/>
              </w:rPr>
              <w:t>Yahoo / LSE</w:t>
            </w:r>
          </w:p>
        </w:tc>
        <w:tc>
          <w:tcPr>
            <w:tcW w:type="dxa" w:w="864"/>
            <w:vAlign w:val="center"/>
          </w:tcPr>
          <w:p>
            <w:r/>
            <w:r>
              <w:rPr>
                <w:sz w:val="18"/>
              </w:rPr>
              <w:t>62.4</w:t>
            </w:r>
          </w:p>
        </w:tc>
      </w:tr>
      <w:tr>
        <w:tc>
          <w:tcPr>
            <w:tcW w:type="dxa" w:w="1440"/>
            <w:vAlign w:val="center"/>
          </w:tcPr>
          <w:p>
            <w:r/>
            <w:r>
              <w:rPr>
                <w:sz w:val="18"/>
              </w:rPr>
              <w:t>Thu 07 May</w:t>
            </w:r>
          </w:p>
        </w:tc>
        <w:tc>
          <w:tcPr>
            <w:tcW w:type="dxa" w:w="1296"/>
            <w:vAlign w:val="center"/>
          </w:tcPr>
          <w:p>
            <w:r/>
            <w:r>
              <w:rPr>
                <w:sz w:val="18"/>
              </w:rPr>
              <w:t>10,277.40</w:t>
            </w:r>
          </w:p>
        </w:tc>
        <w:tc>
          <w:tcPr>
            <w:tcW w:type="dxa" w:w="1296"/>
            <w:vAlign w:val="center"/>
          </w:tcPr>
          <w:p>
            <w:r/>
            <w:r>
              <w:rPr>
                <w:sz w:val="18"/>
              </w:rPr>
              <w:t>10,295.00</w:t>
            </w:r>
          </w:p>
        </w:tc>
        <w:tc>
          <w:tcPr>
            <w:tcW w:type="dxa" w:w="1296"/>
            <w:vAlign w:val="center"/>
          </w:tcPr>
          <w:p>
            <w:r/>
            <w:r>
              <w:rPr>
                <w:sz w:val="18"/>
              </w:rPr>
              <w:t>10,235.10</w:t>
            </w:r>
          </w:p>
        </w:tc>
        <w:tc>
          <w:tcPr>
            <w:tcW w:type="dxa" w:w="1296"/>
            <w:vAlign w:val="center"/>
          </w:tcPr>
          <w:p>
            <w:r/>
            <w:r>
              <w:rPr>
                <w:sz w:val="18"/>
              </w:rPr>
              <w:t>10,261.87</w:t>
            </w:r>
          </w:p>
        </w:tc>
        <w:tc>
          <w:tcPr>
            <w:tcW w:type="dxa" w:w="2016"/>
            <w:vAlign w:val="center"/>
          </w:tcPr>
          <w:p>
            <w:r/>
            <w:r>
              <w:rPr>
                <w:sz w:val="18"/>
              </w:rPr>
              <w:t>Yahoo / LSE</w:t>
            </w:r>
          </w:p>
        </w:tc>
        <w:tc>
          <w:tcPr>
            <w:tcW w:type="dxa" w:w="864"/>
            <w:vAlign w:val="center"/>
          </w:tcPr>
          <w:p>
            <w:r/>
            <w:r>
              <w:rPr>
                <w:sz w:val="18"/>
              </w:rPr>
              <w:t>48.9</w:t>
            </w:r>
          </w:p>
        </w:tc>
      </w:tr>
      <w:tr>
        <w:tc>
          <w:tcPr>
            <w:tcW w:type="dxa" w:w="1440"/>
            <w:vAlign w:val="center"/>
          </w:tcPr>
          <w:p>
            <w:r/>
            <w:r>
              <w:rPr>
                <w:sz w:val="18"/>
              </w:rPr>
              <w:t>Fri 08 May</w:t>
            </w:r>
          </w:p>
        </w:tc>
        <w:tc>
          <w:tcPr>
            <w:tcW w:type="dxa" w:w="1296"/>
            <w:vAlign w:val="center"/>
          </w:tcPr>
          <w:p>
            <w:r/>
            <w:r>
              <w:rPr>
                <w:sz w:val="18"/>
              </w:rPr>
              <w:t>10,196.32</w:t>
            </w:r>
          </w:p>
        </w:tc>
        <w:tc>
          <w:tcPr>
            <w:tcW w:type="dxa" w:w="1296"/>
            <w:vAlign w:val="center"/>
          </w:tcPr>
          <w:p>
            <w:r/>
            <w:r>
              <w:rPr>
                <w:sz w:val="18"/>
              </w:rPr>
              <w:t>10,260.80</w:t>
            </w:r>
          </w:p>
        </w:tc>
        <w:tc>
          <w:tcPr>
            <w:tcW w:type="dxa" w:w="1296"/>
            <w:vAlign w:val="center"/>
          </w:tcPr>
          <w:p>
            <w:r/>
            <w:r>
              <w:rPr>
                <w:sz w:val="18"/>
              </w:rPr>
              <w:t>10,184.20</w:t>
            </w:r>
          </w:p>
        </w:tc>
        <w:tc>
          <w:tcPr>
            <w:tcW w:type="dxa" w:w="1296"/>
            <w:vAlign w:val="center"/>
          </w:tcPr>
          <w:p>
            <w:r/>
            <w:r>
              <w:rPr>
                <w:sz w:val="18"/>
              </w:rPr>
              <w:t>10,221.05</w:t>
            </w:r>
          </w:p>
        </w:tc>
        <w:tc>
          <w:tcPr>
            <w:tcW w:type="dxa" w:w="2016"/>
            <w:vAlign w:val="center"/>
          </w:tcPr>
          <w:p>
            <w:r/>
            <w:r>
              <w:rPr>
                <w:sz w:val="18"/>
              </w:rPr>
              <w:t>Yahoo / LSE</w:t>
            </w:r>
          </w:p>
        </w:tc>
        <w:tc>
          <w:tcPr>
            <w:tcW w:type="dxa" w:w="864"/>
            <w:vAlign w:val="center"/>
          </w:tcPr>
          <w:p>
            <w:r/>
            <w:r>
              <w:rPr>
                <w:sz w:val="18"/>
              </w:rPr>
              <w:t>27.6</w:t>
            </w:r>
          </w:p>
        </w:tc>
      </w:tr>
      <w:tr>
        <w:tc>
          <w:tcPr>
            <w:tcW w:type="dxa" w:w="1440"/>
            <w:vAlign w:val="center"/>
          </w:tcPr>
          <w:p>
            <w:r/>
            <w:r>
              <w:rPr>
                <w:sz w:val="18"/>
              </w:rPr>
              <w:t>Mon 11 May</w:t>
            </w:r>
          </w:p>
        </w:tc>
        <w:tc>
          <w:tcPr>
            <w:tcW w:type="dxa" w:w="1296"/>
            <w:vAlign w:val="center"/>
          </w:tcPr>
          <w:p>
            <w:r/>
            <w:r>
              <w:rPr>
                <w:sz w:val="18"/>
              </w:rPr>
              <w:t>10,221.05</w:t>
            </w:r>
          </w:p>
        </w:tc>
        <w:tc>
          <w:tcPr>
            <w:tcW w:type="dxa" w:w="1296"/>
            <w:vAlign w:val="center"/>
          </w:tcPr>
          <w:p>
            <w:r/>
            <w:r>
              <w:rPr>
                <w:sz w:val="18"/>
              </w:rPr>
              <w:t>10,295.40</w:t>
            </w:r>
          </w:p>
        </w:tc>
        <w:tc>
          <w:tcPr>
            <w:tcW w:type="dxa" w:w="1296"/>
            <w:vAlign w:val="center"/>
          </w:tcPr>
          <w:p>
            <w:r/>
            <w:r>
              <w:rPr>
                <w:sz w:val="18"/>
              </w:rPr>
              <w:t>10,210.80</w:t>
            </w:r>
          </w:p>
        </w:tc>
        <w:tc>
          <w:tcPr>
            <w:tcW w:type="dxa" w:w="1296"/>
            <w:vAlign w:val="center"/>
          </w:tcPr>
          <w:p>
            <w:r/>
            <w:r>
              <w:rPr>
                <w:sz w:val="18"/>
              </w:rPr>
              <w:t>10,269.10</w:t>
            </w:r>
          </w:p>
        </w:tc>
        <w:tc>
          <w:tcPr>
            <w:tcW w:type="dxa" w:w="2016"/>
            <w:vAlign w:val="center"/>
          </w:tcPr>
          <w:p>
            <w:r/>
            <w:r>
              <w:rPr>
                <w:sz w:val="18"/>
              </w:rPr>
              <w:t>Yahoo / LSE</w:t>
            </w:r>
          </w:p>
        </w:tc>
        <w:tc>
          <w:tcPr>
            <w:tcW w:type="dxa" w:w="864"/>
            <w:vAlign w:val="center"/>
          </w:tcPr>
          <w:p>
            <w:r/>
            <w:r>
              <w:rPr>
                <w:sz w:val="18"/>
              </w:rPr>
              <w:t>62.1</w:t>
            </w:r>
          </w:p>
        </w:tc>
      </w:tr>
      <w:tr>
        <w:tc>
          <w:tcPr>
            <w:tcW w:type="dxa" w:w="1440"/>
            <w:vAlign w:val="center"/>
          </w:tcPr>
          <w:p>
            <w:r/>
            <w:r>
              <w:rPr>
                <w:sz w:val="18"/>
              </w:rPr>
              <w:t>Tue 12 May</w:t>
            </w:r>
          </w:p>
        </w:tc>
        <w:tc>
          <w:tcPr>
            <w:tcW w:type="dxa" w:w="1296"/>
            <w:vAlign w:val="center"/>
          </w:tcPr>
          <w:p>
            <w:r/>
            <w:r>
              <w:rPr>
                <w:sz w:val="18"/>
              </w:rPr>
              <w:t>10,233.56</w:t>
            </w:r>
          </w:p>
        </w:tc>
        <w:tc>
          <w:tcPr>
            <w:tcW w:type="dxa" w:w="1296"/>
            <w:vAlign w:val="center"/>
          </w:tcPr>
          <w:p>
            <w:r/>
            <w:r>
              <w:rPr>
                <w:sz w:val="18"/>
              </w:rPr>
              <w:t>10,286.57</w:t>
            </w:r>
          </w:p>
        </w:tc>
        <w:tc>
          <w:tcPr>
            <w:tcW w:type="dxa" w:w="1296"/>
            <w:vAlign w:val="center"/>
          </w:tcPr>
          <w:p>
            <w:r/>
            <w:r>
              <w:rPr>
                <w:sz w:val="18"/>
              </w:rPr>
              <w:t>10,226.50</w:t>
            </w:r>
          </w:p>
        </w:tc>
        <w:tc>
          <w:tcPr>
            <w:tcW w:type="dxa" w:w="1296"/>
            <w:vAlign w:val="center"/>
          </w:tcPr>
          <w:p>
            <w:r/>
            <w:r>
              <w:rPr>
                <w:sz w:val="18"/>
              </w:rPr>
              <w:t>10,247.00</w:t>
            </w:r>
          </w:p>
        </w:tc>
        <w:tc>
          <w:tcPr>
            <w:tcW w:type="dxa" w:w="2016"/>
            <w:vAlign w:val="center"/>
          </w:tcPr>
          <w:p>
            <w:r/>
            <w:r>
              <w:rPr>
                <w:sz w:val="18"/>
              </w:rPr>
              <w:t>Yahoo / LSE</w:t>
            </w:r>
          </w:p>
        </w:tc>
        <w:tc>
          <w:tcPr>
            <w:tcW w:type="dxa" w:w="864"/>
            <w:vAlign w:val="center"/>
          </w:tcPr>
          <w:p>
            <w:r/>
            <w:r>
              <w:rPr>
                <w:sz w:val="18"/>
              </w:rPr>
              <w:t>44.7</w:t>
            </w:r>
          </w:p>
        </w:tc>
      </w:tr>
      <w:tr>
        <w:tc>
          <w:tcPr>
            <w:tcW w:type="dxa" w:w="1440"/>
            <w:vAlign w:val="center"/>
          </w:tcPr>
          <w:p>
            <w:r/>
            <w:r>
              <w:rPr>
                <w:sz w:val="18"/>
              </w:rPr>
              <w:t>Wed 13 May</w:t>
            </w:r>
          </w:p>
        </w:tc>
        <w:tc>
          <w:tcPr>
            <w:tcW w:type="dxa" w:w="1296"/>
            <w:vAlign w:val="center"/>
          </w:tcPr>
          <w:p>
            <w:r/>
            <w:r>
              <w:rPr>
                <w:sz w:val="18"/>
              </w:rPr>
              <w:t>10,253.40</w:t>
            </w:r>
          </w:p>
        </w:tc>
        <w:tc>
          <w:tcPr>
            <w:tcW w:type="dxa" w:w="1296"/>
            <w:vAlign w:val="center"/>
          </w:tcPr>
          <w:p>
            <w:r/>
            <w:r>
              <w:rPr>
                <w:sz w:val="18"/>
              </w:rPr>
              <w:t>10,341.20</w:t>
            </w:r>
          </w:p>
        </w:tc>
        <w:tc>
          <w:tcPr>
            <w:tcW w:type="dxa" w:w="1296"/>
            <w:vAlign w:val="center"/>
          </w:tcPr>
          <w:p>
            <w:r/>
            <w:r>
              <w:rPr>
                <w:sz w:val="18"/>
              </w:rPr>
              <w:t>10,248.30</w:t>
            </w:r>
          </w:p>
        </w:tc>
        <w:tc>
          <w:tcPr>
            <w:tcW w:type="dxa" w:w="1296"/>
            <w:vAlign w:val="center"/>
          </w:tcPr>
          <w:p>
            <w:r/>
            <w:r>
              <w:rPr>
                <w:sz w:val="18"/>
              </w:rPr>
              <w:t>10,265.32</w:t>
            </w:r>
          </w:p>
        </w:tc>
        <w:tc>
          <w:tcPr>
            <w:tcW w:type="dxa" w:w="2016"/>
            <w:vAlign w:val="center"/>
          </w:tcPr>
          <w:p>
            <w:r/>
            <w:r>
              <w:rPr>
                <w:sz w:val="18"/>
              </w:rPr>
              <w:t>Yahoo / LSE / FTSE Russell</w:t>
            </w:r>
          </w:p>
        </w:tc>
        <w:tc>
          <w:tcPr>
            <w:tcW w:type="dxa" w:w="864"/>
            <w:vAlign w:val="center"/>
          </w:tcPr>
          <w:p>
            <w:r/>
            <w:r>
              <w:rPr>
                <w:sz w:val="18"/>
              </w:rPr>
              <w:t>52.3</w:t>
            </w:r>
          </w:p>
        </w:tc>
      </w:tr>
    </w:tbl>
    <w:p>
      <w:pPr>
        <w:spacing w:after="80"/>
      </w:pPr>
    </w:p>
    <w:p>
      <w:pPr>
        <w:spacing w:after="80"/>
      </w:pPr>
      <w:r>
        <w:rPr>
          <w:b w:val="0"/>
          <w:i/>
          <w:sz w:val="18"/>
        </w:rPr>
        <w:t>EURO STOXX 50 — 5 validated sessions to 13 May 2026 (in EUR points):</w:t>
      </w:r>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40"/>
            <w:shd w:val="clear" w:color="auto" w:fill="1F3864"/>
            <w:vAlign w:val="center"/>
          </w:tcPr>
          <w:p>
            <w:r/>
            <w:r>
              <w:rPr>
                <w:b/>
                <w:color w:val="FFFFFF"/>
                <w:sz w:val="18"/>
              </w:rPr>
              <w:t>Date</w:t>
            </w:r>
          </w:p>
        </w:tc>
        <w:tc>
          <w:tcPr>
            <w:tcW w:type="dxa" w:w="1296"/>
            <w:shd w:val="clear" w:color="auto" w:fill="1F3864"/>
            <w:vAlign w:val="center"/>
          </w:tcPr>
          <w:p>
            <w:r/>
            <w:r>
              <w:rPr>
                <w:b/>
                <w:color w:val="FFFFFF"/>
                <w:sz w:val="18"/>
              </w:rPr>
              <w:t>Open</w:t>
            </w:r>
          </w:p>
        </w:tc>
        <w:tc>
          <w:tcPr>
            <w:tcW w:type="dxa" w:w="1296"/>
            <w:shd w:val="clear" w:color="auto" w:fill="1F3864"/>
            <w:vAlign w:val="center"/>
          </w:tcPr>
          <w:p>
            <w:r/>
            <w:r>
              <w:rPr>
                <w:b/>
                <w:color w:val="FFFFFF"/>
                <w:sz w:val="18"/>
              </w:rPr>
              <w:t>High</w:t>
            </w:r>
          </w:p>
        </w:tc>
        <w:tc>
          <w:tcPr>
            <w:tcW w:type="dxa" w:w="1296"/>
            <w:shd w:val="clear" w:color="auto" w:fill="1F3864"/>
            <w:vAlign w:val="center"/>
          </w:tcPr>
          <w:p>
            <w:r/>
            <w:r>
              <w:rPr>
                <w:b/>
                <w:color w:val="FFFFFF"/>
                <w:sz w:val="18"/>
              </w:rPr>
              <w:t>Low</w:t>
            </w:r>
          </w:p>
        </w:tc>
        <w:tc>
          <w:tcPr>
            <w:tcW w:type="dxa" w:w="1296"/>
            <w:shd w:val="clear" w:color="auto" w:fill="1F3864"/>
            <w:vAlign w:val="center"/>
          </w:tcPr>
          <w:p>
            <w:r/>
            <w:r>
              <w:rPr>
                <w:b/>
                <w:color w:val="FFFFFF"/>
                <w:sz w:val="18"/>
              </w:rPr>
              <w:t>Close</w:t>
            </w:r>
          </w:p>
        </w:tc>
        <w:tc>
          <w:tcPr>
            <w:tcW w:type="dxa" w:w="2016"/>
            <w:shd w:val="clear" w:color="auto" w:fill="1F3864"/>
            <w:vAlign w:val="center"/>
          </w:tcPr>
          <w:p>
            <w:r/>
            <w:r>
              <w:rPr>
                <w:b/>
                <w:color w:val="FFFFFF"/>
                <w:sz w:val="18"/>
              </w:rPr>
              <w:t>Source A / B</w:t>
            </w:r>
          </w:p>
        </w:tc>
        <w:tc>
          <w:tcPr>
            <w:tcW w:type="dxa" w:w="864"/>
            <w:shd w:val="clear" w:color="auto" w:fill="1F3864"/>
            <w:vAlign w:val="center"/>
          </w:tcPr>
          <w:p>
            <w:r/>
            <w:r>
              <w:rPr>
                <w:b/>
                <w:color w:val="FFFFFF"/>
                <w:sz w:val="18"/>
              </w:rPr>
              <w:t>RSI2</w:t>
            </w:r>
          </w:p>
        </w:tc>
      </w:tr>
      <w:tr>
        <w:tc>
          <w:tcPr>
            <w:tcW w:type="dxa" w:w="1440"/>
            <w:vAlign w:val="center"/>
          </w:tcPr>
          <w:p>
            <w:r/>
            <w:r>
              <w:rPr>
                <w:sz w:val="18"/>
              </w:rPr>
              <w:t>Wed 06 May</w:t>
            </w:r>
          </w:p>
        </w:tc>
        <w:tc>
          <w:tcPr>
            <w:tcW w:type="dxa" w:w="1296"/>
            <w:vAlign w:val="center"/>
          </w:tcPr>
          <w:p>
            <w:r/>
            <w:r>
              <w:rPr>
                <w:sz w:val="18"/>
              </w:rPr>
              <w:t>5,995.20</w:t>
            </w:r>
          </w:p>
        </w:tc>
        <w:tc>
          <w:tcPr>
            <w:tcW w:type="dxa" w:w="1296"/>
            <w:vAlign w:val="center"/>
          </w:tcPr>
          <w:p>
            <w:r/>
            <w:r>
              <w:rPr>
                <w:sz w:val="18"/>
              </w:rPr>
              <w:t>6,032.40</w:t>
            </w:r>
          </w:p>
        </w:tc>
        <w:tc>
          <w:tcPr>
            <w:tcW w:type="dxa" w:w="1296"/>
            <w:vAlign w:val="center"/>
          </w:tcPr>
          <w:p>
            <w:r/>
            <w:r>
              <w:rPr>
                <w:sz w:val="18"/>
              </w:rPr>
              <w:t>5,961.10</w:t>
            </w:r>
          </w:p>
        </w:tc>
        <w:tc>
          <w:tcPr>
            <w:tcW w:type="dxa" w:w="1296"/>
            <w:vAlign w:val="center"/>
          </w:tcPr>
          <w:p>
            <w:r/>
            <w:r>
              <w:rPr>
                <w:sz w:val="18"/>
              </w:rPr>
              <w:t>6,002.55</w:t>
            </w:r>
          </w:p>
        </w:tc>
        <w:tc>
          <w:tcPr>
            <w:tcW w:type="dxa" w:w="2016"/>
            <w:vAlign w:val="center"/>
          </w:tcPr>
          <w:p>
            <w:r/>
            <w:r>
              <w:rPr>
                <w:sz w:val="18"/>
              </w:rPr>
              <w:t>Yahoo / Xetra</w:t>
            </w:r>
          </w:p>
        </w:tc>
        <w:tc>
          <w:tcPr>
            <w:tcW w:type="dxa" w:w="864"/>
            <w:vAlign w:val="center"/>
          </w:tcPr>
          <w:p>
            <w:r/>
            <w:r>
              <w:rPr>
                <w:sz w:val="18"/>
              </w:rPr>
              <w:t>55.1</w:t>
            </w:r>
          </w:p>
        </w:tc>
      </w:tr>
      <w:tr>
        <w:tc>
          <w:tcPr>
            <w:tcW w:type="dxa" w:w="1440"/>
            <w:vAlign w:val="center"/>
          </w:tcPr>
          <w:p>
            <w:r/>
            <w:r>
              <w:rPr>
                <w:sz w:val="18"/>
              </w:rPr>
              <w:t>Thu 07 May</w:t>
            </w:r>
          </w:p>
        </w:tc>
        <w:tc>
          <w:tcPr>
            <w:tcW w:type="dxa" w:w="1296"/>
            <w:vAlign w:val="center"/>
          </w:tcPr>
          <w:p>
            <w:r/>
            <w:r>
              <w:rPr>
                <w:sz w:val="18"/>
              </w:rPr>
              <w:t>6,002.55</w:t>
            </w:r>
          </w:p>
        </w:tc>
        <w:tc>
          <w:tcPr>
            <w:tcW w:type="dxa" w:w="1296"/>
            <w:vAlign w:val="center"/>
          </w:tcPr>
          <w:p>
            <w:r/>
            <w:r>
              <w:rPr>
                <w:sz w:val="18"/>
              </w:rPr>
              <w:t>6,065.96</w:t>
            </w:r>
          </w:p>
        </w:tc>
        <w:tc>
          <w:tcPr>
            <w:tcW w:type="dxa" w:w="1296"/>
            <w:vAlign w:val="center"/>
          </w:tcPr>
          <w:p>
            <w:r/>
            <w:r>
              <w:rPr>
                <w:sz w:val="18"/>
              </w:rPr>
              <w:t>5,991.25</w:t>
            </w:r>
          </w:p>
        </w:tc>
        <w:tc>
          <w:tcPr>
            <w:tcW w:type="dxa" w:w="1296"/>
            <w:vAlign w:val="center"/>
          </w:tcPr>
          <w:p>
            <w:r/>
            <w:r>
              <w:rPr>
                <w:sz w:val="18"/>
              </w:rPr>
              <w:t>6,045.98</w:t>
            </w:r>
          </w:p>
        </w:tc>
        <w:tc>
          <w:tcPr>
            <w:tcW w:type="dxa" w:w="2016"/>
            <w:vAlign w:val="center"/>
          </w:tcPr>
          <w:p>
            <w:r/>
            <w:r>
              <w:rPr>
                <w:sz w:val="18"/>
              </w:rPr>
              <w:t>Yahoo / Xetra</w:t>
            </w:r>
          </w:p>
        </w:tc>
        <w:tc>
          <w:tcPr>
            <w:tcW w:type="dxa" w:w="864"/>
            <w:vAlign w:val="center"/>
          </w:tcPr>
          <w:p>
            <w:r/>
            <w:r>
              <w:rPr>
                <w:sz w:val="18"/>
              </w:rPr>
              <w:t>70.4</w:t>
            </w:r>
          </w:p>
        </w:tc>
      </w:tr>
      <w:tr>
        <w:tc>
          <w:tcPr>
            <w:tcW w:type="dxa" w:w="1440"/>
            <w:vAlign w:val="center"/>
          </w:tcPr>
          <w:p>
            <w:r/>
            <w:r>
              <w:rPr>
                <w:sz w:val="18"/>
              </w:rPr>
              <w:t>Fri 08 May</w:t>
            </w:r>
          </w:p>
        </w:tc>
        <w:tc>
          <w:tcPr>
            <w:tcW w:type="dxa" w:w="1296"/>
            <w:vAlign w:val="center"/>
          </w:tcPr>
          <w:p>
            <w:r/>
            <w:r>
              <w:rPr>
                <w:sz w:val="18"/>
              </w:rPr>
              <w:t>5,978.20</w:t>
            </w:r>
          </w:p>
        </w:tc>
        <w:tc>
          <w:tcPr>
            <w:tcW w:type="dxa" w:w="1296"/>
            <w:vAlign w:val="center"/>
          </w:tcPr>
          <w:p>
            <w:r/>
            <w:r>
              <w:rPr>
                <w:sz w:val="18"/>
              </w:rPr>
              <w:t>5,998.40</w:t>
            </w:r>
          </w:p>
        </w:tc>
        <w:tc>
          <w:tcPr>
            <w:tcW w:type="dxa" w:w="1296"/>
            <w:vAlign w:val="center"/>
          </w:tcPr>
          <w:p>
            <w:r/>
            <w:r>
              <w:rPr>
                <w:sz w:val="18"/>
              </w:rPr>
              <w:t>5,910.50</w:t>
            </w:r>
          </w:p>
        </w:tc>
        <w:tc>
          <w:tcPr>
            <w:tcW w:type="dxa" w:w="1296"/>
            <w:vAlign w:val="center"/>
          </w:tcPr>
          <w:p>
            <w:r/>
            <w:r>
              <w:rPr>
                <w:sz w:val="18"/>
              </w:rPr>
              <w:t>5,920.10</w:t>
            </w:r>
          </w:p>
        </w:tc>
        <w:tc>
          <w:tcPr>
            <w:tcW w:type="dxa" w:w="2016"/>
            <w:vAlign w:val="center"/>
          </w:tcPr>
          <w:p>
            <w:r/>
            <w:r>
              <w:rPr>
                <w:sz w:val="18"/>
              </w:rPr>
              <w:t>Yahoo / Xetra</w:t>
            </w:r>
          </w:p>
        </w:tc>
        <w:tc>
          <w:tcPr>
            <w:tcW w:type="dxa" w:w="864"/>
            <w:vAlign w:val="center"/>
          </w:tcPr>
          <w:p>
            <w:r/>
            <w:r>
              <w:rPr>
                <w:sz w:val="18"/>
              </w:rPr>
              <w:t>21.9</w:t>
            </w:r>
          </w:p>
        </w:tc>
      </w:tr>
      <w:tr>
        <w:tc>
          <w:tcPr>
            <w:tcW w:type="dxa" w:w="1440"/>
            <w:vAlign w:val="center"/>
          </w:tcPr>
          <w:p>
            <w:r/>
            <w:r>
              <w:rPr>
                <w:sz w:val="18"/>
              </w:rPr>
              <w:t>Mon 11 May</w:t>
            </w:r>
          </w:p>
        </w:tc>
        <w:tc>
          <w:tcPr>
            <w:tcW w:type="dxa" w:w="1296"/>
            <w:vAlign w:val="center"/>
          </w:tcPr>
          <w:p>
            <w:r/>
            <w:r>
              <w:rPr>
                <w:sz w:val="18"/>
              </w:rPr>
              <w:t>5,920.10</w:t>
            </w:r>
          </w:p>
        </w:tc>
        <w:tc>
          <w:tcPr>
            <w:tcW w:type="dxa" w:w="1296"/>
            <w:vAlign w:val="center"/>
          </w:tcPr>
          <w:p>
            <w:r/>
            <w:r>
              <w:rPr>
                <w:sz w:val="18"/>
              </w:rPr>
              <w:t>5,932.80</w:t>
            </w:r>
          </w:p>
        </w:tc>
        <w:tc>
          <w:tcPr>
            <w:tcW w:type="dxa" w:w="1296"/>
            <w:vAlign w:val="center"/>
          </w:tcPr>
          <w:p>
            <w:r/>
            <w:r>
              <w:rPr>
                <w:sz w:val="18"/>
              </w:rPr>
              <w:t>5,884.40</w:t>
            </w:r>
          </w:p>
        </w:tc>
        <w:tc>
          <w:tcPr>
            <w:tcW w:type="dxa" w:w="1296"/>
            <w:vAlign w:val="center"/>
          </w:tcPr>
          <w:p>
            <w:r/>
            <w:r>
              <w:rPr>
                <w:sz w:val="18"/>
              </w:rPr>
              <w:t>5,895.45</w:t>
            </w:r>
          </w:p>
        </w:tc>
        <w:tc>
          <w:tcPr>
            <w:tcW w:type="dxa" w:w="2016"/>
            <w:vAlign w:val="center"/>
          </w:tcPr>
          <w:p>
            <w:r/>
            <w:r>
              <w:rPr>
                <w:sz w:val="18"/>
              </w:rPr>
              <w:t>Yahoo / Xetra</w:t>
            </w:r>
          </w:p>
        </w:tc>
        <w:tc>
          <w:tcPr>
            <w:tcW w:type="dxa" w:w="864"/>
            <w:vAlign w:val="center"/>
          </w:tcPr>
          <w:p>
            <w:r/>
            <w:r>
              <w:rPr>
                <w:sz w:val="18"/>
              </w:rPr>
              <w:t>18.2</w:t>
            </w:r>
          </w:p>
        </w:tc>
      </w:tr>
      <w:tr>
        <w:tc>
          <w:tcPr>
            <w:tcW w:type="dxa" w:w="1440"/>
            <w:vAlign w:val="center"/>
          </w:tcPr>
          <w:p>
            <w:r/>
            <w:r>
              <w:rPr>
                <w:sz w:val="18"/>
              </w:rPr>
              <w:t>Tue 12 May</w:t>
            </w:r>
          </w:p>
        </w:tc>
        <w:tc>
          <w:tcPr>
            <w:tcW w:type="dxa" w:w="1296"/>
            <w:vAlign w:val="center"/>
          </w:tcPr>
          <w:p>
            <w:r/>
            <w:r>
              <w:rPr>
                <w:sz w:val="18"/>
              </w:rPr>
              <w:t>5,895.45</w:t>
            </w:r>
          </w:p>
        </w:tc>
        <w:tc>
          <w:tcPr>
            <w:tcW w:type="dxa" w:w="1296"/>
            <w:vAlign w:val="center"/>
          </w:tcPr>
          <w:p>
            <w:r/>
            <w:r>
              <w:rPr>
                <w:sz w:val="18"/>
              </w:rPr>
              <w:t>5,905.20</w:t>
            </w:r>
          </w:p>
        </w:tc>
        <w:tc>
          <w:tcPr>
            <w:tcW w:type="dxa" w:w="1296"/>
            <w:vAlign w:val="center"/>
          </w:tcPr>
          <w:p>
            <w:r/>
            <w:r>
              <w:rPr>
                <w:sz w:val="18"/>
              </w:rPr>
              <w:t>5,795.10</w:t>
            </w:r>
          </w:p>
        </w:tc>
        <w:tc>
          <w:tcPr>
            <w:tcW w:type="dxa" w:w="1296"/>
            <w:vAlign w:val="center"/>
          </w:tcPr>
          <w:p>
            <w:r/>
            <w:r>
              <w:rPr>
                <w:sz w:val="18"/>
              </w:rPr>
              <w:t>5,808.45</w:t>
            </w:r>
          </w:p>
        </w:tc>
        <w:tc>
          <w:tcPr>
            <w:tcW w:type="dxa" w:w="2016"/>
            <w:vAlign w:val="center"/>
          </w:tcPr>
          <w:p>
            <w:r/>
            <w:r>
              <w:rPr>
                <w:sz w:val="18"/>
              </w:rPr>
              <w:t>Yahoo / Xetra</w:t>
            </w:r>
          </w:p>
        </w:tc>
        <w:tc>
          <w:tcPr>
            <w:tcW w:type="dxa" w:w="864"/>
            <w:vAlign w:val="center"/>
          </w:tcPr>
          <w:p>
            <w:r/>
            <w:r>
              <w:rPr>
                <w:sz w:val="18"/>
              </w:rPr>
              <w:t>9.8</w:t>
            </w:r>
          </w:p>
        </w:tc>
      </w:tr>
      <w:tr>
        <w:tc>
          <w:tcPr>
            <w:tcW w:type="dxa" w:w="1440"/>
            <w:vAlign w:val="center"/>
          </w:tcPr>
          <w:p>
            <w:r/>
            <w:r>
              <w:rPr>
                <w:sz w:val="18"/>
              </w:rPr>
              <w:t>Wed 13 May</w:t>
            </w:r>
          </w:p>
        </w:tc>
        <w:tc>
          <w:tcPr>
            <w:tcW w:type="dxa" w:w="1296"/>
            <w:vAlign w:val="center"/>
          </w:tcPr>
          <w:p>
            <w:r/>
            <w:r>
              <w:rPr>
                <w:sz w:val="18"/>
              </w:rPr>
              <w:t>5,825.10</w:t>
            </w:r>
          </w:p>
        </w:tc>
        <w:tc>
          <w:tcPr>
            <w:tcW w:type="dxa" w:w="1296"/>
            <w:vAlign w:val="center"/>
          </w:tcPr>
          <w:p>
            <w:r/>
            <w:r>
              <w:rPr>
                <w:sz w:val="18"/>
              </w:rPr>
              <w:t>5,889.30</w:t>
            </w:r>
          </w:p>
        </w:tc>
        <w:tc>
          <w:tcPr>
            <w:tcW w:type="dxa" w:w="1296"/>
            <w:vAlign w:val="center"/>
          </w:tcPr>
          <w:p>
            <w:r/>
            <w:r>
              <w:rPr>
                <w:sz w:val="18"/>
              </w:rPr>
              <w:t>5,820.40</w:t>
            </w:r>
          </w:p>
        </w:tc>
        <w:tc>
          <w:tcPr>
            <w:tcW w:type="dxa" w:w="1296"/>
            <w:vAlign w:val="center"/>
          </w:tcPr>
          <w:p>
            <w:r/>
            <w:r>
              <w:rPr>
                <w:sz w:val="18"/>
              </w:rPr>
              <w:t>5,870.00</w:t>
            </w:r>
          </w:p>
        </w:tc>
        <w:tc>
          <w:tcPr>
            <w:tcW w:type="dxa" w:w="2016"/>
            <w:vAlign w:val="center"/>
          </w:tcPr>
          <w:p>
            <w:r/>
            <w:r>
              <w:rPr>
                <w:sz w:val="18"/>
              </w:rPr>
              <w:t>Yahoo / Xetra / STOXX Ltd</w:t>
            </w:r>
          </w:p>
        </w:tc>
        <w:tc>
          <w:tcPr>
            <w:tcW w:type="dxa" w:w="864"/>
            <w:vAlign w:val="center"/>
          </w:tcPr>
          <w:p>
            <w:r/>
            <w:r>
              <w:rPr>
                <w:sz w:val="18"/>
              </w:rPr>
              <w:t>48.5</w:t>
            </w:r>
          </w:p>
        </w:tc>
      </w:tr>
    </w:tbl>
    <w:p>
      <w:pPr>
        <w:spacing w:after="80"/>
      </w:pPr>
    </w:p>
    <w:p>
      <w:pPr>
        <w:spacing w:after="80"/>
      </w:pPr>
      <w:r>
        <w:rPr>
          <w:b w:val="0"/>
          <w:i/>
          <w:sz w:val="16"/>
        </w:rPr>
        <w:t>Dual-source corroboration: all rows reconcile within ±2 index points across A/B sources. No date rejections in either series; LSE/Xetra both observed standard trading hours.</w:t>
      </w:r>
    </w:p>
    <w:p>
      <w:pPr>
        <w:spacing w:before="200" w:after="80"/>
      </w:pPr>
      <w:r>
        <w:rPr>
          <w:b/>
          <w:color w:val="1F3864"/>
          <w:sz w:val="28"/>
        </w:rPr>
        <w:t>§7  Charts</w:t>
      </w:r>
    </w:p>
    <w:p>
      <w:pPr>
        <w:spacing w:after="80"/>
      </w:pPr>
      <w:r>
        <w:rPr>
          <w:b w:val="0"/>
          <w:i w:val="0"/>
          <w:sz w:val="20"/>
        </w:rPr>
        <w:t>Five chart outputs are produced for this session (toggles all YES per the active instance): (i) 5-day candlestick of FTSE 100 plus STOXX 50; (ii) 5-day distance-from-open ['open=0'] chart with the daily-open anchor advanced to the 14 May pre-open window per the run-time override; (iii) 25-session structure chart for FTSE with KER overlay; (iv) comparative VOLator chart spanning FTSE, STOXX, Dollar Index, S&amp;P 500 and DAX, scaled by historical z-score with ±1 clipping; (v) smart-scale floor-pivot chart on the WEEKLY candle timeframe (prior + current week) showing 3 levels above the high and 3 below the low across daily / weekly / monthly tiers. Embedded chart panels are referenced in the analyst spreadsheet companion (PNG plus CSV outputs are produced alongside this report). Chart commentary is integrated into §8 through §11 below; numbered references in those sections use the form (see §6) and (see §11) for cross-reference.</w:t>
      </w:r>
    </w:p>
    <w:p>
      <w:pPr>
        <w:spacing w:before="200" w:after="80"/>
      </w:pPr>
      <w:r>
        <w:rPr>
          <w:b/>
          <w:color w:val="1F3864"/>
          <w:sz w:val="28"/>
        </w:rPr>
        <w:t>§8  Short-Term Technical Analysis</w:t>
      </w:r>
    </w:p>
    <w:p>
      <w:pPr>
        <w:spacing w:after="80"/>
      </w:pPr>
      <w:r>
        <w:rPr>
          <w:b w:val="0"/>
          <w:i w:val="0"/>
          <w:sz w:val="20"/>
        </w:rPr>
        <w:t>FTSE 100 candle-by-candle (see §6 OHLC):</w:t>
      </w:r>
    </w:p>
    <w:p>
      <w:pPr>
        <w:pStyle w:val="ListBullet"/>
      </w:pPr>
      <w:r>
        <w:rPr>
          <w:b/>
          <w:sz w:val="20"/>
        </w:rPr>
        <w:t xml:space="preserve">Wed 06 May — </w:t>
      </w:r>
      <w:r>
        <w:rPr>
          <w:sz w:val="20"/>
        </w:rPr>
        <w:t xml:space="preserve"> Bullish wide-range candle from 10,272.81 to 10,330.40 high before settling at 10,277.40. Body within upper third of range. Energy and miners led on stronger oil bid. Sets the local pivot.</w:t>
      </w:r>
    </w:p>
    <w:p>
      <w:pPr>
        <w:pStyle w:val="ListBullet"/>
      </w:pPr>
      <w:r>
        <w:rPr>
          <w:b/>
          <w:sz w:val="20"/>
        </w:rPr>
        <w:t xml:space="preserve">Thu 07 May — </w:t>
      </w:r>
      <w:r>
        <w:rPr>
          <w:sz w:val="20"/>
        </w:rPr>
        <w:t xml:space="preserve"> Bearish small-body candle. High 10,295 rejected, close 10,261.87, range modest. Geopolitical caution returns; banks soft. Indecision after Wednesday's drive.</w:t>
      </w:r>
    </w:p>
    <w:p>
      <w:pPr>
        <w:pStyle w:val="ListBullet"/>
      </w:pPr>
      <w:r>
        <w:rPr>
          <w:b/>
          <w:sz w:val="20"/>
        </w:rPr>
        <w:t xml:space="preserve">Fri 08 May — </w:t>
      </w:r>
      <w:r>
        <w:rPr>
          <w:sz w:val="20"/>
        </w:rPr>
        <w:t xml:space="preserve"> Bearish wide-range candle. Open 10,196 (gap-down), low 10,184.20, close 10,221.05. The first decisive break below the 10,260 prior-day low. Pan-European risk-off, banking complex weak.</w:t>
      </w:r>
    </w:p>
    <w:p>
      <w:pPr>
        <w:pStyle w:val="ListBullet"/>
      </w:pPr>
      <w:r>
        <w:rPr>
          <w:b/>
          <w:sz w:val="20"/>
        </w:rPr>
        <w:t xml:space="preserve">Mon 11 May — </w:t>
      </w:r>
      <w:r>
        <w:rPr>
          <w:sz w:val="20"/>
        </w:rPr>
        <w:t xml:space="preserve"> Bullish recovery candle. Recovers from prior-day weakness; close 10,269.10 reclaims Friday's range high. Range 10,210–10,295 — neutral body. Banking partial rebound.</w:t>
      </w:r>
    </w:p>
    <w:p>
      <w:pPr>
        <w:pStyle w:val="ListBullet"/>
      </w:pPr>
      <w:r>
        <w:rPr>
          <w:b/>
          <w:sz w:val="20"/>
        </w:rPr>
        <w:t xml:space="preserve">Tue 12 May — </w:t>
      </w:r>
      <w:r>
        <w:rPr>
          <w:sz w:val="20"/>
        </w:rPr>
        <w:t xml:space="preserve"> Bearish small-body inside-day-like print. Close 10,247.00, body in lower third. Range 10,226–10,287. UK political uncertainty (Starmer leadership challenge headlines) pressures financials.</w:t>
      </w:r>
    </w:p>
    <w:p>
      <w:pPr>
        <w:pStyle w:val="ListBullet"/>
      </w:pPr>
      <w:r>
        <w:rPr>
          <w:b/>
          <w:sz w:val="20"/>
        </w:rPr>
        <w:t xml:space="preserve">Wed 13 May — </w:t>
      </w:r>
      <w:r>
        <w:rPr>
          <w:sz w:val="20"/>
        </w:rPr>
        <w:t xml:space="preserve"> Bullish wide-range REVERSAL-CAPPED candle. Open 10,253, high 10,341, low 10,248, close 10,265.32. Strong upside attempt rejected at 10,341 resistance — closes well off highs but above the open, leaving a long upper wick.</w:t>
      </w:r>
    </w:p>
    <w:p>
      <w:pPr>
        <w:spacing w:after="80"/>
      </w:pPr>
      <w:r>
        <w:rPr>
          <w:b w:val="0"/>
          <w:i w:val="0"/>
          <w:sz w:val="20"/>
        </w:rPr>
        <w:t>Sequence assessment: mixed, with a bearish bias on candle 3 (Fri 08 May breakdown) and an upside-rejection signal on candle 6 (Wed 13 May upper wick at 10,341). The reversal-capped pattern caps the rebound and re-establishes 10,341 as immediate resistance. RSI2 has oscillated between deeply oversold (27.6 on 08 May) and mid-range (62.1 on 11 May), with no decisive trend signal. Nearest support: 10,184 (Friday low) and 10,197 (4 May effective close). Nearest resistance: 10,341 (13 May intraday high) and 10,375 (last week's recovery high). The pattern is consistent with a small descending triangle resolving lower unless 10,341 breaks decisively on a close basis. EURO STOXX 50 is more clearly bearish: five consecutive lower closes from 6,045 (07 May) to 5,808 (12 May) before Wednesday's +1.0% rebound — a reflex bounce inside a clear downtrend rather than a structural reversal.</w:t>
      </w:r>
    </w:p>
    <w:p>
      <w:pPr>
        <w:spacing w:before="200" w:after="80"/>
      </w:pPr>
      <w:r>
        <w:rPr>
          <w:b/>
          <w:color w:val="1F3864"/>
          <w:sz w:val="28"/>
        </w:rPr>
        <w:t>§9  Medium-Term Regime &amp; VOLator</w:t>
      </w:r>
    </w:p>
    <w:p>
      <w:pPr>
        <w:spacing w:after="80"/>
      </w:pPr>
      <w:r>
        <w:rPr>
          <w:b w:val="0"/>
          <w:i w:val="0"/>
          <w:sz w:val="20"/>
        </w:rPr>
        <w:t>FTSE 100 medium-term (25-session) regime: RANGE — with a soft DOWN-BIAS, classified TRANSITION on the composite mapping rule. The structure rolled from the late-April peak of 10,457 to a 25-session midpoint near 10,260, with the 25-session low approximately 10,184. Pattern of lower highs from 10,457 → 10,330 → 10,341 confirms upper-band compression; the lower band at 10,184–10,197 has held twice.</w:t>
      </w:r>
    </w:p>
    <w:p>
      <w:pPr>
        <w:spacing w:after="80"/>
      </w:pPr>
      <w:r>
        <w:rPr>
          <w:b w:val="0"/>
          <w:i w:val="0"/>
          <w:sz w:val="20"/>
        </w:rPr>
        <w:t>VOLator (ATR-based, historical z-score scaling, slope of last 10 observations): FTSE volatility expanded modestly on the 12 May selloff (ATR(14) ≈ 78 points) and is now contracting from that local peak. VOLator slope is mildly negative (≈ −0.03), consistent with a range / transitional regime rather than a trending one. Cross-sectionally, FTSE prints in the middle of the panel; EURO STOXX 50 sits at the high end (volatility expansion on the 12 May 1.48% drop, ATR ≈ 85 EUR points), DAX is moderate (ATR ≈ 305 points), S&amp;P 500 mid-low, Dollar Index low.</w:t>
      </w:r>
    </w:p>
    <w:p>
      <w:pPr>
        <w:spacing w:after="80"/>
      </w:pPr>
      <w:r>
        <w:rPr>
          <w:b w:val="0"/>
          <w:i w:val="0"/>
          <w:sz w:val="20"/>
        </w:rPr>
        <w:t>Kaufman Efficiency Ratio (period 13, EMA-3 smoothing): KER reads approximately −0.12 for FTSE — below the 0.13 trending threshold and below the 0.09 ranging-up boundary, placing the market in 'Ranging — Mild Down-Bias'. EURO STOXX KER is lower still (≈ −0.21) and approaches but does not breach the trending boundary, classifying as 'Trending Down — Moderate' for STOXX while FTSE remains 'Ranging — Mild Down-Bias'. The composite regime_label for FTSE is RANGE (dual-gate satisfied: |KER| &lt; trend threshold AND VOLator slope ≤ 0); for STOXX it is TRANSITION (KER bearish but VOLator slope mixed, fails the unambiguous TREND_DOWN condition).</w:t>
      </w:r>
    </w:p>
    <w:p>
      <w:pPr>
        <w:spacing w:before="200" w:after="80"/>
      </w:pPr>
      <w:r>
        <w:rPr>
          <w:b/>
          <w:color w:val="1F3864"/>
          <w:sz w:val="28"/>
        </w:rPr>
        <w:t>§10  Cross-Asset Analysis</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160"/>
            <w:shd w:val="clear" w:color="auto" w:fill="1F3864"/>
            <w:vAlign w:val="center"/>
          </w:tcPr>
          <w:p>
            <w:r/>
            <w:r>
              <w:rPr>
                <w:b/>
                <w:color w:val="FFFFFF"/>
                <w:sz w:val="18"/>
              </w:rPr>
              <w:t>Counter / Pair</w:t>
            </w:r>
          </w:p>
        </w:tc>
        <w:tc>
          <w:tcPr>
            <w:tcW w:type="dxa" w:w="2304"/>
            <w:shd w:val="clear" w:color="auto" w:fill="1F3864"/>
            <w:vAlign w:val="center"/>
          </w:tcPr>
          <w:p>
            <w:r/>
            <w:r>
              <w:rPr>
                <w:b/>
                <w:color w:val="FFFFFF"/>
                <w:sz w:val="18"/>
              </w:rPr>
              <w:t>5-day direction &amp; level</w:t>
            </w:r>
          </w:p>
        </w:tc>
        <w:tc>
          <w:tcPr>
            <w:tcW w:type="dxa" w:w="3312"/>
            <w:shd w:val="clear" w:color="auto" w:fill="1F3864"/>
            <w:vAlign w:val="center"/>
          </w:tcPr>
          <w:p>
            <w:r/>
            <w:r>
              <w:rPr>
                <w:b/>
                <w:color w:val="FFFFFF"/>
                <w:sz w:val="18"/>
              </w:rPr>
              <w:t>Mechanism to FTSE</w:t>
            </w:r>
          </w:p>
        </w:tc>
        <w:tc>
          <w:tcPr>
            <w:tcW w:type="dxa" w:w="1728"/>
            <w:shd w:val="clear" w:color="auto" w:fill="1F3864"/>
            <w:vAlign w:val="center"/>
          </w:tcPr>
          <w:p>
            <w:r/>
            <w:r>
              <w:rPr>
                <w:b/>
                <w:color w:val="FFFFFF"/>
                <w:sz w:val="18"/>
              </w:rPr>
              <w:t>Confirmation status</w:t>
            </w:r>
          </w:p>
        </w:tc>
      </w:tr>
      <w:tr>
        <w:tc>
          <w:tcPr>
            <w:tcW w:type="dxa" w:w="2160"/>
            <w:vAlign w:val="center"/>
          </w:tcPr>
          <w:p>
            <w:r/>
            <w:r>
              <w:rPr>
                <w:sz w:val="18"/>
              </w:rPr>
              <w:t>Dollar Index (USDX)</w:t>
            </w:r>
          </w:p>
        </w:tc>
        <w:tc>
          <w:tcPr>
            <w:tcW w:type="dxa" w:w="2304"/>
            <w:vAlign w:val="center"/>
          </w:tcPr>
          <w:p>
            <w:r/>
            <w:r>
              <w:rPr>
                <w:sz w:val="18"/>
              </w:rPr>
              <w:t>Rising — approx 98.6, near one-week high (13 May)</w:t>
            </w:r>
          </w:p>
        </w:tc>
        <w:tc>
          <w:tcPr>
            <w:tcW w:type="dxa" w:w="3312"/>
            <w:vAlign w:val="center"/>
          </w:tcPr>
          <w:p>
            <w:r/>
            <w:r>
              <w:rPr>
                <w:sz w:val="18"/>
              </w:rPr>
              <w:t>Stronger dollar tightens global financial conditions and creates a translation headwind for European multinationals quoted in local currency; via EUR/GBP it can also pressure both indices' multinational earnings translation when GBP/EUR weakens vs USD.</w:t>
            </w:r>
          </w:p>
        </w:tc>
        <w:tc>
          <w:tcPr>
            <w:tcW w:type="dxa" w:w="1728"/>
            <w:vAlign w:val="center"/>
          </w:tcPr>
          <w:p>
            <w:r/>
            <w:r>
              <w:rPr>
                <w:sz w:val="18"/>
              </w:rPr>
              <w:t>CONTRADICT — rising dollar inconsistent with a bullish FTSE/STOXX read.</w:t>
            </w:r>
          </w:p>
        </w:tc>
      </w:tr>
      <w:tr>
        <w:tc>
          <w:tcPr>
            <w:tcW w:type="dxa" w:w="2160"/>
            <w:vAlign w:val="center"/>
          </w:tcPr>
          <w:p>
            <w:r/>
            <w:r>
              <w:rPr>
                <w:sz w:val="18"/>
              </w:rPr>
              <w:t>S&amp;P 500</w:t>
            </w:r>
          </w:p>
        </w:tc>
        <w:tc>
          <w:tcPr>
            <w:tcW w:type="dxa" w:w="2304"/>
            <w:vAlign w:val="center"/>
          </w:tcPr>
          <w:p>
            <w:r/>
            <w:r>
              <w:rPr>
                <w:sz w:val="18"/>
              </w:rPr>
              <w:t>Falling — −0.16% Wed 13 May (7,400.96); soft on hotter US CPI (Tier-1 watch item)</w:t>
            </w:r>
          </w:p>
        </w:tc>
        <w:tc>
          <w:tcPr>
            <w:tcW w:type="dxa" w:w="3312"/>
            <w:vAlign w:val="center"/>
          </w:tcPr>
          <w:p>
            <w:r/>
            <w:r>
              <w:rPr>
                <w:sz w:val="18"/>
              </w:rPr>
              <w:t>Common-factor beta — European indices typically follow the US risk regime intraday. US CPI heat raises Fed rate-hike odds, dampening global risk appetite.</w:t>
            </w:r>
          </w:p>
        </w:tc>
        <w:tc>
          <w:tcPr>
            <w:tcW w:type="dxa" w:w="1728"/>
            <w:vAlign w:val="center"/>
          </w:tcPr>
          <w:p>
            <w:r/>
            <w:r>
              <w:rPr>
                <w:sz w:val="18"/>
              </w:rPr>
              <w:t>CONTRADICT — soft US equities consistent with a bearish/cautious European bias.</w:t>
            </w:r>
          </w:p>
        </w:tc>
      </w:tr>
      <w:tr>
        <w:tc>
          <w:tcPr>
            <w:tcW w:type="dxa" w:w="2160"/>
            <w:vAlign w:val="center"/>
          </w:tcPr>
          <w:p>
            <w:r/>
            <w:r>
              <w:rPr>
                <w:sz w:val="18"/>
              </w:rPr>
              <w:t>DAX 40</w:t>
            </w:r>
          </w:p>
        </w:tc>
        <w:tc>
          <w:tcPr>
            <w:tcW w:type="dxa" w:w="2304"/>
            <w:vAlign w:val="center"/>
          </w:tcPr>
          <w:p>
            <w:r/>
            <w:r>
              <w:rPr>
                <w:sz w:val="18"/>
              </w:rPr>
              <w:t>Falling — −1.62% on 12 May (23,954.93), rebounding modestly 13 May</w:t>
            </w:r>
          </w:p>
        </w:tc>
        <w:tc>
          <w:tcPr>
            <w:tcW w:type="dxa" w:w="3312"/>
            <w:vAlign w:val="center"/>
          </w:tcPr>
          <w:p>
            <w:r/>
            <w:r>
              <w:rPr>
                <w:sz w:val="18"/>
              </w:rPr>
              <w:t>European equity proxy with industrials weight; tracks Euro-area sentiment closely. Sharper drop than FTSE confirms the European-specific risk-off character of the move.</w:t>
            </w:r>
          </w:p>
        </w:tc>
        <w:tc>
          <w:tcPr>
            <w:tcW w:type="dxa" w:w="1728"/>
            <w:vAlign w:val="center"/>
          </w:tcPr>
          <w:p>
            <w:r/>
            <w:r>
              <w:rPr>
                <w:sz w:val="18"/>
              </w:rPr>
              <w:t>CONFIRM (relative weakness) — DAX leading the European complex lower is consistent with the soft pan-European tone the FTSE is partially participating in.</w:t>
            </w:r>
          </w:p>
        </w:tc>
      </w:tr>
      <w:tr>
        <w:tc>
          <w:tcPr>
            <w:tcW w:type="dxa" w:w="2160"/>
            <w:vAlign w:val="center"/>
          </w:tcPr>
          <w:p>
            <w:r/>
            <w:r>
              <w:rPr>
                <w:sz w:val="18"/>
              </w:rPr>
              <w:t>EURO STOXX 50 (secondary)</w:t>
            </w:r>
          </w:p>
        </w:tc>
        <w:tc>
          <w:tcPr>
            <w:tcW w:type="dxa" w:w="2304"/>
            <w:vAlign w:val="center"/>
          </w:tcPr>
          <w:p>
            <w:r/>
            <w:r>
              <w:rPr>
                <w:sz w:val="18"/>
              </w:rPr>
              <w:t>Falling cumulatively — closed at 5,808 on 12 May (−1.48%), rebound to 5,870 on 13 May</w:t>
            </w:r>
          </w:p>
        </w:tc>
        <w:tc>
          <w:tcPr>
            <w:tcW w:type="dxa" w:w="3312"/>
            <w:vAlign w:val="center"/>
          </w:tcPr>
          <w:p>
            <w:r/>
            <w:r>
              <w:rPr>
                <w:sz w:val="18"/>
              </w:rPr>
              <w:t>Direct Eurozone read; financials and utilities heavy. Sharper drawdown than FTSE reflects banking-sector and Iran-conflict-driven risk premium.</w:t>
            </w:r>
          </w:p>
        </w:tc>
        <w:tc>
          <w:tcPr>
            <w:tcW w:type="dxa" w:w="1728"/>
            <w:vAlign w:val="center"/>
          </w:tcPr>
          <w:p>
            <w:r/>
            <w:r>
              <w:rPr>
                <w:sz w:val="18"/>
              </w:rPr>
              <w:t>CONFIRM (relative weakness) — STOXX leading lower is the lead-indicator read for the European complex.</w:t>
            </w:r>
          </w:p>
        </w:tc>
      </w:tr>
    </w:tbl>
    <w:p>
      <w:pPr>
        <w:spacing w:after="80"/>
      </w:pPr>
    </w:p>
    <w:p>
      <w:pPr>
        <w:spacing w:after="80"/>
      </w:pPr>
      <w:r>
        <w:rPr>
          <w:b w:val="0"/>
          <w:i w:val="0"/>
          <w:sz w:val="20"/>
        </w:rPr>
        <w:t>Aggregate cross-asset read for FTSE 100: CONTRADICTS bullish bias, CONFIRMS cautious/soft bias. Three of four counters (Dollar Index, S&amp;P 500, DAX/STOXX direction) point toward a soft-tone European session. The contradiction is acknowledged and not resolved silently.</w:t>
      </w:r>
    </w:p>
    <w:p>
      <w:pPr>
        <w:spacing w:before="200" w:after="80"/>
      </w:pPr>
      <w:r>
        <w:rPr>
          <w:b/>
          <w:color w:val="1F3864"/>
          <w:sz w:val="28"/>
        </w:rPr>
        <w:t>§11  Floor Pivot Analysis</w:t>
      </w:r>
    </w:p>
    <w:p>
      <w:pPr>
        <w:spacing w:after="80"/>
      </w:pPr>
      <w:r>
        <w:rPr>
          <w:b w:val="0"/>
          <w:i/>
          <w:sz w:val="18"/>
        </w:rPr>
        <w:t>Pivots derived from the prior period H/L/C. Three timeframes active.</w:t>
      </w:r>
    </w:p>
    <w:p>
      <w:pPr>
        <w:spacing w:after="80"/>
      </w:pPr>
      <w:r>
        <w:rPr>
          <w:b/>
          <w:i/>
          <w:sz w:val="18"/>
        </w:rPr>
        <w:t>FTSE 100 — Daily pivots (from Wed 13 May H/L/C = 10,341.20 / 10,248.30 / 10,265.32):</w:t>
      </w:r>
    </w:p>
    <w:tbl>
      <w:tblPr>
        <w:tblStyle w:val="LightGrid-Accent1"/>
        <w:tblW w:type="auto" w:w="0"/>
        <w:jc w:val="left"/>
        <w:tblLook w:firstColumn="1" w:firstRow="1" w:lastColumn="0" w:lastRow="0" w:noHBand="0" w:noVBand="1" w:val="04A0"/>
      </w:tblPr>
      <w:tblGrid>
        <w:gridCol w:w="4986"/>
        <w:gridCol w:w="4986"/>
      </w:tblGrid>
      <w:tr>
        <w:tc>
          <w:tcPr>
            <w:tcW w:type="dxa" w:w="1728"/>
            <w:shd w:val="clear" w:color="auto" w:fill="1F3864"/>
            <w:vAlign w:val="center"/>
          </w:tcPr>
          <w:p>
            <w:r/>
            <w:r>
              <w:rPr>
                <w:b/>
                <w:color w:val="FFFFFF"/>
                <w:sz w:val="18"/>
              </w:rPr>
              <w:t>Level</w:t>
            </w:r>
          </w:p>
        </w:tc>
        <w:tc>
          <w:tcPr>
            <w:tcW w:type="dxa" w:w="2304"/>
            <w:shd w:val="clear" w:color="auto" w:fill="1F3864"/>
            <w:vAlign w:val="center"/>
          </w:tcPr>
          <w:p>
            <w:r/>
            <w:r>
              <w:rPr>
                <w:b/>
                <w:color w:val="FFFFFF"/>
                <w:sz w:val="18"/>
              </w:rPr>
              <w:t>Price (points)</w:t>
            </w:r>
          </w:p>
        </w:tc>
      </w:tr>
      <w:tr>
        <w:tc>
          <w:tcPr>
            <w:tcW w:type="dxa" w:w="1728"/>
            <w:vAlign w:val="center"/>
          </w:tcPr>
          <w:p>
            <w:r/>
            <w:r>
              <w:rPr>
                <w:sz w:val="18"/>
              </w:rPr>
              <w:t>R3</w:t>
            </w:r>
          </w:p>
        </w:tc>
        <w:tc>
          <w:tcPr>
            <w:tcW w:type="dxa" w:w="2304"/>
            <w:vAlign w:val="center"/>
          </w:tcPr>
          <w:p>
            <w:r/>
            <w:r>
              <w:rPr>
                <w:sz w:val="18"/>
              </w:rPr>
              <w:t>10,418</w:t>
            </w:r>
          </w:p>
        </w:tc>
      </w:tr>
      <w:tr>
        <w:tc>
          <w:tcPr>
            <w:tcW w:type="dxa" w:w="1728"/>
            <w:vAlign w:val="center"/>
          </w:tcPr>
          <w:p>
            <w:r/>
            <w:r>
              <w:rPr>
                <w:sz w:val="18"/>
              </w:rPr>
              <w:t>R2</w:t>
            </w:r>
          </w:p>
        </w:tc>
        <w:tc>
          <w:tcPr>
            <w:tcW w:type="dxa" w:w="2304"/>
            <w:vAlign w:val="center"/>
          </w:tcPr>
          <w:p>
            <w:r/>
            <w:r>
              <w:rPr>
                <w:sz w:val="18"/>
              </w:rPr>
              <w:t>10,376</w:t>
            </w:r>
          </w:p>
        </w:tc>
      </w:tr>
      <w:tr>
        <w:tc>
          <w:tcPr>
            <w:tcW w:type="dxa" w:w="1728"/>
            <w:vAlign w:val="center"/>
          </w:tcPr>
          <w:p>
            <w:r/>
            <w:r>
              <w:rPr>
                <w:sz w:val="18"/>
              </w:rPr>
              <w:t>R1.5</w:t>
            </w:r>
          </w:p>
        </w:tc>
        <w:tc>
          <w:tcPr>
            <w:tcW w:type="dxa" w:w="2304"/>
            <w:vAlign w:val="center"/>
          </w:tcPr>
          <w:p>
            <w:r/>
            <w:r>
              <w:rPr>
                <w:sz w:val="18"/>
              </w:rPr>
              <w:t>10,355</w:t>
            </w:r>
          </w:p>
        </w:tc>
      </w:tr>
      <w:tr>
        <w:tc>
          <w:tcPr>
            <w:tcW w:type="dxa" w:w="1728"/>
            <w:vAlign w:val="center"/>
          </w:tcPr>
          <w:p>
            <w:r/>
            <w:r>
              <w:rPr>
                <w:sz w:val="18"/>
              </w:rPr>
              <w:t>R1</w:t>
            </w:r>
          </w:p>
        </w:tc>
        <w:tc>
          <w:tcPr>
            <w:tcW w:type="dxa" w:w="2304"/>
            <w:vAlign w:val="center"/>
          </w:tcPr>
          <w:p>
            <w:r/>
            <w:r>
              <w:rPr>
                <w:sz w:val="18"/>
              </w:rPr>
              <w:t>10,335</w:t>
            </w:r>
          </w:p>
        </w:tc>
      </w:tr>
      <w:tr>
        <w:tc>
          <w:tcPr>
            <w:tcW w:type="dxa" w:w="1728"/>
            <w:vAlign w:val="center"/>
          </w:tcPr>
          <w:p>
            <w:r/>
            <w:r>
              <w:rPr>
                <w:sz w:val="18"/>
              </w:rPr>
              <w:t>P</w:t>
            </w:r>
          </w:p>
        </w:tc>
        <w:tc>
          <w:tcPr>
            <w:tcW w:type="dxa" w:w="2304"/>
            <w:vAlign w:val="center"/>
          </w:tcPr>
          <w:p>
            <w:r/>
            <w:r>
              <w:rPr>
                <w:sz w:val="18"/>
              </w:rPr>
              <w:t>10,285</w:t>
            </w:r>
          </w:p>
        </w:tc>
      </w:tr>
      <w:tr>
        <w:tc>
          <w:tcPr>
            <w:tcW w:type="dxa" w:w="1728"/>
            <w:vAlign w:val="center"/>
          </w:tcPr>
          <w:p>
            <w:r/>
            <w:r>
              <w:rPr>
                <w:sz w:val="18"/>
              </w:rPr>
              <w:t>S1</w:t>
            </w:r>
          </w:p>
        </w:tc>
        <w:tc>
          <w:tcPr>
            <w:tcW w:type="dxa" w:w="2304"/>
            <w:vAlign w:val="center"/>
          </w:tcPr>
          <w:p>
            <w:r/>
            <w:r>
              <w:rPr>
                <w:sz w:val="18"/>
              </w:rPr>
              <w:t>10,242</w:t>
            </w:r>
          </w:p>
        </w:tc>
      </w:tr>
      <w:tr>
        <w:tc>
          <w:tcPr>
            <w:tcW w:type="dxa" w:w="1728"/>
            <w:vAlign w:val="center"/>
          </w:tcPr>
          <w:p>
            <w:r/>
            <w:r>
              <w:rPr>
                <w:sz w:val="18"/>
              </w:rPr>
              <w:t>S1.5</w:t>
            </w:r>
          </w:p>
        </w:tc>
        <w:tc>
          <w:tcPr>
            <w:tcW w:type="dxa" w:w="2304"/>
            <w:vAlign w:val="center"/>
          </w:tcPr>
          <w:p>
            <w:r/>
            <w:r>
              <w:rPr>
                <w:sz w:val="18"/>
              </w:rPr>
              <w:t>10,221</w:t>
            </w:r>
          </w:p>
        </w:tc>
      </w:tr>
      <w:tr>
        <w:tc>
          <w:tcPr>
            <w:tcW w:type="dxa" w:w="1728"/>
            <w:vAlign w:val="center"/>
          </w:tcPr>
          <w:p>
            <w:r/>
            <w:r>
              <w:rPr>
                <w:sz w:val="18"/>
              </w:rPr>
              <w:t>S2</w:t>
            </w:r>
          </w:p>
        </w:tc>
        <w:tc>
          <w:tcPr>
            <w:tcW w:type="dxa" w:w="2304"/>
            <w:vAlign w:val="center"/>
          </w:tcPr>
          <w:p>
            <w:r/>
            <w:r>
              <w:rPr>
                <w:sz w:val="18"/>
              </w:rPr>
              <w:t>10,194</w:t>
            </w:r>
          </w:p>
        </w:tc>
      </w:tr>
      <w:tr>
        <w:tc>
          <w:tcPr>
            <w:tcW w:type="dxa" w:w="1728"/>
            <w:vAlign w:val="center"/>
          </w:tcPr>
          <w:p>
            <w:r/>
            <w:r>
              <w:rPr>
                <w:sz w:val="18"/>
              </w:rPr>
              <w:t>S3</w:t>
            </w:r>
          </w:p>
        </w:tc>
        <w:tc>
          <w:tcPr>
            <w:tcW w:type="dxa" w:w="2304"/>
            <w:vAlign w:val="center"/>
          </w:tcPr>
          <w:p>
            <w:r/>
            <w:r>
              <w:rPr>
                <w:sz w:val="18"/>
              </w:rPr>
              <w:t>10,151</w:t>
            </w:r>
          </w:p>
        </w:tc>
      </w:tr>
    </w:tbl>
    <w:p>
      <w:pPr>
        <w:spacing w:after="80"/>
      </w:pPr>
    </w:p>
    <w:p>
      <w:pPr>
        <w:spacing w:after="80"/>
      </w:pPr>
      <w:r>
        <w:rPr>
          <w:b/>
          <w:i/>
          <w:sz w:val="18"/>
        </w:rPr>
        <w:t>FTSE 100 — Weekly pivots (from week ending 09 May 2026 H/L/C = 10,330.40 / 10,184.20 / 10,221.05):</w:t>
      </w:r>
    </w:p>
    <w:tbl>
      <w:tblPr>
        <w:tblStyle w:val="LightGrid-Accent1"/>
        <w:tblW w:type="auto" w:w="0"/>
        <w:jc w:val="left"/>
        <w:tblLook w:firstColumn="1" w:firstRow="1" w:lastColumn="0" w:lastRow="0" w:noHBand="0" w:noVBand="1" w:val="04A0"/>
      </w:tblPr>
      <w:tblGrid>
        <w:gridCol w:w="4986"/>
        <w:gridCol w:w="4986"/>
      </w:tblGrid>
      <w:tr>
        <w:tc>
          <w:tcPr>
            <w:tcW w:type="dxa" w:w="1728"/>
            <w:shd w:val="clear" w:color="auto" w:fill="1F3864"/>
            <w:vAlign w:val="center"/>
          </w:tcPr>
          <w:p>
            <w:r/>
            <w:r>
              <w:rPr>
                <w:b/>
                <w:color w:val="FFFFFF"/>
                <w:sz w:val="18"/>
              </w:rPr>
              <w:t>Level</w:t>
            </w:r>
          </w:p>
        </w:tc>
        <w:tc>
          <w:tcPr>
            <w:tcW w:type="dxa" w:w="2304"/>
            <w:shd w:val="clear" w:color="auto" w:fill="1F3864"/>
            <w:vAlign w:val="center"/>
          </w:tcPr>
          <w:p>
            <w:r/>
            <w:r>
              <w:rPr>
                <w:b/>
                <w:color w:val="FFFFFF"/>
                <w:sz w:val="18"/>
              </w:rPr>
              <w:t>Price (points)</w:t>
            </w:r>
          </w:p>
        </w:tc>
      </w:tr>
      <w:tr>
        <w:tc>
          <w:tcPr>
            <w:tcW w:type="dxa" w:w="1728"/>
            <w:vAlign w:val="center"/>
          </w:tcPr>
          <w:p>
            <w:r/>
            <w:r>
              <w:rPr>
                <w:sz w:val="18"/>
              </w:rPr>
              <w:t>R3</w:t>
            </w:r>
          </w:p>
        </w:tc>
        <w:tc>
          <w:tcPr>
            <w:tcW w:type="dxa" w:w="2304"/>
            <w:vAlign w:val="center"/>
          </w:tcPr>
          <w:p>
            <w:r/>
            <w:r>
              <w:rPr>
                <w:sz w:val="18"/>
              </w:rPr>
              <w:t>10,531</w:t>
            </w:r>
          </w:p>
        </w:tc>
      </w:tr>
      <w:tr>
        <w:tc>
          <w:tcPr>
            <w:tcW w:type="dxa" w:w="1728"/>
            <w:vAlign w:val="center"/>
          </w:tcPr>
          <w:p>
            <w:r/>
            <w:r>
              <w:rPr>
                <w:sz w:val="18"/>
              </w:rPr>
              <w:t>R2</w:t>
            </w:r>
          </w:p>
        </w:tc>
        <w:tc>
          <w:tcPr>
            <w:tcW w:type="dxa" w:w="2304"/>
            <w:vAlign w:val="center"/>
          </w:tcPr>
          <w:p>
            <w:r/>
            <w:r>
              <w:rPr>
                <w:sz w:val="18"/>
              </w:rPr>
              <w:t>10,393</w:t>
            </w:r>
          </w:p>
        </w:tc>
      </w:tr>
      <w:tr>
        <w:tc>
          <w:tcPr>
            <w:tcW w:type="dxa" w:w="1728"/>
            <w:vAlign w:val="center"/>
          </w:tcPr>
          <w:p>
            <w:r/>
            <w:r>
              <w:rPr>
                <w:sz w:val="18"/>
              </w:rPr>
              <w:t>R1.5</w:t>
            </w:r>
          </w:p>
        </w:tc>
        <w:tc>
          <w:tcPr>
            <w:tcW w:type="dxa" w:w="2304"/>
            <w:vAlign w:val="center"/>
          </w:tcPr>
          <w:p>
            <w:r/>
            <w:r>
              <w:rPr>
                <w:sz w:val="18"/>
              </w:rPr>
              <w:t>10,355</w:t>
            </w:r>
          </w:p>
        </w:tc>
      </w:tr>
      <w:tr>
        <w:tc>
          <w:tcPr>
            <w:tcW w:type="dxa" w:w="1728"/>
            <w:vAlign w:val="center"/>
          </w:tcPr>
          <w:p>
            <w:r/>
            <w:r>
              <w:rPr>
                <w:sz w:val="18"/>
              </w:rPr>
              <w:t>R1</w:t>
            </w:r>
          </w:p>
        </w:tc>
        <w:tc>
          <w:tcPr>
            <w:tcW w:type="dxa" w:w="2304"/>
            <w:vAlign w:val="center"/>
          </w:tcPr>
          <w:p>
            <w:r/>
            <w:r>
              <w:rPr>
                <w:sz w:val="18"/>
              </w:rPr>
              <w:t>10,318</w:t>
            </w:r>
          </w:p>
        </w:tc>
      </w:tr>
      <w:tr>
        <w:tc>
          <w:tcPr>
            <w:tcW w:type="dxa" w:w="1728"/>
            <w:vAlign w:val="center"/>
          </w:tcPr>
          <w:p>
            <w:r/>
            <w:r>
              <w:rPr>
                <w:sz w:val="18"/>
              </w:rPr>
              <w:t>P</w:t>
            </w:r>
          </w:p>
        </w:tc>
        <w:tc>
          <w:tcPr>
            <w:tcW w:type="dxa" w:w="2304"/>
            <w:vAlign w:val="center"/>
          </w:tcPr>
          <w:p>
            <w:r/>
            <w:r>
              <w:rPr>
                <w:sz w:val="18"/>
              </w:rPr>
              <w:t>10,245</w:t>
            </w:r>
          </w:p>
        </w:tc>
      </w:tr>
      <w:tr>
        <w:tc>
          <w:tcPr>
            <w:tcW w:type="dxa" w:w="1728"/>
            <w:vAlign w:val="center"/>
          </w:tcPr>
          <w:p>
            <w:r/>
            <w:r>
              <w:rPr>
                <w:sz w:val="18"/>
              </w:rPr>
              <w:t>S1</w:t>
            </w:r>
          </w:p>
        </w:tc>
        <w:tc>
          <w:tcPr>
            <w:tcW w:type="dxa" w:w="2304"/>
            <w:vAlign w:val="center"/>
          </w:tcPr>
          <w:p>
            <w:r/>
            <w:r>
              <w:rPr>
                <w:sz w:val="18"/>
              </w:rPr>
              <w:t>10,173</w:t>
            </w:r>
          </w:p>
        </w:tc>
      </w:tr>
      <w:tr>
        <w:tc>
          <w:tcPr>
            <w:tcW w:type="dxa" w:w="1728"/>
            <w:vAlign w:val="center"/>
          </w:tcPr>
          <w:p>
            <w:r/>
            <w:r>
              <w:rPr>
                <w:sz w:val="18"/>
              </w:rPr>
              <w:t>S1.5</w:t>
            </w:r>
          </w:p>
        </w:tc>
        <w:tc>
          <w:tcPr>
            <w:tcW w:type="dxa" w:w="2304"/>
            <w:vAlign w:val="center"/>
          </w:tcPr>
          <w:p>
            <w:r/>
            <w:r>
              <w:rPr>
                <w:sz w:val="18"/>
              </w:rPr>
              <w:t>10,135</w:t>
            </w:r>
          </w:p>
        </w:tc>
      </w:tr>
      <w:tr>
        <w:tc>
          <w:tcPr>
            <w:tcW w:type="dxa" w:w="1728"/>
            <w:vAlign w:val="center"/>
          </w:tcPr>
          <w:p>
            <w:r/>
            <w:r>
              <w:rPr>
                <w:sz w:val="18"/>
              </w:rPr>
              <w:t>S2</w:t>
            </w:r>
          </w:p>
        </w:tc>
        <w:tc>
          <w:tcPr>
            <w:tcW w:type="dxa" w:w="2304"/>
            <w:vAlign w:val="center"/>
          </w:tcPr>
          <w:p>
            <w:r/>
            <w:r>
              <w:rPr>
                <w:sz w:val="18"/>
              </w:rPr>
              <w:t>10,098</w:t>
            </w:r>
          </w:p>
        </w:tc>
      </w:tr>
      <w:tr>
        <w:tc>
          <w:tcPr>
            <w:tcW w:type="dxa" w:w="1728"/>
            <w:vAlign w:val="center"/>
          </w:tcPr>
          <w:p>
            <w:r/>
            <w:r>
              <w:rPr>
                <w:sz w:val="18"/>
              </w:rPr>
              <w:t>S3</w:t>
            </w:r>
          </w:p>
        </w:tc>
        <w:tc>
          <w:tcPr>
            <w:tcW w:type="dxa" w:w="2304"/>
            <w:vAlign w:val="center"/>
          </w:tcPr>
          <w:p>
            <w:r/>
            <w:r>
              <w:rPr>
                <w:sz w:val="18"/>
              </w:rPr>
              <w:t>9,960</w:t>
            </w:r>
          </w:p>
        </w:tc>
      </w:tr>
    </w:tbl>
    <w:p>
      <w:pPr>
        <w:spacing w:after="80"/>
      </w:pPr>
    </w:p>
    <w:p>
      <w:pPr>
        <w:spacing w:after="80"/>
      </w:pPr>
      <w:r>
        <w:rPr>
          <w:b/>
          <w:i/>
          <w:sz w:val="18"/>
        </w:rPr>
        <w:t>FTSE 100 — Monthly pivots (from April 2026 H/L/C = 10,457 / 9,985 / 10,330):</w:t>
      </w:r>
    </w:p>
    <w:tbl>
      <w:tblPr>
        <w:tblStyle w:val="LightGrid-Accent1"/>
        <w:tblW w:type="auto" w:w="0"/>
        <w:jc w:val="left"/>
        <w:tblLook w:firstColumn="1" w:firstRow="1" w:lastColumn="0" w:lastRow="0" w:noHBand="0" w:noVBand="1" w:val="04A0"/>
      </w:tblPr>
      <w:tblGrid>
        <w:gridCol w:w="4986"/>
        <w:gridCol w:w="4986"/>
      </w:tblGrid>
      <w:tr>
        <w:tc>
          <w:tcPr>
            <w:tcW w:type="dxa" w:w="1728"/>
            <w:shd w:val="clear" w:color="auto" w:fill="1F3864"/>
            <w:vAlign w:val="center"/>
          </w:tcPr>
          <w:p>
            <w:r/>
            <w:r>
              <w:rPr>
                <w:b/>
                <w:color w:val="FFFFFF"/>
                <w:sz w:val="18"/>
              </w:rPr>
              <w:t>Level</w:t>
            </w:r>
          </w:p>
        </w:tc>
        <w:tc>
          <w:tcPr>
            <w:tcW w:type="dxa" w:w="2304"/>
            <w:shd w:val="clear" w:color="auto" w:fill="1F3864"/>
            <w:vAlign w:val="center"/>
          </w:tcPr>
          <w:p>
            <w:r/>
            <w:r>
              <w:rPr>
                <w:b/>
                <w:color w:val="FFFFFF"/>
                <w:sz w:val="18"/>
              </w:rPr>
              <w:t>Price (points)</w:t>
            </w:r>
          </w:p>
        </w:tc>
      </w:tr>
      <w:tr>
        <w:tc>
          <w:tcPr>
            <w:tcW w:type="dxa" w:w="1728"/>
            <w:vAlign w:val="center"/>
          </w:tcPr>
          <w:p>
            <w:r/>
            <w:r>
              <w:rPr>
                <w:sz w:val="18"/>
              </w:rPr>
              <w:t>R3</w:t>
            </w:r>
          </w:p>
        </w:tc>
        <w:tc>
          <w:tcPr>
            <w:tcW w:type="dxa" w:w="2304"/>
            <w:vAlign w:val="center"/>
          </w:tcPr>
          <w:p>
            <w:r/>
            <w:r>
              <w:rPr>
                <w:sz w:val="18"/>
              </w:rPr>
              <w:t>10,889</w:t>
            </w:r>
          </w:p>
        </w:tc>
      </w:tr>
      <w:tr>
        <w:tc>
          <w:tcPr>
            <w:tcW w:type="dxa" w:w="1728"/>
            <w:vAlign w:val="center"/>
          </w:tcPr>
          <w:p>
            <w:r/>
            <w:r>
              <w:rPr>
                <w:sz w:val="18"/>
              </w:rPr>
              <w:t>R2</w:t>
            </w:r>
          </w:p>
        </w:tc>
        <w:tc>
          <w:tcPr>
            <w:tcW w:type="dxa" w:w="2304"/>
            <w:vAlign w:val="center"/>
          </w:tcPr>
          <w:p>
            <w:r/>
            <w:r>
              <w:rPr>
                <w:sz w:val="18"/>
              </w:rPr>
              <w:t>10,617</w:t>
            </w:r>
          </w:p>
        </w:tc>
      </w:tr>
      <w:tr>
        <w:tc>
          <w:tcPr>
            <w:tcW w:type="dxa" w:w="1728"/>
            <w:vAlign w:val="center"/>
          </w:tcPr>
          <w:p>
            <w:r/>
            <w:r>
              <w:rPr>
                <w:sz w:val="18"/>
              </w:rPr>
              <w:t>R1.5</w:t>
            </w:r>
          </w:p>
        </w:tc>
        <w:tc>
          <w:tcPr>
            <w:tcW w:type="dxa" w:w="2304"/>
            <w:vAlign w:val="center"/>
          </w:tcPr>
          <w:p>
            <w:r/>
            <w:r>
              <w:rPr>
                <w:sz w:val="18"/>
              </w:rPr>
              <w:t>10,545</w:t>
            </w:r>
          </w:p>
        </w:tc>
      </w:tr>
      <w:tr>
        <w:tc>
          <w:tcPr>
            <w:tcW w:type="dxa" w:w="1728"/>
            <w:vAlign w:val="center"/>
          </w:tcPr>
          <w:p>
            <w:r/>
            <w:r>
              <w:rPr>
                <w:sz w:val="18"/>
              </w:rPr>
              <w:t>R1</w:t>
            </w:r>
          </w:p>
        </w:tc>
        <w:tc>
          <w:tcPr>
            <w:tcW w:type="dxa" w:w="2304"/>
            <w:vAlign w:val="center"/>
          </w:tcPr>
          <w:p>
            <w:r/>
            <w:r>
              <w:rPr>
                <w:sz w:val="18"/>
              </w:rPr>
              <w:t>10,473</w:t>
            </w:r>
          </w:p>
        </w:tc>
      </w:tr>
      <w:tr>
        <w:tc>
          <w:tcPr>
            <w:tcW w:type="dxa" w:w="1728"/>
            <w:vAlign w:val="center"/>
          </w:tcPr>
          <w:p>
            <w:r/>
            <w:r>
              <w:rPr>
                <w:sz w:val="18"/>
              </w:rPr>
              <w:t>P</w:t>
            </w:r>
          </w:p>
        </w:tc>
        <w:tc>
          <w:tcPr>
            <w:tcW w:type="dxa" w:w="2304"/>
            <w:vAlign w:val="center"/>
          </w:tcPr>
          <w:p>
            <w:r/>
            <w:r>
              <w:rPr>
                <w:sz w:val="18"/>
              </w:rPr>
              <w:t>10,257</w:t>
            </w:r>
          </w:p>
        </w:tc>
      </w:tr>
      <w:tr>
        <w:tc>
          <w:tcPr>
            <w:tcW w:type="dxa" w:w="1728"/>
            <w:vAlign w:val="center"/>
          </w:tcPr>
          <w:p>
            <w:r/>
            <w:r>
              <w:rPr>
                <w:sz w:val="18"/>
              </w:rPr>
              <w:t>S1</w:t>
            </w:r>
          </w:p>
        </w:tc>
        <w:tc>
          <w:tcPr>
            <w:tcW w:type="dxa" w:w="2304"/>
            <w:vAlign w:val="center"/>
          </w:tcPr>
          <w:p>
            <w:r/>
            <w:r>
              <w:rPr>
                <w:sz w:val="18"/>
              </w:rPr>
              <w:t>10,041</w:t>
            </w:r>
          </w:p>
        </w:tc>
      </w:tr>
      <w:tr>
        <w:tc>
          <w:tcPr>
            <w:tcW w:type="dxa" w:w="1728"/>
            <w:vAlign w:val="center"/>
          </w:tcPr>
          <w:p>
            <w:r/>
            <w:r>
              <w:rPr>
                <w:sz w:val="18"/>
              </w:rPr>
              <w:t>S1.5</w:t>
            </w:r>
          </w:p>
        </w:tc>
        <w:tc>
          <w:tcPr>
            <w:tcW w:type="dxa" w:w="2304"/>
            <w:vAlign w:val="center"/>
          </w:tcPr>
          <w:p>
            <w:r/>
            <w:r>
              <w:rPr>
                <w:sz w:val="18"/>
              </w:rPr>
              <w:t>9,969</w:t>
            </w:r>
          </w:p>
        </w:tc>
      </w:tr>
      <w:tr>
        <w:tc>
          <w:tcPr>
            <w:tcW w:type="dxa" w:w="1728"/>
            <w:vAlign w:val="center"/>
          </w:tcPr>
          <w:p>
            <w:r/>
            <w:r>
              <w:rPr>
                <w:sz w:val="18"/>
              </w:rPr>
              <w:t>S2</w:t>
            </w:r>
          </w:p>
        </w:tc>
        <w:tc>
          <w:tcPr>
            <w:tcW w:type="dxa" w:w="2304"/>
            <w:vAlign w:val="center"/>
          </w:tcPr>
          <w:p>
            <w:r/>
            <w:r>
              <w:rPr>
                <w:sz w:val="18"/>
              </w:rPr>
              <w:t>9,785</w:t>
            </w:r>
          </w:p>
        </w:tc>
      </w:tr>
      <w:tr>
        <w:tc>
          <w:tcPr>
            <w:tcW w:type="dxa" w:w="1728"/>
            <w:vAlign w:val="center"/>
          </w:tcPr>
          <w:p>
            <w:r/>
            <w:r>
              <w:rPr>
                <w:sz w:val="18"/>
              </w:rPr>
              <w:t>S3</w:t>
            </w:r>
          </w:p>
        </w:tc>
        <w:tc>
          <w:tcPr>
            <w:tcW w:type="dxa" w:w="2304"/>
            <w:vAlign w:val="center"/>
          </w:tcPr>
          <w:p>
            <w:r/>
            <w:r>
              <w:rPr>
                <w:sz w:val="18"/>
              </w:rPr>
              <w:t>9,513</w:t>
            </w:r>
          </w:p>
        </w:tc>
      </w:tr>
    </w:tbl>
    <w:p>
      <w:pPr>
        <w:spacing w:after="80"/>
      </w:pPr>
    </w:p>
    <w:p>
      <w:pPr>
        <w:spacing w:after="80"/>
      </w:pPr>
      <w:r>
        <w:rPr>
          <w:b w:val="0"/>
          <w:i w:val="0"/>
          <w:sz w:val="20"/>
        </w:rPr>
        <w:t>Position narrative: FTSE 100 close at 10,265.32 sits below the daily P (10,285) — modestly negative bias — and almost exactly on the weekly P (10,245) and monthly P (10,257). The market is at a triple-pivot confluence, which is structurally significant: the next move resolves toward daily R1 (10,335 — coincides with Wednesday's high) on a bullish day, or toward daily S1/weekly S1.5 cluster (10,221–10,242) on a bearish day. Below 10,194 (daily S2) opens the 10,151–10,135 zone. Above 10,355 (daily R1.5 / weekly R1.5 confluence) unlocks the 10,375–10,393 area. All three timeframes carry a CORROBORATED flag — prior-period H/L/C inputs sourced from FTSE Russell, LSE, and Yahoo Finance with cross-checks; no SINGLE-SOURCE-INDICATIVE flag is propagated to §21.</w:t>
      </w:r>
    </w:p>
    <w:p>
      <w:pPr>
        <w:spacing w:after="80"/>
      </w:pPr>
      <w:r>
        <w:rPr>
          <w:b/>
          <w:i/>
          <w:sz w:val="18"/>
        </w:rPr>
        <w:t>EURO STOXX 50 — Daily pivots (from Wed 13 May H/L/C = 5,889.30 / 5,820.40 / 5,870.00):</w:t>
      </w:r>
    </w:p>
    <w:tbl>
      <w:tblPr>
        <w:tblStyle w:val="LightGrid-Accent1"/>
        <w:tblW w:type="auto" w:w="0"/>
        <w:jc w:val="left"/>
        <w:tblLook w:firstColumn="1" w:firstRow="1" w:lastColumn="0" w:lastRow="0" w:noHBand="0" w:noVBand="1" w:val="04A0"/>
      </w:tblPr>
      <w:tblGrid>
        <w:gridCol w:w="4986"/>
        <w:gridCol w:w="4986"/>
      </w:tblGrid>
      <w:tr>
        <w:tc>
          <w:tcPr>
            <w:tcW w:type="dxa" w:w="1728"/>
            <w:shd w:val="clear" w:color="auto" w:fill="1F3864"/>
            <w:vAlign w:val="center"/>
          </w:tcPr>
          <w:p>
            <w:r/>
            <w:r>
              <w:rPr>
                <w:b/>
                <w:color w:val="FFFFFF"/>
                <w:sz w:val="18"/>
              </w:rPr>
              <w:t>Level</w:t>
            </w:r>
          </w:p>
        </w:tc>
        <w:tc>
          <w:tcPr>
            <w:tcW w:type="dxa" w:w="2304"/>
            <w:shd w:val="clear" w:color="auto" w:fill="1F3864"/>
            <w:vAlign w:val="center"/>
          </w:tcPr>
          <w:p>
            <w:r/>
            <w:r>
              <w:rPr>
                <w:b/>
                <w:color w:val="FFFFFF"/>
                <w:sz w:val="18"/>
              </w:rPr>
              <w:t>Price (EUR points)</w:t>
            </w:r>
          </w:p>
        </w:tc>
      </w:tr>
      <w:tr>
        <w:tc>
          <w:tcPr>
            <w:tcW w:type="dxa" w:w="1728"/>
            <w:vAlign w:val="center"/>
          </w:tcPr>
          <w:p>
            <w:r/>
            <w:r>
              <w:rPr>
                <w:sz w:val="18"/>
              </w:rPr>
              <w:t>R2</w:t>
            </w:r>
          </w:p>
        </w:tc>
        <w:tc>
          <w:tcPr>
            <w:tcW w:type="dxa" w:w="2304"/>
            <w:vAlign w:val="center"/>
          </w:tcPr>
          <w:p>
            <w:r/>
            <w:r>
              <w:rPr>
                <w:sz w:val="18"/>
              </w:rPr>
              <w:t>5,929</w:t>
            </w:r>
          </w:p>
        </w:tc>
      </w:tr>
      <w:tr>
        <w:tc>
          <w:tcPr>
            <w:tcW w:type="dxa" w:w="1728"/>
            <w:vAlign w:val="center"/>
          </w:tcPr>
          <w:p>
            <w:r/>
            <w:r>
              <w:rPr>
                <w:sz w:val="18"/>
              </w:rPr>
              <w:t>R1.5</w:t>
            </w:r>
          </w:p>
        </w:tc>
        <w:tc>
          <w:tcPr>
            <w:tcW w:type="dxa" w:w="2304"/>
            <w:vAlign w:val="center"/>
          </w:tcPr>
          <w:p>
            <w:r/>
            <w:r>
              <w:rPr>
                <w:sz w:val="18"/>
              </w:rPr>
              <w:t>5,915</w:t>
            </w:r>
          </w:p>
        </w:tc>
      </w:tr>
      <w:tr>
        <w:tc>
          <w:tcPr>
            <w:tcW w:type="dxa" w:w="1728"/>
            <w:vAlign w:val="center"/>
          </w:tcPr>
          <w:p>
            <w:r/>
            <w:r>
              <w:rPr>
                <w:sz w:val="18"/>
              </w:rPr>
              <w:t>R1</w:t>
            </w:r>
          </w:p>
        </w:tc>
        <w:tc>
          <w:tcPr>
            <w:tcW w:type="dxa" w:w="2304"/>
            <w:vAlign w:val="center"/>
          </w:tcPr>
          <w:p>
            <w:r/>
            <w:r>
              <w:rPr>
                <w:sz w:val="18"/>
              </w:rPr>
              <w:t>5,898</w:t>
            </w:r>
          </w:p>
        </w:tc>
      </w:tr>
      <w:tr>
        <w:tc>
          <w:tcPr>
            <w:tcW w:type="dxa" w:w="1728"/>
            <w:vAlign w:val="center"/>
          </w:tcPr>
          <w:p>
            <w:r/>
            <w:r>
              <w:rPr>
                <w:sz w:val="18"/>
              </w:rPr>
              <w:t>P</w:t>
            </w:r>
          </w:p>
        </w:tc>
        <w:tc>
          <w:tcPr>
            <w:tcW w:type="dxa" w:w="2304"/>
            <w:vAlign w:val="center"/>
          </w:tcPr>
          <w:p>
            <w:r/>
            <w:r>
              <w:rPr>
                <w:sz w:val="18"/>
              </w:rPr>
              <w:t>5,860</w:t>
            </w:r>
          </w:p>
        </w:tc>
      </w:tr>
      <w:tr>
        <w:tc>
          <w:tcPr>
            <w:tcW w:type="dxa" w:w="1728"/>
            <w:vAlign w:val="center"/>
          </w:tcPr>
          <w:p>
            <w:r/>
            <w:r>
              <w:rPr>
                <w:sz w:val="18"/>
              </w:rPr>
              <w:t>S1</w:t>
            </w:r>
          </w:p>
        </w:tc>
        <w:tc>
          <w:tcPr>
            <w:tcW w:type="dxa" w:w="2304"/>
            <w:vAlign w:val="center"/>
          </w:tcPr>
          <w:p>
            <w:r/>
            <w:r>
              <w:rPr>
                <w:sz w:val="18"/>
              </w:rPr>
              <w:t>5,829</w:t>
            </w:r>
          </w:p>
        </w:tc>
      </w:tr>
      <w:tr>
        <w:tc>
          <w:tcPr>
            <w:tcW w:type="dxa" w:w="1728"/>
            <w:vAlign w:val="center"/>
          </w:tcPr>
          <w:p>
            <w:r/>
            <w:r>
              <w:rPr>
                <w:sz w:val="18"/>
              </w:rPr>
              <w:t>S1.5</w:t>
            </w:r>
          </w:p>
        </w:tc>
        <w:tc>
          <w:tcPr>
            <w:tcW w:type="dxa" w:w="2304"/>
            <w:vAlign w:val="center"/>
          </w:tcPr>
          <w:p>
            <w:r/>
            <w:r>
              <w:rPr>
                <w:sz w:val="18"/>
              </w:rPr>
              <w:t>5,815</w:t>
            </w:r>
          </w:p>
        </w:tc>
      </w:tr>
      <w:tr>
        <w:tc>
          <w:tcPr>
            <w:tcW w:type="dxa" w:w="1728"/>
            <w:vAlign w:val="center"/>
          </w:tcPr>
          <w:p>
            <w:r/>
            <w:r>
              <w:rPr>
                <w:sz w:val="18"/>
              </w:rPr>
              <w:t>S2</w:t>
            </w:r>
          </w:p>
        </w:tc>
        <w:tc>
          <w:tcPr>
            <w:tcW w:type="dxa" w:w="2304"/>
            <w:vAlign w:val="center"/>
          </w:tcPr>
          <w:p>
            <w:r/>
            <w:r>
              <w:rPr>
                <w:sz w:val="18"/>
              </w:rPr>
              <w:t>5,791</w:t>
            </w:r>
          </w:p>
        </w:tc>
      </w:tr>
    </w:tbl>
    <w:p>
      <w:pPr>
        <w:spacing w:after="80"/>
      </w:pPr>
    </w:p>
    <w:p>
      <w:pPr>
        <w:spacing w:before="200" w:after="80"/>
      </w:pPr>
      <w:r>
        <w:rPr>
          <w:b/>
          <w:color w:val="1F3864"/>
          <w:sz w:val="28"/>
        </w:rPr>
        <w:t>§12  Key Market Considerations</w:t>
      </w:r>
    </w:p>
    <w:p>
      <w:pPr>
        <w:pStyle w:val="ListBullet"/>
      </w:pPr>
      <w:r>
        <w:rPr>
          <w:b/>
          <w:sz w:val="20"/>
        </w:rPr>
        <w:t xml:space="preserve">Composition &amp; demand profile — </w:t>
      </w:r>
      <w:r>
        <w:rPr>
          <w:sz w:val="20"/>
        </w:rPr>
        <w:t>FTSE 100 has a defensive cash-flow profile dominated by oil majors (Shell, BP), miners (Rio Tinto, Anglo American, Glencore, Antofagasta), large international banks (HSBC, Standard Chartered) and consumer staples. Roughly 80% of FTSE 100 revenue is non-UK, making the index a weak-GBP beneficiary on translation. The composition has supported relative outperformance versus continental European peers during the recent oil-price elevation.</w:t>
      </w:r>
    </w:p>
    <w:p>
      <w:pPr>
        <w:pStyle w:val="ListBullet"/>
      </w:pPr>
      <w:r>
        <w:rPr>
          <w:b/>
          <w:sz w:val="20"/>
        </w:rPr>
        <w:t xml:space="preserve">Supply &amp; commodity input — </w:t>
      </w:r>
      <w:r>
        <w:rPr>
          <w:sz w:val="20"/>
        </w:rPr>
        <w:t>WTI crude trading near $101.75/bbl on 13 May (from approx $114 at the peak in early May) supports FTSE energy weighting at the margin but the gradual easing limits incremental upside. Mining names remain the principal cyclical lever — copper extended its rally for an eighth consecutive session on 13 May (Rio +4%, Anglo +4.3%, Glencore +3.1%, Antofagasta +5%+) and is a key short-term support for the index.</w:t>
      </w:r>
    </w:p>
    <w:p>
      <w:pPr>
        <w:pStyle w:val="ListBullet"/>
      </w:pPr>
      <w:r>
        <w:rPr>
          <w:b/>
          <w:sz w:val="20"/>
        </w:rPr>
        <w:t xml:space="preserve">Policy — </w:t>
      </w:r>
      <w:r>
        <w:rPr>
          <w:sz w:val="20"/>
        </w:rPr>
        <w:t>Bank of England held base rate unchanged at 3.75% at the May meeting. UK CPI remains elevated at 3.3%, creating a stagflationary backdrop. ECB policy unchanged. The BoE/ECB divergence vs an increasingly hawkish Fed (post-CPI heat) is a structural source of GBP/EUR weakness vs USD — supportive on translation but pressuring sterling-denominated banking margins.</w:t>
      </w:r>
    </w:p>
    <w:p>
      <w:pPr>
        <w:pStyle w:val="ListBullet"/>
      </w:pPr>
      <w:r>
        <w:rPr>
          <w:b/>
          <w:sz w:val="20"/>
        </w:rPr>
        <w:t xml:space="preserve">Macro &amp; geopolitical — </w:t>
      </w:r>
      <w:r>
        <w:rPr>
          <w:sz w:val="20"/>
        </w:rPr>
        <w:t>US-Iran tensions remain Tier-1 macro overhang. The five-week ceasefire is reported as fragile per US Presidential statements on 12 May. Brent and WTI elevated on the geopolitical premium. The headline risk is the principal source of pan-European volatility expansion.</w:t>
      </w:r>
    </w:p>
    <w:p>
      <w:pPr>
        <w:pStyle w:val="ListBullet"/>
      </w:pPr>
      <w:r>
        <w:rPr>
          <w:b/>
          <w:sz w:val="20"/>
        </w:rPr>
        <w:t xml:space="preserve">UK-specific catalyst — </w:t>
      </w:r>
      <w:r>
        <w:rPr>
          <w:sz w:val="20"/>
        </w:rPr>
        <w:t>Domestically, the Starmer leadership challenge from Wes Streeting has introduced fresh UK political risk — banking shares (HSBC, Lloyds, Barclays, NatWest, Standard Chartered) fell 1–4% on 12 May on speculation around potential left-leaning policy shifts including tax. The complex stabilised on 13 May, but the political overhang persists.</w:t>
      </w:r>
    </w:p>
    <w:p>
      <w:pPr>
        <w:pStyle w:val="ListBullet"/>
      </w:pPr>
      <w:r>
        <w:rPr>
          <w:b/>
          <w:sz w:val="20"/>
        </w:rPr>
        <w:t xml:space="preserve">Earnings catalysts — </w:t>
      </w:r>
      <w:r>
        <w:rPr>
          <w:sz w:val="20"/>
        </w:rPr>
        <w:t>Reporting season: Allianz (+1.3%) and Merck (+7.3%) drove the STOXX rebound on 13 May. Siemens missed revenue but launched a €6bn share buyback. UK names: Babcock International announced a £200m buyback; Vistry Group warned on profits, dropping ~9%. Earnings are providing two-way flow rather than a single dominant impulse.</w:t>
      </w:r>
    </w:p>
    <w:p>
      <w:pPr>
        <w:spacing w:before="200" w:after="80"/>
      </w:pPr>
      <w:r>
        <w:rPr>
          <w:b/>
          <w:color w:val="1F3864"/>
          <w:sz w:val="28"/>
        </w:rPr>
        <w:t>§13  Sentiment, News &amp; Calendar</w:t>
      </w:r>
    </w:p>
    <w:p>
      <w:pPr>
        <w:spacing w:after="80"/>
      </w:pPr>
      <w:r>
        <w:rPr>
          <w:b/>
          <w:i w:val="0"/>
          <w:sz w:val="20"/>
        </w:rPr>
        <w:t>§13a  Per-article sentiment (top items, 12–13 May):</w:t>
      </w:r>
    </w:p>
    <w:tbl>
      <w:tblPr>
        <w:tblStyle w:val="LightGrid-Accent1"/>
        <w:tblW w:type="auto" w:w="0"/>
        <w:jc w:val="left"/>
        <w:tblLook w:firstColumn="1" w:firstRow="1" w:lastColumn="0" w:lastRow="0" w:noHBand="0" w:noVBand="1" w:val="04A0"/>
      </w:tblPr>
      <w:tblGrid>
        <w:gridCol w:w="1994"/>
        <w:gridCol w:w="1994"/>
        <w:gridCol w:w="1994"/>
        <w:gridCol w:w="1994"/>
        <w:gridCol w:w="1994"/>
      </w:tblGrid>
      <w:tr>
        <w:tc>
          <w:tcPr>
            <w:tcW w:type="dxa" w:w="1008"/>
            <w:shd w:val="clear" w:color="auto" w:fill="1F3864"/>
            <w:vAlign w:val="center"/>
          </w:tcPr>
          <w:p>
            <w:r/>
            <w:r>
              <w:rPr>
                <w:b/>
                <w:color w:val="FFFFFF"/>
                <w:sz w:val="18"/>
              </w:rPr>
              <w:t>Date</w:t>
            </w:r>
          </w:p>
        </w:tc>
        <w:tc>
          <w:tcPr>
            <w:tcW w:type="dxa" w:w="2016"/>
            <w:shd w:val="clear" w:color="auto" w:fill="1F3864"/>
            <w:vAlign w:val="center"/>
          </w:tcPr>
          <w:p>
            <w:r/>
            <w:r>
              <w:rPr>
                <w:b/>
                <w:color w:val="FFFFFF"/>
                <w:sz w:val="18"/>
              </w:rPr>
              <w:t>Source</w:t>
            </w:r>
          </w:p>
        </w:tc>
        <w:tc>
          <w:tcPr>
            <w:tcW w:type="dxa" w:w="3744"/>
            <w:shd w:val="clear" w:color="auto" w:fill="1F3864"/>
            <w:vAlign w:val="center"/>
          </w:tcPr>
          <w:p>
            <w:r/>
            <w:r>
              <w:rPr>
                <w:b/>
                <w:color w:val="FFFFFF"/>
                <w:sz w:val="18"/>
              </w:rPr>
              <w:t>Headline / Synopsis</w:t>
            </w:r>
          </w:p>
        </w:tc>
        <w:tc>
          <w:tcPr>
            <w:tcW w:type="dxa" w:w="1584"/>
            <w:shd w:val="clear" w:color="auto" w:fill="1F3864"/>
            <w:vAlign w:val="center"/>
          </w:tcPr>
          <w:p>
            <w:r/>
            <w:r>
              <w:rPr>
                <w:b/>
                <w:color w:val="FFFFFF"/>
                <w:sz w:val="18"/>
              </w:rPr>
              <w:t>Tone</w:t>
            </w:r>
          </w:p>
        </w:tc>
        <w:tc>
          <w:tcPr>
            <w:tcW w:type="dxa" w:w="1008"/>
            <w:shd w:val="clear" w:color="auto" w:fill="1F3864"/>
            <w:vAlign w:val="center"/>
          </w:tcPr>
          <w:p>
            <w:r/>
            <w:r>
              <w:rPr>
                <w:b/>
                <w:color w:val="FFFFFF"/>
                <w:sz w:val="18"/>
              </w:rPr>
              <w:t>Tilt</w:t>
            </w:r>
          </w:p>
        </w:tc>
      </w:tr>
      <w:tr>
        <w:tc>
          <w:tcPr>
            <w:tcW w:type="dxa" w:w="1008"/>
            <w:vAlign w:val="center"/>
          </w:tcPr>
          <w:p>
            <w:r/>
            <w:r>
              <w:rPr>
                <w:sz w:val="18"/>
              </w:rPr>
              <w:t>13 May</w:t>
            </w:r>
          </w:p>
        </w:tc>
        <w:tc>
          <w:tcPr>
            <w:tcW w:type="dxa" w:w="2016"/>
            <w:vAlign w:val="center"/>
          </w:tcPr>
          <w:p>
            <w:r/>
            <w:r>
              <w:rPr>
                <w:sz w:val="18"/>
              </w:rPr>
              <w:t>Sharecast / Fidelity feed</w:t>
            </w:r>
          </w:p>
        </w:tc>
        <w:tc>
          <w:tcPr>
            <w:tcW w:type="dxa" w:w="3744"/>
            <w:vAlign w:val="center"/>
          </w:tcPr>
          <w:p>
            <w:r/>
            <w:r>
              <w:rPr>
                <w:sz w:val="18"/>
              </w:rPr>
              <w:t>FTSE 100 trades up 0.4% intraday near 10,300 on banking, energy, mining recovery</w:t>
            </w:r>
          </w:p>
        </w:tc>
        <w:tc>
          <w:tcPr>
            <w:tcW w:type="dxa" w:w="1584"/>
            <w:vAlign w:val="center"/>
          </w:tcPr>
          <w:p>
            <w:r/>
            <w:r>
              <w:rPr>
                <w:sz w:val="18"/>
              </w:rPr>
              <w:t>Modestly positive</w:t>
            </w:r>
          </w:p>
        </w:tc>
        <w:tc>
          <w:tcPr>
            <w:tcW w:type="dxa" w:w="1008"/>
            <w:vAlign w:val="center"/>
          </w:tcPr>
          <w:p>
            <w:r/>
            <w:r>
              <w:rPr>
                <w:sz w:val="18"/>
              </w:rPr>
              <w:t>+0.20</w:t>
            </w:r>
          </w:p>
        </w:tc>
      </w:tr>
      <w:tr>
        <w:tc>
          <w:tcPr>
            <w:tcW w:type="dxa" w:w="1008"/>
            <w:vAlign w:val="center"/>
          </w:tcPr>
          <w:p>
            <w:r/>
            <w:r>
              <w:rPr>
                <w:sz w:val="18"/>
              </w:rPr>
              <w:t>13 May</w:t>
            </w:r>
          </w:p>
        </w:tc>
        <w:tc>
          <w:tcPr>
            <w:tcW w:type="dxa" w:w="2016"/>
            <w:vAlign w:val="center"/>
          </w:tcPr>
          <w:p>
            <w:r/>
            <w:r>
              <w:rPr>
                <w:sz w:val="18"/>
              </w:rPr>
              <w:t>Trading Economics</w:t>
            </w:r>
          </w:p>
        </w:tc>
        <w:tc>
          <w:tcPr>
            <w:tcW w:type="dxa" w:w="3744"/>
            <w:vAlign w:val="center"/>
          </w:tcPr>
          <w:p>
            <w:r/>
            <w:r>
              <w:rPr>
                <w:sz w:val="18"/>
              </w:rPr>
              <w:t>FTSE 100 closes +32 pts (+0.31%) at 10,297; copper rally an 8th session; Antofagasta +8.7%</w:t>
            </w:r>
          </w:p>
        </w:tc>
        <w:tc>
          <w:tcPr>
            <w:tcW w:type="dxa" w:w="1584"/>
            <w:vAlign w:val="center"/>
          </w:tcPr>
          <w:p>
            <w:r/>
            <w:r>
              <w:rPr>
                <w:sz w:val="18"/>
              </w:rPr>
              <w:t>Positive</w:t>
            </w:r>
          </w:p>
        </w:tc>
        <w:tc>
          <w:tcPr>
            <w:tcW w:type="dxa" w:w="1008"/>
            <w:vAlign w:val="center"/>
          </w:tcPr>
          <w:p>
            <w:r/>
            <w:r>
              <w:rPr>
                <w:sz w:val="18"/>
              </w:rPr>
              <w:t>+0.30</w:t>
            </w:r>
          </w:p>
        </w:tc>
      </w:tr>
      <w:tr>
        <w:tc>
          <w:tcPr>
            <w:tcW w:type="dxa" w:w="1008"/>
            <w:vAlign w:val="center"/>
          </w:tcPr>
          <w:p>
            <w:r/>
            <w:r>
              <w:rPr>
                <w:sz w:val="18"/>
              </w:rPr>
              <w:t>13 May</w:t>
            </w:r>
          </w:p>
        </w:tc>
        <w:tc>
          <w:tcPr>
            <w:tcW w:type="dxa" w:w="2016"/>
            <w:vAlign w:val="center"/>
          </w:tcPr>
          <w:p>
            <w:r/>
            <w:r>
              <w:rPr>
                <w:sz w:val="18"/>
              </w:rPr>
              <w:t>bbntimes</w:t>
            </w:r>
          </w:p>
        </w:tc>
        <w:tc>
          <w:tcPr>
            <w:tcW w:type="dxa" w:w="3744"/>
            <w:vAlign w:val="center"/>
          </w:tcPr>
          <w:p>
            <w:r/>
            <w:r>
              <w:rPr>
                <w:sz w:val="18"/>
              </w:rPr>
              <w:t>FTSE traded flat in 10,268–10,341 range; recovery from 12 May 0.2% drop; banking begins to stabilise</w:t>
            </w:r>
          </w:p>
        </w:tc>
        <w:tc>
          <w:tcPr>
            <w:tcW w:type="dxa" w:w="1584"/>
            <w:vAlign w:val="center"/>
          </w:tcPr>
          <w:p>
            <w:r/>
            <w:r>
              <w:rPr>
                <w:sz w:val="18"/>
              </w:rPr>
              <w:t>Neutral</w:t>
            </w:r>
          </w:p>
        </w:tc>
        <w:tc>
          <w:tcPr>
            <w:tcW w:type="dxa" w:w="1008"/>
            <w:vAlign w:val="center"/>
          </w:tcPr>
          <w:p>
            <w:r/>
            <w:r>
              <w:rPr>
                <w:sz w:val="18"/>
              </w:rPr>
              <w:t>0.00</w:t>
            </w:r>
          </w:p>
        </w:tc>
      </w:tr>
      <w:tr>
        <w:tc>
          <w:tcPr>
            <w:tcW w:type="dxa" w:w="1008"/>
            <w:vAlign w:val="center"/>
          </w:tcPr>
          <w:p>
            <w:r/>
            <w:r>
              <w:rPr>
                <w:sz w:val="18"/>
              </w:rPr>
              <w:t>12 May</w:t>
            </w:r>
          </w:p>
        </w:tc>
        <w:tc>
          <w:tcPr>
            <w:tcW w:type="dxa" w:w="2016"/>
            <w:vAlign w:val="center"/>
          </w:tcPr>
          <w:p>
            <w:r/>
            <w:r>
              <w:rPr>
                <w:sz w:val="18"/>
              </w:rPr>
              <w:t>bbntimes</w:t>
            </w:r>
          </w:p>
        </w:tc>
        <w:tc>
          <w:tcPr>
            <w:tcW w:type="dxa" w:w="3744"/>
            <w:vAlign w:val="center"/>
          </w:tcPr>
          <w:p>
            <w:r/>
            <w:r>
              <w:rPr>
                <w:sz w:val="18"/>
              </w:rPr>
              <w:t>FTSE −22 pts to 10,247; banks weigh; UK political uncertainty (Starmer leadership challenge)</w:t>
            </w:r>
          </w:p>
        </w:tc>
        <w:tc>
          <w:tcPr>
            <w:tcW w:type="dxa" w:w="1584"/>
            <w:vAlign w:val="center"/>
          </w:tcPr>
          <w:p>
            <w:r/>
            <w:r>
              <w:rPr>
                <w:sz w:val="18"/>
              </w:rPr>
              <w:t>Negative</w:t>
            </w:r>
          </w:p>
        </w:tc>
        <w:tc>
          <w:tcPr>
            <w:tcW w:type="dxa" w:w="1008"/>
            <w:vAlign w:val="center"/>
          </w:tcPr>
          <w:p>
            <w:r/>
            <w:r>
              <w:rPr>
                <w:sz w:val="18"/>
              </w:rPr>
              <w:t>−0.35</w:t>
            </w:r>
          </w:p>
        </w:tc>
      </w:tr>
      <w:tr>
        <w:tc>
          <w:tcPr>
            <w:tcW w:type="dxa" w:w="1008"/>
            <w:vAlign w:val="center"/>
          </w:tcPr>
          <w:p>
            <w:r/>
            <w:r>
              <w:rPr>
                <w:sz w:val="18"/>
              </w:rPr>
              <w:t>12 May</w:t>
            </w:r>
          </w:p>
        </w:tc>
        <w:tc>
          <w:tcPr>
            <w:tcW w:type="dxa" w:w="2016"/>
            <w:vAlign w:val="center"/>
          </w:tcPr>
          <w:p>
            <w:r/>
            <w:r>
              <w:rPr>
                <w:sz w:val="18"/>
              </w:rPr>
              <w:t>finanznachrichten (EU)</w:t>
            </w:r>
          </w:p>
        </w:tc>
        <w:tc>
          <w:tcPr>
            <w:tcW w:type="dxa" w:w="3744"/>
            <w:vAlign w:val="center"/>
          </w:tcPr>
          <w:p>
            <w:r/>
            <w:r>
              <w:rPr>
                <w:sz w:val="18"/>
              </w:rPr>
              <w:t>EURO STOXX 50 −1.48% to 5,808.45; Iran-conflict uncertainty pressures Eurozone</w:t>
            </w:r>
          </w:p>
        </w:tc>
        <w:tc>
          <w:tcPr>
            <w:tcW w:type="dxa" w:w="1584"/>
            <w:vAlign w:val="center"/>
          </w:tcPr>
          <w:p>
            <w:r/>
            <w:r>
              <w:rPr>
                <w:sz w:val="18"/>
              </w:rPr>
              <w:t>Negative</w:t>
            </w:r>
          </w:p>
        </w:tc>
        <w:tc>
          <w:tcPr>
            <w:tcW w:type="dxa" w:w="1008"/>
            <w:vAlign w:val="center"/>
          </w:tcPr>
          <w:p>
            <w:r/>
            <w:r>
              <w:rPr>
                <w:sz w:val="18"/>
              </w:rPr>
              <w:t>−0.45</w:t>
            </w:r>
          </w:p>
        </w:tc>
      </w:tr>
      <w:tr>
        <w:tc>
          <w:tcPr>
            <w:tcW w:type="dxa" w:w="1008"/>
            <w:vAlign w:val="center"/>
          </w:tcPr>
          <w:p>
            <w:r/>
            <w:r>
              <w:rPr>
                <w:sz w:val="18"/>
              </w:rPr>
              <w:t>13 May</w:t>
            </w:r>
          </w:p>
        </w:tc>
        <w:tc>
          <w:tcPr>
            <w:tcW w:type="dxa" w:w="2016"/>
            <w:vAlign w:val="center"/>
          </w:tcPr>
          <w:p>
            <w:r/>
            <w:r>
              <w:rPr>
                <w:sz w:val="18"/>
              </w:rPr>
              <w:t>Trading Economics (EU)</w:t>
            </w:r>
          </w:p>
        </w:tc>
        <w:tc>
          <w:tcPr>
            <w:tcW w:type="dxa" w:w="3744"/>
            <w:vAlign w:val="center"/>
          </w:tcPr>
          <w:p>
            <w:r/>
            <w:r>
              <w:rPr>
                <w:sz w:val="18"/>
              </w:rPr>
              <w:t>STOXX 50 +1% to 5,870; tech rebound (ASML +5%, Infineon +10%); Allianz, Merck earnings positive</w:t>
            </w:r>
          </w:p>
        </w:tc>
        <w:tc>
          <w:tcPr>
            <w:tcW w:type="dxa" w:w="1584"/>
            <w:vAlign w:val="center"/>
          </w:tcPr>
          <w:p>
            <w:r/>
            <w:r>
              <w:rPr>
                <w:sz w:val="18"/>
              </w:rPr>
              <w:t>Positive</w:t>
            </w:r>
          </w:p>
        </w:tc>
        <w:tc>
          <w:tcPr>
            <w:tcW w:type="dxa" w:w="1008"/>
            <w:vAlign w:val="center"/>
          </w:tcPr>
          <w:p>
            <w:r/>
            <w:r>
              <w:rPr>
                <w:sz w:val="18"/>
              </w:rPr>
              <w:t>+0.30</w:t>
            </w:r>
          </w:p>
        </w:tc>
      </w:tr>
      <w:tr>
        <w:tc>
          <w:tcPr>
            <w:tcW w:type="dxa" w:w="1008"/>
            <w:vAlign w:val="center"/>
          </w:tcPr>
          <w:p>
            <w:r/>
            <w:r>
              <w:rPr>
                <w:sz w:val="18"/>
              </w:rPr>
              <w:t>13 May</w:t>
            </w:r>
          </w:p>
        </w:tc>
        <w:tc>
          <w:tcPr>
            <w:tcW w:type="dxa" w:w="2016"/>
            <w:vAlign w:val="center"/>
          </w:tcPr>
          <w:p>
            <w:r/>
            <w:r>
              <w:rPr>
                <w:sz w:val="18"/>
              </w:rPr>
              <w:t>Forex.com / Reuters</w:t>
            </w:r>
          </w:p>
        </w:tc>
        <w:tc>
          <w:tcPr>
            <w:tcW w:type="dxa" w:w="3744"/>
            <w:vAlign w:val="center"/>
          </w:tcPr>
          <w:p>
            <w:r/>
            <w:r>
              <w:rPr>
                <w:sz w:val="18"/>
              </w:rPr>
              <w:t>Dollar holds near one-week high; CPI heat bolsters Fed rate-hike bets</w:t>
            </w:r>
          </w:p>
        </w:tc>
        <w:tc>
          <w:tcPr>
            <w:tcW w:type="dxa" w:w="1584"/>
            <w:vAlign w:val="center"/>
          </w:tcPr>
          <w:p>
            <w:r/>
            <w:r>
              <w:rPr>
                <w:sz w:val="18"/>
              </w:rPr>
              <w:t>Negative for European equities</w:t>
            </w:r>
          </w:p>
        </w:tc>
        <w:tc>
          <w:tcPr>
            <w:tcW w:type="dxa" w:w="1008"/>
            <w:vAlign w:val="center"/>
          </w:tcPr>
          <w:p>
            <w:r/>
            <w:r>
              <w:rPr>
                <w:sz w:val="18"/>
              </w:rPr>
              <w:t>−0.20</w:t>
            </w:r>
          </w:p>
        </w:tc>
      </w:tr>
    </w:tbl>
    <w:p>
      <w:pPr>
        <w:spacing w:after="80"/>
      </w:pPr>
    </w:p>
    <w:p>
      <w:pPr>
        <w:spacing w:after="80"/>
      </w:pPr>
      <w:r>
        <w:rPr>
          <w:b/>
          <w:i w:val="0"/>
          <w:sz w:val="20"/>
        </w:rPr>
        <w:t>§13b  Aggregate sentiment tilt (FTSE 100 primary):</w:t>
      </w:r>
    </w:p>
    <w:p>
      <w:pPr>
        <w:spacing w:after="80"/>
      </w:pPr>
      <w:r>
        <w:rPr>
          <w:b w:val="0"/>
          <w:i w:val="0"/>
          <w:sz w:val="20"/>
        </w:rPr>
        <w:t>Weighted-median tilt across the seven items above (weighting by source tier and proximity to FTSE direct relevance): −0.05. Categorical aggregate: NEUTRAL-TO-SOFT. The bullish 13 May intraday flow is offset by the 12 May banking-led decline and the persistent macro/geopolitical overhang. For EURO STOXX 50 (secondary), the aggregate tilts more clearly negative at approximately −0.15 due to the 12 May 1.48% decline and stronger Iran-conflict transmission. The −0.05 numeric tilt for FTSE is passed to the direction-scoring engine as the sentiment input for the strategies module.</w:t>
      </w:r>
    </w:p>
    <w:p>
      <w:pPr>
        <w:spacing w:after="80"/>
      </w:pPr>
      <w:r>
        <w:rPr>
          <w:b/>
          <w:i w:val="0"/>
          <w:sz w:val="20"/>
        </w:rPr>
        <w:t>§13c  Calendar — past 5 sessions:</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1152"/>
            <w:shd w:val="clear" w:color="auto" w:fill="1F3864"/>
            <w:vAlign w:val="center"/>
          </w:tcPr>
          <w:p>
            <w:r/>
            <w:r>
              <w:rPr>
                <w:b/>
                <w:color w:val="FFFFFF"/>
                <w:sz w:val="18"/>
              </w:rPr>
              <w:t>Date</w:t>
            </w:r>
          </w:p>
        </w:tc>
        <w:tc>
          <w:tcPr>
            <w:tcW w:type="dxa" w:w="3456"/>
            <w:shd w:val="clear" w:color="auto" w:fill="1F3864"/>
            <w:vAlign w:val="center"/>
          </w:tcPr>
          <w:p>
            <w:r/>
            <w:r>
              <w:rPr>
                <w:b/>
                <w:color w:val="FFFFFF"/>
                <w:sz w:val="18"/>
              </w:rPr>
              <w:t>Event</w:t>
            </w:r>
          </w:p>
        </w:tc>
        <w:tc>
          <w:tcPr>
            <w:tcW w:type="dxa" w:w="1728"/>
            <w:shd w:val="clear" w:color="auto" w:fill="1F3864"/>
            <w:vAlign w:val="center"/>
          </w:tcPr>
          <w:p>
            <w:r/>
            <w:r>
              <w:rPr>
                <w:b/>
                <w:color w:val="FFFFFF"/>
                <w:sz w:val="18"/>
              </w:rPr>
              <w:t>Outcome</w:t>
            </w:r>
          </w:p>
        </w:tc>
        <w:tc>
          <w:tcPr>
            <w:tcW w:type="dxa" w:w="3024"/>
            <w:shd w:val="clear" w:color="auto" w:fill="1F3864"/>
            <w:vAlign w:val="center"/>
          </w:tcPr>
          <w:p>
            <w:r/>
            <w:r>
              <w:rPr>
                <w:b/>
                <w:color w:val="FFFFFF"/>
                <w:sz w:val="18"/>
              </w:rPr>
              <w:t>Market impact</w:t>
            </w:r>
          </w:p>
        </w:tc>
      </w:tr>
      <w:tr>
        <w:tc>
          <w:tcPr>
            <w:tcW w:type="dxa" w:w="1152"/>
            <w:vAlign w:val="center"/>
          </w:tcPr>
          <w:p>
            <w:r/>
            <w:r>
              <w:rPr>
                <w:sz w:val="18"/>
              </w:rPr>
              <w:t>06 May</w:t>
            </w:r>
          </w:p>
        </w:tc>
        <w:tc>
          <w:tcPr>
            <w:tcW w:type="dxa" w:w="3456"/>
            <w:vAlign w:val="center"/>
          </w:tcPr>
          <w:p>
            <w:r/>
            <w:r>
              <w:rPr>
                <w:sz w:val="18"/>
              </w:rPr>
              <w:t>EU industrial production (Q1 prelim)</w:t>
            </w:r>
          </w:p>
        </w:tc>
        <w:tc>
          <w:tcPr>
            <w:tcW w:type="dxa" w:w="1728"/>
            <w:vAlign w:val="center"/>
          </w:tcPr>
          <w:p>
            <w:r/>
            <w:r>
              <w:rPr>
                <w:sz w:val="18"/>
              </w:rPr>
              <w:t>Soft</w:t>
            </w:r>
          </w:p>
        </w:tc>
        <w:tc>
          <w:tcPr>
            <w:tcW w:type="dxa" w:w="3024"/>
            <w:vAlign w:val="center"/>
          </w:tcPr>
          <w:p>
            <w:r/>
            <w:r>
              <w:rPr>
                <w:sz w:val="18"/>
              </w:rPr>
              <w:t>FTSE flat-to-up; STOXX bid</w:t>
            </w:r>
          </w:p>
        </w:tc>
      </w:tr>
      <w:tr>
        <w:tc>
          <w:tcPr>
            <w:tcW w:type="dxa" w:w="1152"/>
            <w:vAlign w:val="center"/>
          </w:tcPr>
          <w:p>
            <w:r/>
            <w:r>
              <w:rPr>
                <w:sz w:val="18"/>
              </w:rPr>
              <w:t>07 May</w:t>
            </w:r>
          </w:p>
        </w:tc>
        <w:tc>
          <w:tcPr>
            <w:tcW w:type="dxa" w:w="3456"/>
            <w:vAlign w:val="center"/>
          </w:tcPr>
          <w:p>
            <w:r/>
            <w:r>
              <w:rPr>
                <w:sz w:val="18"/>
              </w:rPr>
              <w:t>BoE policy decision — base rate held at 3.75%</w:t>
            </w:r>
          </w:p>
        </w:tc>
        <w:tc>
          <w:tcPr>
            <w:tcW w:type="dxa" w:w="1728"/>
            <w:vAlign w:val="center"/>
          </w:tcPr>
          <w:p>
            <w:r/>
            <w:r>
              <w:rPr>
                <w:sz w:val="18"/>
              </w:rPr>
              <w:t>In line</w:t>
            </w:r>
          </w:p>
        </w:tc>
        <w:tc>
          <w:tcPr>
            <w:tcW w:type="dxa" w:w="3024"/>
            <w:vAlign w:val="center"/>
          </w:tcPr>
          <w:p>
            <w:r/>
            <w:r>
              <w:rPr>
                <w:sz w:val="18"/>
              </w:rPr>
              <w:t>FTSE neutral; banks soft on outlook</w:t>
            </w:r>
          </w:p>
        </w:tc>
      </w:tr>
      <w:tr>
        <w:tc>
          <w:tcPr>
            <w:tcW w:type="dxa" w:w="1152"/>
            <w:vAlign w:val="center"/>
          </w:tcPr>
          <w:p>
            <w:r/>
            <w:r>
              <w:rPr>
                <w:sz w:val="18"/>
              </w:rPr>
              <w:t>08 May</w:t>
            </w:r>
          </w:p>
        </w:tc>
        <w:tc>
          <w:tcPr>
            <w:tcW w:type="dxa" w:w="3456"/>
            <w:vAlign w:val="center"/>
          </w:tcPr>
          <w:p>
            <w:r/>
            <w:r>
              <w:rPr>
                <w:sz w:val="18"/>
              </w:rPr>
              <w:t>German industrial production (weak)</w:t>
            </w:r>
          </w:p>
        </w:tc>
        <w:tc>
          <w:tcPr>
            <w:tcW w:type="dxa" w:w="1728"/>
            <w:vAlign w:val="center"/>
          </w:tcPr>
          <w:p>
            <w:r/>
            <w:r>
              <w:rPr>
                <w:sz w:val="18"/>
              </w:rPr>
              <w:t>Soft</w:t>
            </w:r>
          </w:p>
        </w:tc>
        <w:tc>
          <w:tcPr>
            <w:tcW w:type="dxa" w:w="3024"/>
            <w:vAlign w:val="center"/>
          </w:tcPr>
          <w:p>
            <w:r/>
            <w:r>
              <w:rPr>
                <w:sz w:val="18"/>
              </w:rPr>
              <w:t>STOXX/DAX down; FTSE −0.37%</w:t>
            </w:r>
          </w:p>
        </w:tc>
      </w:tr>
      <w:tr>
        <w:tc>
          <w:tcPr>
            <w:tcW w:type="dxa" w:w="1152"/>
            <w:vAlign w:val="center"/>
          </w:tcPr>
          <w:p>
            <w:r/>
            <w:r>
              <w:rPr>
                <w:sz w:val="18"/>
              </w:rPr>
              <w:t>12 May</w:t>
            </w:r>
          </w:p>
        </w:tc>
        <w:tc>
          <w:tcPr>
            <w:tcW w:type="dxa" w:w="3456"/>
            <w:vAlign w:val="center"/>
          </w:tcPr>
          <w:p>
            <w:r/>
            <w:r>
              <w:rPr>
                <w:sz w:val="18"/>
              </w:rPr>
              <w:t>US CPI (hotter than expected)</w:t>
            </w:r>
          </w:p>
        </w:tc>
        <w:tc>
          <w:tcPr>
            <w:tcW w:type="dxa" w:w="1728"/>
            <w:vAlign w:val="center"/>
          </w:tcPr>
          <w:p>
            <w:r/>
            <w:r>
              <w:rPr>
                <w:sz w:val="18"/>
              </w:rPr>
              <w:t>Hawkish surprise</w:t>
            </w:r>
          </w:p>
        </w:tc>
        <w:tc>
          <w:tcPr>
            <w:tcW w:type="dxa" w:w="3024"/>
            <w:vAlign w:val="center"/>
          </w:tcPr>
          <w:p>
            <w:r/>
            <w:r>
              <w:rPr>
                <w:sz w:val="18"/>
              </w:rPr>
              <w:t>USDX up; European equities risk-off</w:t>
            </w:r>
          </w:p>
        </w:tc>
      </w:tr>
      <w:tr>
        <w:tc>
          <w:tcPr>
            <w:tcW w:type="dxa" w:w="1152"/>
            <w:vAlign w:val="center"/>
          </w:tcPr>
          <w:p>
            <w:r/>
            <w:r>
              <w:rPr>
                <w:sz w:val="18"/>
              </w:rPr>
              <w:t>13 May</w:t>
            </w:r>
          </w:p>
        </w:tc>
        <w:tc>
          <w:tcPr>
            <w:tcW w:type="dxa" w:w="3456"/>
            <w:vAlign w:val="center"/>
          </w:tcPr>
          <w:p>
            <w:r/>
            <w:r>
              <w:rPr>
                <w:sz w:val="18"/>
              </w:rPr>
              <w:t>Eurozone GDP, employment, industrial production</w:t>
            </w:r>
          </w:p>
        </w:tc>
        <w:tc>
          <w:tcPr>
            <w:tcW w:type="dxa" w:w="1728"/>
            <w:vAlign w:val="center"/>
          </w:tcPr>
          <w:p>
            <w:r/>
            <w:r>
              <w:rPr>
                <w:sz w:val="18"/>
              </w:rPr>
              <w:t>Mixed</w:t>
            </w:r>
          </w:p>
        </w:tc>
        <w:tc>
          <w:tcPr>
            <w:tcW w:type="dxa" w:w="3024"/>
            <w:vAlign w:val="center"/>
          </w:tcPr>
          <w:p>
            <w:r/>
            <w:r>
              <w:rPr>
                <w:sz w:val="18"/>
              </w:rPr>
              <w:t>STOXX rebound +1%; FTSE flat</w:t>
            </w:r>
          </w:p>
        </w:tc>
      </w:tr>
    </w:tbl>
    <w:p>
      <w:pPr>
        <w:spacing w:after="80"/>
      </w:pPr>
    </w:p>
    <w:p>
      <w:pPr>
        <w:spacing w:after="80"/>
      </w:pPr>
      <w:r>
        <w:rPr>
          <w:b/>
          <w:i w:val="0"/>
          <w:sz w:val="20"/>
        </w:rPr>
        <w:t>§13d  Calendar — next 5 sessions (Tier-1 / Tier-2):</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1440"/>
            <w:shd w:val="clear" w:color="auto" w:fill="1F3864"/>
            <w:vAlign w:val="center"/>
          </w:tcPr>
          <w:p>
            <w:r/>
            <w:r>
              <w:rPr>
                <w:b/>
                <w:color w:val="FFFFFF"/>
                <w:sz w:val="18"/>
              </w:rPr>
              <w:t>Date</w:t>
            </w:r>
          </w:p>
        </w:tc>
        <w:tc>
          <w:tcPr>
            <w:tcW w:type="dxa" w:w="3168"/>
            <w:shd w:val="clear" w:color="auto" w:fill="1F3864"/>
            <w:vAlign w:val="center"/>
          </w:tcPr>
          <w:p>
            <w:r/>
            <w:r>
              <w:rPr>
                <w:b/>
                <w:color w:val="FFFFFF"/>
                <w:sz w:val="18"/>
              </w:rPr>
              <w:t>Event</w:t>
            </w:r>
          </w:p>
        </w:tc>
        <w:tc>
          <w:tcPr>
            <w:tcW w:type="dxa" w:w="864"/>
            <w:shd w:val="clear" w:color="auto" w:fill="1F3864"/>
            <w:vAlign w:val="center"/>
          </w:tcPr>
          <w:p>
            <w:r/>
            <w:r>
              <w:rPr>
                <w:b/>
                <w:color w:val="FFFFFF"/>
                <w:sz w:val="18"/>
              </w:rPr>
              <w:t>Tier</w:t>
            </w:r>
          </w:p>
        </w:tc>
        <w:tc>
          <w:tcPr>
            <w:tcW w:type="dxa" w:w="3888"/>
            <w:shd w:val="clear" w:color="auto" w:fill="1F3864"/>
            <w:vAlign w:val="center"/>
          </w:tcPr>
          <w:p>
            <w:r/>
            <w:r>
              <w:rPr>
                <w:b/>
                <w:color w:val="FFFFFF"/>
                <w:sz w:val="18"/>
              </w:rPr>
              <w:t>Notes</w:t>
            </w:r>
          </w:p>
        </w:tc>
      </w:tr>
      <w:tr>
        <w:tc>
          <w:tcPr>
            <w:tcW w:type="dxa" w:w="1440"/>
            <w:vAlign w:val="center"/>
          </w:tcPr>
          <w:p>
            <w:r/>
            <w:r>
              <w:rPr>
                <w:sz w:val="18"/>
              </w:rPr>
              <w:t>14 May (Thu)</w:t>
            </w:r>
          </w:p>
        </w:tc>
        <w:tc>
          <w:tcPr>
            <w:tcW w:type="dxa" w:w="3168"/>
            <w:vAlign w:val="center"/>
          </w:tcPr>
          <w:p>
            <w:r/>
            <w:r>
              <w:rPr>
                <w:sz w:val="18"/>
              </w:rPr>
              <w:t>UK CPI (April)</w:t>
            </w:r>
          </w:p>
        </w:tc>
        <w:tc>
          <w:tcPr>
            <w:tcW w:type="dxa" w:w="864"/>
            <w:vAlign w:val="center"/>
          </w:tcPr>
          <w:p>
            <w:r/>
            <w:r>
              <w:rPr>
                <w:sz w:val="18"/>
              </w:rPr>
              <w:t>Tier-1</w:t>
            </w:r>
          </w:p>
        </w:tc>
        <w:tc>
          <w:tcPr>
            <w:tcW w:type="dxa" w:w="3888"/>
            <w:vAlign w:val="center"/>
          </w:tcPr>
          <w:p>
            <w:r/>
            <w:r>
              <w:rPr>
                <w:sz w:val="18"/>
              </w:rPr>
              <w:t>Highest impact event of the next 5 sessions; informs BoE June decision</w:t>
            </w:r>
          </w:p>
        </w:tc>
      </w:tr>
      <w:tr>
        <w:tc>
          <w:tcPr>
            <w:tcW w:type="dxa" w:w="1440"/>
            <w:vAlign w:val="center"/>
          </w:tcPr>
          <w:p>
            <w:r/>
            <w:r>
              <w:rPr>
                <w:sz w:val="18"/>
              </w:rPr>
              <w:t>14 May (Thu)</w:t>
            </w:r>
          </w:p>
        </w:tc>
        <w:tc>
          <w:tcPr>
            <w:tcW w:type="dxa" w:w="3168"/>
            <w:vAlign w:val="center"/>
          </w:tcPr>
          <w:p>
            <w:r/>
            <w:r>
              <w:rPr>
                <w:sz w:val="18"/>
              </w:rPr>
              <w:t>Eurozone trade balance</w:t>
            </w:r>
          </w:p>
        </w:tc>
        <w:tc>
          <w:tcPr>
            <w:tcW w:type="dxa" w:w="864"/>
            <w:vAlign w:val="center"/>
          </w:tcPr>
          <w:p>
            <w:r/>
            <w:r>
              <w:rPr>
                <w:sz w:val="18"/>
              </w:rPr>
              <w:t>Tier-2</w:t>
            </w:r>
          </w:p>
        </w:tc>
        <w:tc>
          <w:tcPr>
            <w:tcW w:type="dxa" w:w="3888"/>
            <w:vAlign w:val="center"/>
          </w:tcPr>
          <w:p>
            <w:r/>
            <w:r>
              <w:rPr>
                <w:sz w:val="18"/>
              </w:rPr>
              <w:t>Modest impact</w:t>
            </w:r>
          </w:p>
        </w:tc>
      </w:tr>
      <w:tr>
        <w:tc>
          <w:tcPr>
            <w:tcW w:type="dxa" w:w="1440"/>
            <w:vAlign w:val="center"/>
          </w:tcPr>
          <w:p>
            <w:r/>
            <w:r>
              <w:rPr>
                <w:sz w:val="18"/>
              </w:rPr>
              <w:t>15 May (Fri)</w:t>
            </w:r>
          </w:p>
        </w:tc>
        <w:tc>
          <w:tcPr>
            <w:tcW w:type="dxa" w:w="3168"/>
            <w:vAlign w:val="center"/>
          </w:tcPr>
          <w:p>
            <w:r/>
            <w:r>
              <w:rPr>
                <w:sz w:val="18"/>
              </w:rPr>
              <w:t>UK Q1 GDP first estimate</w:t>
            </w:r>
          </w:p>
        </w:tc>
        <w:tc>
          <w:tcPr>
            <w:tcW w:type="dxa" w:w="864"/>
            <w:vAlign w:val="center"/>
          </w:tcPr>
          <w:p>
            <w:r/>
            <w:r>
              <w:rPr>
                <w:sz w:val="18"/>
              </w:rPr>
              <w:t>Tier-1</w:t>
            </w:r>
          </w:p>
        </w:tc>
        <w:tc>
          <w:tcPr>
            <w:tcW w:type="dxa" w:w="3888"/>
            <w:vAlign w:val="center"/>
          </w:tcPr>
          <w:p>
            <w:r/>
            <w:r>
              <w:rPr>
                <w:sz w:val="18"/>
              </w:rPr>
              <w:t>Material for FTSE 250 and FTSE 100 domestic exposures</w:t>
            </w:r>
          </w:p>
        </w:tc>
      </w:tr>
      <w:tr>
        <w:tc>
          <w:tcPr>
            <w:tcW w:type="dxa" w:w="1440"/>
            <w:vAlign w:val="center"/>
          </w:tcPr>
          <w:p>
            <w:r/>
            <w:r>
              <w:rPr>
                <w:sz w:val="18"/>
              </w:rPr>
              <w:t>15 May (Fri)</w:t>
            </w:r>
          </w:p>
        </w:tc>
        <w:tc>
          <w:tcPr>
            <w:tcW w:type="dxa" w:w="3168"/>
            <w:vAlign w:val="center"/>
          </w:tcPr>
          <w:p>
            <w:r/>
            <w:r>
              <w:rPr>
                <w:sz w:val="18"/>
              </w:rPr>
              <w:t>Eurozone CPI final</w:t>
            </w:r>
          </w:p>
        </w:tc>
        <w:tc>
          <w:tcPr>
            <w:tcW w:type="dxa" w:w="864"/>
            <w:vAlign w:val="center"/>
          </w:tcPr>
          <w:p>
            <w:r/>
            <w:r>
              <w:rPr>
                <w:sz w:val="18"/>
              </w:rPr>
              <w:t>Tier-2</w:t>
            </w:r>
          </w:p>
        </w:tc>
        <w:tc>
          <w:tcPr>
            <w:tcW w:type="dxa" w:w="3888"/>
            <w:vAlign w:val="center"/>
          </w:tcPr>
          <w:p>
            <w:r/>
            <w:r>
              <w:rPr>
                <w:sz w:val="18"/>
              </w:rPr>
              <w:t>ECB-relevant; STOXX-sensitive if revisions</w:t>
            </w:r>
          </w:p>
        </w:tc>
      </w:tr>
      <w:tr>
        <w:tc>
          <w:tcPr>
            <w:tcW w:type="dxa" w:w="1440"/>
            <w:vAlign w:val="center"/>
          </w:tcPr>
          <w:p>
            <w:r/>
            <w:r>
              <w:rPr>
                <w:sz w:val="18"/>
              </w:rPr>
              <w:t>19 May (Tue)</w:t>
            </w:r>
          </w:p>
        </w:tc>
        <w:tc>
          <w:tcPr>
            <w:tcW w:type="dxa" w:w="3168"/>
            <w:vAlign w:val="center"/>
          </w:tcPr>
          <w:p>
            <w:r/>
            <w:r>
              <w:rPr>
                <w:sz w:val="18"/>
              </w:rPr>
              <w:t>ECB Lagarde speech</w:t>
            </w:r>
          </w:p>
        </w:tc>
        <w:tc>
          <w:tcPr>
            <w:tcW w:type="dxa" w:w="864"/>
            <w:vAlign w:val="center"/>
          </w:tcPr>
          <w:p>
            <w:r/>
            <w:r>
              <w:rPr>
                <w:sz w:val="18"/>
              </w:rPr>
              <w:t>Tier-2</w:t>
            </w:r>
          </w:p>
        </w:tc>
        <w:tc>
          <w:tcPr>
            <w:tcW w:type="dxa" w:w="3888"/>
            <w:vAlign w:val="center"/>
          </w:tcPr>
          <w:p>
            <w:r/>
            <w:r>
              <w:rPr>
                <w:sz w:val="18"/>
              </w:rPr>
              <w:t>Tone-setter for STOXX 50</w:t>
            </w:r>
          </w:p>
        </w:tc>
      </w:tr>
      <w:tr>
        <w:tc>
          <w:tcPr>
            <w:tcW w:type="dxa" w:w="1440"/>
            <w:vAlign w:val="center"/>
          </w:tcPr>
          <w:p>
            <w:r/>
            <w:r>
              <w:rPr>
                <w:sz w:val="18"/>
              </w:rPr>
              <w:t>20 May (Wed)</w:t>
            </w:r>
          </w:p>
        </w:tc>
        <w:tc>
          <w:tcPr>
            <w:tcW w:type="dxa" w:w="3168"/>
            <w:vAlign w:val="center"/>
          </w:tcPr>
          <w:p>
            <w:r/>
            <w:r>
              <w:rPr>
                <w:sz w:val="18"/>
              </w:rPr>
              <w:t>FOMC minutes (US)</w:t>
            </w:r>
          </w:p>
        </w:tc>
        <w:tc>
          <w:tcPr>
            <w:tcW w:type="dxa" w:w="864"/>
            <w:vAlign w:val="center"/>
          </w:tcPr>
          <w:p>
            <w:r/>
            <w:r>
              <w:rPr>
                <w:sz w:val="18"/>
              </w:rPr>
              <w:t>Tier-1</w:t>
            </w:r>
          </w:p>
        </w:tc>
        <w:tc>
          <w:tcPr>
            <w:tcW w:type="dxa" w:w="3888"/>
            <w:vAlign w:val="center"/>
          </w:tcPr>
          <w:p>
            <w:r/>
            <w:r>
              <w:rPr>
                <w:sz w:val="18"/>
              </w:rPr>
              <w:t>Direct read on Fed reaction function post-CPI heat</w:t>
            </w:r>
          </w:p>
        </w:tc>
      </w:tr>
    </w:tbl>
    <w:p>
      <w:pPr>
        <w:spacing w:after="80"/>
      </w:pPr>
    </w:p>
    <w:p>
      <w:pPr>
        <w:spacing w:after="80"/>
      </w:pPr>
      <w:r>
        <w:rPr>
          <w:b w:val="0"/>
          <w:i/>
          <w:sz w:val="18"/>
        </w:rPr>
        <w:t>Trade-card collision risk: a Tier-1 event (UK CPI 14 May) sits inside the daily Trade 1 holding window. The §21 trade cards are flagged for event-collision risk accordingly.</w:t>
      </w:r>
    </w:p>
    <w:p>
      <w:pPr>
        <w:spacing w:before="200" w:after="80"/>
      </w:pPr>
      <w:r>
        <w:rPr>
          <w:b/>
          <w:color w:val="1F3864"/>
          <w:sz w:val="28"/>
        </w:rPr>
        <w:t>§14  Macro Context</w:t>
      </w:r>
    </w:p>
    <w:p>
      <w:pPr>
        <w:pStyle w:val="ListBullet"/>
      </w:pPr>
      <w:r>
        <w:rPr>
          <w:b/>
          <w:sz w:val="20"/>
        </w:rPr>
        <w:t xml:space="preserve">Rates — </w:t>
      </w:r>
      <w:r>
        <w:rPr>
          <w:sz w:val="20"/>
        </w:rPr>
        <w:t>BoE base rate 3.75% (held May); ECB held; Fed reaction-function turning more hawkish on the 12 May CPI surprise. Bund-Gilt spread roughly stable; UK 10Y around 4.8%, Bund 2.7%. Real-yield channel modestly negative for European equity multiples.</w:t>
      </w:r>
    </w:p>
    <w:p>
      <w:pPr>
        <w:pStyle w:val="ListBullet"/>
      </w:pPr>
      <w:r>
        <w:rPr>
          <w:b/>
          <w:sz w:val="20"/>
        </w:rPr>
        <w:t xml:space="preserve">Inflation — </w:t>
      </w:r>
      <w:r>
        <w:rPr>
          <w:sz w:val="20"/>
        </w:rPr>
        <w:t>UK CPI 3.3%, Eurozone CPI 2.4% (April final due 15 May), US CPI hotter than expected on 12 May. Stagflation backdrop in UK keeps BoE constrained.</w:t>
      </w:r>
    </w:p>
    <w:p>
      <w:pPr>
        <w:pStyle w:val="ListBullet"/>
      </w:pPr>
      <w:r>
        <w:rPr>
          <w:b/>
          <w:sz w:val="20"/>
        </w:rPr>
        <w:t xml:space="preserve">Liquidity / FX — </w:t>
      </w:r>
      <w:r>
        <w:rPr>
          <w:sz w:val="20"/>
        </w:rPr>
        <w:t>Liquidity is modestly tighter on the stronger USDX (≈98.6) — see §10 Dollar Index read. CONTRADICTS bullish European-equity bias.</w:t>
      </w:r>
    </w:p>
    <w:p>
      <w:pPr>
        <w:pStyle w:val="ListBullet"/>
      </w:pPr>
      <w:r>
        <w:rPr>
          <w:b/>
          <w:sz w:val="20"/>
        </w:rPr>
        <w:t xml:space="preserve">Energy — </w:t>
      </w:r>
      <w:r>
        <w:rPr>
          <w:sz w:val="20"/>
        </w:rPr>
        <w:t>WTI ≈ $101.75/bbl on 13 May, off recent peak near $114; Brent ≈ $105. Elevated levels supportive of FTSE energy weight; gradual easing limits upside.</w:t>
      </w:r>
    </w:p>
    <w:p>
      <w:pPr>
        <w:pStyle w:val="ListBullet"/>
      </w:pPr>
      <w:r>
        <w:rPr>
          <w:b/>
          <w:sz w:val="20"/>
        </w:rPr>
        <w:t xml:space="preserve">Positioning — </w:t>
      </w:r>
      <w:r>
        <w:rPr>
          <w:sz w:val="20"/>
        </w:rPr>
        <w:t>VIX 17.99 (down 2.1% on the day, see §10). DAX, CAC heavy positioning; banking-sector positioning lighter post 12 May selloff. Gold near $4,693 (off 0.13%) — neutral to risk-off lean.</w:t>
      </w:r>
    </w:p>
    <w:p>
      <w:pPr>
        <w:spacing w:after="80"/>
      </w:pPr>
      <w:r>
        <w:rPr>
          <w:b w:val="0"/>
          <w:i w:val="0"/>
          <w:sz w:val="20"/>
        </w:rPr>
        <w:t>Cross-reference to §10: Dollar Index rising and S&amp;P 500 falling are the two macro reads that materially contradict any bullish FTSE thesis today. The contradiction is flagged and not resolved silently. Upcoming UK CPI on 14 May is the watch item that can flip the macro complexion on a single print.</w:t>
      </w:r>
    </w:p>
    <w:p>
      <w:pPr>
        <w:spacing w:before="200" w:after="80"/>
      </w:pPr>
      <w:r>
        <w:rPr>
          <w:b/>
          <w:color w:val="1F3864"/>
          <w:sz w:val="28"/>
        </w:rPr>
        <w:t>§15  Bull / Bear Balance</w:t>
      </w:r>
    </w:p>
    <w:tbl>
      <w:tblPr>
        <w:tblStyle w:val="LightGrid-Accent1"/>
        <w:tblW w:type="auto" w:w="0"/>
        <w:jc w:val="left"/>
        <w:tblLook w:firstColumn="1" w:firstRow="1" w:lastColumn="0" w:lastRow="0" w:noHBand="0" w:noVBand="1" w:val="04A0"/>
      </w:tblPr>
      <w:tblGrid>
        <w:gridCol w:w="4986"/>
        <w:gridCol w:w="4986"/>
      </w:tblGrid>
      <w:tr>
        <w:tc>
          <w:tcPr>
            <w:tcW w:type="dxa" w:w="4752"/>
            <w:shd w:val="clear" w:color="auto" w:fill="1F3864"/>
            <w:vAlign w:val="center"/>
          </w:tcPr>
          <w:p>
            <w:r/>
            <w:r>
              <w:rPr>
                <w:b/>
                <w:color w:val="FFFFFF"/>
                <w:sz w:val="18"/>
              </w:rPr>
              <w:t>Bullish risks</w:t>
            </w:r>
          </w:p>
        </w:tc>
        <w:tc>
          <w:tcPr>
            <w:tcW w:type="dxa" w:w="4752"/>
            <w:shd w:val="clear" w:color="auto" w:fill="1F3864"/>
            <w:vAlign w:val="center"/>
          </w:tcPr>
          <w:p>
            <w:r/>
            <w:r>
              <w:rPr>
                <w:b/>
                <w:color w:val="FFFFFF"/>
                <w:sz w:val="18"/>
              </w:rPr>
              <w:t>Bearish risks</w:t>
            </w:r>
          </w:p>
        </w:tc>
      </w:tr>
      <w:tr>
        <w:tc>
          <w:tcPr>
            <w:tcW w:type="dxa" w:w="4752"/>
            <w:vAlign w:val="center"/>
          </w:tcPr>
          <w:p>
            <w:r/>
            <w:r>
              <w:rPr>
                <w:sz w:val="18"/>
              </w:rPr>
              <w:t>Bullish miners (copper 8-session rally, Rio/Anglo/Glencore/Antofagasta strength)</w:t>
            </w:r>
          </w:p>
        </w:tc>
        <w:tc>
          <w:tcPr>
            <w:tcW w:type="dxa" w:w="4752"/>
            <w:vAlign w:val="center"/>
          </w:tcPr>
          <w:p>
            <w:r/>
            <w:r>
              <w:rPr>
                <w:sz w:val="18"/>
              </w:rPr>
              <w:t>UK political uncertainty (Starmer leadership challenge); banking-sector overhang</w:t>
            </w:r>
          </w:p>
        </w:tc>
      </w:tr>
      <w:tr>
        <w:tc>
          <w:tcPr>
            <w:tcW w:type="dxa" w:w="4752"/>
            <w:vAlign w:val="center"/>
          </w:tcPr>
          <w:p>
            <w:r/>
            <w:r>
              <w:rPr>
                <w:sz w:val="18"/>
              </w:rPr>
              <w:t>Oil majors supported by WTI near $102/bbl</w:t>
            </w:r>
          </w:p>
        </w:tc>
        <w:tc>
          <w:tcPr>
            <w:tcW w:type="dxa" w:w="4752"/>
            <w:vAlign w:val="center"/>
          </w:tcPr>
          <w:p>
            <w:r/>
            <w:r>
              <w:rPr>
                <w:sz w:val="18"/>
              </w:rPr>
              <w:t>Stronger USDX, hawkish Fed reaction post-US CPI — see §10 (CONTRADICTS bullish read)</w:t>
            </w:r>
          </w:p>
        </w:tc>
      </w:tr>
      <w:tr>
        <w:tc>
          <w:tcPr>
            <w:tcW w:type="dxa" w:w="4752"/>
            <w:vAlign w:val="center"/>
          </w:tcPr>
          <w:p>
            <w:r/>
            <w:r>
              <w:rPr>
                <w:sz w:val="18"/>
              </w:rPr>
              <w:t>Earnings flow constructive (Babcock buyback, Merck +7%, Allianz earnings beat in STOXX)</w:t>
            </w:r>
          </w:p>
        </w:tc>
        <w:tc>
          <w:tcPr>
            <w:tcW w:type="dxa" w:w="4752"/>
            <w:vAlign w:val="center"/>
          </w:tcPr>
          <w:p>
            <w:r/>
            <w:r>
              <w:rPr>
                <w:sz w:val="18"/>
              </w:rPr>
              <w:t>Triple-pivot rejection at 10,341 on 13 May — see §11; daily candle leaves long upper wick</w:t>
            </w:r>
          </w:p>
        </w:tc>
      </w:tr>
      <w:tr>
        <w:tc>
          <w:tcPr>
            <w:tcW w:type="dxa" w:w="4752"/>
            <w:vAlign w:val="center"/>
          </w:tcPr>
          <w:p>
            <w:r/>
            <w:r>
              <w:rPr>
                <w:sz w:val="18"/>
              </w:rPr>
              <w:t>Defensive non-UK revenue base (≈80%) — translation-friendly on weaker GBP</w:t>
            </w:r>
          </w:p>
        </w:tc>
        <w:tc>
          <w:tcPr>
            <w:tcW w:type="dxa" w:w="4752"/>
            <w:vAlign w:val="center"/>
          </w:tcPr>
          <w:p>
            <w:r/>
            <w:r>
              <w:rPr>
                <w:sz w:val="18"/>
              </w:rPr>
              <w:t>Pan-European weakness led by STOXX/DAX (CONFIRM cautious read) — see §10</w:t>
            </w:r>
          </w:p>
        </w:tc>
      </w:tr>
      <w:tr>
        <w:tc>
          <w:tcPr>
            <w:tcW w:type="dxa" w:w="4752"/>
            <w:vAlign w:val="center"/>
          </w:tcPr>
          <w:p>
            <w:r/>
            <w:r>
              <w:rPr>
                <w:sz w:val="18"/>
              </w:rPr>
              <w:t>RSI2 not oversold (52.3); room to bounce technically</w:t>
            </w:r>
          </w:p>
        </w:tc>
        <w:tc>
          <w:tcPr>
            <w:tcW w:type="dxa" w:w="4752"/>
            <w:vAlign w:val="center"/>
          </w:tcPr>
          <w:p>
            <w:r/>
            <w:r>
              <w:rPr>
                <w:sz w:val="18"/>
              </w:rPr>
              <w:t>Friday 08 May breakdown low at 10,184 not yet retested; lower-high pattern intact</w:t>
            </w:r>
          </w:p>
        </w:tc>
      </w:tr>
      <w:tr>
        <w:tc>
          <w:tcPr>
            <w:tcW w:type="dxa" w:w="4752"/>
            <w:vAlign w:val="center"/>
          </w:tcPr>
          <w:p>
            <w:r/>
            <w:r>
              <w:rPr>
                <w:sz w:val="18"/>
              </w:rPr>
              <w:t>Triple-pivot confluence at 10,245–10,285 offers strong support cluster</w:t>
            </w:r>
          </w:p>
        </w:tc>
        <w:tc>
          <w:tcPr>
            <w:tcW w:type="dxa" w:w="4752"/>
            <w:vAlign w:val="center"/>
          </w:tcPr>
          <w:p>
            <w:r/>
            <w:r>
              <w:rPr>
                <w:sz w:val="18"/>
              </w:rPr>
              <w:t>UK CPI 14 May (Tier-1) — see §13d — collision risk for trade holdings; print can break support</w:t>
            </w:r>
          </w:p>
        </w:tc>
      </w:tr>
    </w:tbl>
    <w:p>
      <w:pPr>
        <w:spacing w:after="80"/>
      </w:pPr>
    </w:p>
    <w:p>
      <w:pPr>
        <w:spacing w:before="200" w:after="80"/>
      </w:pPr>
      <w:r>
        <w:rPr>
          <w:b/>
          <w:color w:val="1F3864"/>
          <w:sz w:val="28"/>
        </w:rPr>
        <w:t>§16  Forward View</w:t>
      </w:r>
    </w:p>
    <w:p>
      <w:pPr>
        <w:spacing w:after="80"/>
      </w:pPr>
      <w:r>
        <w:rPr>
          <w:b w:val="0"/>
          <w:i w:val="0"/>
          <w:sz w:val="20"/>
        </w:rPr>
        <w:t>Expected direction over the next 5 sessions: NEUTRAL-TO-SOFT for FTSE 100, with a soft DOWN-BIAS for EURO STOXX 50. Base case for FTSE: range-trade between 10,184 (Fri 08 May low / nearest support) and 10,341 (Wed 13 May high / nearest resistance), centred near the triple-pivot confluence at 10,245–10,285. The principal directional event is UK CPI on 14 May — a hotter-than-expected print likely pressures FTSE through the gilt-yield channel (banks soft, REITs soft) and through GBP impact on cross-rates; an in-line or softer print likely supports a relief move toward 10,335–10,355. Expected trading range: 10,150 – 10,375. Base case invalidation upside: daily close above 10,375 unlocks 10,420–10,457 and reverses the lower-high sequence. Base case invalidation downside: daily close below 10,184 opens 10,098–10,135 and confirms continuation of the medium-term descending pattern. This forward view respects the M3 RANGE regime classification (§9); it does not contradict it. EURO STOXX 50 forward range: 5,790 – 5,930, with a soft tilt — TRANSITION regime label is consistent with this softer outlook.</w:t>
      </w:r>
    </w:p>
    <w:p>
      <w:pPr>
        <w:spacing w:before="200" w:after="80"/>
      </w:pPr>
      <w:r>
        <w:rPr>
          <w:b/>
          <w:color w:val="1F3864"/>
          <w:sz w:val="28"/>
        </w:rPr>
        <w:t>§17  Forecast (one sentence)</w:t>
      </w:r>
    </w:p>
    <w:p>
      <w:r>
        <w:rPr>
          <w:b/>
          <w:i/>
          <w:sz w:val="22"/>
        </w:rPr>
        <w:t>FTSE 100 to range-trade between 10,184 and 10,341 over the next five sessions with a modest soft bias driven by stronger Dollar Index, soft S&amp;P 500, and a UK CPI print on 14 May that holds asymmetric downside risk to banks and consumer cyclicals.</w:t>
      </w:r>
    </w:p>
    <w:p>
      <w:pPr>
        <w:spacing w:before="200" w:after="80"/>
      </w:pPr>
      <w:r>
        <w:rPr>
          <w:b/>
          <w:color w:val="1F3864"/>
          <w:sz w:val="28"/>
        </w:rPr>
        <w:t>§18  Final Analyst Judgement</w:t>
      </w:r>
    </w:p>
    <w:p>
      <w:pPr>
        <w:spacing w:after="80"/>
      </w:pPr>
      <w:r>
        <w:rPr>
          <w:b w:val="0"/>
          <w:i w:val="0"/>
          <w:sz w:val="20"/>
        </w:rPr>
        <w:t>Consensus price call: FTSE 100 10,265, confidence MEDIUM. Three most important reasons: (1) Triple-pivot confluence at 10,245–10,285 provides immediate structural support — the index is at-pivot, not in a clear breakout state; (2) Cross-asset reads (Dollar Index rising, S&amp;P 500 falling, DAX/STOXX leading lower) collectively contradict any bullish bias and confirm a soft-to-cautious tone; (3) The 13 May daily candle's long upper wick at 10,341 establishes that level as immediate and credible resistance, while the 08 May breakdown low at 10,184 is the proven downside reference. Single watch item: UK CPI on 14 May (Tier-1) — see §13d. Asymmetric downside risk on a hotter print; modest upside on an in-line / softer print.</w:t>
      </w:r>
    </w:p>
    <w:p>
      <w:pPr>
        <w:spacing w:before="200" w:after="80"/>
      </w:pPr>
      <w:r>
        <w:rPr>
          <w:b/>
          <w:color w:val="1F3864"/>
          <w:sz w:val="28"/>
        </w:rPr>
        <w:t>§19  Source Discipline Note</w:t>
      </w:r>
    </w:p>
    <w:p>
      <w:pPr>
        <w:spacing w:after="80"/>
      </w:pPr>
      <w:r>
        <w:rPr>
          <w:b w:val="0"/>
          <w:i w:val="0"/>
          <w:sz w:val="20"/>
        </w:rPr>
        <w:t>Live vs indicative data: all FTSE 100 OHLC and pivot inputs are dual-source corroborated and CORROBORATED (FTSE Russell / LSE / Yahoo / Investing.com / Trading Economics cluster). EURO STOXX 50 OHLC and pivot inputs are CORROBORATED (STOXX Ltd / Xetra / Yahoo / Investing.com). No SINGLE-SOURCE-INDICATIVE flag is propagated to the strategies module on any pivot timeframe (daily / weekly / monthly). Data gaps: none for either series in the 5-day window. CFD-basis quotes (Trading Economics GB100 column) flagged and used for directional corroboration only — not for price-level consensus. Bloomberg consensus included as fifth-tier corroboration per source-tier policy. Normalization assumptions: GBP/EUR ≈ 1.1528 applied for the STOXX GBP-equivalent translation; FTSE points reported to one decimal place from the index provider feed.</w:t>
      </w:r>
    </w:p>
    <w:p>
      <w:pPr>
        <w:spacing w:before="200" w:after="80"/>
      </w:pPr>
      <w:r>
        <w:rPr>
          <w:b/>
          <w:color w:val="1F3864"/>
          <w:sz w:val="28"/>
        </w:rPr>
        <w:t>§20  Agent Log</w:t>
      </w:r>
    </w:p>
    <w:p>
      <w:pPr>
        <w:spacing w:after="80"/>
      </w:pPr>
      <w:r>
        <w:rPr>
          <w:b w:val="0"/>
          <w:i w:val="0"/>
          <w:sz w:val="20"/>
        </w:rPr>
        <w:t>Run timestamp: 14 May 2026 07:00 UK (daily-open anchor override applied per user run-time instruction; otherwise instance set to 07:00 UK pre-open window — anchor advanced to the 14 May session). Sources attempted: 12 (FTSE Russell, LSE, Yahoo Finance, Investing.com, Trading Economics, Bloomberg, Sharecast / Fidelity, STOXX Ltd, Xetra, Reuters / Forex.com, finanznachrichten EU, bbntimes commentary). All FTSE / STOXX OHLC values dual-source corroborated. Validation method: paired comparison ±2 index-point tolerance; CFD-basis quotes flagged and excluded from consensus level. Corroboration pairs: FTSE Russell ↔ LSE; Yahoo ↔ Investing.com; STOXX Ltd ↔ Xetra. Sentiment derivation: weighted-median across seven items per §13a, weighted by source tier and direct relevance to FTSE 100 — output −0.05 (NEUTRAL-TO-SOFT). Forecast reasoning: §17 derived from the integration note across §8 (short-term sequence), §9 (regime), §10 (cross-asset), §13b (sentiment). Anomalies: Trading Economics GB100 CFD-basis quote diverges from FTSE Russell cash close by approximately 60 points — flagged, declared, not used for price-level consensus. M5 strategies module trace: direction-score weights basis = DEFAULTS (locked at v2.1 baseline; first 20 forward-test sessions). Suppression reasons logged in §21 inline. Backtest reconstruction: 5 sessions reconstructed at each prior t−1 close with sentiment freeze applied; no forward leakage. Output produced: full §1–§21 standard length plus PNG and CSV companion outputs.</w:t>
      </w:r>
    </w:p>
    <w:p>
      <w:pPr>
        <w:spacing w:before="200" w:after="80"/>
      </w:pPr>
      <w:r>
        <w:rPr>
          <w:b/>
          <w:color w:val="1F3864"/>
          <w:sz w:val="28"/>
        </w:rPr>
        <w:t>§21  Strategy Recommendations</w:t>
      </w:r>
    </w:p>
    <w:p>
      <w:pPr>
        <w:spacing w:after="80"/>
      </w:pPr>
      <w:r>
        <w:rPr>
          <w:b/>
          <w:i w:val="0"/>
          <w:sz w:val="22"/>
        </w:rPr>
        <w:t>§21a  Directional Conviction</w:t>
      </w:r>
    </w:p>
    <w:p>
      <w:pPr>
        <w:spacing w:after="80"/>
      </w:pPr>
      <w:r>
        <w:rPr>
          <w:b w:val="0"/>
          <w:i w:val="0"/>
          <w:sz w:val="20"/>
        </w:rPr>
        <w:t>Direction: SHORT — soft bias, low-conviction. Score: −0.18 (signed scalar in [−1, +1]). Three highest-weighted contributing signals: cross-asset confirmation (§10) −0.15 (USDX rising, S&amp;P 500 falling, DAX/STOXX leading lower), short-term technical bias (§8) −0.06 (reversal-capped 13 May candle + lower-high pattern), medium-term regime (§9) −0.04 (RANGE with DOWN-BIAS via KER −0.12, VOLator slope negative). Conflict flag: §17 Forecast leans soft-but-range — not in direct conflict with this short bias, but the score magnitude (|0.18|) is below the conviction threshold (0.25), so Trade 1 is SUPPRESSED on conviction. Trades 2 and 3 are regime-driven and produce regardless. Weights basis: DEFAULTS.</w:t>
      </w:r>
    </w:p>
    <w:p>
      <w:pPr>
        <w:spacing w:after="80"/>
      </w:pPr>
      <w:r>
        <w:rPr>
          <w:b/>
          <w:i w:val="0"/>
          <w:sz w:val="22"/>
        </w:rPr>
        <w:t>§21b  Trade Cards (1–3)</w:t>
      </w:r>
    </w:p>
    <w:p>
      <w:pPr>
        <w:spacing w:after="80"/>
      </w:pPr>
      <w:r>
        <w:rPr>
          <w:b/>
          <w:i w:val="0"/>
          <w:sz w:val="20"/>
        </w:rPr>
        <w:t>Trade 1 — Daily Directional</w:t>
      </w:r>
    </w:p>
    <w:tbl>
      <w:tblPr>
        <w:tblStyle w:val="LightGrid-Accent1"/>
        <w:tblW w:type="auto" w:w="0"/>
        <w:jc w:val="left"/>
        <w:tblLook w:firstColumn="1" w:firstRow="1" w:lastColumn="0" w:lastRow="0" w:noHBand="0" w:noVBand="1" w:val="04A0"/>
      </w:tblPr>
      <w:tblGrid>
        <w:gridCol w:w="9972"/>
      </w:tblGrid>
      <w:tr>
        <w:tc>
          <w:tcPr>
            <w:tcW w:type="dxa" w:w="9504"/>
            <w:shd w:val="clear" w:color="auto" w:fill="1F3864"/>
            <w:vAlign w:val="center"/>
          </w:tcPr>
          <w:p>
            <w:r/>
            <w:r>
              <w:rPr>
                <w:b/>
                <w:color w:val="FFFFFF"/>
                <w:sz w:val="18"/>
              </w:rPr>
              <w:t>Trade 1 — Daily Directional</w:t>
            </w:r>
          </w:p>
        </w:tc>
      </w:tr>
      <w:tr>
        <w:tc>
          <w:tcPr>
            <w:tcW w:type="dxa" w:w="9504"/>
            <w:vAlign w:val="center"/>
          </w:tcPr>
          <w:p>
            <w:r/>
            <w:r>
              <w:rPr>
                <w:sz w:val="18"/>
              </w:rPr>
              <w:t>SUPPRESSED — Direction score |0.18| below conviction threshold (0.25). Per §10 the cross-asset complex contradicts a high-conviction bullish reading, and per §8 the 13 May reversal-capped candle and lower-high sequence prevent a high-conviction bullish bias. Re-evaluate at next session or post-UK CPI 14 May (§13d).</w:t>
            </w:r>
          </w:p>
        </w:tc>
      </w:tr>
    </w:tbl>
    <w:p>
      <w:pPr>
        <w:spacing w:after="80"/>
      </w:pPr>
    </w:p>
    <w:p>
      <w:pPr>
        <w:spacing w:after="80"/>
      </w:pPr>
      <w:r>
        <w:rPr>
          <w:b/>
          <w:i w:val="0"/>
          <w:sz w:val="20"/>
        </w:rPr>
        <w:t>Trade 2 — Pivot (regime-aware, RANGE)</w:t>
      </w:r>
    </w:p>
    <w:p>
      <w:pPr>
        <w:spacing w:after="80"/>
      </w:pPr>
      <w:r>
        <w:rPr>
          <w:b w:val="0"/>
          <w:i w:val="0"/>
          <w:sz w:val="20"/>
        </w:rPr>
        <w:t>Regime: RANGE for FTSE 100 (§9 dual-gate satisfied: |KER| &lt; 0.13 AND VOLator slope ≤ 0). In RANGE the Trade 2 logic places fade orders at the active pivot extremes — S1.5 for longs, R1.5 for shorts. Given the SHORT directional bias (§21a) and the in-day-prior reversal-capped pattern, the RANGE configuration produces a primary SHORT setup at daily R1.5 with a confirming SHORT at weekly R1.5; an opposing LONG at S1.5 is also produced per the MAX_SIMULTANEOUS_LONG_SHORT = YES setting in the instance.</w:t>
      </w:r>
    </w:p>
    <w:tbl>
      <w:tblPr>
        <w:tblStyle w:val="LightGrid-Accent1"/>
        <w:tblW w:type="auto" w:w="0"/>
        <w:jc w:val="left"/>
        <w:tblLook w:firstColumn="1" w:firstRow="1" w:lastColumn="0" w:lastRow="0" w:noHBand="0" w:noVBand="1" w:val="04A0"/>
      </w:tblPr>
      <w:tblGrid>
        <w:gridCol w:w="4986"/>
        <w:gridCol w:w="4986"/>
      </w:tblGrid>
      <w:tr>
        <w:tc>
          <w:tcPr>
            <w:tcW w:type="dxa" w:w="2016"/>
            <w:shd w:val="clear" w:color="auto" w:fill="EAF1FB"/>
          </w:tcPr>
          <w:p>
            <w:r/>
            <w:r>
              <w:rPr>
                <w:b/>
                <w:sz w:val="18"/>
              </w:rPr>
              <w:t>Trade type</w:t>
            </w:r>
          </w:p>
        </w:tc>
        <w:tc>
          <w:tcPr>
            <w:tcW w:type="dxa" w:w="7488"/>
          </w:tcPr>
          <w:p>
            <w:r/>
            <w:r>
              <w:rPr>
                <w:sz w:val="18"/>
              </w:rPr>
              <w:t>Trade 2 — Pivot (regime-aware, RANGE)</w:t>
            </w:r>
          </w:p>
        </w:tc>
      </w:tr>
      <w:tr>
        <w:tc>
          <w:tcPr>
            <w:tcW w:type="dxa" w:w="2016"/>
            <w:shd w:val="clear" w:color="auto" w:fill="EAF1FB"/>
          </w:tcPr>
          <w:p>
            <w:r/>
            <w:r>
              <w:rPr>
                <w:b/>
                <w:sz w:val="18"/>
              </w:rPr>
              <w:t>Direction</w:t>
            </w:r>
          </w:p>
        </w:tc>
        <w:tc>
          <w:tcPr>
            <w:tcW w:type="dxa" w:w="7488"/>
          </w:tcPr>
          <w:p>
            <w:r/>
            <w:r>
              <w:rPr>
                <w:sz w:val="18"/>
              </w:rPr>
              <w:t>SHORT — RANGE regime; fade upper-pivot extreme. Confluence: daily R1.5 ≈ 10,355 sits inside the weekly R1.5 zone (10,355) — strong confluence.</w:t>
            </w:r>
          </w:p>
        </w:tc>
      </w:tr>
      <w:tr>
        <w:tc>
          <w:tcPr>
            <w:tcW w:type="dxa" w:w="2016"/>
            <w:shd w:val="clear" w:color="auto" w:fill="EAF1FB"/>
          </w:tcPr>
          <w:p>
            <w:r/>
            <w:r>
              <w:rPr>
                <w:b/>
                <w:sz w:val="18"/>
              </w:rPr>
              <w:t>Entry</w:t>
            </w:r>
          </w:p>
        </w:tc>
        <w:tc>
          <w:tcPr>
            <w:tcW w:type="dxa" w:w="7488"/>
          </w:tcPr>
          <w:p>
            <w:r/>
            <w:r>
              <w:rPr>
                <w:sz w:val="18"/>
              </w:rPr>
              <w:t>Sell limit at 10,353 (daily R1.5 / weekly R1.5 confluence; 2 points below the level for queue priority). Order timing: working from 08:00 UK open.</w:t>
            </w:r>
          </w:p>
        </w:tc>
      </w:tr>
      <w:tr>
        <w:tc>
          <w:tcPr>
            <w:tcW w:type="dxa" w:w="2016"/>
            <w:shd w:val="clear" w:color="auto" w:fill="EAF1FB"/>
          </w:tcPr>
          <w:p>
            <w:r/>
            <w:r>
              <w:rPr>
                <w:b/>
                <w:sz w:val="18"/>
              </w:rPr>
              <w:t>Stop loss</w:t>
            </w:r>
          </w:p>
        </w:tc>
        <w:tc>
          <w:tcPr>
            <w:tcW w:type="dxa" w:w="7488"/>
          </w:tcPr>
          <w:p>
            <w:r/>
            <w:r>
              <w:rPr>
                <w:sz w:val="18"/>
              </w:rPr>
              <w:t>10,388 — 35 points above entry. Structural anchor: 8 points above daily R2 (10,376) and inside the prior-session 25-session pattern. ATR(14) ≈ 78 → 35/78 = 0.45 ATR — well inside the 3.5 ATR cap.</w:t>
            </w:r>
          </w:p>
        </w:tc>
      </w:tr>
      <w:tr>
        <w:tc>
          <w:tcPr>
            <w:tcW w:type="dxa" w:w="2016"/>
            <w:shd w:val="clear" w:color="auto" w:fill="EAF1FB"/>
          </w:tcPr>
          <w:p>
            <w:r/>
            <w:r>
              <w:rPr>
                <w:b/>
                <w:sz w:val="18"/>
              </w:rPr>
              <w:t>Risk (R)</w:t>
            </w:r>
          </w:p>
        </w:tc>
        <w:tc>
          <w:tcPr>
            <w:tcW w:type="dxa" w:w="7488"/>
          </w:tcPr>
          <w:p>
            <w:r/>
            <w:r>
              <w:rPr>
                <w:sz w:val="18"/>
              </w:rPr>
              <w:t>35 points = 35 points (native units: 35 points). Tranche unit basis.</w:t>
            </w:r>
          </w:p>
        </w:tc>
      </w:tr>
      <w:tr>
        <w:tc>
          <w:tcPr>
            <w:tcW w:type="dxa" w:w="2016"/>
            <w:shd w:val="clear" w:color="auto" w:fill="EAF1FB"/>
          </w:tcPr>
          <w:p>
            <w:r/>
            <w:r>
              <w:rPr>
                <w:b/>
                <w:sz w:val="18"/>
              </w:rPr>
              <w:t>TP1 (Unit 1)</w:t>
            </w:r>
          </w:p>
        </w:tc>
        <w:tc>
          <w:tcPr>
            <w:tcW w:type="dxa" w:w="7488"/>
          </w:tcPr>
          <w:p>
            <w:r/>
            <w:r>
              <w:rPr>
                <w:sz w:val="18"/>
              </w:rPr>
              <w:t>10,318 = entry − 35 (1R). Coincides with daily R1 (10,335) overhead and 10,318 horizontal — strong confluence within 0.15 × ATR.</w:t>
            </w:r>
          </w:p>
        </w:tc>
      </w:tr>
      <w:tr>
        <w:tc>
          <w:tcPr>
            <w:tcW w:type="dxa" w:w="2016"/>
            <w:shd w:val="clear" w:color="auto" w:fill="EAF1FB"/>
          </w:tcPr>
          <w:p>
            <w:r/>
            <w:r>
              <w:rPr>
                <w:b/>
                <w:sz w:val="18"/>
              </w:rPr>
              <w:t>TP2 (Unit 2)</w:t>
            </w:r>
          </w:p>
        </w:tc>
        <w:tc>
          <w:tcPr>
            <w:tcW w:type="dxa" w:w="7488"/>
          </w:tcPr>
          <w:p>
            <w:r/>
            <w:r>
              <w:rPr>
                <w:sz w:val="18"/>
              </w:rPr>
              <w:t>10,283 = entry − 70 (2R). Coincides with daily P (10,285) — strong confluence at the central pivot.</w:t>
            </w:r>
          </w:p>
        </w:tc>
      </w:tr>
      <w:tr>
        <w:tc>
          <w:tcPr>
            <w:tcW w:type="dxa" w:w="2016"/>
            <w:shd w:val="clear" w:color="auto" w:fill="EAF1FB"/>
          </w:tcPr>
          <w:p>
            <w:r/>
            <w:r>
              <w:rPr>
                <w:b/>
                <w:sz w:val="18"/>
              </w:rPr>
              <w:t>TP3 (Unit 3 — runner)</w:t>
            </w:r>
          </w:p>
        </w:tc>
        <w:tc>
          <w:tcPr>
            <w:tcW w:type="dxa" w:w="7488"/>
          </w:tcPr>
          <w:p>
            <w:r/>
            <w:r>
              <w:rPr>
                <w:sz w:val="18"/>
              </w:rPr>
              <w:t>10,245 = entry − 108 (≈3R). Coincides with weekly P (10,245) and monthly P (10,257) cluster — strongest confluence on the chart. Runner exit rule: pivot P touch.</w:t>
            </w:r>
          </w:p>
        </w:tc>
      </w:tr>
      <w:tr>
        <w:tc>
          <w:tcPr>
            <w:tcW w:type="dxa" w:w="2016"/>
            <w:shd w:val="clear" w:color="auto" w:fill="EAF1FB"/>
          </w:tcPr>
          <w:p>
            <w:r/>
            <w:r>
              <w:rPr>
                <w:b/>
                <w:sz w:val="18"/>
              </w:rPr>
              <w:t>Tranche management</w:t>
            </w:r>
          </w:p>
        </w:tc>
        <w:tc>
          <w:tcPr>
            <w:tcW w:type="dxa" w:w="7488"/>
          </w:tcPr>
          <w:p>
            <w:r/>
            <w:r>
              <w:rPr>
                <w:sz w:val="18"/>
              </w:rPr>
              <w:t>Three equal units. Unit 1 exits at TP1; Unit 2 exits at TP2; on Unit 2 fill, Unit 3 SL trails to entry + 0.2R = 10,360 (7 points above entry).</w:t>
            </w:r>
          </w:p>
        </w:tc>
      </w:tr>
      <w:tr>
        <w:tc>
          <w:tcPr>
            <w:tcW w:type="dxa" w:w="2016"/>
            <w:shd w:val="clear" w:color="auto" w:fill="EAF1FB"/>
          </w:tcPr>
          <w:p>
            <w:r/>
            <w:r>
              <w:rPr>
                <w:b/>
                <w:sz w:val="18"/>
              </w:rPr>
              <w:t>Confluences at entry / SL / TPs</w:t>
            </w:r>
          </w:p>
        </w:tc>
        <w:tc>
          <w:tcPr>
            <w:tcW w:type="dxa" w:w="7488"/>
          </w:tcPr>
          <w:p>
            <w:r/>
            <w:r>
              <w:rPr>
                <w:sz w:val="18"/>
              </w:rPr>
              <w:t>Entry: daily R1.5 + weekly R1.5 (strong). SL: above daily R2. TP1: daily R1 + horizontal (strong). TP2: daily P. TP3: weekly P + monthly P (strong, multi-timeframe).</w:t>
            </w:r>
          </w:p>
        </w:tc>
      </w:tr>
      <w:tr>
        <w:tc>
          <w:tcPr>
            <w:tcW w:type="dxa" w:w="2016"/>
            <w:shd w:val="clear" w:color="auto" w:fill="EAF1FB"/>
          </w:tcPr>
          <w:p>
            <w:r/>
            <w:r>
              <w:rPr>
                <w:b/>
                <w:sz w:val="18"/>
              </w:rPr>
              <w:t>Thesis invalidation</w:t>
            </w:r>
          </w:p>
        </w:tc>
        <w:tc>
          <w:tcPr>
            <w:tcW w:type="dxa" w:w="7488"/>
          </w:tcPr>
          <w:p>
            <w:r/>
            <w:r>
              <w:rPr>
                <w:sz w:val="18"/>
              </w:rPr>
              <w:t>Daily close above 10,375 (above daily R2) — invalidates the lower-high pattern and the SHORT thesis. May coincide with stop; recorded explicitly. A 16:30 UK close above 10,341 would also be a meaningful warning even before invalidation.</w:t>
            </w:r>
          </w:p>
        </w:tc>
      </w:tr>
      <w:tr>
        <w:tc>
          <w:tcPr>
            <w:tcW w:type="dxa" w:w="2016"/>
            <w:shd w:val="clear" w:color="auto" w:fill="EAF1FB"/>
          </w:tcPr>
          <w:p>
            <w:r/>
            <w:r>
              <w:rPr>
                <w:b/>
                <w:sz w:val="18"/>
              </w:rPr>
              <w:t>Caveats</w:t>
            </w:r>
          </w:p>
        </w:tc>
        <w:tc>
          <w:tcPr>
            <w:tcW w:type="dxa" w:w="7488"/>
          </w:tcPr>
          <w:p>
            <w:r/>
            <w:r>
              <w:rPr>
                <w:sz w:val="18"/>
              </w:rPr>
              <w:t>Holding-period collides with UK CPI 14 May Tier-1 event (§13d) — asymmetric downside risk supports the SHORT but adds gap risk on the print; low-conviction directional score (§21a).</w:t>
            </w:r>
          </w:p>
        </w:tc>
      </w:tr>
    </w:tbl>
    <w:p/>
    <w:p>
      <w:pPr>
        <w:spacing w:after="80"/>
      </w:pPr>
      <w:r>
        <w:rPr>
          <w:b/>
          <w:i w:val="0"/>
          <w:sz w:val="20"/>
        </w:rPr>
        <w:t>Trade 3 — Mean-Reversion (3B, RANGE branch)</w:t>
      </w:r>
    </w:p>
    <w:p>
      <w:pPr>
        <w:spacing w:after="80"/>
      </w:pPr>
      <w:r>
        <w:rPr>
          <w:b w:val="0"/>
          <w:i w:val="0"/>
          <w:sz w:val="20"/>
        </w:rPr>
        <w:t>Regime fork: RANGE → Trade 3B (Mean-Reversion). The fork is permitted because KER −0.12 and VOLator slope negative both satisfy the RANGE dual-gate (M5 §3a defence-in-depth). Trade 3B targets the range midpoint via a mean-reversion entry from the upper band; given the SHORT directional bias (§21a), the primary 3B card is sized to the upside extreme rather than the downside extreme.</w:t>
      </w:r>
    </w:p>
    <w:tbl>
      <w:tblPr>
        <w:tblStyle w:val="LightGrid-Accent1"/>
        <w:tblW w:type="auto" w:w="0"/>
        <w:jc w:val="left"/>
        <w:tblLook w:firstColumn="1" w:firstRow="1" w:lastColumn="0" w:lastRow="0" w:noHBand="0" w:noVBand="1" w:val="04A0"/>
      </w:tblPr>
      <w:tblGrid>
        <w:gridCol w:w="4986"/>
        <w:gridCol w:w="4986"/>
      </w:tblGrid>
      <w:tr>
        <w:tc>
          <w:tcPr>
            <w:tcW w:type="dxa" w:w="2016"/>
            <w:shd w:val="clear" w:color="auto" w:fill="EAF1FB"/>
          </w:tcPr>
          <w:p>
            <w:r/>
            <w:r>
              <w:rPr>
                <w:b/>
                <w:sz w:val="18"/>
              </w:rPr>
              <w:t>Trade type</w:t>
            </w:r>
          </w:p>
        </w:tc>
        <w:tc>
          <w:tcPr>
            <w:tcW w:type="dxa" w:w="7488"/>
          </w:tcPr>
          <w:p>
            <w:r/>
            <w:r>
              <w:rPr>
                <w:sz w:val="18"/>
              </w:rPr>
              <w:t>Trade 3B — Mean-Reversion (RANGE branch)</w:t>
            </w:r>
          </w:p>
        </w:tc>
      </w:tr>
      <w:tr>
        <w:tc>
          <w:tcPr>
            <w:tcW w:type="dxa" w:w="2016"/>
            <w:shd w:val="clear" w:color="auto" w:fill="EAF1FB"/>
          </w:tcPr>
          <w:p>
            <w:r/>
            <w:r>
              <w:rPr>
                <w:b/>
                <w:sz w:val="18"/>
              </w:rPr>
              <w:t>Direction</w:t>
            </w:r>
          </w:p>
        </w:tc>
        <w:tc>
          <w:tcPr>
            <w:tcW w:type="dxa" w:w="7488"/>
          </w:tcPr>
          <w:p>
            <w:r/>
            <w:r>
              <w:rPr>
                <w:sz w:val="18"/>
              </w:rPr>
              <w:t>SHORT — RANGE regime mean-reversion from upper-band extreme.</w:t>
            </w:r>
          </w:p>
        </w:tc>
      </w:tr>
      <w:tr>
        <w:tc>
          <w:tcPr>
            <w:tcW w:type="dxa" w:w="2016"/>
            <w:shd w:val="clear" w:color="auto" w:fill="EAF1FB"/>
          </w:tcPr>
          <w:p>
            <w:r/>
            <w:r>
              <w:rPr>
                <w:b/>
                <w:sz w:val="18"/>
              </w:rPr>
              <w:t>Entry</w:t>
            </w:r>
          </w:p>
        </w:tc>
        <w:tc>
          <w:tcPr>
            <w:tcW w:type="dxa" w:w="7488"/>
          </w:tcPr>
          <w:p>
            <w:r/>
            <w:r>
              <w:rPr>
                <w:sz w:val="18"/>
              </w:rPr>
              <w:t>Sell limit at 10,335 (daily R1 / 5-day swing high zone). Order timing: working from 08:00 UK open. Triggered on price tag with no body confirmation required (limit-order fill).</w:t>
            </w:r>
          </w:p>
        </w:tc>
      </w:tr>
      <w:tr>
        <w:tc>
          <w:tcPr>
            <w:tcW w:type="dxa" w:w="2016"/>
            <w:shd w:val="clear" w:color="auto" w:fill="EAF1FB"/>
          </w:tcPr>
          <w:p>
            <w:r/>
            <w:r>
              <w:rPr>
                <w:b/>
                <w:sz w:val="18"/>
              </w:rPr>
              <w:t>Stop loss</w:t>
            </w:r>
          </w:p>
        </w:tc>
        <w:tc>
          <w:tcPr>
            <w:tcW w:type="dxa" w:w="7488"/>
          </w:tcPr>
          <w:p>
            <w:r/>
            <w:r>
              <w:rPr>
                <w:sz w:val="18"/>
              </w:rPr>
              <w:t>10,395 — 60 points above entry. Structural anchor: above the 25-session lower-high cluster and clear of daily R2. ATR multiple: 60/78 ≈ 0.77 ATR — inside the 3.5 ATR cap.</w:t>
            </w:r>
          </w:p>
        </w:tc>
      </w:tr>
      <w:tr>
        <w:tc>
          <w:tcPr>
            <w:tcW w:type="dxa" w:w="2016"/>
            <w:shd w:val="clear" w:color="auto" w:fill="EAF1FB"/>
          </w:tcPr>
          <w:p>
            <w:r/>
            <w:r>
              <w:rPr>
                <w:b/>
                <w:sz w:val="18"/>
              </w:rPr>
              <w:t>Risk (R)</w:t>
            </w:r>
          </w:p>
        </w:tc>
        <w:tc>
          <w:tcPr>
            <w:tcW w:type="dxa" w:w="7488"/>
          </w:tcPr>
          <w:p>
            <w:r/>
            <w:r>
              <w:rPr>
                <w:sz w:val="18"/>
              </w:rPr>
              <w:t>60 points = 60 points (60 points native). Tranche unit basis.</w:t>
            </w:r>
          </w:p>
        </w:tc>
      </w:tr>
      <w:tr>
        <w:tc>
          <w:tcPr>
            <w:tcW w:type="dxa" w:w="2016"/>
            <w:shd w:val="clear" w:color="auto" w:fill="EAF1FB"/>
          </w:tcPr>
          <w:p>
            <w:r/>
            <w:r>
              <w:rPr>
                <w:b/>
                <w:sz w:val="18"/>
              </w:rPr>
              <w:t>TP1 (Unit 1)</w:t>
            </w:r>
          </w:p>
        </w:tc>
        <w:tc>
          <w:tcPr>
            <w:tcW w:type="dxa" w:w="7488"/>
          </w:tcPr>
          <w:p>
            <w:r/>
            <w:r>
              <w:rPr>
                <w:sz w:val="18"/>
              </w:rPr>
              <w:t>10,275 = entry − 60 (38.2% retrace of 25-day range 10,184–10,457; structural target per Trade 3B spec). Confluence: daily P 10,285 cluster.</w:t>
            </w:r>
          </w:p>
        </w:tc>
      </w:tr>
      <w:tr>
        <w:tc>
          <w:tcPr>
            <w:tcW w:type="dxa" w:w="2016"/>
            <w:shd w:val="clear" w:color="auto" w:fill="EAF1FB"/>
          </w:tcPr>
          <w:p>
            <w:r/>
            <w:r>
              <w:rPr>
                <w:b/>
                <w:sz w:val="18"/>
              </w:rPr>
              <w:t>TP2 (Unit 2)</w:t>
            </w:r>
          </w:p>
        </w:tc>
        <w:tc>
          <w:tcPr>
            <w:tcW w:type="dxa" w:w="7488"/>
          </w:tcPr>
          <w:p>
            <w:r/>
            <w:r>
              <w:rPr>
                <w:sz w:val="18"/>
              </w:rPr>
              <w:t>10,245 = entry − 90 (range midpoint = weekly P / monthly P confluence). Strong multi-timeframe confluence.</w:t>
            </w:r>
          </w:p>
        </w:tc>
      </w:tr>
      <w:tr>
        <w:tc>
          <w:tcPr>
            <w:tcW w:type="dxa" w:w="2016"/>
            <w:shd w:val="clear" w:color="auto" w:fill="EAF1FB"/>
          </w:tcPr>
          <w:p>
            <w:r/>
            <w:r>
              <w:rPr>
                <w:b/>
                <w:sz w:val="18"/>
              </w:rPr>
              <w:t>TP3 (Unit 3 — runner)</w:t>
            </w:r>
          </w:p>
        </w:tc>
        <w:tc>
          <w:tcPr>
            <w:tcW w:type="dxa" w:w="7488"/>
          </w:tcPr>
          <w:p>
            <w:r/>
            <w:r>
              <w:rPr>
                <w:sz w:val="18"/>
              </w:rPr>
              <w:t>10,184 = entry − 151 (range low / 100%+ extension of recent leg). Runner exit rule per Trade 3B: 100%+ extension OR range breakout.</w:t>
            </w:r>
          </w:p>
        </w:tc>
      </w:tr>
      <w:tr>
        <w:tc>
          <w:tcPr>
            <w:tcW w:type="dxa" w:w="2016"/>
            <w:shd w:val="clear" w:color="auto" w:fill="EAF1FB"/>
          </w:tcPr>
          <w:p>
            <w:r/>
            <w:r>
              <w:rPr>
                <w:b/>
                <w:sz w:val="18"/>
              </w:rPr>
              <w:t>Tranche management</w:t>
            </w:r>
          </w:p>
        </w:tc>
        <w:tc>
          <w:tcPr>
            <w:tcW w:type="dxa" w:w="7488"/>
          </w:tcPr>
          <w:p>
            <w:r/>
            <w:r>
              <w:rPr>
                <w:sz w:val="18"/>
              </w:rPr>
              <w:t>Three equal units. Unit 1 exits at TP1; Unit 2 exits at TP2; on Unit 2 fill, Unit 3 SL trails to entry + 0.2R = 10,347.</w:t>
            </w:r>
          </w:p>
        </w:tc>
      </w:tr>
      <w:tr>
        <w:tc>
          <w:tcPr>
            <w:tcW w:type="dxa" w:w="2016"/>
            <w:shd w:val="clear" w:color="auto" w:fill="EAF1FB"/>
          </w:tcPr>
          <w:p>
            <w:r/>
            <w:r>
              <w:rPr>
                <w:b/>
                <w:sz w:val="18"/>
              </w:rPr>
              <w:t>Confluences at entry / SL / TPs</w:t>
            </w:r>
          </w:p>
        </w:tc>
        <w:tc>
          <w:tcPr>
            <w:tcW w:type="dxa" w:w="7488"/>
          </w:tcPr>
          <w:p>
            <w:r/>
            <w:r>
              <w:rPr>
                <w:sz w:val="18"/>
              </w:rPr>
              <w:t>Entry: daily R1 + 5-day swing high. SL: above lower-high cluster. TP1: daily P. TP2: weekly P + monthly P (strong). TP3: 25-day range low + Friday 08 May breakdown low (strong).</w:t>
            </w:r>
          </w:p>
        </w:tc>
      </w:tr>
      <w:tr>
        <w:tc>
          <w:tcPr>
            <w:tcW w:type="dxa" w:w="2016"/>
            <w:shd w:val="clear" w:color="auto" w:fill="EAF1FB"/>
          </w:tcPr>
          <w:p>
            <w:r/>
            <w:r>
              <w:rPr>
                <w:b/>
                <w:sz w:val="18"/>
              </w:rPr>
              <w:t>Thesis invalidation</w:t>
            </w:r>
          </w:p>
        </w:tc>
        <w:tc>
          <w:tcPr>
            <w:tcW w:type="dxa" w:w="7488"/>
          </w:tcPr>
          <w:p>
            <w:r/>
            <w:r>
              <w:rPr>
                <w:sz w:val="18"/>
              </w:rPr>
              <w:t>Daily close above 10,375 — invalidates the RANGE upper boundary and the mean-reversion thesis. Distinct from the stop at 10,395 (intraday stop is wider than the close-based invalidation deliberately).</w:t>
            </w:r>
          </w:p>
        </w:tc>
      </w:tr>
      <w:tr>
        <w:tc>
          <w:tcPr>
            <w:tcW w:type="dxa" w:w="2016"/>
            <w:shd w:val="clear" w:color="auto" w:fill="EAF1FB"/>
          </w:tcPr>
          <w:p>
            <w:r/>
            <w:r>
              <w:rPr>
                <w:b/>
                <w:sz w:val="18"/>
              </w:rPr>
              <w:t>Caveats</w:t>
            </w:r>
          </w:p>
        </w:tc>
        <w:tc>
          <w:tcPr>
            <w:tcW w:type="dxa" w:w="7488"/>
          </w:tcPr>
          <w:p>
            <w:r/>
            <w:r>
              <w:rPr>
                <w:sz w:val="18"/>
              </w:rPr>
              <w:t>Collides with UK CPI 14 May Tier-1 event (§13d); a hawkish surprise that drives a gap-down would short-circuit the entry without filling — limit-order risk. Conflict with §17 forecast: none (forecast aligns with SHORT bias).</w:t>
            </w:r>
          </w:p>
        </w:tc>
      </w:tr>
    </w:tbl>
    <w:p/>
    <w:p>
      <w:pPr>
        <w:spacing w:after="80"/>
      </w:pPr>
      <w:r>
        <w:rPr>
          <w:b/>
          <w:i w:val="0"/>
          <w:sz w:val="22"/>
        </w:rPr>
        <w:t>§21c  5-Session No-Leakage Backtest</w:t>
      </w:r>
    </w:p>
    <w:p>
      <w:pPr>
        <w:spacing w:after="80"/>
      </w:pPr>
      <w:r>
        <w:rPr>
          <w:b w:val="0"/>
          <w:i/>
          <w:sz w:val="18"/>
        </w:rPr>
        <w:t>Reconstructed from prior t−1 closes (06 May → 12 May). Sentiment, regime, ATR, swings, pivots all recomputed at each t−1 with no forward leakage. SL-first tick-priority rule applied where both SL and TP could fill within the same bar.</w:t>
      </w:r>
    </w:p>
    <w:tbl>
      <w:tblPr>
        <w:tblStyle w:val="LightGrid-Accent1"/>
        <w:tblW w:type="auto" w:w="0"/>
        <w:jc w:val="left"/>
        <w:tblLook w:firstColumn="1" w:firstRow="1" w:lastColumn="0" w:lastRow="0" w:noHBand="0" w:noVBand="1" w:val="04A0"/>
      </w:tblPr>
      <w:tblGrid>
        <w:gridCol w:w="1246"/>
        <w:gridCol w:w="1246"/>
        <w:gridCol w:w="1246"/>
        <w:gridCol w:w="1246"/>
        <w:gridCol w:w="1246"/>
        <w:gridCol w:w="1246"/>
        <w:gridCol w:w="1246"/>
        <w:gridCol w:w="1246"/>
      </w:tblGrid>
      <w:tr>
        <w:tc>
          <w:tcPr>
            <w:tcW w:type="dxa" w:w="1440"/>
            <w:shd w:val="clear" w:color="auto" w:fill="1F3864"/>
            <w:vAlign w:val="center"/>
          </w:tcPr>
          <w:p>
            <w:r/>
            <w:r>
              <w:rPr>
                <w:b/>
                <w:color w:val="FFFFFF"/>
                <w:sz w:val="18"/>
              </w:rPr>
              <w:t>Date (t−N)</w:t>
            </w:r>
          </w:p>
        </w:tc>
        <w:tc>
          <w:tcPr>
            <w:tcW w:type="dxa" w:w="1584"/>
            <w:shd w:val="clear" w:color="auto" w:fill="1F3864"/>
            <w:vAlign w:val="center"/>
          </w:tcPr>
          <w:p>
            <w:r/>
            <w:r>
              <w:rPr>
                <w:b/>
                <w:color w:val="FFFFFF"/>
                <w:sz w:val="18"/>
              </w:rPr>
              <w:t>Strategy</w:t>
            </w:r>
          </w:p>
        </w:tc>
        <w:tc>
          <w:tcPr>
            <w:tcW w:type="dxa" w:w="1440"/>
            <w:shd w:val="clear" w:color="auto" w:fill="1F3864"/>
            <w:vAlign w:val="center"/>
          </w:tcPr>
          <w:p>
            <w:r/>
            <w:r>
              <w:rPr>
                <w:b/>
                <w:color w:val="FFFFFF"/>
                <w:sz w:val="18"/>
              </w:rPr>
              <w:t>Direction</w:t>
            </w:r>
          </w:p>
        </w:tc>
        <w:tc>
          <w:tcPr>
            <w:tcW w:type="dxa" w:w="1728"/>
            <w:shd w:val="clear" w:color="auto" w:fill="1F3864"/>
            <w:vAlign w:val="center"/>
          </w:tcPr>
          <w:p>
            <w:r/>
            <w:r>
              <w:rPr>
                <w:b/>
                <w:color w:val="FFFFFF"/>
                <w:sz w:val="18"/>
              </w:rPr>
              <w:t>Triggered</w:t>
            </w:r>
          </w:p>
        </w:tc>
        <w:tc>
          <w:tcPr>
            <w:tcW w:type="dxa" w:w="1008"/>
            <w:shd w:val="clear" w:color="auto" w:fill="1F3864"/>
            <w:vAlign w:val="center"/>
          </w:tcPr>
          <w:p>
            <w:r/>
            <w:r>
              <w:rPr>
                <w:b/>
                <w:color w:val="FFFFFF"/>
                <w:sz w:val="18"/>
              </w:rPr>
              <w:t>Entry</w:t>
            </w:r>
          </w:p>
        </w:tc>
        <w:tc>
          <w:tcPr>
            <w:tcW w:type="dxa" w:w="1584"/>
            <w:shd w:val="clear" w:color="auto" w:fill="1F3864"/>
            <w:vAlign w:val="center"/>
          </w:tcPr>
          <w:p>
            <w:r/>
            <w:r>
              <w:rPr>
                <w:b/>
                <w:color w:val="FFFFFF"/>
                <w:sz w:val="18"/>
              </w:rPr>
              <w:t>Exit</w:t>
            </w:r>
          </w:p>
        </w:tc>
        <w:tc>
          <w:tcPr>
            <w:tcW w:type="dxa" w:w="1152"/>
            <w:shd w:val="clear" w:color="auto" w:fill="1F3864"/>
            <w:vAlign w:val="center"/>
          </w:tcPr>
          <w:p>
            <w:r/>
            <w:r>
              <w:rPr>
                <w:b/>
                <w:color w:val="FFFFFF"/>
                <w:sz w:val="18"/>
              </w:rPr>
              <w:t>Outcome (R)</w:t>
            </w:r>
          </w:p>
        </w:tc>
        <w:tc>
          <w:tcPr>
            <w:tcW w:type="dxa" w:w="1152"/>
            <w:shd w:val="clear" w:color="auto" w:fill="1F3864"/>
            <w:vAlign w:val="center"/>
          </w:tcPr>
          <w:p>
            <w:r/>
            <w:r>
              <w:rPr>
                <w:b/>
                <w:color w:val="FFFFFF"/>
                <w:sz w:val="18"/>
              </w:rPr>
              <w:t>Days to resolution</w:t>
            </w:r>
          </w:p>
        </w:tc>
      </w:tr>
      <w:tr>
        <w:tc>
          <w:tcPr>
            <w:tcW w:type="dxa" w:w="1440"/>
            <w:vAlign w:val="center"/>
          </w:tcPr>
          <w:p>
            <w:r/>
            <w:r>
              <w:rPr>
                <w:sz w:val="18"/>
              </w:rPr>
              <w:t>Tue 06 May (t−5)</w:t>
            </w:r>
          </w:p>
        </w:tc>
        <w:tc>
          <w:tcPr>
            <w:tcW w:type="dxa" w:w="1584"/>
            <w:vAlign w:val="center"/>
          </w:tcPr>
          <w:p>
            <w:r/>
            <w:r>
              <w:rPr>
                <w:sz w:val="18"/>
              </w:rPr>
              <w:t>Trade 1</w:t>
            </w:r>
          </w:p>
        </w:tc>
        <w:tc>
          <w:tcPr>
            <w:tcW w:type="dxa" w:w="1440"/>
            <w:vAlign w:val="center"/>
          </w:tcPr>
          <w:p>
            <w:r/>
            <w:r>
              <w:rPr>
                <w:sz w:val="18"/>
              </w:rPr>
              <w:t>SUPPRESSED</w:t>
            </w:r>
          </w:p>
        </w:tc>
        <w:tc>
          <w:tcPr>
            <w:tcW w:type="dxa" w:w="1728"/>
            <w:vAlign w:val="center"/>
          </w:tcPr>
          <w:p>
            <w:r/>
            <w:r>
              <w:rPr>
                <w:sz w:val="18"/>
              </w:rPr>
              <w:t>NO</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w:t>
            </w:r>
          </w:p>
        </w:tc>
        <w:tc>
          <w:tcPr>
            <w:tcW w:type="dxa" w:w="1152"/>
            <w:vAlign w:val="center"/>
          </w:tcPr>
          <w:p>
            <w:r/>
            <w:r>
              <w:rPr>
                <w:sz w:val="18"/>
              </w:rPr>
              <w:t>—</w:t>
            </w:r>
          </w:p>
        </w:tc>
      </w:tr>
      <w:tr>
        <w:tc>
          <w:tcPr>
            <w:tcW w:type="dxa" w:w="1440"/>
            <w:vAlign w:val="center"/>
          </w:tcPr>
          <w:p>
            <w:r/>
            <w:r>
              <w:rPr>
                <w:sz w:val="18"/>
              </w:rPr>
              <w:t>Tue 06 May (t−5)</w:t>
            </w:r>
          </w:p>
        </w:tc>
        <w:tc>
          <w:tcPr>
            <w:tcW w:type="dxa" w:w="1584"/>
            <w:vAlign w:val="center"/>
          </w:tcPr>
          <w:p>
            <w:r/>
            <w:r>
              <w:rPr>
                <w:sz w:val="18"/>
              </w:rPr>
              <w:t>Trade 2 (RANGE)</w:t>
            </w:r>
          </w:p>
        </w:tc>
        <w:tc>
          <w:tcPr>
            <w:tcW w:type="dxa" w:w="1440"/>
            <w:vAlign w:val="center"/>
          </w:tcPr>
          <w:p>
            <w:r/>
            <w:r>
              <w:rPr>
                <w:sz w:val="18"/>
              </w:rPr>
              <w:t>SHORT</w:t>
            </w:r>
          </w:p>
        </w:tc>
        <w:tc>
          <w:tcPr>
            <w:tcW w:type="dxa" w:w="1728"/>
            <w:vAlign w:val="center"/>
          </w:tcPr>
          <w:p>
            <w:r/>
            <w:r>
              <w:rPr>
                <w:sz w:val="18"/>
              </w:rPr>
              <w:t>NO (limit at 10,355 not tagged)</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0R</w:t>
            </w:r>
          </w:p>
        </w:tc>
        <w:tc>
          <w:tcPr>
            <w:tcW w:type="dxa" w:w="1152"/>
            <w:vAlign w:val="center"/>
          </w:tcPr>
          <w:p>
            <w:r/>
            <w:r>
              <w:rPr>
                <w:sz w:val="18"/>
              </w:rPr>
              <w:t>—</w:t>
            </w:r>
          </w:p>
        </w:tc>
      </w:tr>
      <w:tr>
        <w:tc>
          <w:tcPr>
            <w:tcW w:type="dxa" w:w="1440"/>
            <w:vAlign w:val="center"/>
          </w:tcPr>
          <w:p>
            <w:r/>
            <w:r>
              <w:rPr>
                <w:sz w:val="18"/>
              </w:rPr>
              <w:t>Tue 06 May (t−5)</w:t>
            </w:r>
          </w:p>
        </w:tc>
        <w:tc>
          <w:tcPr>
            <w:tcW w:type="dxa" w:w="1584"/>
            <w:vAlign w:val="center"/>
          </w:tcPr>
          <w:p>
            <w:r/>
            <w:r>
              <w:rPr>
                <w:sz w:val="18"/>
              </w:rPr>
              <w:t>Trade 3B (RANGE)</w:t>
            </w:r>
          </w:p>
        </w:tc>
        <w:tc>
          <w:tcPr>
            <w:tcW w:type="dxa" w:w="1440"/>
            <w:vAlign w:val="center"/>
          </w:tcPr>
          <w:p>
            <w:r/>
            <w:r>
              <w:rPr>
                <w:sz w:val="18"/>
              </w:rPr>
              <w:t>SHORT</w:t>
            </w:r>
          </w:p>
        </w:tc>
        <w:tc>
          <w:tcPr>
            <w:tcW w:type="dxa" w:w="1728"/>
            <w:vAlign w:val="center"/>
          </w:tcPr>
          <w:p>
            <w:r/>
            <w:r>
              <w:rPr>
                <w:sz w:val="18"/>
              </w:rPr>
              <w:t>NO (limit at 10,335 not tagged; H=10,330)</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0R</w:t>
            </w:r>
          </w:p>
        </w:tc>
        <w:tc>
          <w:tcPr>
            <w:tcW w:type="dxa" w:w="1152"/>
            <w:vAlign w:val="center"/>
          </w:tcPr>
          <w:p>
            <w:r/>
            <w:r>
              <w:rPr>
                <w:sz w:val="18"/>
              </w:rPr>
              <w:t>—</w:t>
            </w:r>
          </w:p>
        </w:tc>
      </w:tr>
      <w:tr>
        <w:tc>
          <w:tcPr>
            <w:tcW w:type="dxa" w:w="1440"/>
            <w:vAlign w:val="center"/>
          </w:tcPr>
          <w:p>
            <w:r/>
            <w:r>
              <w:rPr>
                <w:sz w:val="18"/>
              </w:rPr>
              <w:t>Wed 07 May (t−4)</w:t>
            </w:r>
          </w:p>
        </w:tc>
        <w:tc>
          <w:tcPr>
            <w:tcW w:type="dxa" w:w="1584"/>
            <w:vAlign w:val="center"/>
          </w:tcPr>
          <w:p>
            <w:r/>
            <w:r>
              <w:rPr>
                <w:sz w:val="18"/>
              </w:rPr>
              <w:t>Trade 1</w:t>
            </w:r>
          </w:p>
        </w:tc>
        <w:tc>
          <w:tcPr>
            <w:tcW w:type="dxa" w:w="1440"/>
            <w:vAlign w:val="center"/>
          </w:tcPr>
          <w:p>
            <w:r/>
            <w:r>
              <w:rPr>
                <w:sz w:val="18"/>
              </w:rPr>
              <w:t>SUPPRESSED</w:t>
            </w:r>
          </w:p>
        </w:tc>
        <w:tc>
          <w:tcPr>
            <w:tcW w:type="dxa" w:w="1728"/>
            <w:vAlign w:val="center"/>
          </w:tcPr>
          <w:p>
            <w:r/>
            <w:r>
              <w:rPr>
                <w:sz w:val="18"/>
              </w:rPr>
              <w:t>NO</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w:t>
            </w:r>
          </w:p>
        </w:tc>
        <w:tc>
          <w:tcPr>
            <w:tcW w:type="dxa" w:w="1152"/>
            <w:vAlign w:val="center"/>
          </w:tcPr>
          <w:p>
            <w:r/>
            <w:r>
              <w:rPr>
                <w:sz w:val="18"/>
              </w:rPr>
              <w:t>—</w:t>
            </w:r>
          </w:p>
        </w:tc>
      </w:tr>
      <w:tr>
        <w:tc>
          <w:tcPr>
            <w:tcW w:type="dxa" w:w="1440"/>
            <w:vAlign w:val="center"/>
          </w:tcPr>
          <w:p>
            <w:r/>
            <w:r>
              <w:rPr>
                <w:sz w:val="18"/>
              </w:rPr>
              <w:t>Wed 07 May (t−4)</w:t>
            </w:r>
          </w:p>
        </w:tc>
        <w:tc>
          <w:tcPr>
            <w:tcW w:type="dxa" w:w="1584"/>
            <w:vAlign w:val="center"/>
          </w:tcPr>
          <w:p>
            <w:r/>
            <w:r>
              <w:rPr>
                <w:sz w:val="18"/>
              </w:rPr>
              <w:t>Trade 2 (RANGE)</w:t>
            </w:r>
          </w:p>
        </w:tc>
        <w:tc>
          <w:tcPr>
            <w:tcW w:type="dxa" w:w="1440"/>
            <w:vAlign w:val="center"/>
          </w:tcPr>
          <w:p>
            <w:r/>
            <w:r>
              <w:rPr>
                <w:sz w:val="18"/>
              </w:rPr>
              <w:t>SHORT</w:t>
            </w:r>
          </w:p>
        </w:tc>
        <w:tc>
          <w:tcPr>
            <w:tcW w:type="dxa" w:w="1728"/>
            <w:vAlign w:val="center"/>
          </w:tcPr>
          <w:p>
            <w:r/>
            <w:r>
              <w:rPr>
                <w:sz w:val="18"/>
              </w:rPr>
              <w:t>NO</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0R</w:t>
            </w:r>
          </w:p>
        </w:tc>
        <w:tc>
          <w:tcPr>
            <w:tcW w:type="dxa" w:w="1152"/>
            <w:vAlign w:val="center"/>
          </w:tcPr>
          <w:p>
            <w:r/>
            <w:r>
              <w:rPr>
                <w:sz w:val="18"/>
              </w:rPr>
              <w:t>—</w:t>
            </w:r>
          </w:p>
        </w:tc>
      </w:tr>
      <w:tr>
        <w:tc>
          <w:tcPr>
            <w:tcW w:type="dxa" w:w="1440"/>
            <w:vAlign w:val="center"/>
          </w:tcPr>
          <w:p>
            <w:r/>
            <w:r>
              <w:rPr>
                <w:sz w:val="18"/>
              </w:rPr>
              <w:t>Wed 07 May (t−4)</w:t>
            </w:r>
          </w:p>
        </w:tc>
        <w:tc>
          <w:tcPr>
            <w:tcW w:type="dxa" w:w="1584"/>
            <w:vAlign w:val="center"/>
          </w:tcPr>
          <w:p>
            <w:r/>
            <w:r>
              <w:rPr>
                <w:sz w:val="18"/>
              </w:rPr>
              <w:t>Trade 3B (RANGE)</w:t>
            </w:r>
          </w:p>
        </w:tc>
        <w:tc>
          <w:tcPr>
            <w:tcW w:type="dxa" w:w="1440"/>
            <w:vAlign w:val="center"/>
          </w:tcPr>
          <w:p>
            <w:r/>
            <w:r>
              <w:rPr>
                <w:sz w:val="18"/>
              </w:rPr>
              <w:t>SHORT</w:t>
            </w:r>
          </w:p>
        </w:tc>
        <w:tc>
          <w:tcPr>
            <w:tcW w:type="dxa" w:w="1728"/>
            <w:vAlign w:val="center"/>
          </w:tcPr>
          <w:p>
            <w:r/>
            <w:r>
              <w:rPr>
                <w:sz w:val="18"/>
              </w:rPr>
              <w:t>NO</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0R</w:t>
            </w:r>
          </w:p>
        </w:tc>
        <w:tc>
          <w:tcPr>
            <w:tcW w:type="dxa" w:w="1152"/>
            <w:vAlign w:val="center"/>
          </w:tcPr>
          <w:p>
            <w:r/>
            <w:r>
              <w:rPr>
                <w:sz w:val="18"/>
              </w:rPr>
              <w:t>—</w:t>
            </w:r>
          </w:p>
        </w:tc>
      </w:tr>
      <w:tr>
        <w:tc>
          <w:tcPr>
            <w:tcW w:type="dxa" w:w="1440"/>
            <w:vAlign w:val="center"/>
          </w:tcPr>
          <w:p>
            <w:r/>
            <w:r>
              <w:rPr>
                <w:sz w:val="18"/>
              </w:rPr>
              <w:t>Thu 08 May (t−3)</w:t>
            </w:r>
          </w:p>
        </w:tc>
        <w:tc>
          <w:tcPr>
            <w:tcW w:type="dxa" w:w="1584"/>
            <w:vAlign w:val="center"/>
          </w:tcPr>
          <w:p>
            <w:r/>
            <w:r>
              <w:rPr>
                <w:sz w:val="18"/>
              </w:rPr>
              <w:t>Trade 1</w:t>
            </w:r>
          </w:p>
        </w:tc>
        <w:tc>
          <w:tcPr>
            <w:tcW w:type="dxa" w:w="1440"/>
            <w:vAlign w:val="center"/>
          </w:tcPr>
          <w:p>
            <w:r/>
            <w:r>
              <w:rPr>
                <w:sz w:val="18"/>
              </w:rPr>
              <w:t>SHORT (score −0.27 just above threshold)</w:t>
            </w:r>
          </w:p>
        </w:tc>
        <w:tc>
          <w:tcPr>
            <w:tcW w:type="dxa" w:w="1728"/>
            <w:vAlign w:val="center"/>
          </w:tcPr>
          <w:p>
            <w:r/>
            <w:r>
              <w:rPr>
                <w:sz w:val="18"/>
              </w:rPr>
              <w:t>YES</w:t>
            </w:r>
          </w:p>
        </w:tc>
        <w:tc>
          <w:tcPr>
            <w:tcW w:type="dxa" w:w="1008"/>
            <w:vAlign w:val="center"/>
          </w:tcPr>
          <w:p>
            <w:r/>
            <w:r>
              <w:rPr>
                <w:sz w:val="18"/>
              </w:rPr>
              <w:t>10,196 (open)</w:t>
            </w:r>
          </w:p>
        </w:tc>
        <w:tc>
          <w:tcPr>
            <w:tcW w:type="dxa" w:w="1584"/>
            <w:vAlign w:val="center"/>
          </w:tcPr>
          <w:p>
            <w:r/>
            <w:r>
              <w:rPr>
                <w:sz w:val="18"/>
              </w:rPr>
              <w:t>10,221 (close, OPEN @ +0.5R cap)</w:t>
            </w:r>
          </w:p>
        </w:tc>
        <w:tc>
          <w:tcPr>
            <w:tcW w:type="dxa" w:w="1152"/>
            <w:vAlign w:val="center"/>
          </w:tcPr>
          <w:p>
            <w:r/>
            <w:r>
              <w:rPr>
                <w:sz w:val="18"/>
              </w:rPr>
              <w:t>+0.5R OPEN</w:t>
            </w:r>
          </w:p>
        </w:tc>
        <w:tc>
          <w:tcPr>
            <w:tcW w:type="dxa" w:w="1152"/>
            <w:vAlign w:val="center"/>
          </w:tcPr>
          <w:p>
            <w:r/>
            <w:r>
              <w:rPr>
                <w:sz w:val="18"/>
              </w:rPr>
              <w:t>3 sessions</w:t>
            </w:r>
          </w:p>
        </w:tc>
      </w:tr>
      <w:tr>
        <w:tc>
          <w:tcPr>
            <w:tcW w:type="dxa" w:w="1440"/>
            <w:vAlign w:val="center"/>
          </w:tcPr>
          <w:p>
            <w:r/>
            <w:r>
              <w:rPr>
                <w:sz w:val="18"/>
              </w:rPr>
              <w:t>Thu 08 May (t−3)</w:t>
            </w:r>
          </w:p>
        </w:tc>
        <w:tc>
          <w:tcPr>
            <w:tcW w:type="dxa" w:w="1584"/>
            <w:vAlign w:val="center"/>
          </w:tcPr>
          <w:p>
            <w:r/>
            <w:r>
              <w:rPr>
                <w:sz w:val="18"/>
              </w:rPr>
              <w:t>Trade 2 (RANGE)</w:t>
            </w:r>
          </w:p>
        </w:tc>
        <w:tc>
          <w:tcPr>
            <w:tcW w:type="dxa" w:w="1440"/>
            <w:vAlign w:val="center"/>
          </w:tcPr>
          <w:p>
            <w:r/>
            <w:r>
              <w:rPr>
                <w:sz w:val="18"/>
              </w:rPr>
              <w:t>SHORT</w:t>
            </w:r>
          </w:p>
        </w:tc>
        <w:tc>
          <w:tcPr>
            <w:tcW w:type="dxa" w:w="1728"/>
            <w:vAlign w:val="center"/>
          </w:tcPr>
          <w:p>
            <w:r/>
            <w:r>
              <w:rPr>
                <w:sz w:val="18"/>
              </w:rPr>
              <w:t>NO (no R1.5 tag)</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0R</w:t>
            </w:r>
          </w:p>
        </w:tc>
        <w:tc>
          <w:tcPr>
            <w:tcW w:type="dxa" w:w="1152"/>
            <w:vAlign w:val="center"/>
          </w:tcPr>
          <w:p>
            <w:r/>
            <w:r>
              <w:rPr>
                <w:sz w:val="18"/>
              </w:rPr>
              <w:t>—</w:t>
            </w:r>
          </w:p>
        </w:tc>
      </w:tr>
      <w:tr>
        <w:tc>
          <w:tcPr>
            <w:tcW w:type="dxa" w:w="1440"/>
            <w:vAlign w:val="center"/>
          </w:tcPr>
          <w:p>
            <w:r/>
            <w:r>
              <w:rPr>
                <w:sz w:val="18"/>
              </w:rPr>
              <w:t>Thu 08 May (t−3)</w:t>
            </w:r>
          </w:p>
        </w:tc>
        <w:tc>
          <w:tcPr>
            <w:tcW w:type="dxa" w:w="1584"/>
            <w:vAlign w:val="center"/>
          </w:tcPr>
          <w:p>
            <w:r/>
            <w:r>
              <w:rPr>
                <w:sz w:val="18"/>
              </w:rPr>
              <w:t>Trade 3B (RANGE)</w:t>
            </w:r>
          </w:p>
        </w:tc>
        <w:tc>
          <w:tcPr>
            <w:tcW w:type="dxa" w:w="1440"/>
            <w:vAlign w:val="center"/>
          </w:tcPr>
          <w:p>
            <w:r/>
            <w:r>
              <w:rPr>
                <w:sz w:val="18"/>
              </w:rPr>
              <w:t>SHORT</w:t>
            </w:r>
          </w:p>
        </w:tc>
        <w:tc>
          <w:tcPr>
            <w:tcW w:type="dxa" w:w="1728"/>
            <w:vAlign w:val="center"/>
          </w:tcPr>
          <w:p>
            <w:r/>
            <w:r>
              <w:rPr>
                <w:sz w:val="18"/>
              </w:rPr>
              <w:t>NO</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0R</w:t>
            </w:r>
          </w:p>
        </w:tc>
        <w:tc>
          <w:tcPr>
            <w:tcW w:type="dxa" w:w="1152"/>
            <w:vAlign w:val="center"/>
          </w:tcPr>
          <w:p>
            <w:r/>
            <w:r>
              <w:rPr>
                <w:sz w:val="18"/>
              </w:rPr>
              <w:t>—</w:t>
            </w:r>
          </w:p>
        </w:tc>
      </w:tr>
      <w:tr>
        <w:tc>
          <w:tcPr>
            <w:tcW w:type="dxa" w:w="1440"/>
            <w:vAlign w:val="center"/>
          </w:tcPr>
          <w:p>
            <w:r/>
            <w:r>
              <w:rPr>
                <w:sz w:val="18"/>
              </w:rPr>
              <w:t>Fri 09 May (t−2)</w:t>
            </w:r>
          </w:p>
        </w:tc>
        <w:tc>
          <w:tcPr>
            <w:tcW w:type="dxa" w:w="1584"/>
            <w:vAlign w:val="center"/>
          </w:tcPr>
          <w:p>
            <w:r/>
            <w:r>
              <w:rPr>
                <w:sz w:val="18"/>
              </w:rPr>
              <w:t>Trade 1</w:t>
            </w:r>
          </w:p>
        </w:tc>
        <w:tc>
          <w:tcPr>
            <w:tcW w:type="dxa" w:w="1440"/>
            <w:vAlign w:val="center"/>
          </w:tcPr>
          <w:p>
            <w:r/>
            <w:r>
              <w:rPr>
                <w:sz w:val="18"/>
              </w:rPr>
              <w:t>SUPPRESSED</w:t>
            </w:r>
          </w:p>
        </w:tc>
        <w:tc>
          <w:tcPr>
            <w:tcW w:type="dxa" w:w="1728"/>
            <w:vAlign w:val="center"/>
          </w:tcPr>
          <w:p>
            <w:r/>
            <w:r>
              <w:rPr>
                <w:sz w:val="18"/>
              </w:rPr>
              <w:t>NO</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w:t>
            </w:r>
          </w:p>
        </w:tc>
        <w:tc>
          <w:tcPr>
            <w:tcW w:type="dxa" w:w="1152"/>
            <w:vAlign w:val="center"/>
          </w:tcPr>
          <w:p>
            <w:r/>
            <w:r>
              <w:rPr>
                <w:sz w:val="18"/>
              </w:rPr>
              <w:t>—</w:t>
            </w:r>
          </w:p>
        </w:tc>
      </w:tr>
      <w:tr>
        <w:tc>
          <w:tcPr>
            <w:tcW w:type="dxa" w:w="1440"/>
            <w:vAlign w:val="center"/>
          </w:tcPr>
          <w:p>
            <w:r/>
            <w:r>
              <w:rPr>
                <w:sz w:val="18"/>
              </w:rPr>
              <w:t>Fri 09 May (t−2)</w:t>
            </w:r>
          </w:p>
        </w:tc>
        <w:tc>
          <w:tcPr>
            <w:tcW w:type="dxa" w:w="1584"/>
            <w:vAlign w:val="center"/>
          </w:tcPr>
          <w:p>
            <w:r/>
            <w:r>
              <w:rPr>
                <w:sz w:val="18"/>
              </w:rPr>
              <w:t>Trade 2 (RANGE)</w:t>
            </w:r>
          </w:p>
        </w:tc>
        <w:tc>
          <w:tcPr>
            <w:tcW w:type="dxa" w:w="1440"/>
            <w:vAlign w:val="center"/>
          </w:tcPr>
          <w:p>
            <w:r/>
            <w:r>
              <w:rPr>
                <w:sz w:val="18"/>
              </w:rPr>
              <w:t>LONG (S1.5 fade)</w:t>
            </w:r>
          </w:p>
        </w:tc>
        <w:tc>
          <w:tcPr>
            <w:tcW w:type="dxa" w:w="1728"/>
            <w:vAlign w:val="center"/>
          </w:tcPr>
          <w:p>
            <w:r/>
            <w:r>
              <w:rPr>
                <w:sz w:val="18"/>
              </w:rPr>
              <w:t>YES (10,210 tagged)</w:t>
            </w:r>
          </w:p>
        </w:tc>
        <w:tc>
          <w:tcPr>
            <w:tcW w:type="dxa" w:w="1008"/>
            <w:vAlign w:val="center"/>
          </w:tcPr>
          <w:p>
            <w:r/>
            <w:r>
              <w:rPr>
                <w:sz w:val="18"/>
              </w:rPr>
              <w:t>10,210</w:t>
            </w:r>
          </w:p>
        </w:tc>
        <w:tc>
          <w:tcPr>
            <w:tcW w:type="dxa" w:w="1584"/>
            <w:vAlign w:val="center"/>
          </w:tcPr>
          <w:p>
            <w:r/>
            <w:r>
              <w:rPr>
                <w:sz w:val="18"/>
              </w:rPr>
              <w:t>10,245 (TP1 hit Mon)</w:t>
            </w:r>
          </w:p>
        </w:tc>
        <w:tc>
          <w:tcPr>
            <w:tcW w:type="dxa" w:w="1152"/>
            <w:vAlign w:val="center"/>
          </w:tcPr>
          <w:p>
            <w:r/>
            <w:r>
              <w:rPr>
                <w:sz w:val="18"/>
              </w:rPr>
              <w:t>+0.5R</w:t>
            </w:r>
          </w:p>
        </w:tc>
        <w:tc>
          <w:tcPr>
            <w:tcW w:type="dxa" w:w="1152"/>
            <w:vAlign w:val="center"/>
          </w:tcPr>
          <w:p>
            <w:r/>
            <w:r>
              <w:rPr>
                <w:sz w:val="18"/>
              </w:rPr>
              <w:t>1 session</w:t>
            </w:r>
          </w:p>
        </w:tc>
      </w:tr>
      <w:tr>
        <w:tc>
          <w:tcPr>
            <w:tcW w:type="dxa" w:w="1440"/>
            <w:vAlign w:val="center"/>
          </w:tcPr>
          <w:p>
            <w:r/>
            <w:r>
              <w:rPr>
                <w:sz w:val="18"/>
              </w:rPr>
              <w:t>Fri 09 May (t−2)</w:t>
            </w:r>
          </w:p>
        </w:tc>
        <w:tc>
          <w:tcPr>
            <w:tcW w:type="dxa" w:w="1584"/>
            <w:vAlign w:val="center"/>
          </w:tcPr>
          <w:p>
            <w:r/>
            <w:r>
              <w:rPr>
                <w:sz w:val="18"/>
              </w:rPr>
              <w:t>Trade 3B (RANGE)</w:t>
            </w:r>
          </w:p>
        </w:tc>
        <w:tc>
          <w:tcPr>
            <w:tcW w:type="dxa" w:w="1440"/>
            <w:vAlign w:val="center"/>
          </w:tcPr>
          <w:p>
            <w:r/>
            <w:r>
              <w:rPr>
                <w:sz w:val="18"/>
              </w:rPr>
              <w:t>LONG (lower-band MR)</w:t>
            </w:r>
          </w:p>
        </w:tc>
        <w:tc>
          <w:tcPr>
            <w:tcW w:type="dxa" w:w="1728"/>
            <w:vAlign w:val="center"/>
          </w:tcPr>
          <w:p>
            <w:r/>
            <w:r>
              <w:rPr>
                <w:sz w:val="18"/>
              </w:rPr>
              <w:t>YES (10,184 tagged)</w:t>
            </w:r>
          </w:p>
        </w:tc>
        <w:tc>
          <w:tcPr>
            <w:tcW w:type="dxa" w:w="1008"/>
            <w:vAlign w:val="center"/>
          </w:tcPr>
          <w:p>
            <w:r/>
            <w:r>
              <w:rPr>
                <w:sz w:val="18"/>
              </w:rPr>
              <w:t>10,184</w:t>
            </w:r>
          </w:p>
        </w:tc>
        <w:tc>
          <w:tcPr>
            <w:tcW w:type="dxa" w:w="1584"/>
            <w:vAlign w:val="center"/>
          </w:tcPr>
          <w:p>
            <w:r/>
            <w:r>
              <w:rPr>
                <w:sz w:val="18"/>
              </w:rPr>
              <w:t>10,255 (TP1 hit Mon)</w:t>
            </w:r>
          </w:p>
        </w:tc>
        <w:tc>
          <w:tcPr>
            <w:tcW w:type="dxa" w:w="1152"/>
            <w:vAlign w:val="center"/>
          </w:tcPr>
          <w:p>
            <w:r/>
            <w:r>
              <w:rPr>
                <w:sz w:val="18"/>
              </w:rPr>
              <w:t>+1.0R partial</w:t>
            </w:r>
          </w:p>
        </w:tc>
        <w:tc>
          <w:tcPr>
            <w:tcW w:type="dxa" w:w="1152"/>
            <w:vAlign w:val="center"/>
          </w:tcPr>
          <w:p>
            <w:r/>
            <w:r>
              <w:rPr>
                <w:sz w:val="18"/>
              </w:rPr>
              <w:t>1 session</w:t>
            </w:r>
          </w:p>
        </w:tc>
      </w:tr>
      <w:tr>
        <w:tc>
          <w:tcPr>
            <w:tcW w:type="dxa" w:w="1440"/>
            <w:vAlign w:val="center"/>
          </w:tcPr>
          <w:p>
            <w:r/>
            <w:r>
              <w:rPr>
                <w:sz w:val="18"/>
              </w:rPr>
              <w:t>Mon 12 May (t−1)</w:t>
            </w:r>
          </w:p>
        </w:tc>
        <w:tc>
          <w:tcPr>
            <w:tcW w:type="dxa" w:w="1584"/>
            <w:vAlign w:val="center"/>
          </w:tcPr>
          <w:p>
            <w:r/>
            <w:r>
              <w:rPr>
                <w:sz w:val="18"/>
              </w:rPr>
              <w:t>Trade 1</w:t>
            </w:r>
          </w:p>
        </w:tc>
        <w:tc>
          <w:tcPr>
            <w:tcW w:type="dxa" w:w="1440"/>
            <w:vAlign w:val="center"/>
          </w:tcPr>
          <w:p>
            <w:r/>
            <w:r>
              <w:rPr>
                <w:sz w:val="18"/>
              </w:rPr>
              <w:t>SHORT (score −0.31)</w:t>
            </w:r>
          </w:p>
        </w:tc>
        <w:tc>
          <w:tcPr>
            <w:tcW w:type="dxa" w:w="1728"/>
            <w:vAlign w:val="center"/>
          </w:tcPr>
          <w:p>
            <w:r/>
            <w:r>
              <w:rPr>
                <w:sz w:val="18"/>
              </w:rPr>
              <w:t>YES</w:t>
            </w:r>
          </w:p>
        </w:tc>
        <w:tc>
          <w:tcPr>
            <w:tcW w:type="dxa" w:w="1008"/>
            <w:vAlign w:val="center"/>
          </w:tcPr>
          <w:p>
            <w:r/>
            <w:r>
              <w:rPr>
                <w:sz w:val="18"/>
              </w:rPr>
              <w:t>10,233 (open)</w:t>
            </w:r>
          </w:p>
        </w:tc>
        <w:tc>
          <w:tcPr>
            <w:tcW w:type="dxa" w:w="1584"/>
            <w:vAlign w:val="center"/>
          </w:tcPr>
          <w:p>
            <w:r/>
            <w:r>
              <w:rPr>
                <w:sz w:val="18"/>
              </w:rPr>
              <w:t>10,247 (close, +0.4R OPEN)</w:t>
            </w:r>
          </w:p>
        </w:tc>
        <w:tc>
          <w:tcPr>
            <w:tcW w:type="dxa" w:w="1152"/>
            <w:vAlign w:val="center"/>
          </w:tcPr>
          <w:p>
            <w:r/>
            <w:r>
              <w:rPr>
                <w:sz w:val="18"/>
              </w:rPr>
              <w:t>+0.4R OPEN</w:t>
            </w:r>
          </w:p>
        </w:tc>
        <w:tc>
          <w:tcPr>
            <w:tcW w:type="dxa" w:w="1152"/>
            <w:vAlign w:val="center"/>
          </w:tcPr>
          <w:p>
            <w:r/>
            <w:r>
              <w:rPr>
                <w:sz w:val="18"/>
              </w:rPr>
              <w:t>1 session</w:t>
            </w:r>
          </w:p>
        </w:tc>
      </w:tr>
      <w:tr>
        <w:tc>
          <w:tcPr>
            <w:tcW w:type="dxa" w:w="1440"/>
            <w:vAlign w:val="center"/>
          </w:tcPr>
          <w:p>
            <w:r/>
            <w:r>
              <w:rPr>
                <w:sz w:val="18"/>
              </w:rPr>
              <w:t>Mon 12 May (t−1)</w:t>
            </w:r>
          </w:p>
        </w:tc>
        <w:tc>
          <w:tcPr>
            <w:tcW w:type="dxa" w:w="1584"/>
            <w:vAlign w:val="center"/>
          </w:tcPr>
          <w:p>
            <w:r/>
            <w:r>
              <w:rPr>
                <w:sz w:val="18"/>
              </w:rPr>
              <w:t>Trade 2 (RANGE)</w:t>
            </w:r>
          </w:p>
        </w:tc>
        <w:tc>
          <w:tcPr>
            <w:tcW w:type="dxa" w:w="1440"/>
            <w:vAlign w:val="center"/>
          </w:tcPr>
          <w:p>
            <w:r/>
            <w:r>
              <w:rPr>
                <w:sz w:val="18"/>
              </w:rPr>
              <w:t>SHORT</w:t>
            </w:r>
          </w:p>
        </w:tc>
        <w:tc>
          <w:tcPr>
            <w:tcW w:type="dxa" w:w="1728"/>
            <w:vAlign w:val="center"/>
          </w:tcPr>
          <w:p>
            <w:r/>
            <w:r>
              <w:rPr>
                <w:sz w:val="18"/>
              </w:rPr>
              <w:t>NO (no R1.5 tag intraday)</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0R</w:t>
            </w:r>
          </w:p>
        </w:tc>
        <w:tc>
          <w:tcPr>
            <w:tcW w:type="dxa" w:w="1152"/>
            <w:vAlign w:val="center"/>
          </w:tcPr>
          <w:p>
            <w:r/>
            <w:r>
              <w:rPr>
                <w:sz w:val="18"/>
              </w:rPr>
              <w:t>—</w:t>
            </w:r>
          </w:p>
        </w:tc>
      </w:tr>
      <w:tr>
        <w:tc>
          <w:tcPr>
            <w:tcW w:type="dxa" w:w="1440"/>
            <w:vAlign w:val="center"/>
          </w:tcPr>
          <w:p>
            <w:r/>
            <w:r>
              <w:rPr>
                <w:sz w:val="18"/>
              </w:rPr>
              <w:t>Mon 12 May (t−1)</w:t>
            </w:r>
          </w:p>
        </w:tc>
        <w:tc>
          <w:tcPr>
            <w:tcW w:type="dxa" w:w="1584"/>
            <w:vAlign w:val="center"/>
          </w:tcPr>
          <w:p>
            <w:r/>
            <w:r>
              <w:rPr>
                <w:sz w:val="18"/>
              </w:rPr>
              <w:t>Trade 3B (RANGE)</w:t>
            </w:r>
          </w:p>
        </w:tc>
        <w:tc>
          <w:tcPr>
            <w:tcW w:type="dxa" w:w="1440"/>
            <w:vAlign w:val="center"/>
          </w:tcPr>
          <w:p>
            <w:r/>
            <w:r>
              <w:rPr>
                <w:sz w:val="18"/>
              </w:rPr>
              <w:t>SHORT</w:t>
            </w:r>
          </w:p>
        </w:tc>
        <w:tc>
          <w:tcPr>
            <w:tcW w:type="dxa" w:w="1728"/>
            <w:vAlign w:val="center"/>
          </w:tcPr>
          <w:p>
            <w:r/>
            <w:r>
              <w:rPr>
                <w:sz w:val="18"/>
              </w:rPr>
              <w:t>NO</w:t>
            </w:r>
          </w:p>
        </w:tc>
        <w:tc>
          <w:tcPr>
            <w:tcW w:type="dxa" w:w="1008"/>
            <w:vAlign w:val="center"/>
          </w:tcPr>
          <w:p>
            <w:r/>
            <w:r>
              <w:rPr>
                <w:sz w:val="18"/>
              </w:rPr>
              <w:t>—</w:t>
            </w:r>
          </w:p>
        </w:tc>
        <w:tc>
          <w:tcPr>
            <w:tcW w:type="dxa" w:w="1584"/>
            <w:vAlign w:val="center"/>
          </w:tcPr>
          <w:p>
            <w:r/>
            <w:r>
              <w:rPr>
                <w:sz w:val="18"/>
              </w:rPr>
              <w:t>—</w:t>
            </w:r>
          </w:p>
        </w:tc>
        <w:tc>
          <w:tcPr>
            <w:tcW w:type="dxa" w:w="1152"/>
            <w:vAlign w:val="center"/>
          </w:tcPr>
          <w:p>
            <w:r/>
            <w:r>
              <w:rPr>
                <w:sz w:val="18"/>
              </w:rPr>
              <w:t>0R</w:t>
            </w:r>
          </w:p>
        </w:tc>
        <w:tc>
          <w:tcPr>
            <w:tcW w:type="dxa" w:w="1152"/>
            <w:vAlign w:val="center"/>
          </w:tcPr>
          <w:p>
            <w:r/>
            <w:r>
              <w:rPr>
                <w:sz w:val="18"/>
              </w:rPr>
              <w:t>—</w:t>
            </w:r>
          </w:p>
        </w:tc>
      </w:tr>
    </w:tbl>
    <w:p>
      <w:pPr>
        <w:spacing w:after="80"/>
      </w:pPr>
    </w:p>
    <w:p>
      <w:pPr>
        <w:spacing w:after="80"/>
      </w:pPr>
      <w:r>
        <w:rPr>
          <w:b/>
          <w:i w:val="0"/>
          <w:sz w:val="22"/>
        </w:rPr>
        <w:t>§21d  What is working — aggregate</w:t>
      </w:r>
    </w:p>
    <w:p>
      <w:pPr>
        <w:spacing w:after="80"/>
      </w:pPr>
      <w:r>
        <w:rPr>
          <w:b w:val="0"/>
          <w:i w:val="0"/>
          <w:sz w:val="20"/>
        </w:rPr>
        <w:t>Strongest performer over the 5-session window: Trade 3B Mean-Reversion (LONG branch from 10,184 lower-band tagged 09 May, exited +1.0R partial on Mon 11 May). Weakest performers: Trade 2 (no upper-band R1.5 tags during the window; zero triggers in three of five sessions). Mean R outcome across triggered trades: approximately +0.6R (two open positions favourable, one closed +1.0R partial). TP1 hit rate: 50% (1 of 2 closed triggers). TP2 / TP3 hit rate: 0% (closed). Trade 1 daily-directional hit rate: 50% triggered, both open and modestly favourable at resolution window close.</w:t>
      </w:r>
    </w:p>
    <w:p>
      <w:pPr>
        <w:spacing w:after="80"/>
      </w:pPr>
      <w:r>
        <w:rPr>
          <w:b w:val="0"/>
          <w:i/>
          <w:sz w:val="18"/>
        </w:rPr>
        <w:t>Limitations: five-session windows are too small for any statistical claim. The framework cannot model intraday tick-level fills, slippage, or commission. The §21d output reports realised R-outcomes only as directional approximations from official OHLC; live execution will differ.</w:t>
      </w:r>
    </w:p>
    <w:p/>
    <w:p>
      <w:pPr>
        <w:jc w:val="center"/>
      </w:pPr>
      <w:r>
        <w:rPr>
          <w:i/>
          <w:color w:val="808080"/>
          <w:sz w:val="16"/>
        </w:rPr>
        <w:t>FTSE 100  ·  Daily Report  ·  14 May 2026  ·  Senior European Equity Strategist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