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b/>
          <w:bCs/>
          <w:color w:val="1F3864"/>
          <w:sz w:val="36"/>
          <w:szCs w:val="36"/>
        </w:rPr>
        <w:t xml:space="preserve">FTSE 100 Report — Daily: 23 June 2026</w:t>
      </w:r>
    </w:p>
    <w:p>
      <w:pPr>
        <w:pBdr>
          <w:bottom w:val="single" w:color="2E75B6" w:sz="6" w:space="1"/>
        </w:pBdr>
        <w:spacing w:after="40"/>
      </w:pPr>
      <w:r>
        <w:rPr>
          <w:i/>
          <w:iCs/>
          <w:color w:val="555555"/>
          <w:sz w:val="20"/>
          <w:szCs w:val="20"/>
        </w:rPr>
        <w:t xml:space="preserve">With reference to: EURO STOXX 50 · USDX · S&amp;P 500 · DAX 40</w:t>
      </w:r>
    </w:p>
    <w:p>
      <w:pPr>
        <w:spacing w:after="160"/>
      </w:pPr>
      <w:r>
        <w:rPr>
          <w:color w:val="777777"/>
          <w:sz w:val="16"/>
          <w:szCs w:val="16"/>
        </w:rPr>
        <w:t xml:space="preserve">Senior European Equity Strategist · As of 23 June 2026 (Europe/London) · Pre-open anchor 00:00 UK (overridden this session)</w:t>
      </w:r>
    </w:p>
    <w:p>
      <w:pPr>
        <w:pStyle w:val="Heading1"/>
      </w:pPr>
      <w:r>
        <w:t xml:space="preserve">1. Executive Snapshot</w:t>
      </w:r>
    </w:p>
    <w:p>
      <w:pPr>
        <w:spacing w:after="120"/>
      </w:pPr>
      <w:r>
        <w:rPr>
          <w:sz w:val="20"/>
          <w:szCs w:val="20"/>
        </w:rPr>
        <w:t xml:space="preserve">The FTSE 100 enters the 23 June session at a consensus level of approximately 10,439 points (indicative — see §3 and §19), having staged a firm one-day reversal on Monday 22 June that closed at the session high and recovered most of the prior week's drift. Market tone is cautiously constructive. Three drivers dominate: first, easing Middle East risk premium as US–Iran peace-roadmap headlines pulled oil off its highs and lifted European equities through the week; second, a hawkish divergence in central-bank policy — the ECB raised its deposit rate to 2.25% on 11 June (its first hike since 2023) while the Bank of England held Bank Rate at 3.75% on 18 June with two dissenters seeking a hike; and third, a heavy-energy, heavy-miner index composition that leaves the FTSE unusually sensitive to the oil and metals complex. The short-term technical picture is a bullish reversal off a three-day pullback (latest RSI2 ≈ 68, close at the day's high); the medium-term regime reads as transition-to-bullish, with the index holding inside its 10,346–10,489 five-day band beneath the late-February record. Kaufman efficiency classifies the move as weak-trending — directional energy is present but not yet decisive. The single most important watch item is the path of crude oil and the durability of the US–Iran de-escalation, which the FTSE's energy weighting amplifies in both directions. Directional conviction for the session is mildly long (see §21a).</w:t>
      </w:r>
    </w:p>
    <w:p>
      <w:pPr>
        <w:pStyle w:val="Heading1"/>
      </w:pPr>
      <w:r>
        <w:t xml:space="preserve">2. Market Definition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Primary asset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FTSE 100 cash index — UK large-cap benchmark, 100 free-float-weighted constituents (FTSE Russell methodology)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Secondary asset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EURO STOXX 50 — Eurozone blue-chip index, 50 constituents across 8 Eurozone countries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Asset class / scope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Large-cap European equity index; regional (United Kingdom + Eurozone)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Delivery basis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London Stock Exchange regular session 08:00–16:30 UK (FTSE); Xetra 09:00–17:30 CET (STOXX). Cash sessions only.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Unit / currency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Index points; GBP (FTSE). STOXX shown in EUR original.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As-of date / window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23 June 2026 (Europe/London); 5-day lookback (latest completed session 22 June 2026)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</w:pPr>
      <w:r>
        <w:t xml:space="preserve">3. Consensus Price Call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FTSE 100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EURO STOXX 50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Consensus level (last close)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≈ 10,439 pts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≈ 6,303 pts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Consensus range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10,346 – 10,489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6,225 – 6,330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Basis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Cash index close, 22 Jun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Cash index close, 22 Jun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Confidence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Low–Medium (indicative)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Market tone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Cautiously bullish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Bullish</w:t>
            </w:r>
          </w:p>
        </w:tc>
      </w:tr>
    </w:tbl>
    <w:p>
      <w:pPr>
        <w:spacing w:after="120"/>
      </w:pPr>
      <w:r>
        <w:rPr>
          <w:i/>
          <w:iCs/>
          <w:sz w:val="18"/>
          <w:szCs w:val="18"/>
        </w:rPr>
        <w:t xml:space="preserve">Rationale: cross-provider quotes for the FTSE close diverged beyond the strict ±0.10-point index tolerance during validation (reads spanned roughly 10,250 to 10,471 across providers and timestamps), so the FTSE level is reported as a weighted-median consensus and flagged indicative. The EURO STOXX 50 close corroborated more tightly (≈6,302 on 19 Jun, ≈6,303 on 22 Jun) across two independent providers and is reported with higher confidence.</w:t>
      </w:r>
    </w:p>
    <w:p>
      <w:pPr>
        <w:pStyle w:val="Heading1"/>
      </w:pPr>
      <w:r>
        <w:t xml:space="preserve">4. Price Evidence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50"/>
        <w:gridCol w:w="1450"/>
        <w:gridCol w:w="1450"/>
        <w:gridCol w:w="1550"/>
        <w:gridCol w:w="20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Date/Time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Raw quote (FTSE)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Normalized (pts)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Basis/Location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Relevance / Notes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Investing.com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22 Jun close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10,439.40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10,439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London cash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Core — sidebar + history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Trading Economics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19 Jun close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10,364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10,364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London CFD-derived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Core — well corroborated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Yahoo Finance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22 Jun (cached)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10,439–10,471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10,455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London cash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Directional — timestamp drift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London Stock Exchange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22 Jun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range to 22 Jun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Official LSE chart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Core — bound check only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MarketWatch / WSJ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22 Jun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~10,400s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10,420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London cash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Directional corroborator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Investing.com (STOXX)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22 Jun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6,303.75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6,304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Eurozone cash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Core — secondary asset</w:t>
            </w:r>
          </w:p>
        </w:tc>
      </w:tr>
    </w:tbl>
    <w:p>
      <w:pPr>
        <w:spacing w:after="120"/>
      </w:pPr>
      <w:r>
        <w:rPr>
          <w:i/>
          <w:iCs/>
          <w:sz w:val="18"/>
          <w:szCs w:val="18"/>
        </w:rPr>
        <w:t xml:space="preserve">Six independent observations were gathered (minimum met). Retail CFD spread quotes were excluded per source policy; values surviving normalization were weighted by recency and provider tier.</w:t>
      </w:r>
    </w:p>
    <w:p>
      <w:pPr>
        <w:pStyle w:val="Heading1"/>
      </w:pPr>
      <w:r>
        <w:t xml:space="preserve">5. Consensus Build Explanation</w:t>
      </w:r>
    </w:p>
    <w:p>
      <w:pPr>
        <w:spacing w:after="120"/>
      </w:pPr>
      <w:r>
        <w:rPr>
          <w:sz w:val="20"/>
          <w:szCs w:val="20"/>
        </w:rPr>
        <w:t xml:space="preserve">All observations were normalized to GBP index points on a cash-close basis. No FX conversion was required for the FTSE; the EURO STOXX 50 is retained in its native EUR for the level call and converted only where a like-for-like GBP comparison is needed in the volatility panel. The weighted-median method was applied with weights skewed to (a) recency — the 22 June close outranks intraday or prior-session prints — and (b) provider tier, with index-provider and exchange data ranked above general financial media. The principal exclusion was the divergent Yahoo cache, which carried a stale timestamp and a value cluster (10,439–10,471) inconsistent with the same provider's prior-close field; it was retained only as directional corroboration, not as a defining observation. The final FTSE number (≈10,439) is the most defensible because it is the most recent close that at least one core provider published explicitly and sits at the top of the corroborated 5-day band, consistent with Monday's bullish-reversal candle. It is nonetheless flagged indicative because no second core provider confirmed it within the ±0.10-point tolerance at the same timestamp.</w:t>
      </w:r>
    </w:p>
    <w:p>
      <w:r>
        <w:br w:type="page"/>
      </w:r>
    </w:p>
    <w:p>
      <w:pPr>
        <w:pStyle w:val="Heading1"/>
      </w:pPr>
      <w:r>
        <w:t xml:space="preserve">6. Validated OHLC + RSI2 Table (5-Day)</w:t>
      </w:r>
    </w:p>
    <w:p>
      <w:pPr>
        <w:spacing w:after="120"/>
      </w:pPr>
      <w:r>
        <w:rPr>
          <w:i/>
          <w:iCs/>
          <w:sz w:val="18"/>
          <w:szCs w:val="18"/>
        </w:rPr>
        <w:t xml:space="preserve">FTSE 100 — last five completed sessions. Validation outcome reflects cross-provider corroboration status; the index tolerance is ±0.10 points.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80"/>
        <w:gridCol w:w="1080"/>
        <w:gridCol w:w="1080"/>
        <w:gridCol w:w="1080"/>
        <w:gridCol w:w="1100"/>
        <w:gridCol w:w="720"/>
        <w:gridCol w:w="920"/>
        <w:gridCol w:w="1100"/>
        <w:gridCol w:w="1100"/>
      </w:tblGrid>
      <w:tr>
        <w:trPr>
          <w:tblHeader/>
        </w:trP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Open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Close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RSI2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Trend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Final used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16 Jun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10,412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10,468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10,377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10,455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Neutral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10,455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SINGLE-SRC (ind.)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17 Jun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10,455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10,489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10,401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10,438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0.0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Neutral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10,438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SINGLE-SRC (ind.)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18 Jun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10,438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10,452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10,362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10,399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0.0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Bearish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10,399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SINGLE-SRC (ind.)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19 Jun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10,399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10,418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10,353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10,364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0.0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Bearish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10,364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CORROBORATED Δ≈0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22 Jun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10,383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10,439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10,346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10,439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68.2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Bullish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10,439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SINGLE-SRC (ind.)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</w:pPr>
      <w:r>
        <w:rPr>
          <w:i/>
          <w:iCs/>
          <w:sz w:val="18"/>
          <w:szCs w:val="18"/>
        </w:rPr>
        <w:t xml:space="preserve">EURO STOXX 50 — last five completed sessions (EUR).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80"/>
        <w:gridCol w:w="1080"/>
        <w:gridCol w:w="1080"/>
        <w:gridCol w:w="1080"/>
        <w:gridCol w:w="1100"/>
        <w:gridCol w:w="720"/>
        <w:gridCol w:w="920"/>
        <w:gridCol w:w="1100"/>
        <w:gridCol w:w="1100"/>
      </w:tblGrid>
      <w:tr>
        <w:trPr>
          <w:tblHeader/>
        </w:trP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Open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Close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RSI2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Trend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Final used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16 Jun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6,120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6,175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6,098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6,168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Bullish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6,168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SINGLE-SRC (ind.)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17 Jun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6,168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6,205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6,150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6,188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50.0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Neutral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6,188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SINGLE-SRC (ind.)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18 Jun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6,188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6,240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6,175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6,232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100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Bullish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6,232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SINGLE-SRC (ind.)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19 Jun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6,232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6,320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6,225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6,302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100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Bullish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6,302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CORROBORATED Δ≈0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22 Jun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6,302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6,330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6,280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6,303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100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Bullish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6,303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CORROBORATED Δ≈1</w:t>
            </w:r>
          </w:p>
        </w:tc>
      </w:tr>
    </w:tbl>
    <w:p>
      <w:pPr>
        <w:spacing w:after="120"/>
      </w:pPr>
      <w:r>
        <w:rPr>
          <w:i/>
          <w:iCs/>
          <w:sz w:val="18"/>
          <w:szCs w:val="18"/>
        </w:rPr>
        <w:t xml:space="preserve">RSI2 is computed at fixed period 2 from the validated close sequence (seeded with the prior available close). Rows marked indicative may not anchor pivot or stop calculations under normal discipline; this session proceeds with them flagged, per the run instruction to retain strategy output despite incomplete corroboration.</w:t>
      </w:r>
    </w:p>
    <w:p>
      <w:r>
        <w:br w:type="page"/>
      </w:r>
    </w:p>
    <w:p>
      <w:pPr>
        <w:pStyle w:val="Heading1"/>
      </w:pPr>
      <w:r>
        <w:t xml:space="preserve">7. Charts</w:t>
      </w:r>
    </w:p>
    <w:p>
      <w:pPr>
        <w:spacing w:after="120"/>
      </w:pPr>
      <w:r>
        <w:rPr>
          <w:i/>
          <w:iCs/>
          <w:sz w:val="18"/>
          <w:szCs w:val="18"/>
        </w:rPr>
        <w:t xml:space="preserve">Five charts are produced for this session. All are sized to the page content area.</w:t>
      </w:r>
    </w:p>
    <w:p>
      <w:pPr>
        <w:spacing w:after="120"/>
      </w:pPr>
      <w:r>
        <w:rPr>
          <w:b/>
          <w:bCs/>
          <w:sz w:val="18"/>
          <w:szCs w:val="18"/>
        </w:rPr>
        <w:t xml:space="preserve">7.1 — Five-day OHLC candlesticks. The three red bodies (17–19 Jun) trace the pullback; Monday's green body closes at its high.</w:t>
      </w:r>
    </w:p>
    <w:p>
      <w:pPr>
        <w:spacing w:after="80" w:before="80"/>
        <w:jc w:val="center"/>
      </w:pPr>
      <w:r>
        <w:drawing>
          <wp:inline distT="0" distB="0" distL="0" distR="0">
            <wp:extent cx="5486400" cy="2962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  <w:sz w:val="18"/>
          <w:szCs w:val="18"/>
        </w:rPr>
        <w:t xml:space="preserve">7.2 — Distance from session open. Monday's strong positive bar (+56 pts open-to-close) is the standout reversal signal.</w:t>
      </w:r>
    </w:p>
    <w:p>
      <w:pPr>
        <w:spacing w:after="80" w:before="80"/>
        <w:jc w:val="center"/>
      </w:pPr>
      <w:r>
        <w:drawing>
          <wp:inline distT="0" distB="0" distL="0" distR="0">
            <wp:extent cx="5486400" cy="2619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  <w:sz w:val="18"/>
          <w:szCs w:val="18"/>
        </w:rPr>
        <w:t xml:space="preserve">7.3 — Close structure within the 5-day swing band (10,346–10,489).</w:t>
      </w:r>
    </w:p>
    <w:p>
      <w:pPr>
        <w:spacing w:after="80" w:before="80"/>
        <w:jc w:val="center"/>
      </w:pPr>
      <w:r>
        <w:drawing>
          <wp:inline distT="0" distB="0" distL="0" distR="0">
            <wp:extent cx="5486400" cy="2619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  <w:sz w:val="18"/>
          <w:szCs w:val="18"/>
        </w:rPr>
        <w:t xml:space="preserve">7.4 — Comparative 5-day volatility across the index and its counters.</w:t>
      </w:r>
    </w:p>
    <w:p>
      <w:pPr>
        <w:spacing w:after="80" w:before="80"/>
        <w:jc w:val="center"/>
      </w:pPr>
      <w:r>
        <w:drawing>
          <wp:inline distT="0" distB="0" distL="0" distR="0">
            <wp:extent cx="5486400" cy="2619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  <w:sz w:val="18"/>
          <w:szCs w:val="18"/>
        </w:rPr>
        <w:t xml:space="preserve">7.5 — Weekly candles against the daily floor pivots in force for the 23 June session.</w:t>
      </w:r>
    </w:p>
    <w:p>
      <w:pPr>
        <w:spacing w:after="80" w:before="80"/>
        <w:jc w:val="center"/>
      </w:pPr>
      <w:r>
        <w:drawing>
          <wp:inline distT="0" distB="0" distL="0" distR="0">
            <wp:extent cx="5486400" cy="3133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8. Short-Term Technical Analysis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Candle-by-candle (see §6):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16 Jun — modest bullish body, close near the upper third of range; constructive open to the week.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17 Jun — small bearish body, upper wick into 10,489 (the 5-day swing high); first sign of supply overhead.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18 Jun — bearish body, lower wick; the Bank of England hold-with-dissent did not lift the index. Close in the lower half of range.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19 Jun — bearish continuation, close near the low at 10,364 as miners and precious-metal names led losses; this is the corroborated anchor of the block.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22 Jun — decisive bullish reversal: close at the session high (10,439), full recovery of Friday's loss, RSI2 snapping from oversold to 68. Close location ≈100% of range.</w:t>
      </w:r>
    </w:p>
    <w:p>
      <w:pPr>
        <w:spacing w:after="120"/>
      </w:pPr>
      <w:r>
        <w:rPr>
          <w:sz w:val="20"/>
          <w:szCs w:val="20"/>
        </w:rPr>
        <w:t xml:space="preserve">Sequence assessment: a three-session pullback (17–19 Jun) resolved into a single-session bullish reversal that retraced the move. The pattern is a near-term momentum flip rather than a sustained continuation — closes did not travel in one direction, and overlap is high. The read is consistent with the medium-term transition regime in §9: short-term bullish, structurally undecided. Nearest support ≈10,346 (Monday's low / 5-day swing low); nearest resistance ≈10,489 (5-day swing high), with the February record well above.</w:t>
      </w:r>
    </w:p>
    <w:p>
      <w:pPr>
        <w:pStyle w:val="Heading1"/>
      </w:pPr>
      <w:r>
        <w:t xml:space="preserve">9. Medium-Term Regime &amp; VOLator</w:t>
      </w:r>
    </w:p>
    <w:p>
      <w:pPr>
        <w:spacing w:after="120"/>
      </w:pPr>
      <w:r>
        <w:rPr>
          <w:sz w:val="20"/>
          <w:szCs w:val="20"/>
        </w:rPr>
        <w:t xml:space="preserve">Regime classification: TRANSITION with a bullish tilt. The 25-session structure shows the index ranging in the low-to-mid 10,300s–10,500s through May–June after the late-February record at 10,910, with overlap high and persistence low — neither a clean uptrend nor a clean downtrend. Monday's reversal pushes the short-term signal bullish but does not, on its own, convert the medium-term label.</w:t>
      </w:r>
    </w:p>
    <w:p>
      <w:pPr>
        <w:spacing w:after="120"/>
      </w:pPr>
      <w:r>
        <w:rPr>
          <w:sz w:val="20"/>
          <w:szCs w:val="20"/>
        </w:rPr>
        <w:t xml:space="preserve">VOLator (ATR-based, history-scaled): five-day true range on the FTSE averages ≈84 points (~0.81% of price), modest relative to the EURO STOXX 50 (~1.05%) and DAX (~1.18%) and well below crisis levels. The VOLator slope is flat-to-slightly-positive — volatility is expanding gently off a compressed base as the reversal printed, not contracting. Kaufman efficiency reads weak-trending (just above the trend threshold): directional energy exists but is not decisive. Net: a low-volatility transition with a fresh bullish impulse — the dual-gate range condition is not satisfied, so the consolidated label is TRANSITION, not RANGE.</w:t>
      </w:r>
    </w:p>
    <w:p>
      <w:pPr>
        <w:pStyle w:val="Heading1"/>
      </w:pPr>
      <w:r>
        <w:t xml:space="preserve">10. Cross-Asset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400"/>
        <w:gridCol w:w="606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Counter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Read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Mechanism vs FTSE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USDX (Dollar Index)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Neutral→Confirm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Dollar broadly flat near 100. A softer GBP vs USD mechanically lifts FTSE multinationals via earnings translation; currently a mild tailwind, not decisive.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S&amp;P 500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Confirm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 large-cap firm (S&amp;P closed up ~1% on 22 Jun, near record). Cross-Atlantic risk appetite is supportive; common-factor beta positive for European equity.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DAX 40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Confirm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German blue-chips firm alongside the broader Eurozone rally. Industrials-heavy DAX strength corroborates the European risk-on read that lifted the EURO STOXX 50.</w:t>
            </w:r>
          </w:p>
        </w:tc>
      </w:tr>
    </w:tbl>
    <w:p>
      <w:pPr>
        <w:spacing w:after="120"/>
      </w:pPr>
      <w:r>
        <w:rPr>
          <w:i/>
          <w:iCs/>
          <w:sz w:val="18"/>
          <w:szCs w:val="18"/>
        </w:rPr>
        <w:t xml:space="preserve">Aggregate cross-asset signal: CONFIRM. Two of three counters confirm the bullish short-term read and none contradict; USDX is neutral-leaning-supportive. No contradiction to flag.</w:t>
      </w:r>
    </w:p>
    <w:p>
      <w:r>
        <w:br w:type="page"/>
      </w:r>
    </w:p>
    <w:p>
      <w:pPr>
        <w:pStyle w:val="Heading1"/>
      </w:pPr>
      <w:r>
        <w:t xml:space="preserve">11. Floor Pivot Analysis</w:t>
      </w:r>
    </w:p>
    <w:p>
      <w:pPr>
        <w:spacing w:after="120"/>
      </w:pPr>
      <w:r>
        <w:rPr>
          <w:sz w:val="18"/>
          <w:szCs w:val="18"/>
        </w:rPr>
        <w:t xml:space="preserve">Daily floor pivots for the 23 June session (derived from the 22 June high/low/close 10,439 / 10,346 / 10,439):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0"/>
        <w:gridCol w:w="1340"/>
        <w:gridCol w:w="1340"/>
        <w:gridCol w:w="1340"/>
        <w:gridCol w:w="1340"/>
        <w:gridCol w:w="1340"/>
        <w:gridCol w:w="1320"/>
      </w:tblGrid>
      <w:tr>
        <w:trPr>
          <w:tblHeader/>
        </w:trPr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S3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S2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S1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R1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R2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R3</w:t>
            </w:r>
          </w:p>
        </w:tc>
      </w:tr>
      <w:tr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10,284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10,315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10,377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10,408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10,470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10,501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10,563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</w:pPr>
      <w:r>
        <w:rPr>
          <w:sz w:val="18"/>
          <w:szCs w:val="18"/>
        </w:rPr>
        <w:t xml:space="preserve">Weekly floor pivots (from the 15–19 June range, H/L/C 10,489 / 10,353 / 10,364):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0"/>
        <w:gridCol w:w="1340"/>
        <w:gridCol w:w="1340"/>
        <w:gridCol w:w="1340"/>
        <w:gridCol w:w="1340"/>
        <w:gridCol w:w="1340"/>
        <w:gridCol w:w="1320"/>
      </w:tblGrid>
      <w:tr>
        <w:trPr>
          <w:tblHeader/>
        </w:trPr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S3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S2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S1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R1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R2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R3</w:t>
            </w:r>
          </w:p>
        </w:tc>
      </w:tr>
      <w:tr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10,217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10,282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10,360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10,425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10,503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10,568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10,646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</w:pPr>
      <w:r>
        <w:rPr>
          <w:sz w:val="20"/>
          <w:szCs w:val="20"/>
        </w:rPr>
        <w:t xml:space="preserve">Position narrative: the 22 June close (≈10,439) sits above the daily central pivot P (10,408) and just below daily R1 (10,470) — a constructive close in the upper pivot band. It is also above the weekly pivot (10,425). The nearest overhead is the daily R1 / 5-day swing-high cluster at 10,470–10,489; the nearest support shelf is daily S1 / weekly S1 at 10,360–10,377, reinforced by Monday's low at 10,346. All pivot inputs inherit the indicative corroboration flag from §6 and §19.</w:t>
      </w:r>
    </w:p>
    <w:p>
      <w:pPr>
        <w:pStyle w:val="Heading1"/>
      </w:pPr>
      <w:r>
        <w:t xml:space="preserve">12. Key Market Considerations</w:t>
      </w:r>
    </w:p>
    <w:p>
      <w:pPr>
        <w:spacing w:after="120"/>
      </w:pPr>
      <w:r>
        <w:rPr>
          <w:sz w:val="20"/>
          <w:szCs w:val="20"/>
        </w:rPr>
        <w:t xml:space="preserve">Supply / sector composition (price-supportive, conditional): the FTSE's heavy energy (Shell, BP) and mining weighting means the index tracks the oil and metals complex closely. The mid-June pullback was led by miners and precious-metal names; Monday's recovery coincided with firmer energy and a softer oil tape as Strait-of-Hormuz transit reportedly resumed.</w:t>
      </w:r>
    </w:p>
    <w:p>
      <w:pPr>
        <w:spacing w:after="120"/>
      </w:pPr>
      <w:r>
        <w:rPr>
          <w:sz w:val="20"/>
          <w:szCs w:val="20"/>
        </w:rPr>
        <w:t xml:space="preserve">Demand / risk appetite (supportive): global equity sentiment improved on US–Iran peace-roadmap headlines, with European indices and US large-cap near records into 22 June.</w:t>
      </w:r>
    </w:p>
    <w:p>
      <w:pPr>
        <w:spacing w:after="120"/>
      </w:pPr>
      <w:r>
        <w:rPr>
          <w:sz w:val="20"/>
          <w:szCs w:val="20"/>
        </w:rPr>
        <w:t xml:space="preserve">Policy (mixed): the ECB hiked to a 2.25% deposit rate on 11 June — supportive for Eurozone banks (a large STOXX weight) but a headwind to rate-sensitive sectors. The BoE held at 3.75% on 18 June with two hawkish dissents, leaving UK policy on hold but with a hawkish tail risk.</w:t>
      </w:r>
    </w:p>
    <w:p>
      <w:pPr>
        <w:spacing w:after="120"/>
      </w:pPr>
      <w:r>
        <w:rPr>
          <w:sz w:val="20"/>
          <w:szCs w:val="20"/>
        </w:rPr>
        <w:t xml:space="preserve">Macro / FX (supportive at the margin): a broadly flat-to-soft dollar and the FTSE's ~80% overseas revenue base mean GBP weakness flatters reported earnings.</w:t>
      </w:r>
    </w:p>
    <w:p>
      <w:pPr>
        <w:spacing w:after="120"/>
      </w:pPr>
      <w:r>
        <w:rPr>
          <w:sz w:val="20"/>
          <w:szCs w:val="20"/>
        </w:rPr>
        <w:t xml:space="preserve">Near-term catalysts: the dominant swing factor is the durability of Middle East de-escalation and the oil path. The next scheduled policy events fall outside the 5-day horizon (ECB 23 July, BoE 30 July) — see §13d.</w:t>
      </w:r>
    </w:p>
    <w:p>
      <w:r>
        <w:br w:type="page"/>
      </w:r>
    </w:p>
    <w:p>
      <w:pPr>
        <w:pStyle w:val="Heading1"/>
      </w:pPr>
      <w:r>
        <w:t xml:space="preserve">13. Sentiment, News &amp; Calendar</w:t>
      </w:r>
    </w:p>
    <w:p>
      <w:pPr>
        <w:spacing w:after="120"/>
      </w:pPr>
      <w:r>
        <w:rPr>
          <w:b/>
          <w:bCs/>
          <w:sz w:val="18"/>
          <w:szCs w:val="18"/>
        </w:rPr>
        <w:t xml:space="preserve">13a — Per-article sentiment (FTSE 100). Derivation quotes are paraphrased to ≤15-word equivalents.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100"/>
        <w:gridCol w:w="1300"/>
        <w:gridCol w:w="466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Source / class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Sentiment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Derivation (paraphrased)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Trading Economics (Media)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Media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Bearish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FTSE fell ~0.4% Fri on volatile oil and renewed Israel-Lebanon tension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Trading Economics (Media)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Media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Bullish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Energy stocks gained; FTSE recovered Monday as oil tape softened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Reuters/Investing wrap (Media)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Media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Bullish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European stocks close higher on Middle East peace-deal optimism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Commons Library / BoE (Official)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Official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Neutral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MPC held Bank Rate at 3.75%; two members sought a hike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ECB statement (Official)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Official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Neutral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ECB raised rates 25bp; robust across Middle East scenarios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Goldman via Investing (Inst.)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Institutional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Bullish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Goldman raised STOXX 600 targets, flagged building M&amp;A momentum</w:t>
            </w:r>
          </w:p>
        </w:tc>
      </w:tr>
    </w:tbl>
    <w:p>
      <w:pPr>
        <w:spacing w:after="120"/>
      </w:pPr>
      <w:r>
        <w:rPr>
          <w:sz w:val="20"/>
          <w:szCs w:val="20"/>
        </w:rPr>
        <w:t xml:space="preserve">13b — Aggregate sentiment. FTSE 100: 3 Bullish (1 institutional, 2 media), 2 Neutral (official), 1 Bearish (media). Categorical: Predominantly Bullish. Numeric tilt (weighted): institutional bullish (w1.0×+1), two media bullish (w0.5×+1 each), one media bearish (w0.5×−1), two official neutral (w1.0×0) → Σw·s = +1.0; Σw = 4.0 → tilt = +0.25. Reported: Predominantly Bullish (tilt = +0.25). EURO STOXX 50: Predominantly Bullish (tilt ≈ +0.40), stronger institutional support.</w:t>
      </w:r>
    </w:p>
    <w:p>
      <w:pPr>
        <w:spacing w:after="120"/>
      </w:pPr>
      <w:r>
        <w:rPr>
          <w:sz w:val="20"/>
          <w:szCs w:val="20"/>
        </w:rPr>
        <w:t xml:space="preserve">13c — Divergence flag: none material. Aggregate sentiment (bullish) aligns with Monday's bullish price reversal and the CONFIRM cross-asset read. The institutional bullish skew is the higher-reliability signal in the current risk-on regime.</w:t>
      </w:r>
    </w:p>
    <w:p>
      <w:pPr>
        <w:spacing w:after="120"/>
      </w:pPr>
      <w:r>
        <w:rPr>
          <w:b/>
          <w:bCs/>
          <w:sz w:val="18"/>
          <w:szCs w:val="18"/>
        </w:rPr>
        <w:t xml:space="preserve">13d — News calendar.</w:t>
      </w:r>
    </w:p>
    <w:p>
      <w:pPr>
        <w:spacing w:after="120"/>
      </w:pPr>
      <w:r>
        <w:rPr>
          <w:b/>
          <w:bCs/>
          <w:sz w:val="18"/>
          <w:szCs w:val="18"/>
        </w:rPr>
        <w:t xml:space="preserve">Previous period (5 days to 22 Jun):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2400"/>
        <w:gridCol w:w="1100"/>
        <w:gridCol w:w="19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Context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Implication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Wed 17 Jun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ECB hike effective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Deposit rate to 2.25%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Supportive for STOXX banks; rate headwind elsewhere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Thu 18 Jun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BoE Bank Rate decision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Held 3.75%, 7-2 vote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No lift to FTSE; hawkish dissent a tail risk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Fri 19 Jun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UK borrowing / retail sales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Borrowing £23.3bn; sales +1.2%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Medium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Mixed; miners led FTSE -0.4% on oil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Mon 22 Jun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Middle East de-escalation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Hormuz transit resumes; peace roadmap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Risk-on; FTSE +0.73%, European indices higher</w:t>
            </w:r>
          </w:p>
        </w:tc>
      </w:tr>
    </w:tbl>
    <w:p>
      <w:pPr>
        <w:spacing w:after="120"/>
      </w:pPr>
      <w:r>
        <w:rPr>
          <w:b/>
          <w:bCs/>
          <w:sz w:val="18"/>
          <w:szCs w:val="18"/>
        </w:rPr>
        <w:t xml:space="preserve">Upcoming period (5 sessions from 23 Jun):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2400"/>
        <w:gridCol w:w="1100"/>
        <w:gridCol w:w="19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Context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Implication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23–27 Jun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Middle East / oil headlines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Durability of US-Iran de-escalation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Primary swing factor — FTSE energy weighting amplifies the oil path both ways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Wk of 23 Jun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UK / EZ PMI flashes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Activity gauges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Medium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Beat lifts cyclicals; miss revives growth worry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Wk of 23 Jun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US data / Fed-speak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Cross-Atlantic risk tone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Medium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Drives S&amp;P beta into European open</w:t>
            </w:r>
          </w:p>
        </w:tc>
      </w:tr>
    </w:tbl>
    <w:p>
      <w:pPr>
        <w:spacing w:after="120"/>
      </w:pPr>
      <w:r>
        <w:rPr>
          <w:i/>
          <w:iCs/>
          <w:sz w:val="18"/>
          <w:szCs w:val="18"/>
        </w:rPr>
        <w:t xml:space="preserve">Highest-impact upcoming item (bold above): the oil/Middle East path — a renewed escalation that lifts crude would cut both ways for the FTSE (energy majors up, broad risk down), while continued de-escalation favours the bullish base case.</w:t>
      </w:r>
    </w:p>
    <w:p>
      <w:pPr>
        <w:pStyle w:val="Heading1"/>
      </w:pPr>
      <w:r>
        <w:t xml:space="preserve">14. Macro Context</w:t>
      </w:r>
    </w:p>
    <w:p>
      <w:pPr>
        <w:spacing w:after="120"/>
      </w:pPr>
      <w:r>
        <w:rPr>
          <w:sz w:val="20"/>
          <w:szCs w:val="20"/>
        </w:rPr>
        <w:t xml:space="preserve">Rates: BoE on hold at 3.75% (two dissents for a hike); ECB tightening to a 2.25% deposit rate, its first hike since 2023, driven by an energy-led inflation impulse from the Middle East conflict. UK CPI ran 2.8% in May, with the BoE flagging a near-3% Q3 path.</w:t>
      </w:r>
    </w:p>
    <w:p>
      <w:pPr>
        <w:spacing w:after="120"/>
      </w:pPr>
      <w:r>
        <w:rPr>
          <w:sz w:val="20"/>
          <w:szCs w:val="20"/>
        </w:rPr>
        <w:t xml:space="preserve">Inflation / energy: the dominant macro variable is oil. The mid-June risk premium has partly unwound on de-escalation, easing the inflation tail and supporting equities — but the FTSE's energy majors mean lower oil is not unambiguously positive for the index.</w:t>
      </w:r>
    </w:p>
    <w:p>
      <w:pPr>
        <w:spacing w:after="120"/>
      </w:pPr>
      <w:r>
        <w:rPr>
          <w:sz w:val="20"/>
          <w:szCs w:val="20"/>
        </w:rPr>
        <w:t xml:space="preserve">FX / liquidity: a broadly flat dollar (USDX ≈100) and on-hold UK policy leave GBP rangebound; any GBP softness flatters FTSE multinationals (see §10).</w:t>
      </w:r>
    </w:p>
    <w:p>
      <w:pPr>
        <w:spacing w:after="120"/>
      </w:pPr>
      <w:r>
        <w:rPr>
          <w:sz w:val="20"/>
          <w:szCs w:val="20"/>
        </w:rPr>
        <w:t xml:space="preserve">Positioning: cross-Atlantic risk appetite firm with US large-cap near records (see §10 S&amp;P read). Watch items per §13d are the oil path and the UK/EZ PMI flashes.</w:t>
      </w:r>
    </w:p>
    <w:p>
      <w:r>
        <w:br w:type="page"/>
      </w:r>
    </w:p>
    <w:p>
      <w:pPr>
        <w:pStyle w:val="Heading1"/>
      </w:pPr>
      <w:r>
        <w:t xml:space="preserve">15. Bull / Bear Balance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Upside risks (bull)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Downside risks (bear)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• Continued Middle East de-escalation keeps oil contained and risk appetite firm.
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• Renewed escalation / Hormuz disruption spikes oil and broad risk-off.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• Cross-Atlantic strength (S&amp;P near record) and DAX confirm (see §10).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• Hawkish BoE dissent crystallises into a hike, pressuring rate-sensitives.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• Bullish 22 Jun reversal holds above daily P (10,408) / weekly P (10,425).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• Failure back below the 10,360–10,377 pivot shelf re-opens 10,315 / 10,284.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• Predominantly bullish sentiment (tilt +0.25) with institutional skew.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• Transition regime, not a clean uptrend — reversal could fade at R1/swing high 10,470–10,489.</w:t>
            </w:r>
          </w:p>
        </w:tc>
      </w:tr>
    </w:tbl>
    <w:p>
      <w:pPr>
        <w:spacing w:after="120"/>
      </w:pPr>
      <w:r>
        <w:rPr>
          <w:i/>
          <w:iCs/>
          <w:sz w:val="18"/>
          <w:szCs w:val="18"/>
        </w:rPr>
        <w:t xml:space="preserve">Balance: the upside edge is modest. Price sits in the upper pivot band with a fresh bullish impulse and cross-asset confirmation, but the medium-term regime is transitional and the overhead 10,470–10,489 cluster is the immediate test. The 23–27 Jun oil path (see §13d) is the binding swing factor.</w:t>
      </w:r>
    </w:p>
    <w:p>
      <w:pPr>
        <w:pStyle w:val="Heading1"/>
      </w:pPr>
      <w:r>
        <w:t xml:space="preserve">16. Forward View</w:t>
      </w:r>
    </w:p>
    <w:p>
      <w:pPr>
        <w:spacing w:after="120"/>
      </w:pPr>
      <w:r>
        <w:rPr>
          <w:sz w:val="20"/>
          <w:szCs w:val="20"/>
        </w:rPr>
        <w:t xml:space="preserve">Expected direction over the next five sessions: mildly higher, base case. The bullish 22 June reversal, the CONFIRM cross-asset read, and a predominantly bullish sentiment tilt favour a grind toward the 10,470–10,489 resistance cluster, with a clean break opening the 10,501–10,563 daily R2/R3 zone. Expected trading range: roughly 10,346–10,520, skewed to the upper half. This view respects the medium-term transition regime (see §9) rather than asserting a trend; it would be invalidated by a daily close back below the 10,360–10,377 pivot shelf, which would re-expose 10,315 and 10,284 and flip the near-term bias neutral-to-bearish. The dominant external risk to the base case is an oil-driven Middle East re-escalation (see §13d).</w:t>
      </w:r>
    </w:p>
    <w:p>
      <w:pPr>
        <w:pStyle w:val="Heading1"/>
      </w:pPr>
      <w:r>
        <w:t xml:space="preserve">17. Forecast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The FTSE 100 is biased mildly higher over the next five sessions toward the 10,470–10,489 resistance cluster, supported by Monday's bullish reversal, cross-asset confirmation, and a predominantly bullish sentiment tilt, with a daily close below 10,360 negating the call.</w:t>
      </w:r>
    </w:p>
    <w:p>
      <w:pPr>
        <w:pStyle w:val="Heading1"/>
      </w:pPr>
      <w:r>
        <w:t xml:space="preserve">18. Final Analyst Judgement</w:t>
      </w:r>
    </w:p>
    <w:p>
      <w:pPr>
        <w:spacing w:after="120"/>
      </w:pPr>
      <w:r>
        <w:rPr>
          <w:sz w:val="20"/>
          <w:szCs w:val="20"/>
        </w:rPr>
        <w:t xml:space="preserve">Consensus price call: ≈10,439 points (indicative), cautiously bullish tone, Low–Medium confidence on the level owing to cross-provider divergence. The three most important reasons for the current level: (1) Monday's decisive bullish reversal off a three-day pullback, closing at the session high; (2) easing Middle East risk premium and firm cross-Atlantic risk appetite; and (3) a constructive pivot position above the daily and weekly central pivots. Single watch item: the oil price / Middle East de-escalation path, which the FTSE's energy weighting amplifies.</w:t>
      </w:r>
    </w:p>
    <w:p>
      <w:pPr>
        <w:pStyle w:val="Heading1"/>
      </w:pPr>
      <w:r>
        <w:t xml:space="preserve">19. Source Discipline Note</w:t>
      </w:r>
    </w:p>
    <w:p>
      <w:pPr>
        <w:spacing w:after="120"/>
      </w:pPr>
      <w:r>
        <w:rPr>
          <w:sz w:val="20"/>
          <w:szCs w:val="20"/>
        </w:rPr>
        <w:t xml:space="preserve">Live vs indicative: the EURO STOXX 50 close corroborated across two independent providers within tolerance (19 Jun ≈6,302; 22 Jun ≈6,303) and is treated as live. The FTSE 100 close did NOT achieve two-source corroboration within the ±0.10-point index tolerance at a common timestamp — provider reads spanned ≈10,250 to ≈10,471 across timestamps. Only the 19 June FTSE close (≈10,364) corroborated cleanly. All other FTSE OHLC fields, and therefore all FTSE daily and weekly pivot inputs, carry the SINGLE-SOURCE-INDICATIVE flag.</w:t>
      </w:r>
    </w:p>
    <w:p>
      <w:pPr>
        <w:spacing w:after="120"/>
      </w:pPr>
      <w:r>
        <w:rPr>
          <w:sz w:val="20"/>
          <w:szCs w:val="20"/>
        </w:rPr>
        <w:t xml:space="preserve">Under standard discipline this would suppress level-based entries and, strictly, halt the run. This session was explicitly instructed to proceed and to retain strategy output despite incomplete corroboration; accordingly, the strategy section is produced with every indicative dependency flagged in the trade-card caveats. Data gaps: no single provider returned a clean dual-source 5-day FTSE OHLC set; values used are weighted-median consensus. Normalization: FTSE in GBP points, STOXX in EUR points; no FX applied to level calls.</w:t>
      </w:r>
    </w:p>
    <w:p>
      <w:r>
        <w:br w:type="page"/>
      </w:r>
    </w:p>
    <w:p>
      <w:pPr>
        <w:pStyle w:val="Heading1"/>
      </w:pPr>
      <w:r>
        <w:t xml:space="preserve">20. Agent Log</w:t>
      </w:r>
    </w:p>
    <w:p>
      <w:pPr>
        <w:spacing w:after="120"/>
      </w:pPr>
      <w:r>
        <w:rPr>
          <w:sz w:val="20"/>
          <w:szCs w:val="20"/>
        </w:rPr>
        <w:t xml:space="preserve">Sources attempted (FTSE close, in rank order): Investing.com (returned 22 Jun ≈10,439); Trading Economics (19 Jun ≈10,364, corroborated that session); Yahoo Finance (stale-timestamp cluster 10,439–10,471, demoted to directional); London Stock Exchange (range/bound check); MarketWatch/WSJ (directional ~10,400s). EURO STOXX 50: Trading Economics (6,302) × Investing.com (6,303/6,304) corroborated within tolerance.</w:t>
      </w:r>
    </w:p>
    <w:p>
      <w:pPr>
        <w:spacing w:after="120"/>
      </w:pPr>
      <w:r>
        <w:rPr>
          <w:sz w:val="20"/>
          <w:szCs w:val="20"/>
        </w:rPr>
        <w:t xml:space="preserve">Validation method: cross-provider close comparison against the ±0.10-point index tolerance. Corroborated pair achieved for FTSE only on 19 Jun (Δ≈0) and for STOXX on 19/22 Jun (Δ≈0–1). All other FTSE OHLC fields remained single-source after the provider stack diverged beyond tolerance — logged as indicative by session date and field.</w:t>
      </w:r>
    </w:p>
    <w:p>
      <w:pPr>
        <w:spacing w:after="120"/>
      </w:pPr>
      <w:r>
        <w:rPr>
          <w:sz w:val="20"/>
          <w:szCs w:val="20"/>
        </w:rPr>
        <w:t xml:space="preserve">Sentiment derivation: six articles classified from explicit language (see §13a); aggregate tilt +0.25 (low-confidence note: institutional articles present, count ≥3, so not flagged low-confidence). Direction-score weights used at locked defaults (no tuning applied; session is within the 20-session lock window). Forecast reasoning: short-term bullish reversal + CONFIRM cross-asset + bullish tilt, bounded by transition regime. Anomalies: FTSE corroboration failure (would normally halt) — overridden by run instruction to proceed and retain strategy output; every dependent level flagged indicative. Strategy trace: direction score +0.61 → LONG; Trade 2 dependent on indicative pivots (flagged, retained per instruction); backtest reconstructed over five prior sessions with t-1 freeze. Run timestamp: 23 Jun 2026, Europe/London.</w:t>
      </w:r>
    </w:p>
    <w:p>
      <w:r>
        <w:br w:type="page"/>
      </w:r>
    </w:p>
    <w:p>
      <w:pPr>
        <w:pStyle w:val="Heading1"/>
      </w:pPr>
      <w:r>
        <w:t xml:space="preserve">21. Strategy Recommendations</w:t>
      </w:r>
    </w:p>
    <w:p>
      <w:pPr>
        <w:spacing w:after="120"/>
      </w:pPr>
      <w:r>
        <w:rPr>
          <w:sz w:val="20"/>
          <w:szCs w:val="20"/>
        </w:rPr>
        <w:t xml:space="preserve">21a — Directional conviction. The session direction score is +0.61 on a −1/+1 scale, comfortably above the +0.25 conviction threshold → LONG. The three highest-weighted contributing signals are: short-term technical bias (+0.25; RSI2 68 and a bullish reversal close), cross-asset confirmation (+0.15; S&amp;P and DAX confirm, USDX neutral-supportive), and the medium-term regime contribution (+0.10; transition resolving with an up-swing). No conflict with the §17 forecast — both point mildly long. Caveat: conviction rests on a transition (not trend) regime, and all FTSE level inputs are indicative.</w:t>
      </w:r>
    </w:p>
    <w:p>
      <w:pPr>
        <w:spacing w:after="120"/>
      </w:pPr>
      <w:r>
        <w:rPr>
          <w:b/>
          <w:bCs/>
          <w:color w:val="1F3864"/>
          <w:sz w:val="20"/>
          <w:szCs w:val="20"/>
        </w:rPr>
        <w:t xml:space="preserve">Trade 1 — Daily Directional (LONG — score +0.61, above threshold)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Direction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LONG — bullish reversal + CONFIRM cross-asset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Entry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Market at the 23 Jun pre-open anchor (00:00 UK, overridden this session) ≈ 10,439 pts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Stop loss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10,346 pts — 93 pts below entry; anchored on the 22 Jun / 5-day swing low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Risk (R)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93 pts (≈ £/point per contract)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TP1 (Unit 1, +1R)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10,532 pts (+93 pts / +1R)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TP2 (Unit 2, +2R)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10,625 pts (+186 pts / +2R)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TP3 (Unit 3, runner)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Trail; time-stop at session close or 3×ATR cap (~+252 pts) — runner toward 10,690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Tranche mgmt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 equal units; U1 exits TP1; U2 exits TP2; on U2 fill, U3 stop to entry +0.2R (10,458)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Confluences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Entry at daily R1.5/swing-high zone; SL at swing low + Monday low (strong confluence)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Thesis invalidation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Daily close back below 10,360 (pivot shelf) — distinct from stop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Caveats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Single-source-indicative levels; transition regime; oil/Middle East collision risk (§13d)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</w:pPr>
      <w:r>
        <w:rPr>
          <w:b/>
          <w:bCs/>
          <w:color w:val="1F3864"/>
          <w:sz w:val="20"/>
          <w:szCs w:val="20"/>
        </w:rPr>
        <w:t xml:space="preserve">Trade 2 — Regime-Aware Pivot (LONG bias — buy the dip to support)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Direction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LONG — buy-limit at pivot support in an up-biased transition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Entry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Buy limit 10,377 pts (daily S1 / weekly S1 confluence)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Stop loss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10,315 pts — 62 pts below entry; anchored on daily S2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Risk (R)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62 pts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TP1 (+1R)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10,439 pts (back to pivot-band top / Monday close)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TP2 (+2R)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10,501 pts (daily R2)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TP3 (runner)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Pivot P of the following session / 10,563 daily R3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Tranche mgmt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 equal units; standard BE+0.2R on U2 fill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Confluences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S1 daily + S1 weekly cluster at 10,360–10,377 (strong confluence)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Thesis invalidation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Daily close below 10,315 (S2) — trend-support break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Caveats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ALL pivot tiers SINGLE-SOURCE-INDICATIVE — normally suppresses Trade 2; retained per run instruction with explicit indicative flag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</w:pPr>
      <w:r>
        <w:rPr>
          <w:b/>
          <w:bCs/>
          <w:color w:val="1F3864"/>
          <w:sz w:val="20"/>
          <w:szCs w:val="20"/>
        </w:rPr>
        <w:t xml:space="preserve">Trade 3A — Regime-Driven Complex: Momentum-Pullback (TRANSITION→bullish fork)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Direction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LONG — momentum-pullback continuation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Entry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Stop entry 10,472 pts on confirmed break of daily R1 / 5-day swing high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Stop loss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10,399 pts — 73 pts below entry; anchored on the 18-Jun pivot/structure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Risk (R)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73 pts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TP1 (38.2% / structural)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10,545 pts (+1R-equivalent; prior swing extension)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TP2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10,618 pts (+2R; measured continuation)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TP3 (runner)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100%+ extension toward 10,690–10,720; structural runner stop to entry/anchor midpoint on extension break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Tranche mgmt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 equal units; 3A structural runner override on 100%-extension break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Confluences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Break level = daily R1 (10,470) + swing high (10,489) cluster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Thesis invalidation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Close back below 10,408 (daily P) after the break — failed breakout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Caveats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Indicative levels; requires confirmed break — no break = no trigger; oil-headline whipsaw risk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</w:pPr>
      <w:r>
        <w:rPr>
          <w:b/>
          <w:bCs/>
          <w:sz w:val="18"/>
          <w:szCs w:val="18"/>
        </w:rPr>
        <w:t xml:space="preserve">21c — 5-session no-leakage backtest. Each card reconstructed from data available at the prior session close; slippage = 0; SL-first tie rule.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80"/>
        <w:gridCol w:w="1100"/>
        <w:gridCol w:w="1100"/>
        <w:gridCol w:w="1640"/>
        <w:gridCol w:w="1300"/>
        <w:gridCol w:w="164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 (t-N)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Strategy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Direction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Triggered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Entry/Exit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Outcome (R)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Days→res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Tue 16 Jun (t-5)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Trade 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LONG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YES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10,412 → 10,455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+0.46R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Tue 16 Jun (t-5)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Trade 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LONG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limit not hit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Tue 16 Jun (t-5)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Trade 3A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LONG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no break confirmed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Wed 17 Jun (t-4)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Trade 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LONG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YES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10,455 → 10,438 (SL trail)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-0.30R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Wed 17 Jun (t-4)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Trade 3A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LONG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YES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brk 10,489 → fade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-1.00R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Thu 18 Jun (t-3)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Trade 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SHORT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YES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10,438 → 10,399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+0.42R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Thu 18 Jun (t-3)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Trade 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LONG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limit not hit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Fri 19 Jun (t-2)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Trade 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SHORT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YES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10,399 → 10,364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+0.55R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Fri 19 Jun (t-2)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Trade 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LONG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YES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10,377 → 10,364 (SL)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-1.00R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Mon 22 Jun (t-1)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Trade 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LONG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YES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10,383 → 10,439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+0.85R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Mon 22 Jun (t-1)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Trade 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LONG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YES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10,377→10,439 (TP1)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+1.00R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Mon 22 Jun (t-1)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Trade 3A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LONG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break above range late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OPEN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5+ (open)</w:t>
            </w:r>
          </w:p>
        </w:tc>
      </w:tr>
    </w:tbl>
    <w:p>
      <w:pPr>
        <w:spacing w:after="120"/>
      </w:pPr>
      <w:r>
        <w:rPr>
          <w:sz w:val="20"/>
          <w:szCs w:val="20"/>
        </w:rPr>
        <w:t xml:space="preserve">21d — What is working. Trade 1 (daily directional) over the last 5 sessions: triggered 5/5, mean R = +0.40, TP1/TP2/TP3 hit rates ≈ 40% / 0% / 0% — the day-direction model captured both the pullback (correctly short 18–19 Jun) and Monday's reversal. Trade 2 (pivot) triggered 2/3 accessible sessions, mean R = 0.00 (one −1R stop, one +1R TP1) — break-even, sensitive to whether support held. Trade 3A (momentum-pullback) triggered 1/3, mean R = −1.00 on the single closed reconstruction (the 17 Jun false break), one open — weakest performer over the window. Strongest performer: Trade 1 (mean R +0.40). Weakest performer: Trade 3A. Limitations: Five-session windows are too small to support statistical claims. The backtest cannot model intraday tick-level fills, slippage, or commission. Treat as a directional sanity-check, not a strategy-validation framework.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</w:pPr>
    <w:r>
      <w:rPr>
        <w:color w:val="888888"/>
        <w:sz w:val="14"/>
        <w:szCs w:val="14"/>
      </w:rPr>
      <w:t xml:space="preserve">FTSE 100 Daily Report  │  23 June 2026  │  Senior European Equity Strategist</w:t>
    </w:r>
    <w:r>
      <w:rPr>
        <w:color w:val="888888"/>
        <w:sz w:val="14"/>
        <w:szCs w:val="14"/>
      </w:rPr>
      <w:t xml:space="preserve">          Page </w:t>
    </w:r>
    <w:r>
      <w:rPr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jc w:val="right"/>
    </w:pPr>
    <w:r>
      <w:rPr>
        <w:color w:val="888888"/>
        <w:sz w:val="16"/>
        <w:szCs w:val="16"/>
      </w:rPr>
      <w:t xml:space="preserve">FTSE 100 Daily Report — 23 June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2"/>
      </w:pBdr>
      <w:spacing w:after="140" w:before="240"/>
      <w:outlineLvl w:val="0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16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691d30e142ad7e0337e488b9d1191472d34aa00.png"/><Relationship Id="rId10" Type="http://schemas.openxmlformats.org/officeDocument/2006/relationships/image" Target="media/2711f23bdb05fb5511ec5705482cbc3af42d294f.png"/><Relationship Id="rId11" Type="http://schemas.openxmlformats.org/officeDocument/2006/relationships/image" Target="media/d39b144cc36d7eb6c85241e0f574dff25b5d661e.png"/><Relationship Id="rId12" Type="http://schemas.openxmlformats.org/officeDocument/2006/relationships/image" Target="media/9980da9341767cd482350d33216ffc6fda176d9a.png"/><Relationship Id="rId13" Type="http://schemas.openxmlformats.org/officeDocument/2006/relationships/image" Target="media/006ec3bab259094ecd59d4fa5e4729376d036d69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FTSE 100 Report — Daily: 23 June 2026</dc:title>
  <dc:creator>Senior European Equity Strategist</dc:creator>
  <cp:lastModifiedBy>Un-named</cp:lastModifiedBy>
  <cp:revision>1</cp:revision>
  <dcterms:created xsi:type="dcterms:W3CDTF">2026-06-23T00:03:54.630Z</dcterms:created>
  <dcterms:modified xsi:type="dcterms:W3CDTF">2026-06-23T00:03:54.630Z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