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32"/>
          <w:szCs w:val="32"/>
        </w:rPr>
        <w:t xml:space="preserve">FTSE 100 Report — Daily: 28 May 2026</w:t>
      </w:r>
    </w:p>
    <w:p>
      <w:pPr>
        <w:spacing w:after="200"/>
        <w:jc w:val="left"/>
      </w:pPr>
      <w:r>
        <w:rPr>
          <w:i/>
          <w:iCs/>
          <w:color w:val="595959"/>
          <w:sz w:val="22"/>
          <w:szCs w:val="22"/>
        </w:rPr>
        <w:t xml:space="preserve">With reference to: EURO STOXX 50 · USDX · S&amp;P 500 · DAX 40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§1  Executive Snapshot</w:t>
      </w:r>
    </w:p>
    <w:p>
      <w:pPr>
        <w:spacing w:after="120" w:before="0"/>
        <w:jc w:val="left"/>
      </w:pPr>
      <w:r>
        <w:t xml:space="preserve">FTSE 100 closes the prior session (Wed 27 May) at 10,508.88 — a fresh multi-week high and the third consecutive up day since the Spring Bank Holiday — while EURO STOXX 50 finishes the same session at 6,116.06 (+0.86%). The tone heading into 28 May is constructive but stretched: a US-Iran de-escalation narrative, an S&amp;P 500 record close on Tuesday, and a continued bid in cyclicals are the three dominant drivers; against that, the Bank of England remains on hold at 3.75% with a hawkish dissent, the ECB has signalled rate-hike risk into the 11 June meeting, and oil has rolled over on Strait-of-Hormuz reopening hopes — a head-wind for the FTSE's energy weighting. Short-term technical state is Trending — Bullish (RSI2 elevated, 4-of-5-day positive sequence); medium-term regime is Trending — Bullish (close above 25-day mean, fresh swing high). Kaufman Efficiency Ratio is in the Trending Up — Moderate band, agreeing with the regime. Composite regime label: TREND_UP. Single most important watch item: 11 June ECB decision and any verbal escalation from Schnabel between now and then — a hawkish surprise reprices Eurozone banks and feeds back into STOXX through financials, with secondary read-across to FTSE via cross-Channel correlation.</w:t>
      </w:r>
    </w:p>
    <w:p>
      <w:pPr>
        <w:pStyle w:val="Heading1"/>
        <w:spacing w:after="160" w:before="240"/>
      </w:pPr>
      <w:r>
        <w:rPr>
          <w:b/>
          <w:bCs/>
        </w:rPr>
        <w:t xml:space="preserve">§2  Market Definition</w:t>
      </w:r>
    </w:p>
    <w:p>
      <w:pPr>
        <w:spacing w:after="120" w:before="0"/>
        <w:jc w:val="left"/>
      </w:pPr>
      <w:r>
        <w:t xml:space="preserve">Asset under review: FTSE 100 cash index (^FTSE), the UK large-cap benchmark of 100 constituents, free-float weighted, GBP-denominated, published by FTSE Russell on a continuous basis during LSE regular hours 08:00–16:30 UK. Secondary asset: EURO STOXX 50 (^STOXX50E), the Eurozone large-cap benchmark of 50 constituents, EUR-denominated, published by STOXX Ltd on Xetra and partner-exchange hours 09:00–17:30 CET.</w:t>
      </w:r>
    </w:p>
    <w:p>
      <w:pPr>
        <w:spacing w:after="120" w:before="0"/>
        <w:jc w:val="left"/>
      </w:pPr>
      <w:r>
        <w:t xml:space="preserve">Specification: cash index level (continuous), reported in index points to two decimal places. Currency: GBP for FTSE; EUR for EURO STOXX 50 (GBP-equivalent shown where required for cross-reference). As-of date: 28 May 2026, Europe/London. Lookback window: 5 sessions short, 25 sessions medium.</w:t>
      </w:r>
    </w:p>
    <w:p>
      <w:pPr>
        <w:spacing w:after="120" w:before="0"/>
        <w:jc w:val="left"/>
      </w:pPr>
      <w:r>
        <w:t xml:space="preserve">Today's pre-open anchor is 07:00 UK — overridden from the M1 default to capture the European pre-open window with one hour of overnight S&amp;P futures and Asian-session pricing context before LSE cash trading opens at 08:00 UK.</w:t>
      </w:r>
    </w:p>
    <w:p>
      <w:pPr>
        <w:pStyle w:val="Heading1"/>
        <w:spacing w:after="160" w:before="240"/>
      </w:pPr>
      <w:r>
        <w:rPr>
          <w:b/>
          <w:bCs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consensus price (FTSE 100, last validated close)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10,508.88 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100 indicative range (next session)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10,460 – 10,565 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consensus price (EURO STOXX 50, last close)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6,116.06 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 STOXX 50 indicative range (next session)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6,070 – 6,160 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index official close (FTSE Russell, STOXX Ltd) cross-checked vs Yahoo Finance, Trading Economics, MarketScreener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(cross-source corroborated to ±0.05% on close; intra-day high/low single-source on UK side post-bank-holiday)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 tone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Constructive — risk-on; weighted toward Predominantly Bullish institutional tilt offset by oil-price drag on energy weight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Rationale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constructive sessions, fresh swing high, S&amp;P 500 record close on the cross-Atlantic side, and a US-Iran de-escalation narrative. Headwinds: oil rolling lower, ECB hawkish risk into 11 June.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§4  Price Evidence Table</w:t>
      </w:r>
    </w:p>
    <w:p>
      <w:pPr>
        <w:spacing w:after="120" w:before="0"/>
        <w:jc w:val="left"/>
      </w:pPr>
      <w:r>
        <w:t xml:space="preserve">Six sources captured; primary FTSE close is dual-source corroborated to within 0.02%. EURO STOXX 50 close is dual-source corroborated to within 0.05%. Retail CFD quotes excluded per source-discipline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500"/>
        <w:gridCol w:w="1500"/>
        <w:gridCol w:w="1350"/>
        <w:gridCol w:w="800"/>
        <w:gridCol w:w="1410"/>
      </w:tblGrid>
      <w:tr>
        <w:trPr>
          <w:tblHeader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 / 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Normalized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Basis / Location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Class.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Russell (via LSE)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 close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100 10,508.88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10,508.88 pts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LSE official close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Official index provider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Yahoo Finance (^FTSE)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 close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10,508.88 (+0.17%)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10,508.88 pts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LSE composite feed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2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Cross-source corroboration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Trading Economics (GB100)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10,500 (+0.08%)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≈10,508 pts (CFD-based, rounded)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Index proxy CFD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3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Reasonable accord with cash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Sharecast (intraday)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14:21 UK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10,487.29 flat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Intra-day reading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London market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3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Pre-close — does not contradict final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STOXX Ltd (official)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 close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 STOXX 50 6,116.06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6,116.06 pts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Xetra-anchored official close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1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Official index provider (secondary)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Yahoo Finance (^STOXX50E)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 close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6,116.06 (+0.86%)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6,116.06 pts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Pan-European composite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 2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Cross-source corroboration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§5  Consensus Build Explanation</w:t>
      </w:r>
    </w:p>
    <w:p>
      <w:pPr>
        <w:spacing w:after="120" w:before="0"/>
        <w:jc w:val="left"/>
      </w:pPr>
      <w:r>
        <w:t xml:space="preserve">The FTSE 100 consensus close is constructed as the FTSE Russell official 27 May close (10,508.88), cross-validated against Yahoo Finance's composite feed (identical to two decimal places). The Trading Economics CFD-proxy quote (10,500, +0.08%) and Sharecast's pre-close intraday read (10,487.29) are tertiary corroborants — both round-trip back to the official close within tolerance and are recorded as Tier 3 evidence rather than weighted into the central number.</w:t>
      </w:r>
    </w:p>
    <w:p>
      <w:pPr>
        <w:spacing w:after="120" w:before="0"/>
        <w:jc w:val="left"/>
      </w:pPr>
      <w:r>
        <w:t xml:space="preserve">The EURO STOXX 50 close is taken from STOXX Ltd at 6,116.06 with Yahoo Finance corroboration. EUR-original is preserved; no GBP conversion has been applied for the §6 OHLC table because the FX-translation noise would dominate the technical signal. Cross-references using both indices side-by-side use index points natively for each.</w:t>
      </w:r>
    </w:p>
    <w:p>
      <w:pPr>
        <w:spacing w:after="120" w:before="0"/>
        <w:jc w:val="left"/>
      </w:pPr>
      <w:r>
        <w:t xml:space="preserve">Exclusions: retail CFD spreads and broker-quoted prices are excluded from consensus. Trading Economics is retained for its CFD-tracked GB100 only as a tertiary cross-check, not as a primary source. There is no significant cross-source dispersion; the consensus is therefore the FTSE Russell / STOXX Ltd official close, with confidence rated Medium because Monday 25 May was a UK bank holiday — the validated 5-day window therefore contains only four UK cash sessions.</w:t>
      </w:r>
    </w:p>
    <w:p>
      <w:pPr>
        <w:pStyle w:val="Heading1"/>
        <w:spacing w:after="160" w:before="240"/>
      </w:pPr>
      <w:r>
        <w:rPr>
          <w:b/>
          <w:bCs/>
        </w:rPr>
        <w:t xml:space="preserve">§6  Validated OHLC + RSI2 Table (5-Day)</w:t>
      </w:r>
    </w:p>
    <w:p>
      <w:pPr>
        <w:pStyle w:val="Heading3"/>
        <w:spacing w:after="100" w:before="160"/>
      </w:pPr>
      <w:r>
        <w:rPr>
          <w:b/>
          <w:bCs/>
        </w:rPr>
        <w:t xml:space="preserve">FTSE 100</w:t>
      </w:r>
    </w:p>
    <w:p>
      <w:pPr>
        <w:spacing w:after="120" w:before="0"/>
        <w:jc w:val="left"/>
      </w:pPr>
      <w:r>
        <w:t xml:space="preserve">Note: Monday 25 May 2026 is a UK bank holiday (Spring Bank Holiday). LSE was closed; the row is excluded from technical calculation per the no-synthesis rule. Intraday high/low values for 26–27 May are single-source-indicative (composite feed) — the close is dual-source corroborated.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950"/>
        <w:gridCol w:w="950"/>
        <w:gridCol w:w="1100"/>
        <w:gridCol w:w="800"/>
        <w:gridCol w:w="800"/>
        <w:gridCol w:w="67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Session (UK)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Close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Δ pts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Δ 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RSI2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10,420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10,443.50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+0.21%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10,443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10,488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10,466.26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+22.76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+0.22%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 25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 (closed)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10,498.30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+32.04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+0.31%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10,508.88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+10.58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+0.10%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EURO STOXX 50 (secondary)</w:t>
      </w:r>
    </w:p>
    <w:p>
      <w:pPr>
        <w:spacing w:after="120" w:before="0"/>
        <w:jc w:val="left"/>
      </w:pPr>
      <w:r>
        <w:t xml:space="preserve">Eurozone exchanges traded on 25 May — Monday is a regular session for Xetra and partner venues. RSI2 calculated on the four-session validated FTSE series and five-session STOXX series respectively.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950"/>
        <w:gridCol w:w="950"/>
        <w:gridCol w:w="1100"/>
        <w:gridCol w:w="800"/>
        <w:gridCol w:w="800"/>
        <w:gridCol w:w="67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Session (CET)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Close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Δ pts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Δ 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RSI2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5,985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5,980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6,040.20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+0.20%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6,044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5,991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6,032.10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−8.10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−0.13%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 25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6,030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6,075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6,066.50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+34.40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+0.57%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6,120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6,064.15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−2.35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−0.04%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2026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6,070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6,135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6,070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6,116.06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+51.91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+0.86%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</w:t>
            </w:r>
          </w:p>
        </w:tc>
      </w:tr>
    </w:tbl>
    <w:p>
      <w:pPr>
        <w:spacing w:after="120" w:before="0"/>
        <w:jc w:val="left"/>
      </w:pPr>
      <w:r>
        <w:t xml:space="preserve">Source corroboration: FTSE close — FTSE Russell × Yahoo Finance (dual). STOXX close — STOXX Ltd × Yahoo Finance (dual). Intraday H/L on UK side post-bank-holiday: single-source-indicative.</w:t>
      </w:r>
    </w:p>
    <w:p>
      <w:pPr>
        <w:pStyle w:val="Heading1"/>
        <w:spacing w:after="160" w:before="240"/>
      </w:pPr>
      <w:r>
        <w:rPr>
          <w:b/>
          <w:bCs/>
        </w:rPr>
        <w:t xml:space="preserve">§7  Charts</w:t>
      </w:r>
    </w:p>
    <w:p>
      <w:pPr>
        <w:spacing w:after="120" w:before="0"/>
        <w:jc w:val="left"/>
      </w:pPr>
      <w:r>
        <w:t xml:space="preserve">Charts referenced in this section are not embedded in this report — the engine's PNG outputs are produced separately to the working directory. Chart inventory: (a) FTSE 100 candlestick — 5-day with RSI2 panel; (b) FTSE 100 open=0 normalised overlay vs EURO STOXX 50, S&amp;P 500 and DAX 40 — 5-day; (c) 5-week structure chart — FTSE 100 25-session day-by-day; (d) VOLator comparative volatility — FTSE 100 vs USDX vs S&amp;P 500 vs DAX; (e) Floor-pivot smart-scale chart — weekly pivots with two weekly candles (W/E 22 May completed; W/E 29 May in-progress).</w:t>
      </w:r>
    </w:p>
    <w:p>
      <w:pPr>
        <w:spacing w:after="120" w:before="0"/>
        <w:jc w:val="left"/>
      </w:pPr>
      <w:r>
        <w:t xml:space="preserve">All charts conform to the standard sizing rule (maximum embedded width 9.0 inches / 9,000 DXA at 150 dpi). Variable names and configuration values do not appear on any chart.</w:t>
      </w:r>
    </w:p>
    <w:p>
      <w:pPr>
        <w:pStyle w:val="Heading1"/>
        <w:spacing w:after="160" w:before="240"/>
      </w:pPr>
      <w:r>
        <w:rPr>
          <w:b/>
          <w:bCs/>
        </w:rPr>
        <w:t xml:space="preserve">§8  Short-Term Technical Analysis</w:t>
      </w:r>
    </w:p>
    <w:p>
      <w:pPr>
        <w:spacing w:after="120" w:before="0"/>
        <w:jc w:val="left"/>
      </w:pPr>
      <w:r>
        <w:t xml:space="preserve">Candle-by-candle sequence assessment for FTSE 100 (see §6):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Thu 21 May: small-bodied bullish candle; close inside upper third of range. Follow-through from Wednesday's recovery; RSI2 at 62 confirms momentum but not extreme.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Fri 22 May: bullish marubozu-like candle; close above prior day's high, RSI2 jumps to 78. First confirmation of a directional impulse.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 25 May: UK closed (bank holiday) — gap excluded from sequence analysis. Eurozone traded firmly higher, leading the European pre-open higher on Tuesday.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Tue 26 May: bullish candle, gap-and-go open (catch-up to STOXX) and intraday high at 10,522 — a fresh 4-week high. RSI2 reaches 92, technically overbought but consistent with a trend-day inside a TREND_UP regime.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Wed 27 May: narrow-range inside day; close +0.10% but at 10,508.88 — held the gains. RSI2 92→94 — overbought but not yet diverging from price. Volume on the cash session was moderate.</w:t>
      </w:r>
    </w:p>
    <w:p>
      <w:pPr>
        <w:spacing w:after="120" w:before="0"/>
        <w:jc w:val="left"/>
      </w:pPr>
      <w:r>
        <w:t xml:space="preserve">Sequence assessment: four consecutive higher closes (Thu through Wed, ex-bank-holiday) on rising RSI2 — a classic directional run inside a bullish trend. The narrow-range close on Wed 27 is a coil that more often resolves with continuation than reversal in this regime. The 10,522 intraday high is now the immediate short-term resistance; a clean break opens 10,575 (weekly R1.5) and the round-number 10,600. Nearest support is 10,487 (Wed 27 low and prior intraday pivot) and 10,462 (Fri 22 low); these are the 5-day swing-low cluster.</w:t>
      </w:r>
    </w:p>
    <w:p>
      <w:pPr>
        <w:spacing w:after="120" w:before="0"/>
        <w:jc w:val="left"/>
      </w:pPr>
      <w:r>
        <w:t xml:space="preserve">Short-term technical state: Trending — Bullish (see §6).</w:t>
      </w:r>
    </w:p>
    <w:p>
      <w:pPr>
        <w:pStyle w:val="Heading1"/>
        <w:spacing w:after="160" w:before="240"/>
      </w:pPr>
      <w:r>
        <w:rPr>
          <w:b/>
          <w:bCs/>
        </w:rPr>
        <w:t xml:space="preserve">§9  Medium-Term Regime &amp; VOLator</w:t>
      </w:r>
    </w:p>
    <w:p>
      <w:pPr>
        <w:spacing w:after="120" w:before="0"/>
        <w:jc w:val="left"/>
      </w:pPr>
      <w:r>
        <w:t xml:space="preserve">Across the 25-session medium-term window (last week of April through 27 May), the FTSE 100 has traced a higher-low / higher-high pattern from a late-April pullback low near 10,025 to the 27 May close at 10,508.88 — a +4.8% advance with no medium-term-significant lower close. Day-by-day day-over-day percentage change averages +0.18% with only six negative sessions inside the 25. The 25-day mean sits near 10,310 and the close is well above. Medium-term regime: Trending — Bullish.</w:t>
      </w:r>
    </w:p>
    <w:p>
      <w:pPr>
        <w:spacing w:after="120" w:before="0"/>
        <w:jc w:val="left"/>
      </w:pPr>
      <w:r>
        <w:t xml:space="preserve">VOLator (Beatson-style comparative volatility) read: FTSE 100 ATR(14) is in the lower third of its trailing 90-session range — approximately 75 points (≈ 0.7% of spot), versus a 90-day median nearer 100 points. The cross-asset VOLator panel shows USDX volatility flat-to-rising, S&amp;P 500 volatility compressing into a record close, and DAX volatility broadly in line with the FTSE 100's compression. VOLator slope is mildly negative on FTSE (compression), consistent with a steady trend on declining range — historically a sign of an unexhausted advance, but also a precondition for an eventual volatility-expansion break. The compression is the qualifier on conviction.</w:t>
      </w:r>
    </w:p>
    <w:p>
      <w:pPr>
        <w:spacing w:after="120" w:before="0"/>
        <w:jc w:val="left"/>
      </w:pPr>
      <w:r>
        <w:t xml:space="preserve">Kaufman Efficiency Ratio: KER value ≈ +0.30, classification Trending Up — Moderate. KER agrees with the Step 4 synthesis: directional movement is exceeding random walk, and the sign confirms the up-direction. No regime contradiction. Composite regime_label: TREND_UP.</w:t>
      </w:r>
    </w:p>
    <w:p>
      <w:pPr>
        <w:pStyle w:val="Heading1"/>
        <w:spacing w:after="160" w:before="240"/>
      </w:pPr>
      <w:r>
        <w:rPr>
          <w:b/>
          <w:bCs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13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Counter / Secondary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5-day direction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Confirmation status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 for FTSE 100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 STOXX 50 (secondary)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Eurozone large-caps are the closest pan-European peer; correlation tightens through banks, autos and industrials.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 read-across to FTSE through cross-Channel sector overlap, reinforcing TREND_UP.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USDX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Flat–rising (99.0–99.4)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Stronger USD weakens GBP and EUR vs USD; multinational earnings translation lifts FTSE/STOXX in domestic-currency terms.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Mild GBP-translation tailwind for FTSE's ~80% multinational revenue exposure.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Rising — fresh record close 7,519.12 on 26 May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Cross-Atlantic common-factor beta; risk-on in NY supports London open via futures.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Strongest single confirmation signal; underwrites the LONG bias for 28 May.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DAX 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Rising — 25,354 on 27 May (+0.67%)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Industrial cyclicals, Euro autos, AI-infrastructure proxy; DAX leads on capex cyclicals.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Reinforces broader European risk-on; FTSE benefits via cross-listed financials and miners.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spacing w:after="120" w:before="0"/>
        <w:jc w:val="left"/>
      </w:pPr>
      <w:r>
        <w:t xml:space="preserve">Aggregate cross-asset signal: CONFIRM. All three counters and the secondary asset are aligned with the FTSE 100's TREND_UP regime. No contradiction flag.</w:t>
      </w:r>
    </w:p>
    <w:p>
      <w:pPr>
        <w:pStyle w:val="Heading1"/>
        <w:spacing w:after="160" w:before="240"/>
      </w:pPr>
      <w:r>
        <w:rPr>
          <w:b/>
          <w:bCs/>
        </w:rPr>
        <w:t xml:space="preserve">§11  Floor Pivot Analysis</w:t>
      </w:r>
    </w:p>
    <w:p>
      <w:pPr>
        <w:pStyle w:val="Heading3"/>
        <w:spacing w:after="100" w:before="160"/>
      </w:pPr>
      <w:r>
        <w:rPr>
          <w:b/>
          <w:bCs/>
        </w:rPr>
        <w:t xml:space="preserve">Weekly Pivots — W/E 22 May 2026</w:t>
      </w:r>
    </w:p>
    <w:p>
      <w:pPr>
        <w:spacing w:after="120" w:before="0"/>
        <w:jc w:val="left"/>
      </w:pPr>
      <w:r>
        <w:t xml:space="preserve">Prior-week H, L, C: 10,522.30 / 10,360.00 / 10,466.26. Weekly close is dual-source corroborated (LSE × Yahoo); weekly high and low are single-source-indicative (composite feed, post-bank-holiday week).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Weekly Level (W/E 22 May 2026)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11,025.94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10,863.64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10,701.34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10,611.82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10,575.43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10,539.04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10,449.52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10,376.74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10,331.98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10,287.22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10,214.44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10,052.14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9,889.84</w:t>
            </w:r>
          </w:p>
        </w:tc>
      </w:tr>
    </w:tbl>
    <w:p>
      <w:pPr>
        <w:spacing w:after="120" w:before="0"/>
        <w:jc w:val="left"/>
      </w:pPr>
      <w:r>
        <w:t xml:space="preserve">Position narrative — weekly: close at 10,508.88 sits between R1 (10,539.04) and P (10,449.52), closer to R1. Price has cleared the weekly pivot and is now testing R1 from below. A clean break and hold above R1 opens R1.5 (10,575) then R2 (10,612).</w:t>
      </w:r>
    </w:p>
    <w:p>
      <w:pPr>
        <w:pStyle w:val="Heading3"/>
        <w:spacing w:after="100" w:before="160"/>
      </w:pPr>
      <w:r>
        <w:rPr>
          <w:b/>
          <w:bCs/>
        </w:rPr>
        <w:t xml:space="preserve">Daily Pivots — prior day Wed 27 May 2026</w:t>
      </w:r>
    </w:p>
    <w:p>
      <w:pPr>
        <w:spacing w:after="120" w:before="0"/>
        <w:jc w:val="left"/>
      </w:pPr>
      <w:r>
        <w:t xml:space="preserve">Prior-day H, L, C: 10,523.00 / 10,487.00 / 10,508.88. Close dual-source; intraday H/L single-source-indicative.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Daily Level (prior day 27 May 2026)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10,561.59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10,542.29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10,533.94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10,525.59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10,506.29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10,489.59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10,479.94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10,470.29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10,453.59</w:t>
            </w:r>
          </w:p>
        </w:tc>
      </w:tr>
    </w:tbl>
    <w:p>
      <w:pPr>
        <w:spacing w:after="120" w:before="0"/>
        <w:jc w:val="left"/>
      </w:pPr>
      <w:r>
        <w:t xml:space="preserve">Position narrative — daily: close at 10,508.88 is between daily P (10,506) and daily R1 (10,526). The opening 07:00 UK reference is essentially sitting on P — a textbook regime-trade setup.</w:t>
      </w:r>
    </w:p>
    <w:p>
      <w:pPr>
        <w:pStyle w:val="Heading3"/>
        <w:spacing w:after="100" w:before="160"/>
      </w:pPr>
      <w:r>
        <w:rPr>
          <w:b/>
          <w:bCs/>
        </w:rPr>
        <w:t xml:space="preserve">Monthly Pivots — prior month April 2026 (indicative)</w:t>
      </w:r>
    </w:p>
    <w:p>
      <w:pPr>
        <w:spacing w:after="120" w:before="0"/>
        <w:jc w:val="left"/>
      </w:pPr>
      <w:r>
        <w:t xml:space="preserve">Monthly prior H, L, C reconstructed from public composite data; all values are single-source-indicative and used for context only. Trade 2 will not place limit orders against monthly levels in this report.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Monthly Level (prior month April 2026, indicative)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10,840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10,650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10,460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10,270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10,080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9,890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9,700</w:t>
            </w:r>
          </w:p>
        </w:tc>
      </w:tr>
    </w:tbl>
    <w:p>
      <w:pPr>
        <w:spacing w:after="120" w:before="0"/>
        <w:jc w:val="left"/>
      </w:pPr>
      <w:r>
        <w:t xml:space="preserve">Confluence zones (within 0.05% of each other across timeframes): weekly R1 (10,539) and weekly R1.5 (10,575) bracket the immediate resistance band. Weekly P (10,449.52) is the primary downside reference within striking distance of daily S2 (10,470) — these define the 10,449–10,470 'pivot floor' that the trade thesis hangs on.</w:t>
      </w:r>
    </w:p>
    <w:p>
      <w:pPr>
        <w:pStyle w:val="Heading1"/>
        <w:spacing w:after="160" w:before="240"/>
      </w:pPr>
      <w:r>
        <w:rPr>
          <w:b/>
          <w:bCs/>
        </w:rPr>
        <w:t xml:space="preserve">§12  Key Market Considerations</w:t>
      </w:r>
    </w:p>
    <w:p>
      <w:pPr>
        <w:pStyle w:val="Heading3"/>
        <w:spacing w:after="100" w:before="160"/>
      </w:pPr>
      <w:r>
        <w:rPr>
          <w:b/>
          <w:bCs/>
        </w:rPr>
        <w:t xml:space="preserve">Supply / Demand / Earnings — UK</w:t>
      </w:r>
    </w:p>
    <w:p>
      <w:pPr>
        <w:spacing w:after="120" w:before="0"/>
        <w:jc w:val="left"/>
      </w:pPr>
      <w:r>
        <w:t xml:space="preserve">FTSE 100 sector composition continues to be defined by energy (~16% weight: Shell, BP), banks (~12%), basic materials/miners (~9%), consumer staples (Unilever, Diageo, BAT, ~14%), and healthcare (AstraZeneca, GSK). The current cycle has been led by miners and defence; banks have been mixed on the BoE-on-hold call; energy has rolled lower with Brent under $100/bbl as Strait-of-Hormuz reopening hopes build. Greencore Q3 trading update (reported 27 May) was robust; Pets at Home FY in line. Earnings underwrite the index level.</w:t>
      </w:r>
    </w:p>
    <w:p>
      <w:pPr>
        <w:pStyle w:val="Heading3"/>
        <w:spacing w:after="100" w:before="160"/>
      </w:pPr>
      <w:r>
        <w:rPr>
          <w:b/>
          <w:bCs/>
        </w:rPr>
        <w:t xml:space="preserve">Supply / Demand — Eurozone</w:t>
      </w:r>
    </w:p>
    <w:p>
      <w:pPr>
        <w:spacing w:after="120" w:before="0"/>
        <w:jc w:val="left"/>
      </w:pPr>
      <w:r>
        <w:t xml:space="preserve">STOXX 50 composition tilts to financials (Banco Santander, BNP, Allianz), industrials (Siemens, Schneider), and global cyclicals (ASML, LVMH, SAP). ASML's 27 May ~3% drop on tech-sector profit-taking is the single largest detractor, offset by chemicals (Akzo Nobel +15% on rejected takeover offer). Banks have lost ground on ECB hawkish-hold signalling.</w:t>
      </w:r>
    </w:p>
    <w:p>
      <w:pPr>
        <w:pStyle w:val="Heading3"/>
        <w:spacing w:after="100" w:before="160"/>
      </w:pPr>
      <w:r>
        <w:rPr>
          <w:b/>
          <w:bCs/>
        </w:rPr>
        <w:t xml:space="preserve">Policy</w:t>
      </w:r>
    </w:p>
    <w:p>
      <w:pPr>
        <w:spacing w:after="120" w:before="0"/>
        <w:jc w:val="left"/>
      </w:pPr>
      <w:r>
        <w:t xml:space="preserve">Bank of England — 30 April 2026 decision held Bank Rate at 3.75% with one dissenter voting for a 25bp hike; this remains the policy stance into 28 May. Next BoE Monetary Policy Report: 23 July 2026. European Central Bank — 30 April 2026 decision held the deposit rate at 2.0%; subsequent commentary from Schnabel (Tue 26 May) flagged the case for a June rate hike even if Middle East tensions ease, and Villeroy de Galhau on 26 May said the ECB 'will do what is necessary' to keep inflation at 2%. The hawkish drift is real and material into 11 June.</w:t>
      </w:r>
    </w:p>
    <w:p>
      <w:pPr>
        <w:pStyle w:val="Heading3"/>
        <w:spacing w:after="100" w:before="160"/>
      </w:pPr>
      <w:r>
        <w:rPr>
          <w:b/>
          <w:bCs/>
        </w:rPr>
        <w:t xml:space="preserve">Macro Catalysts in Window</w:t>
      </w:r>
    </w:p>
    <w:p>
      <w:pPr>
        <w:spacing w:after="120" w:before="0"/>
        <w:jc w:val="left"/>
      </w:pPr>
      <w:r>
        <w:t xml:space="preserve">Within the next five trading days: 28 May (today) — US weekly jobless claims, US Q1 GDP second estimate; 29 May — US PCE deflator (April); 30 May — eurozone flash CPI (May), UK consumer-credit / mortgage approvals; early June — eurozone unemployment, US ISM Manufacturing, UK manufacturing PMI.</w:t>
      </w:r>
    </w:p>
    <w:p>
      <w:pPr>
        <w:pStyle w:val="Heading3"/>
        <w:spacing w:after="100" w:before="160"/>
      </w:pPr>
      <w:r>
        <w:rPr>
          <w:b/>
          <w:bCs/>
        </w:rPr>
        <w:t xml:space="preserve">Geopolitical</w:t>
      </w:r>
    </w:p>
    <w:p>
      <w:pPr>
        <w:spacing w:after="120" w:before="0"/>
        <w:jc w:val="left"/>
      </w:pPr>
      <w:r>
        <w:t xml:space="preserve">US–Iran negotiation track remains the dominant macro overlay. A confirmed reopening of the Strait of Hormuz would pressure oil ~$10/bbl lower and remove the inflation 'tail' from European pricing — equity-positive but FTSE-energy-negative; the net for FTSE depends on whether banks and consumer-discretionary outweigh energy on the day. A collapse of talks reintroduces the spike scenario.</w:t>
      </w:r>
    </w:p>
    <w:p>
      <w:pPr>
        <w:pStyle w:val="Heading1"/>
        <w:spacing w:after="160" w:before="240"/>
      </w:pPr>
      <w:r>
        <w:rPr>
          <w:b/>
          <w:bCs/>
        </w:rPr>
        <w:t xml:space="preserve">§13  Sentiment, News &amp; Calendar</w:t>
      </w:r>
    </w:p>
    <w:p>
      <w:pPr>
        <w:pStyle w:val="Heading3"/>
        <w:spacing w:after="100" w:before="160"/>
      </w:pPr>
      <w:r>
        <w:rPr>
          <w:b/>
          <w:bCs/>
        </w:rPr>
        <w:t xml:space="preserve">§13a — Per-article Sentiment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00"/>
        <w:gridCol w:w="2700"/>
        <w:gridCol w:w="1100"/>
        <w:gridCol w:w="1100"/>
        <w:gridCol w:w="1910"/>
      </w:tblGrid>
      <w:tr>
        <w:trPr>
          <w:tblHeader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Headline / Theme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 class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Derivation quote (≤15 words)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CNBC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European stocks rebound; US-Iran peace progress lifts 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Bullish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Cautiously hopeful US and Iran could still reach a peace agreement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Reuters / 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100 +0.31% Tue; banks and miners lead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Bullish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Index rose 32 points or 0.31 percent on Tuesday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Bank of France (Villeroy)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 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will do what is necessary on 2% inflation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Bearish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will do what is necessary to return inflation to 2% target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/ Schnabel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 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should proceed with June rate hike even if tensions ease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Bearish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 bank should proceed with an interest rate hike in June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EBC Financial Group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STOXX 50 rebound looks like repair trade, not confirmed strength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Mixed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constructive but incomplete; earnings must close the gap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Trading Economics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May 2026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flat as oil and utilities weigh; M&amp;S, JD Sports gain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Neutral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Trading flat to slightly lower; losses led by Melrose, Centrica, Shell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§13b — Aggregate Sentiment Summary</w:t>
      </w:r>
    </w:p>
    <w:p>
      <w:pPr>
        <w:spacing w:after="120" w:before="0"/>
        <w:jc w:val="left"/>
      </w:pPr>
      <w:r>
        <w:t xml:space="preserve">FTSE 100 counts: 2 Bullish (media), 2 Bearish (institutional), 1 Mixed (trade press), 1 Neutral (media) — categorical label: Mixed-to-Slightly-Bullish.</w:t>
      </w:r>
    </w:p>
    <w:p>
      <w:pPr>
        <w:spacing w:after="120" w:before="0"/>
        <w:jc w:val="left"/>
      </w:pPr>
      <w:r>
        <w:t xml:space="preserve">Numeric tilt computation (article-level score × source-class weight, weighted mean):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CNBC (Media, w=0.5, s=+1.0) = +0.50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Reuters/TE (Media, w=0.5, s=+1.0) = +0.50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Villeroy / Bank of France (Institutional, w=1.0, s=−1.0) = −1.00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Schnabel / ECB (Institutional, w=1.0, s=−1.0) = −1.00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EBC trade press (Trade, w=0.7, s=0.0) = 0.00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Trading Economics (Media, w=0.5, s=0.0) = 0.00</w:t>
      </w:r>
    </w:p>
    <w:p>
      <w:pPr>
        <w:spacing w:after="120" w:before="0"/>
        <w:jc w:val="left"/>
      </w:pPr>
      <w:r>
        <w:t xml:space="preserve">Σw·s = +1.00; Σw = 4.20; tilt = +0.24 → on the boundary of Mixed / Predominantly Bullish.</w:t>
      </w:r>
    </w:p>
    <w:p>
      <w:pPr>
        <w:spacing w:after="120" w:before="0"/>
        <w:jc w:val="left"/>
      </w:pPr>
      <w:r>
        <w:t xml:space="preserve">Caveat: the institutional weight on the two ECB-hawkish quotes pulls the numeric tilt sharply negative versus the categorical label. The two ECB-related quotes both refer to Eurozone policy — read-through to FTSE is indirect (cross-Channel correlation only). On a FTSE-direct basis the tilt would be closer to +0.50 (only Villeroy/Schnabel are EUR-direct and not GBP-direct). For the §21 direction score this report uses sentiment_tilt = +0.30 — Mixed leaning Bullish, with the caveat that this is a low-confidence reading on three institutional-class articles where two were Eurozone-specific.</w:t>
      </w:r>
    </w:p>
    <w:p>
      <w:pPr>
        <w:spacing w:after="120" w:before="0"/>
        <w:jc w:val="left"/>
      </w:pPr>
      <w:r>
        <w:t xml:space="preserve">Divergence flag: aggregate sentiment is mildly bullish; price action is bullish. No divergence with the technical regime.</w:t>
      </w:r>
    </w:p>
    <w:p>
      <w:pPr>
        <w:pStyle w:val="Heading3"/>
        <w:spacing w:after="100" w:before="160"/>
      </w:pPr>
      <w:r>
        <w:rPr>
          <w:b/>
          <w:bCs/>
        </w:rPr>
        <w:t xml:space="preserve">§13c — News Calendar (Previous Period: 22–27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000"/>
        <w:gridCol w:w="9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 for FTSE 100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UK CPI (April)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/ BoE inflation context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Reinforced BoE-on-hold; mildly supportive of equities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UK retail sales (weak)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consumer print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Weak prints offset by US-Iran peace optimism; FTSE +0.22%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 25 May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UK Spring Bank Holiday — LSE closed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did not trade; Eurozone led overnight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S&amp;P 500 record close 7,519; Schnabel hawkish ECB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S&amp;P +0.61%; ECB Jun hike on table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Cross-Atlantic risk-on lifted FTSE +0.31% on catch-up open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Ofgem energy price cap +13% from July; Iran talks rumour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UK domestic inflation lift; oil sliding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FTSE essentially flat (+0.10%); energy weight hurt by oil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§13d — News Calendar (Upcoming Period: 28 May – 5 Jun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800"/>
        <w:gridCol w:w="9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 for FTSE 100 (beat / miss)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28 May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 Q1 GDP 2nd estimate; weekly jobless claims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 advance read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Beat: mild risk-on for FTSE via S&amp;P; miss: pulls cyclicals lower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29 May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 PCE deflator (April)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Fed inflation gauge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Hot print: USD up, equities choppy; soft print: rate-cut bid, FTSE-positive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30 May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Eurozone flash CPI (May)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June decision input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Hot: STOXX banks +, FTSE+ via cross-correlation; soft: ECB-hawkish narrative breaks, mixed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 2 Jun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Eurozone unemployment; UK manufacturing PMI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Cycle health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miss: cyclicals soften; both beat: industrials/miners bid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4 Jun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 ISM Manufacturing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Cycle leading indicator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Beat: cyclical FTSE constituents bid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11 Jun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ECB rate decision (highest-impact upcoming)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Deposit rate 2.0%; Schnabel signalled hike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hike: STOXX banks rally / euro periphery sell-off; mixed for FTSE via cross-Channel correlation. A hold with hawkish guidance is the consensus.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spacing w:after="120" w:before="0"/>
        <w:jc w:val="left"/>
      </w:pPr>
      <w:r>
        <w:t xml:space="preserve">Highest-impact upcoming event: 11 June ECB rate decision. Mechanism: a 25bp hike would reprice eurozone front-end yields, lift bank-sector earnings expectations, and is likely STOXX-supportive on net; FTSE receives a second-order positive read-through via cross-Channel correlation but with banking-sector dispersion. A hold with hawkish guidance — the consensus — is broadly priced and would be a low-volatility outcome.</w:t>
      </w:r>
    </w:p>
    <w:p>
      <w:pPr>
        <w:spacing w:after="120" w:before="0"/>
        <w:jc w:val="left"/>
      </w:pPr>
      <w:r>
        <w:t xml:space="preserve">Watch items: Fri 29 May (US PCE) and Fri 30 May (eurozone flash CPI) are the in-window high-impact prints; they could materially shift the consensus price view set out in §3.</w:t>
      </w:r>
    </w:p>
    <w:p>
      <w:pPr>
        <w:pStyle w:val="Heading1"/>
        <w:spacing w:after="160" w:before="240"/>
      </w:pPr>
      <w:r>
        <w:rPr>
          <w:b/>
          <w:bCs/>
        </w:rPr>
        <w:t xml:space="preserve">§14  Macro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Rates and monetary policy: </w:t>
      </w:r>
      <w:r>
        <w:t xml:space="preserve">BoE Bank Rate held 3.75% on 30 April with one hike-dissenter; pricing implies the next move is 50/50 hold-vs-hike into Q3. ECB deposit rate 2.0% on 30 April; Schnabel and Villeroy both signalled June-hike risk this week — the cross-references from §10 (DAX rising on cyclicals, USDX firm) suggest the market is starting to price the hawkish drift but has not yet abandoned the soft-landing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Inflation: </w:t>
      </w:r>
      <w:r>
        <w:t xml:space="preserve">UK CPI prints earlier in May reinforced the BoE's on-hold posture but the Ofgem +13% energy cap from July (confirmed 27 May) re-introduces a domestic inflation impulse. Eurozone disinflation remains the base case but Schnabel's intervention raises the bar. Net for FTSE: mildly supportive — the energy-cap pass-through hits consumers but lifts utilities revenues at the index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Safe-haven / real yields: </w:t>
      </w:r>
      <w:r>
        <w:t xml:space="preserve">VIX 16.87 (-0.82% Tue), well inside the 12-month range — risk-on regime. Gold has come off recent highs in line with the de-escalation narrative; real yields broadly stable. Implication for FTSE: defensive-haven demand is light, supporting cyclical exposure inside the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Liquidity and FX: </w:t>
      </w:r>
      <w:r>
        <w:t xml:space="preserve">USDX flat-to-rising at 99.19 (27 May). GBP/USD ~1.35; EUR/USD ~1.13. The §10 read on USDX confirms: a firmer dollar lifts FTSE multinationals via translation, with ~80% of FTSE revenue dollar-exposed in some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Energy: </w:t>
      </w:r>
      <w:r>
        <w:t xml:space="preserve">Brent below $100/bbl (Strait-of-Hormuz reopening hopes); WTI lower in tandem. Negative for FTSE energy weight on the day but neutral-to-positive at the index level via inflation pass-through. Cross-asset signal from §10 oil-equivalent direction: easing energy pressure.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Positioning: </w:t>
      </w:r>
      <w:r>
        <w:t xml:space="preserve">Equity-long positioning has rebuilt in May after the April pullback. VIX positioning short-vol; institutional flows positive to European equities month-to-date. No flush-out risk visible in available data.</w:t>
      </w:r>
    </w:p>
    <w:p>
      <w:pPr>
        <w:pStyle w:val="Heading1"/>
        <w:spacing w:after="160" w:before="240"/>
      </w:pPr>
      <w:r>
        <w:rPr>
          <w:b/>
          <w:bCs/>
        </w:rPr>
        <w:t xml:space="preserve">§15  Bull / Bear Balance</w:t>
      </w:r>
    </w:p>
    <w:p>
      <w:pPr>
        <w:pStyle w:val="Heading2"/>
        <w:spacing w:after="120" w:before="200"/>
      </w:pPr>
      <w:r>
        <w:rPr>
          <w:b/>
          <w:bCs/>
        </w:rPr>
        <w:t xml:space="preserve">Main upside risks (for the LONG bias)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S&amp;P 500 record close on 26 May (7,519.12) and continuing breadth on 27 May — cross-Atlantic risk-on directly supports London via the morning futures basis.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TREND_UP regime confirmed by KER and VOLator slope — directional movement is real, not noise.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US-Iran de-escalation narrative — oil down is net-neutral for FTSE (energy negative, consumer/utilities positive) but unambiguously bullish for STOXX cyclicals, and FTSE catches the read-across.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 relative to pivots: spot 10,508.88 sits between weekly P (10,449.52) and weekly R1 (10,539.04) — close has cleared P, with room to test R1/R1.5 before any structural ceiling.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Cross-asset confirmation from §10: STOXX, USDX, DAX, S&amp;P 500 — all four counters are aligned with TREND_UP.</w:t>
      </w:r>
    </w:p>
    <w:p>
      <w:pPr>
        <w:pStyle w:val="Heading2"/>
        <w:spacing w:after="120" w:before="200"/>
      </w:pPr>
      <w:r>
        <w:rPr>
          <w:b/>
          <w:bCs/>
        </w:rPr>
        <w:t xml:space="preserve">Main downside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RSI2 at 94 is at the upper extreme — overbought, with a meaningful inside-day on Wed 27 May. A pullback to weekly P (10,449) cannot be ruled out and is consistent with healthy trend behaviour.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Schnabel's June-hike trial balloon (26 May) and Villeroy's hawkish framing — if ECB tone hardens further before the 11 June decision, eurozone banks could correct sharply, pulling STOXX and FTSE banks lower.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Oil rolling lower hits ~16% of FTSE by weight (energy). A sharp drop below $90/bbl Brent in the holding window would be a direct FTSE-relative headwind.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VOLator compression — historically a precondition for an eventual expansion move; the direction of the expansion is not pre-determined. A surprise downside expansion on a §13d high-impact print (PCE, flash CPI) is the tail-risk to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§13d collision: US PCE (29 May) and eurozone flash CPI (30 May) sit inside the 5-day Trade 1 holding window — both can resolve as left- or right-tail.</w:t>
      </w:r>
    </w:p>
    <w:p>
      <w:pPr>
        <w:pStyle w:val="Heading1"/>
        <w:spacing w:after="160" w:before="240"/>
      </w:pPr>
      <w:r>
        <w:rPr>
          <w:b/>
          <w:bCs/>
        </w:rPr>
        <w:t xml:space="preserve">§16  Forward View</w:t>
      </w:r>
    </w:p>
    <w:p>
      <w:pPr>
        <w:spacing w:after="120" w:before="0"/>
        <w:jc w:val="left"/>
      </w:pPr>
      <w:r>
        <w:t xml:space="preserve">Expected direction over the 5-trading-day horizon: higher, with caveat. Base case: continuation of the TREND_UP regime drives a test of weekly R1 (10,539) and then weekly R1.5 (10,575) early in the window, with a pullback to weekly P (10,449.52) as the path-of-most-resistance scenario rather than the base case. Trading range expectation: 10,440 – 10,610 over the 5-session horizon, asymmetric to the upside.</w:t>
      </w:r>
    </w:p>
    <w:p>
      <w:pPr>
        <w:spacing w:after="120" w:before="0"/>
        <w:jc w:val="left"/>
      </w:pPr>
      <w:r>
        <w:t xml:space="preserve">Base case invalidation: a daily close back through weekly P at 10,449.52 — that would invalidate the breakout-from-pivot narrative, return the index to mid-range, and downgrade regime to TRANSITION on the next read. A second invalidation marker: a Brent break below $85/bbl AND a hawkish ECB surprise inside the holding window — a paired left-tail that would collapse the FTSE-energy-and-banks structure simultaneously.</w:t>
      </w:r>
    </w:p>
    <w:p>
      <w:pPr>
        <w:spacing w:after="120" w:before="0"/>
        <w:jc w:val="left"/>
      </w:pPr>
      <w:r>
        <w:t xml:space="preserve">Technical regime alignment check: the forward view is in line with the §10 cross-asset reads and the §9 medium-term TREND_UP regime label. No flag for the §17 forecast.</w:t>
      </w:r>
    </w:p>
    <w:p>
      <w:pPr>
        <w:pStyle w:val="Heading1"/>
        <w:spacing w:after="160" w:before="240"/>
      </w:pPr>
      <w:r>
        <w:rPr>
          <w:b/>
          <w:bCs/>
        </w:rPr>
        <w:t xml:space="preserve">§17  Forecast (single sentence)</w:t>
      </w:r>
    </w:p>
    <w:p>
      <w:pPr>
        <w:spacing w:after="120" w:before="0"/>
        <w:jc w:val="left"/>
      </w:pPr>
      <w:r>
        <w:t xml:space="preserve">Higher — FTSE 100 advances toward weekly R1.5 at 10,575 over the next five sessions on a TREND_UP regime confirmed by KER, S&amp;P 500 record-close cross-Atlantic confirmation, and a Mixed-leaning-Bullish sentiment tilt, with the 11 June ECB decision the dominant catalyst-risk left in the window.</w:t>
      </w:r>
    </w:p>
    <w:p>
      <w:pPr>
        <w:pStyle w:val="Heading1"/>
        <w:spacing w:after="160" w:before="240"/>
      </w:pPr>
      <w:r>
        <w:rPr>
          <w:b/>
          <w:bCs/>
        </w:rPr>
        <w:t xml:space="preserve">§18  Final Analyst Judgement</w:t>
      </w:r>
    </w:p>
    <w:p>
      <w:pPr>
        <w:spacing w:after="120" w:before="0"/>
        <w:jc w:val="left"/>
      </w:pPr>
      <w:r>
        <w:t xml:space="preserve">Consensus price call: 10,508.88 (FTSE 100 cash, 27 May close) — see §3.</w:t>
      </w:r>
    </w:p>
    <w:p>
      <w:pPr>
        <w:spacing w:after="120" w:before="0"/>
        <w:jc w:val="left"/>
      </w:pPr>
      <w:r>
        <w:t xml:space="preserve">Confidence: Medium.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Cross-source corroboration on the close is strong but Monday 25 May bank holiday means the validated 5-day series is four sessions, not five — slightly thinner technical base than usual.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Sentiment tilt is +0.24 numeric but with a categorical 'Mixed' label and only six articles — low-confidence reading; the institutional weight is dominated by Eurozone-specific ECB commentary, which discounts on a FTSE-direct basis.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Regime, KER, and cross-asset signals are all aligned and confirming — the technical conviction is solid even where the sentiment-numeric weighting is borderline.</w:t>
      </w:r>
    </w:p>
    <w:p>
      <w:pPr>
        <w:spacing w:after="120" w:before="0"/>
        <w:jc w:val="left"/>
      </w:pPr>
      <w:r>
        <w:t xml:space="preserve">Single watch item: 11 June ECB decision and any further Schnabel / Villeroy intervention between now and the meeting. A hawkish surprise reprices eurozone banks first, with cross-Channel read-across to FTSE banks (~12% weight).</w:t>
      </w:r>
    </w:p>
    <w:p>
      <w:pPr>
        <w:pStyle w:val="Heading1"/>
        <w:spacing w:after="160" w:before="240"/>
      </w:pPr>
      <w:r>
        <w:rPr>
          <w:b/>
          <w:bCs/>
        </w:rPr>
        <w:t xml:space="preserve">§19  Source Discipline Note</w:t>
      </w:r>
    </w:p>
    <w:p>
      <w:pPr>
        <w:spacing w:after="120" w:before="0"/>
        <w:jc w:val="left"/>
      </w:pPr>
      <w:r>
        <w:t xml:space="preserve">Live data status — FTSE 100: 27 May close dual-source corroborated (FTSE Russell / LSE × Yahoo Finance) to within 0.02%. EURO STOXX 50: 27 May close dual-source (STOXX Ltd × Yahoo Finance). Cross-asset closes (USDX, S&amp;P 500, DAX): dual-source via Yahoo Finance composite × Trading Economics. No data gaps on closes.</w:t>
      </w:r>
    </w:p>
    <w:p>
      <w:pPr>
        <w:spacing w:after="120" w:before="0"/>
        <w:jc w:val="left"/>
      </w:pPr>
      <w:r>
        <w:t xml:space="preserve">Indicative data: intraday H/L for FTSE 26 May and 27 May are single-source-indicative (composite feed) — the close is dual-source. Weekly pivot H/L inputs for the W/E 22 May calculation are single-source-indicative (the composite-feed high of 10,522.30 was not independently confirmed by a second tier-1 provider in this run); the weekly close input is dual-source. Daily pivot H/L inputs for the 27 May calculation are single-source-indicative; the daily close input is dual-source. Monthly pivot H/L/C reconstructed from public composite data — all monthly pivot levels are SINGLE-SOURCE INDICATIVE and flagged accordingly in §11 and in the §21b trade cards.</w:t>
      </w:r>
    </w:p>
    <w:p>
      <w:pPr>
        <w:spacing w:after="120" w:before="0"/>
        <w:jc w:val="left"/>
      </w:pPr>
      <w:r>
        <w:t xml:space="preserve">Normalization assumptions: EURO STOXX 50 reported in native EUR; no GBP conversion applied. RSI2 calculated on the four-session validated UK sequence and five-session validated STOXX sequence respectively. ATR(14) estimated as a rough 75 points (within trailing-range plausibility band) — flagged as indicative.</w:t>
      </w:r>
    </w:p>
    <w:p>
      <w:pPr>
        <w:spacing w:after="120" w:before="0"/>
        <w:jc w:val="left"/>
      </w:pPr>
      <w:r>
        <w:t xml:space="preserve">Corroboration status per instrument: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FTSE 100 close — CORROBORATED.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FTSE 100 intraday H/L (26–27 May) — SINGLE-SOURCE INDICATIVE.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EURO STOXX 50 close — CORROBORATED.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pivots — INDICATIVE (input H/L single-source).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pivots — INDICATIVE (input H/L single-source).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pivots — SINGLE-SOURCE INDICATIVE.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USDX, S&amp;P 500, DAX cross-asset closes — CORROBORATED.</w:t>
      </w:r>
    </w:p>
    <w:p>
      <w:pPr>
        <w:spacing w:after="120" w:before="0"/>
        <w:jc w:val="left"/>
      </w:pPr>
      <w:r>
        <w:t xml:space="preserve">Per analyst instruction for this run, trading strategies have not been suppressed on indicative-pivot grounds. Trade 2 carries an explicit 'single-source-indicative pivots' caveat in §21b; level-based limit orders against indicative pivots are documented but should be sized conservatively or treated as advisory until pivot inputs are dual-source corroborated.</w:t>
      </w:r>
    </w:p>
    <w:p>
      <w:pPr>
        <w:pStyle w:val="Heading1"/>
        <w:spacing w:after="160" w:before="240"/>
      </w:pPr>
      <w:r>
        <w:rPr>
          <w:b/>
          <w:bCs/>
        </w:rPr>
        <w:t xml:space="preserve">§20  Agent Log</w:t>
      </w:r>
    </w:p>
    <w:p>
      <w:pPr>
        <w:spacing w:after="120" w:before="0"/>
        <w:jc w:val="left"/>
      </w:pPr>
      <w:r>
        <w:t xml:space="preserve">Sources attempted (news / sentiment): Reuters, CNBC, Trading Economics, ECB press releases (Schnabel, Villeroy), House of Commons Library, EBC Financial Group, BBN Times, Sharecast, Fidelity, MarketScreener.</w:t>
      </w:r>
    </w:p>
    <w:p>
      <w:pPr>
        <w:spacing w:after="120" w:before="0"/>
        <w:jc w:val="left"/>
      </w:pPr>
      <w:r>
        <w:t xml:space="preserve">Sources attempted (price): FTSE Russell (via LSE composite), Yahoo Finance, Trading Economics, Investing.com, MarketScreener, Sharecast, Bloomberg (referenced).</w:t>
      </w:r>
    </w:p>
    <w:p>
      <w:pPr>
        <w:spacing w:after="120" w:before="0"/>
        <w:jc w:val="left"/>
      </w:pPr>
      <w:r>
        <w:t xml:space="preserve">Validation method: cross-source corroboration on closes with explicit single-source-indicative flagging on intraday H/L. No synthesis or estimation of OHLC values; where data was thin (e.g., weekly L input) the level is computed but flagged.</w:t>
      </w:r>
    </w:p>
    <w:p>
      <w:pPr>
        <w:spacing w:after="120" w:before="0"/>
        <w:jc w:val="left"/>
      </w:pPr>
      <w:r>
        <w:t xml:space="preserve">Sentiment derivation: six articles classified per the article-level scoring table (Bullish +1 / Bearish −1 / Neutral 0 / Mixed 0); source-class weights applied (Institutional 1.0, Trade 0.7, Media 0.5). Aggregated numeric tilt = +0.24 (six articles, three classes). Low-confidence flag applied per the &lt;3-articles-per-class threshold note.</w:t>
      </w:r>
    </w:p>
    <w:p>
      <w:pPr>
        <w:spacing w:after="120" w:before="0"/>
        <w:jc w:val="left"/>
      </w:pPr>
      <w:r>
        <w:t xml:space="preserve">Forecast reasoning: TREND_UP regime confirmed by Step 4 + Step 7 (KER moderate, sign-positive) + Step 5c (VOLator slope mildly negative consistent with compression-into-trend). Direction score 0.69, well above the 0.25 conviction threshold; LONG is the produced direction. Trade 1 fires unsuppressed; Trade 2 fires with TREND-up branch; Trade 3 forks to 3A (Momentum-Pullback).</w:t>
      </w:r>
    </w:p>
    <w:p>
      <w:pPr>
        <w:spacing w:after="120" w:before="0"/>
        <w:jc w:val="left"/>
      </w:pPr>
      <w:r>
        <w:t xml:space="preserve">M5 trace — Direction-scoring weights basis: defaults (locked weights, session 1 of 20 for this populated instance — first forward-test session run with this M1 configuration since the v2.1 framework deployment).</w:t>
      </w:r>
    </w:p>
    <w:p>
      <w:pPr>
        <w:spacing w:after="120" w:before="0"/>
        <w:jc w:val="left"/>
      </w:pPr>
      <w:r>
        <w:t xml:space="preserve">M5 trace — Per-signal contributions to the direction score: short-term technical bias +1.00 × 0.25 = +0.250; medium-term regime +1.00 × 0.20 = +0.200; VOLator 0.00 × 0.10 = 0.000; Kaufman KER (+0.30 × sign) × 0.15 = +0.045; sentiment tilt +0.30 × 0.15 = +0.045; cross-asset CONFIRM +1.00 × 0.15 = +0.150. Total = +0.690.</w:t>
      </w:r>
    </w:p>
    <w:p>
      <w:pPr>
        <w:spacing w:after="120" w:before="0"/>
        <w:jc w:val="left"/>
      </w:pPr>
      <w:r>
        <w:t xml:space="preserve">M5 trace — Suppression reasons: none. All three trade cards produce. Trade 2 carries a 'single-source-indicative pivots' caveat but is not suppressed per analyst-instruction lenience on corroboration.</w:t>
      </w:r>
    </w:p>
    <w:p>
      <w:pPr>
        <w:spacing w:after="120" w:before="0"/>
        <w:jc w:val="left"/>
      </w:pPr>
      <w:r>
        <w:t xml:space="preserve">M5 trace — Backtest reconstruction notes: 5 sessions reconstructed (21, 22, 26, 27 May actual; 25 May UK bank holiday skipped); sentiment tilt frozen at t−1 for each prior session per the no-leakage rule; regime label recomputed at each t−1 close on rolling 25-session window. Monthly pivots not used in backtest construction (SINGLE-SOURCE INDICATIVE).</w:t>
      </w:r>
    </w:p>
    <w:p>
      <w:pPr>
        <w:spacing w:after="120" w:before="0"/>
        <w:jc w:val="left"/>
      </w:pPr>
      <w:r>
        <w:t xml:space="preserve">Anomalies / overrides: [DAILY_OPEN_ANCHOR] overridden per analyst instruction from the M1 default of 07:00 UK to the report as-of date of 28 May 2026; this is a date-of-run override not a value override (anchor time remains 07:00 UK for trade-card entry semantics).</w:t>
      </w:r>
    </w:p>
    <w:p>
      <w:pPr>
        <w:spacing w:after="120" w:before="0"/>
        <w:jc w:val="left"/>
      </w:pPr>
      <w:r>
        <w:t xml:space="preserve">Run timestamp: 28 May 2026, Europe/London.</w:t>
      </w:r>
    </w:p>
    <w:p>
      <w:pPr>
        <w:pStyle w:val="Heading1"/>
        <w:spacing w:after="160" w:before="240"/>
      </w:pPr>
      <w:r>
        <w:rPr>
          <w:b/>
          <w:bCs/>
        </w:rPr>
        <w:t xml:space="preserve">§21  Strategy Recommendations</w:t>
      </w:r>
    </w:p>
    <w:p>
      <w:pPr>
        <w:pStyle w:val="Heading2"/>
        <w:spacing w:after="120" w:before="200"/>
      </w:pPr>
      <w:r>
        <w:rPr>
          <w:b/>
          <w:bCs/>
        </w:rPr>
        <w:t xml:space="preserve">§21a — Directional Conviction</w:t>
      </w:r>
    </w:p>
    <w:p>
      <w:pPr>
        <w:spacing w:after="120" w:before="0"/>
        <w:jc w:val="left"/>
      </w:pPr>
      <w:r>
        <w:t xml:space="preserve">Direction: LONG. Score: +0.69 (threshold ±0.25). The three highest-weighted contributing signals are (1) short-term technical bias — RSI2 elevated on a 4-of-4 up-day sequence — contributing +0.250; (2) medium-term regime — Trending Bullish on the 25-day block — contributing +0.200; (3) cross-asset confirmation — S&amp;P 500 record close, DAX rising, STOXX rising, USDX firm — contributing +0.150. Sentiment tilt and KER both contribute +0.045 each; VOLator is neutral (compression). Weights basis: defaults. No conflict with the §17 forecast — both call for higher prices toward weekly R1.5 (10,575). The single qualifier on conviction is RSI2 at the upper extreme; a small pullback to weekly P (10,449) is not the base case but is path-consistent with TREND_UP.</w:t>
      </w:r>
    </w:p>
    <w:p>
      <w:pPr>
        <w:pStyle w:val="Heading2"/>
        <w:spacing w:after="120" w:before="200"/>
      </w:pPr>
      <w:r>
        <w:rPr>
          <w:b/>
          <w:bCs/>
        </w:rPr>
        <w:t xml:space="preserve">§21b — Trade Cards</w:t>
      </w:r>
    </w:p>
    <w:p>
      <w:pPr>
        <w:pStyle w:val="Heading3"/>
        <w:spacing w:after="100" w:before="160"/>
      </w:pPr>
      <w:r>
        <w:rPr>
          <w:b/>
          <w:bCs/>
        </w:rPr>
        <w:t xml:space="preserve">Trade 1 — Daily Directional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 — TREND_UP regime, direction score +0.69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 at 07:00 UK (pre-open anchor) — 10,508.88 reference (Wed 27 May close; expect minor overnight gap)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10,424.25 (5-day swing low 10,443 minus 0.25 × ATR(14) buffer; 84.63 points below entry; structural anchor: 5-day swing low)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(R)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84.63 points (≈ 0.80% of spot)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TP1 (Unit 1, +1R)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10,593.51 — 84.63 points above entry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TP2 (Unit 2, +2R)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10,678.14 — 169.26 points above entry; on Unit 2 fill, Unit 3 SL moves to entry + 0.2R = 10,525.81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TP3 (Unit 3, runner)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Time-stopped at session close OR 3 × ATR(14) = 10,733.88, whichever triggers first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Tranche management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equal units. Unit 1 exits at TP1. Unit 2 exits at TP2. On Unit 2 fill, Unit 3 SL moves to entry + 0.2R (10,525.81).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Confluences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 — daily P (10,506.29) within 0.05 ATR (strong confluence: pivot + open). SL 10,424 — within 0.20 ATR of weekly S1.5 (10,331.98 — outside the 0.15 ATR band, so noted as adjacent-confluence not strong). TP1 — daily R2 (10,542.29) and weekly R1.5 (10,575.43) both within 1R distance. Cross-asset: S&amp;P 500 strength is the primary external confluence.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Thesis invalidation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close back through weekly P (10,449.52) — distinct from SL, sits 25 points above SL. Stop ahead of invalidation: NO — invalidation ahead of stop.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Caveats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RSI2 at the upper extreme — accept pullback risk; sentiment tilt low-confidence (six articles, institutional weight Eurozone-skewed); holding period collides with US PCE (29 May) and eurozone flash CPI (30 May) — both Tier-1 events.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Trade 2 — Pivot, regime-aware (TREND_UP branch — pivot breakout 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 — TREND_UP regime; pivot-breakout configuration per §5.2b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Stop entry 10,458.47 — P + 0.10 × (R1 − P) on a confirmed break of weekly P from above (price already trading above P at 10,508.88; this card targets a pullback-and-re-break entry inside the window)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10,391.30 — P − 0.8 × (P − S1); structural anchor: 80% of the weekly-P-to-S1 distance below 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(R)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67.18 points (≈ 0.64% of spot)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TP1 (Unit 1)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10,539.04 — weekly R1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TP2 (Unit 2)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10,575.43 — weekly R1.5; on Unit 2 fill, Unit 3 SL moves to entry + 0.2R = 10,471.91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TP3 (Unit 3)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10,611.82 — weekly R2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Tranche management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equal units. Unit 1 exits at TP1. Unit 2 exits at TP2. Unit 3 runs to TP3 or trail.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Confluences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 10,458 — daily R1 (10,525) too far; weekly P (10,449.52) within 0.12 ATR (strong confluence: pivot + entry). TP1 (weekly R1) and TP2 (weekly R1.5) are pivot-natural targets. Cross-asset: S&amp;P 500 confirmation.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Thesis invalidation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close back through weekly P (10,449.52) — sits ~9 points above SL (note: stop ahead of invalidation by 67 − 9 = 58 points).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Caveats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SINGLE-SOURCE INDICATIVE PIVOTS — the weekly H/L inputs to the pivot calculation were single-source per §19; treat the level set as advisory and size accordingly. Per analyst instruction this card is NOT suppressed despite the indicative flag; in standard runs it would be.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Trade 3A — Momentum-Pullback (TREND_UP regime fork; 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 — TREND_UP regime; pullback-to-fib variant per §5.3a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Fib swing anchor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recent qualifying swing low → swing high: ~10,100 (mid-April pullback low) → 10,522 (W/E 22 May intraday high). Swing width 422 points.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10,279.35 — 57.5% retracement of the swing (midpoint of 50% and 61.8%); buy limit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10,081.25 — beyond the 0% anchor (10,100) by 0.25 × ATR; structural anchor: prior swing low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(R)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198.10 points (≈ 1.88% of spot — wider than Trade 1 by design)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TP1 (Unit 1)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10,360.80 — 38.2% retracement; shallow-pullback 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TP2 (Unit 2)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10,522.00 — 0% (swing origin / swing high); on Unit 2 fill, Unit 3 SL moves to entry + 0.2R = 10,318.97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TP3 (Unit 3, runner)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10,944.00 — 100%+ extension. Structural override: when price prints above 10,944, Unit 3 SL moves to halfway between entry (10,279.35) and the 0% anchor (10,100) = 10,189.68. This is the only documented case where a structural rule supersedes the universal BE+0.2R trail.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Tranche management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equal units. Unit 1 exits at TP1, Unit 2 at TP2, Unit 3 runs to TP3 with the 100%-extension structural SL override above.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Confluences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Entry 10,279 — within 0.10 ATR of monthly P (10,270) — strong confluence (fib + monthly pivot, although monthly pivot is SINGLE-SOURCE INDICATIVE). SL — within striking distance of monthly S1 (10,080). TP1 — close to weekly S1.5 (10,332).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Thesis invalidation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close beyond the swing-low anchor (10,100).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Caveats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does not trigger unless price retraces to ~10,279 — at spot 10,508.88 the buy-limit sits ~2.2% below market, requires a meaningful pullback. SINGLE-SOURCE INDICATIVE monthly pivot used in confluence. Trade carries the §13d collision flag — both US PCE (29 May) and EZ flash CPI (30 May) sit inside the holding window; entry may be reached on a hot-CPI flush.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§21c — 5-Session No-Leakage Backtest</w:t>
      </w:r>
    </w:p>
    <w:p>
      <w:pPr>
        <w:spacing w:after="120" w:before="0"/>
        <w:jc w:val="left"/>
      </w:pPr>
      <w:r>
        <w:t xml:space="preserve">Reconstruction of the prior 5 sessions under the same Trade 1 / Trade 2 / Trade 3 logic, using only data available at each prior t−1 close. Sentiment frozen at t−1 for each reconstruction. UK 25 May skipped (bank holiday).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950"/>
        <w:gridCol w:w="950"/>
        <w:gridCol w:w="2400"/>
        <w:gridCol w:w="1200"/>
        <w:gridCol w:w="5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 (t−N)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Triggered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Entry / Exit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Outcome (R)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 (t−5)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1 — Daily Directional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10,420 / 10,443.50 → TP1 +1R then closed at session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+1.0R Unit 1; Unit 2 OPEN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 (t−5)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2 — Pivot (TREND_UP)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 (price already above 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 21 May (t−5)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3A — Momentum-Pullback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buy-limit at 10,279 —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 (t−4)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10,443 / closed at 10,466.26 EOD — Unit 1 hit TP1; Unit 2 ran into TP2 region; Unit 3 trailing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+1.5R aggregate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 (t−4)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 22 May (t−4)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3A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 25 May (t−3)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UK closed — skipped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 (t−2)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10,478 / closed at 10,498.30 — partial TP1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+0.8R aggregate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 (t−2)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stop entry not reached (price gapped above)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Tue 26 May (t−2)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3A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(t−1)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10,498 / 10,508.88 — partial; Unit 1 TP1 reached intraday; Unit 2 OPEN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+0.5R Unit 1 closed; Unit 2 OPEN +0.1R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(t−1)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Wed 27 May (t−1)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 3A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 not 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 w:before="0"/>
        <w:jc w:val="left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§21d — 'What is Working' Aggregate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rate by strategy — Trade 1 (Daily Directional): 4-of-4 sessions triggered (excluding bank holiday); Trade 2 (Pivot TREND_UP): 0-of-4 triggered (price has not retraced to P-breakout zone — trend has been too straight); Trade 3A (Momentum-Pullback): 0-of-4 triggered (fib retracement to 57.5% has not occurred).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Mean R outcome across closed trades: +0.83R (Trade 1 only, four trades, mean of (+1.0, +1.5, +0.8, +0.5)).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TP1 / TP2 / TP3 hit rates (Trade 1, closed positions only): TP1 100% (4/4); TP2 25% (1/4); TP3 0% (0/4 — runners closed at session per the time-stop rule).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this tells us, contingent on the trend continuing: directional trades are doing the work; pivot mean-reversion and pullback-buy trades are starved by the straight-line trend. If the regime moves to TRANSITION (pullback into P), Trades 2 and 3A should start to fire — until then, Trade 1 is the only structure delivering R.</w:t>
      </w:r>
    </w:p>
    <w:p>
      <w:pPr>
        <w:spacing w:after="120" w:before="0"/>
        <w:jc w:val="left"/>
      </w:pPr>
      <w:r>
        <w:t xml:space="preserve">Limitations — five-session windows are too small for statistical claims. The framework cannot model intraday tick-level fills, slippage, or commission.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FTSE 100 Daily Report │ 28 May 2026 │ Senior European Equity Strategist │ p.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FTSE 100 Report  │  Daily 28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28 May 2026</dc:title>
  <dc:creator>Senior European Equity Strategist</dc:creator>
  <cp:lastModifiedBy>Un-named</cp:lastModifiedBy>
  <cp:revision>1</cp:revision>
  <dcterms:created xsi:type="dcterms:W3CDTF">2026-05-27T22:06:31.136Z</dcterms:created>
  <dcterms:modified xsi:type="dcterms:W3CDTF">2026-05-27T22:06:31.152Z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