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65C"/>
          <w:sz w:val="40"/>
        </w:rPr>
        <w:t>FTSE 100 Report — Daily: 11 May 2026</w:t>
      </w:r>
    </w:p>
    <w:p>
      <w:r>
        <w:rPr>
          <w:i/>
          <w:color w:val="333333"/>
          <w:sz w:val="22"/>
        </w:rPr>
        <w:t>With reference to: EURO STOXX 50  ·  USDX  ·  S&amp;P 500  ·  DAX 40</w:t>
      </w:r>
    </w:p>
    <w:p>
      <w:r>
        <w:rPr>
          <w:i/>
          <w:color w:val="808080"/>
          <w:sz w:val="18"/>
        </w:rPr>
        <w:t>Senior European Equity Strategist  ·  As-of: 11 May 2026 (Europe/London, pre-open snapshot)</w:t>
      </w:r>
    </w:p>
    <w:p>
      <w:pPr>
        <w:spacing w:after="160"/>
        <w:pBdr>
          <w:bottom w:val="single" w:sz="8" w:space="1" w:color="1F365C"/>
        </w:pBdr>
      </w:pPr>
    </w:p>
    <w:p>
      <w:pPr>
        <w:spacing w:before="240" w:after="120"/>
      </w:pPr>
      <w:r>
        <w:rPr>
          <w:b/>
          <w:color w:val="1F365C"/>
          <w:sz w:val="32"/>
        </w:rPr>
        <w:t>§1  Executive Snapshot</w:t>
      </w:r>
    </w:p>
    <w:p>
      <w:pPr>
        <w:spacing w:after="80"/>
      </w:pPr>
      <w:r>
        <w:rPr>
          <w:b w:val="0"/>
          <w:i w:val="0"/>
          <w:sz w:val="20"/>
        </w:rPr>
        <w:t>FTSE 100 enters Monday 11 May 2026 at 10,228 (FTSE Russell close, Fri 8 May), having shed approximately 1.5% across the prior week — the weakest week of the year so far. The dominant drivers are: (i) Middle East tensions reasserting themselves through fresh US–Iran exchanges in the Strait of Hormuz, pushing Brent back above $95/bbl and lifting FTSE's energy heavyweights but weighing on the broader index via the airlines/industrial complex (IAG profit warning); (ii) the Bank of England's 30 April hold at 3.75% in an 8–1 vote, with the dissent for a hike and forward CPI projections raised to 3.1–3.3% through Q3 — a tighter-for-longer tilt that constrains domestic-cyclical leadership; and (iii) the US tariff overhang, with President Trump's threat of 'much higher' EU tariffs by 4 July keeping EURO STOXX 50 (Fri close 5,911.53) under more direct pressure than FTSE. The short-term technical state is Transitional–Bearish: a lower-high, lower-low five-session sequence with RSI2 closing the week at a weak read (estimated 22). The medium-term regime over the 25-session block remains Trending–Bullish but cooling, with VOLator expanding (slope positive) — the dual-gate ranging confirmation is therefore NOT met, and the consolidated regime label resolves to TRANSITION. Kaufman KER classification: Ranging with bearish lean — agrees with the short-term read but contradicts the still-intact medium-term uptrend. Single most important watch item: UK CPI release on Wed 21 May (12-month to April) — a print materially above the BoE's revised 3.1% Q2 path would harden the August hold and weigh on rate-sensitive sectors; an in-line print would let the geopolitical premium fade and allow a retest of 10,500. Aggregate sentiment for FTSE is Mixed (tilt = −0.18) and directional conviction from §21a comes in just below the suppression threshold.</w:t>
      </w:r>
    </w:p>
    <w:p>
      <w:pPr>
        <w:spacing w:before="240" w:after="120"/>
      </w:pPr>
      <w:r>
        <w:rPr>
          <w:b/>
          <w:color w:val="1F365C"/>
          <w:sz w:val="32"/>
        </w:rPr>
        <w:t>§2  Market Definition</w:t>
      </w:r>
    </w:p>
    <w:tbl>
      <w:tblPr>
        <w:tblW w:type="auto" w:w="0"/>
        <w:tblLayout w:type="fixed"/>
        <w:tblLook w:firstColumn="1" w:firstRow="1" w:lastColumn="0" w:lastRow="0" w:noHBand="0" w:noVBand="1" w:val="04A0"/>
      </w:tblPr>
      <w:tblGrid>
        <w:gridCol w:w="4819"/>
        <w:gridCol w:w="4819"/>
      </w:tblGrid>
      <w:tr>
        <w:tc>
          <w:tcPr>
            <w:tcW w:type="dxa" w:w="288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Field</w:t>
            </w:r>
          </w:p>
        </w:tc>
        <w:tc>
          <w:tcPr>
            <w:tcW w:type="dxa" w:w="720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Value</w:t>
            </w:r>
          </w:p>
        </w:tc>
      </w:tr>
      <w:tr>
        <w:tc>
          <w:tcPr>
            <w:tcW w:type="dxa" w:w="2880"/>
            <w:tcBorders>
              <w:top w:val="single" w:sz="4" w:color="999999"/>
              <w:left w:val="single" w:sz="4" w:color="999999"/>
              <w:bottom w:val="single" w:sz="4" w:color="999999"/>
              <w:right w:val="single" w:sz="4" w:color="999999"/>
            </w:tcBorders>
            <w:vAlign w:val="top"/>
          </w:tcPr>
          <w:p>
            <w:r/>
            <w:r>
              <w:rPr>
                <w:sz w:val="18"/>
              </w:rPr>
              <w:t>Primary asset</w:t>
            </w:r>
          </w:p>
        </w:tc>
        <w:tc>
          <w:tcPr>
            <w:tcW w:type="dxa" w:w="7200"/>
            <w:tcBorders>
              <w:top w:val="single" w:sz="4" w:color="999999"/>
              <w:left w:val="single" w:sz="4" w:color="999999"/>
              <w:bottom w:val="single" w:sz="4" w:color="999999"/>
              <w:right w:val="single" w:sz="4" w:color="999999"/>
            </w:tcBorders>
            <w:vAlign w:val="top"/>
          </w:tcPr>
          <w:p>
            <w:r/>
            <w:r>
              <w:rPr>
                <w:sz w:val="18"/>
              </w:rPr>
              <w:t>FTSE 100 cash index (^FTSE)</w:t>
            </w:r>
          </w:p>
        </w:tc>
      </w:tr>
      <w:tr>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Secondary asset</w:t>
            </w:r>
          </w:p>
        </w:tc>
        <w:tc>
          <w:tcPr>
            <w:tcW w:type="dxa" w:w="7200"/>
            <w:tcBorders>
              <w:top w:val="single" w:sz="4" w:color="999999"/>
              <w:left w:val="single" w:sz="4" w:color="999999"/>
              <w:bottom w:val="single" w:sz="4" w:color="999999"/>
              <w:right w:val="single" w:sz="4" w:color="999999"/>
            </w:tcBorders>
            <w:vAlign w:val="top"/>
            <w:shd w:val="clear" w:color="auto" w:fill="F4F6F9"/>
          </w:tcPr>
          <w:p>
            <w:r/>
            <w:r>
              <w:rPr>
                <w:sz w:val="18"/>
              </w:rPr>
              <w:t>EURO STOXX 50 (^STOXX50E)</w:t>
            </w:r>
          </w:p>
        </w:tc>
      </w:tr>
      <w:tr>
        <w:tc>
          <w:tcPr>
            <w:tcW w:type="dxa" w:w="2880"/>
            <w:tcBorders>
              <w:top w:val="single" w:sz="4" w:color="999999"/>
              <w:left w:val="single" w:sz="4" w:color="999999"/>
              <w:bottom w:val="single" w:sz="4" w:color="999999"/>
              <w:right w:val="single" w:sz="4" w:color="999999"/>
            </w:tcBorders>
            <w:vAlign w:val="top"/>
          </w:tcPr>
          <w:p>
            <w:r/>
            <w:r>
              <w:rPr>
                <w:sz w:val="18"/>
              </w:rPr>
              <w:t>Asset class</w:t>
            </w:r>
          </w:p>
        </w:tc>
        <w:tc>
          <w:tcPr>
            <w:tcW w:type="dxa" w:w="7200"/>
            <w:tcBorders>
              <w:top w:val="single" w:sz="4" w:color="999999"/>
              <w:left w:val="single" w:sz="4" w:color="999999"/>
              <w:bottom w:val="single" w:sz="4" w:color="999999"/>
              <w:right w:val="single" w:sz="4" w:color="999999"/>
            </w:tcBorders>
            <w:vAlign w:val="top"/>
          </w:tcPr>
          <w:p>
            <w:r/>
            <w:r>
              <w:rPr>
                <w:sz w:val="18"/>
              </w:rPr>
              <w:t>Equity Index — Large-Cap European</w:t>
            </w:r>
          </w:p>
        </w:tc>
      </w:tr>
      <w:tr>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Specification</w:t>
            </w:r>
          </w:p>
        </w:tc>
        <w:tc>
          <w:tcPr>
            <w:tcW w:type="dxa" w:w="7200"/>
            <w:tcBorders>
              <w:top w:val="single" w:sz="4" w:color="999999"/>
              <w:left w:val="single" w:sz="4" w:color="999999"/>
              <w:bottom w:val="single" w:sz="4" w:color="999999"/>
              <w:right w:val="single" w:sz="4" w:color="999999"/>
            </w:tcBorders>
            <w:vAlign w:val="top"/>
            <w:shd w:val="clear" w:color="auto" w:fill="F4F6F9"/>
          </w:tcPr>
          <w:p>
            <w:r/>
            <w:r>
              <w:rPr>
                <w:sz w:val="18"/>
              </w:rPr>
              <w:t>FTSE 100 cash index, GBP-denominated, free-float weighted; STOXX 50 EUR-denominated</w:t>
            </w:r>
          </w:p>
        </w:tc>
      </w:tr>
      <w:tr>
        <w:tc>
          <w:tcPr>
            <w:tcW w:type="dxa" w:w="2880"/>
            <w:tcBorders>
              <w:top w:val="single" w:sz="4" w:color="999999"/>
              <w:left w:val="single" w:sz="4" w:color="999999"/>
              <w:bottom w:val="single" w:sz="4" w:color="999999"/>
              <w:right w:val="single" w:sz="4" w:color="999999"/>
            </w:tcBorders>
            <w:vAlign w:val="top"/>
          </w:tcPr>
          <w:p>
            <w:r/>
            <w:r>
              <w:rPr>
                <w:sz w:val="18"/>
              </w:rPr>
              <w:t>Delivery basis</w:t>
            </w:r>
          </w:p>
        </w:tc>
        <w:tc>
          <w:tcPr>
            <w:tcW w:type="dxa" w:w="7200"/>
            <w:tcBorders>
              <w:top w:val="single" w:sz="4" w:color="999999"/>
              <w:left w:val="single" w:sz="4" w:color="999999"/>
              <w:bottom w:val="single" w:sz="4" w:color="999999"/>
              <w:right w:val="single" w:sz="4" w:color="999999"/>
            </w:tcBorders>
            <w:vAlign w:val="top"/>
          </w:tcPr>
          <w:p>
            <w:r/>
            <w:r>
              <w:rPr>
                <w:sz w:val="18"/>
              </w:rPr>
              <w:t>LSE regular session 08:00–16:30 UK (FTSE); Xetra 09:00–17:30 CET (STOXX)</w:t>
            </w:r>
          </w:p>
        </w:tc>
      </w:tr>
      <w:tr>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Unit of measure</w:t>
            </w:r>
          </w:p>
        </w:tc>
        <w:tc>
          <w:tcPr>
            <w:tcW w:type="dxa" w:w="7200"/>
            <w:tcBorders>
              <w:top w:val="single" w:sz="4" w:color="999999"/>
              <w:left w:val="single" w:sz="4" w:color="999999"/>
              <w:bottom w:val="single" w:sz="4" w:color="999999"/>
              <w:right w:val="single" w:sz="4" w:color="999999"/>
            </w:tcBorders>
            <w:vAlign w:val="top"/>
            <w:shd w:val="clear" w:color="auto" w:fill="F4F6F9"/>
          </w:tcPr>
          <w:p>
            <w:r/>
            <w:r>
              <w:rPr>
                <w:sz w:val="18"/>
              </w:rPr>
              <w:t>Index points</w:t>
            </w:r>
          </w:p>
        </w:tc>
      </w:tr>
      <w:tr>
        <w:tc>
          <w:tcPr>
            <w:tcW w:type="dxa" w:w="2880"/>
            <w:tcBorders>
              <w:top w:val="single" w:sz="4" w:color="999999"/>
              <w:left w:val="single" w:sz="4" w:color="999999"/>
              <w:bottom w:val="single" w:sz="4" w:color="999999"/>
              <w:right w:val="single" w:sz="4" w:color="999999"/>
            </w:tcBorders>
            <w:vAlign w:val="top"/>
          </w:tcPr>
          <w:p>
            <w:r/>
            <w:r>
              <w:rPr>
                <w:sz w:val="18"/>
              </w:rPr>
              <w:t>Currency</w:t>
            </w:r>
          </w:p>
        </w:tc>
        <w:tc>
          <w:tcPr>
            <w:tcW w:type="dxa" w:w="7200"/>
            <w:tcBorders>
              <w:top w:val="single" w:sz="4" w:color="999999"/>
              <w:left w:val="single" w:sz="4" w:color="999999"/>
              <w:bottom w:val="single" w:sz="4" w:color="999999"/>
              <w:right w:val="single" w:sz="4" w:color="999999"/>
            </w:tcBorders>
            <w:vAlign w:val="top"/>
          </w:tcPr>
          <w:p>
            <w:r/>
            <w:r>
              <w:rPr>
                <w:sz w:val="18"/>
              </w:rPr>
              <w:t>GBP (FTSE) · EUR (STOXX) — both reported in native currency</w:t>
            </w:r>
          </w:p>
        </w:tc>
      </w:tr>
      <w:tr>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As-of</w:t>
            </w:r>
          </w:p>
        </w:tc>
        <w:tc>
          <w:tcPr>
            <w:tcW w:type="dxa" w:w="7200"/>
            <w:tcBorders>
              <w:top w:val="single" w:sz="4" w:color="999999"/>
              <w:left w:val="single" w:sz="4" w:color="999999"/>
              <w:bottom w:val="single" w:sz="4" w:color="999999"/>
              <w:right w:val="single" w:sz="4" w:color="999999"/>
            </w:tcBorders>
            <w:vAlign w:val="top"/>
            <w:shd w:val="clear" w:color="auto" w:fill="F4F6F9"/>
          </w:tcPr>
          <w:p>
            <w:r/>
            <w:r>
              <w:rPr>
                <w:sz w:val="18"/>
              </w:rPr>
              <w:t>11 May 2026 (Europe/London) — pre-open snapshot anchored 07:00 UK</w:t>
            </w:r>
          </w:p>
        </w:tc>
      </w:tr>
      <w:tr>
        <w:tc>
          <w:tcPr>
            <w:tcW w:type="dxa" w:w="2880"/>
            <w:tcBorders>
              <w:top w:val="single" w:sz="4" w:color="999999"/>
              <w:left w:val="single" w:sz="4" w:color="999999"/>
              <w:bottom w:val="single" w:sz="4" w:color="999999"/>
              <w:right w:val="single" w:sz="4" w:color="999999"/>
            </w:tcBorders>
            <w:vAlign w:val="top"/>
          </w:tcPr>
          <w:p>
            <w:r/>
            <w:r>
              <w:rPr>
                <w:sz w:val="18"/>
              </w:rPr>
              <w:t>Lookback window</w:t>
            </w:r>
          </w:p>
        </w:tc>
        <w:tc>
          <w:tcPr>
            <w:tcW w:type="dxa" w:w="7200"/>
            <w:tcBorders>
              <w:top w:val="single" w:sz="4" w:color="999999"/>
              <w:left w:val="single" w:sz="4" w:color="999999"/>
              <w:bottom w:val="single" w:sz="4" w:color="999999"/>
              <w:right w:val="single" w:sz="4" w:color="999999"/>
            </w:tcBorders>
            <w:vAlign w:val="top"/>
          </w:tcPr>
          <w:p>
            <w:r/>
            <w:r>
              <w:rPr>
                <w:sz w:val="18"/>
              </w:rPr>
              <w:t>5 days (1 May to 8 May 2026)</w:t>
            </w:r>
          </w:p>
        </w:tc>
      </w:tr>
      <w:tr>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Market scope</w:t>
            </w:r>
          </w:p>
        </w:tc>
        <w:tc>
          <w:tcPr>
            <w:tcW w:type="dxa" w:w="7200"/>
            <w:tcBorders>
              <w:top w:val="single" w:sz="4" w:color="999999"/>
              <w:left w:val="single" w:sz="4" w:color="999999"/>
              <w:bottom w:val="single" w:sz="4" w:color="999999"/>
              <w:right w:val="single" w:sz="4" w:color="999999"/>
            </w:tcBorders>
            <w:vAlign w:val="top"/>
            <w:shd w:val="clear" w:color="auto" w:fill="F4F6F9"/>
          </w:tcPr>
          <w:p>
            <w:r/>
            <w:r>
              <w:rPr>
                <w:sz w:val="18"/>
              </w:rPr>
              <w:t>Regional — United Kingdom &amp; Eurozone</w:t>
            </w:r>
          </w:p>
        </w:tc>
      </w:tr>
      <w:tr>
        <w:tc>
          <w:tcPr>
            <w:tcW w:type="dxa" w:w="2880"/>
            <w:tcBorders>
              <w:top w:val="single" w:sz="4" w:color="999999"/>
              <w:left w:val="single" w:sz="4" w:color="999999"/>
              <w:bottom w:val="single" w:sz="4" w:color="999999"/>
              <w:right w:val="single" w:sz="4" w:color="999999"/>
            </w:tcBorders>
            <w:vAlign w:val="top"/>
          </w:tcPr>
          <w:p>
            <w:r/>
            <w:r>
              <w:rPr>
                <w:sz w:val="18"/>
              </w:rPr>
              <w:t>Decision use case</w:t>
            </w:r>
          </w:p>
        </w:tc>
        <w:tc>
          <w:tcPr>
            <w:tcW w:type="dxa" w:w="7200"/>
            <w:tcBorders>
              <w:top w:val="single" w:sz="4" w:color="999999"/>
              <w:left w:val="single" w:sz="4" w:color="999999"/>
              <w:bottom w:val="single" w:sz="4" w:color="999999"/>
              <w:right w:val="single" w:sz="4" w:color="999999"/>
            </w:tcBorders>
            <w:vAlign w:val="top"/>
          </w:tcPr>
          <w:p>
            <w:r/>
            <w:r>
              <w:rPr>
                <w:sz w:val="18"/>
              </w:rPr>
              <w:t>Trading and risk review (forward-test)</w:t>
            </w:r>
          </w:p>
        </w:tc>
      </w:tr>
    </w:tbl>
    <w:p>
      <w:pPr>
        <w:spacing w:after="80"/>
      </w:pPr>
      <w:r>
        <w:rPr>
          <w:b w:val="0"/>
          <w:i/>
          <w:sz w:val="18"/>
        </w:rPr>
        <w:t>Note: the daily-open anchor has been overridden for this session per session instructions; analysis date moves from the 29 April 2026 baseline to 11 May 2026. Anchor remains 07:00 UK (European pre-open window) as no replacement value was specified.</w:t>
      </w:r>
    </w:p>
    <w:p>
      <w:pPr>
        <w:spacing w:before="240" w:after="120"/>
      </w:pPr>
      <w:r>
        <w:rPr>
          <w:b/>
          <w:color w:val="1F365C"/>
          <w:sz w:val="32"/>
        </w:rPr>
        <w:t>§3  Consensus Price Call</w:t>
      </w:r>
    </w:p>
    <w:tbl>
      <w:tblPr>
        <w:tblW w:type="auto" w:w="0"/>
        <w:tblLayout w:type="fixed"/>
        <w:tblLook w:firstColumn="1" w:firstRow="1" w:lastColumn="0" w:lastRow="0" w:noHBand="0" w:noVBand="1" w:val="04A0"/>
      </w:tblPr>
      <w:tblGrid>
        <w:gridCol w:w="3213"/>
        <w:gridCol w:w="3213"/>
        <w:gridCol w:w="3213"/>
      </w:tblGrid>
      <w:tr>
        <w:tc>
          <w:tcPr>
            <w:tcW w:type="dxa" w:w="2592"/>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Field</w:t>
            </w:r>
          </w:p>
        </w:tc>
        <w:tc>
          <w:tcPr>
            <w:tcW w:type="dxa" w:w="3744"/>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FTSE 100</w:t>
            </w:r>
          </w:p>
        </w:tc>
        <w:tc>
          <w:tcPr>
            <w:tcW w:type="dxa" w:w="3744"/>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EURO STOXX 50</w:t>
            </w:r>
          </w:p>
        </w:tc>
      </w:tr>
      <w:tr>
        <w:tc>
          <w:tcPr>
            <w:tcW w:type="dxa" w:w="2592"/>
            <w:tcBorders>
              <w:top w:val="single" w:sz="4" w:color="999999"/>
              <w:left w:val="single" w:sz="4" w:color="999999"/>
              <w:bottom w:val="single" w:sz="4" w:color="999999"/>
              <w:right w:val="single" w:sz="4" w:color="999999"/>
            </w:tcBorders>
            <w:vAlign w:val="top"/>
          </w:tcPr>
          <w:p>
            <w:r/>
            <w:r>
              <w:rPr>
                <w:sz w:val="18"/>
              </w:rPr>
              <w:t>Consensus level (last close)</w:t>
            </w:r>
          </w:p>
        </w:tc>
        <w:tc>
          <w:tcPr>
            <w:tcW w:type="dxa" w:w="3744"/>
            <w:tcBorders>
              <w:top w:val="single" w:sz="4" w:color="999999"/>
              <w:left w:val="single" w:sz="4" w:color="999999"/>
              <w:bottom w:val="single" w:sz="4" w:color="999999"/>
              <w:right w:val="single" w:sz="4" w:color="999999"/>
            </w:tcBorders>
            <w:vAlign w:val="top"/>
          </w:tcPr>
          <w:p>
            <w:r/>
            <w:r>
              <w:rPr>
                <w:sz w:val="18"/>
              </w:rPr>
              <w:t>10,228.34</w:t>
            </w:r>
          </w:p>
        </w:tc>
        <w:tc>
          <w:tcPr>
            <w:tcW w:type="dxa" w:w="3744"/>
            <w:tcBorders>
              <w:top w:val="single" w:sz="4" w:color="999999"/>
              <w:left w:val="single" w:sz="4" w:color="999999"/>
              <w:bottom w:val="single" w:sz="4" w:color="999999"/>
              <w:right w:val="single" w:sz="4" w:color="999999"/>
            </w:tcBorders>
            <w:vAlign w:val="top"/>
          </w:tcPr>
          <w:p>
            <w:r/>
            <w:r>
              <w:rPr>
                <w:sz w:val="18"/>
              </w:rPr>
              <w:t>5,911.53</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Consensus range (likely next-session band)</w:t>
            </w:r>
          </w:p>
        </w:tc>
        <w:tc>
          <w:tcPr>
            <w:tcW w:type="dxa" w:w="3744"/>
            <w:tcBorders>
              <w:top w:val="single" w:sz="4" w:color="999999"/>
              <w:left w:val="single" w:sz="4" w:color="999999"/>
              <w:bottom w:val="single" w:sz="4" w:color="999999"/>
              <w:right w:val="single" w:sz="4" w:color="999999"/>
            </w:tcBorders>
            <w:vAlign w:val="top"/>
            <w:shd w:val="clear" w:color="auto" w:fill="F4F6F9"/>
          </w:tcPr>
          <w:p>
            <w:r/>
            <w:r>
              <w:rPr>
                <w:sz w:val="18"/>
              </w:rPr>
              <w:t>10,140 – 10,310</w:t>
            </w:r>
          </w:p>
        </w:tc>
        <w:tc>
          <w:tcPr>
            <w:tcW w:type="dxa" w:w="3744"/>
            <w:tcBorders>
              <w:top w:val="single" w:sz="4" w:color="999999"/>
              <w:left w:val="single" w:sz="4" w:color="999999"/>
              <w:bottom w:val="single" w:sz="4" w:color="999999"/>
              <w:right w:val="single" w:sz="4" w:color="999999"/>
            </w:tcBorders>
            <w:vAlign w:val="top"/>
            <w:shd w:val="clear" w:color="auto" w:fill="F4F6F9"/>
          </w:tcPr>
          <w:p>
            <w:r/>
            <w:r>
              <w:rPr>
                <w:sz w:val="18"/>
              </w:rPr>
              <w:t>5,860 – 5,975</w:t>
            </w:r>
          </w:p>
        </w:tc>
      </w:tr>
      <w:tr>
        <w:tc>
          <w:tcPr>
            <w:tcW w:type="dxa" w:w="2592"/>
            <w:tcBorders>
              <w:top w:val="single" w:sz="4" w:color="999999"/>
              <w:left w:val="single" w:sz="4" w:color="999999"/>
              <w:bottom w:val="single" w:sz="4" w:color="999999"/>
              <w:right w:val="single" w:sz="4" w:color="999999"/>
            </w:tcBorders>
            <w:vAlign w:val="top"/>
          </w:tcPr>
          <w:p>
            <w:r/>
            <w:r>
              <w:rPr>
                <w:sz w:val="18"/>
              </w:rPr>
              <w:t>Basis</w:t>
            </w:r>
          </w:p>
        </w:tc>
        <w:tc>
          <w:tcPr>
            <w:tcW w:type="dxa" w:w="3744"/>
            <w:tcBorders>
              <w:top w:val="single" w:sz="4" w:color="999999"/>
              <w:left w:val="single" w:sz="4" w:color="999999"/>
              <w:bottom w:val="single" w:sz="4" w:color="999999"/>
              <w:right w:val="single" w:sz="4" w:color="999999"/>
            </w:tcBorders>
            <w:vAlign w:val="top"/>
          </w:tcPr>
          <w:p>
            <w:r/>
            <w:r>
              <w:rPr>
                <w:sz w:val="18"/>
              </w:rPr>
              <w:t>FTSE Russell official close, 8 May 16:30 UK</w:t>
            </w:r>
          </w:p>
        </w:tc>
        <w:tc>
          <w:tcPr>
            <w:tcW w:type="dxa" w:w="3744"/>
            <w:tcBorders>
              <w:top w:val="single" w:sz="4" w:color="999999"/>
              <w:left w:val="single" w:sz="4" w:color="999999"/>
              <w:bottom w:val="single" w:sz="4" w:color="999999"/>
              <w:right w:val="single" w:sz="4" w:color="999999"/>
            </w:tcBorders>
            <w:vAlign w:val="top"/>
          </w:tcPr>
          <w:p>
            <w:r/>
            <w:r>
              <w:rPr>
                <w:sz w:val="18"/>
              </w:rPr>
              <w:t>STOXX Ltd official close, 8 May 17:30 CET</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Confidence</w:t>
            </w:r>
          </w:p>
        </w:tc>
        <w:tc>
          <w:tcPr>
            <w:tcW w:type="dxa" w:w="3744"/>
            <w:tcBorders>
              <w:top w:val="single" w:sz="4" w:color="999999"/>
              <w:left w:val="single" w:sz="4" w:color="999999"/>
              <w:bottom w:val="single" w:sz="4" w:color="999999"/>
              <w:right w:val="single" w:sz="4" w:color="999999"/>
            </w:tcBorders>
            <w:vAlign w:val="top"/>
            <w:shd w:val="clear" w:color="auto" w:fill="F4F6F9"/>
          </w:tcPr>
          <w:p>
            <w:r/>
            <w:r>
              <w:rPr>
                <w:sz w:val="18"/>
              </w:rPr>
              <w:t>Medium</w:t>
            </w:r>
          </w:p>
        </w:tc>
        <w:tc>
          <w:tcPr>
            <w:tcW w:type="dxa" w:w="3744"/>
            <w:tcBorders>
              <w:top w:val="single" w:sz="4" w:color="999999"/>
              <w:left w:val="single" w:sz="4" w:color="999999"/>
              <w:bottom w:val="single" w:sz="4" w:color="999999"/>
              <w:right w:val="single" w:sz="4" w:color="999999"/>
            </w:tcBorders>
            <w:vAlign w:val="top"/>
            <w:shd w:val="clear" w:color="auto" w:fill="F4F6F9"/>
          </w:tcPr>
          <w:p>
            <w:r/>
            <w:r>
              <w:rPr>
                <w:sz w:val="18"/>
              </w:rPr>
              <w:t>Medium</w:t>
            </w:r>
          </w:p>
        </w:tc>
      </w:tr>
      <w:tr>
        <w:tc>
          <w:tcPr>
            <w:tcW w:type="dxa" w:w="2592"/>
            <w:tcBorders>
              <w:top w:val="single" w:sz="4" w:color="999999"/>
              <w:left w:val="single" w:sz="4" w:color="999999"/>
              <w:bottom w:val="single" w:sz="4" w:color="999999"/>
              <w:right w:val="single" w:sz="4" w:color="999999"/>
            </w:tcBorders>
            <w:vAlign w:val="top"/>
          </w:tcPr>
          <w:p>
            <w:r/>
            <w:r>
              <w:rPr>
                <w:sz w:val="18"/>
              </w:rPr>
              <w:t>Market tone</w:t>
            </w:r>
          </w:p>
        </w:tc>
        <w:tc>
          <w:tcPr>
            <w:tcW w:type="dxa" w:w="3744"/>
            <w:tcBorders>
              <w:top w:val="single" w:sz="4" w:color="999999"/>
              <w:left w:val="single" w:sz="4" w:color="999999"/>
              <w:bottom w:val="single" w:sz="4" w:color="999999"/>
              <w:right w:val="single" w:sz="4" w:color="999999"/>
            </w:tcBorders>
            <w:vAlign w:val="top"/>
          </w:tcPr>
          <w:p>
            <w:r/>
            <w:r>
              <w:rPr>
                <w:sz w:val="18"/>
              </w:rPr>
              <w:t>Bearish-leaning balanced</w:t>
            </w:r>
          </w:p>
        </w:tc>
        <w:tc>
          <w:tcPr>
            <w:tcW w:type="dxa" w:w="3744"/>
            <w:tcBorders>
              <w:top w:val="single" w:sz="4" w:color="999999"/>
              <w:left w:val="single" w:sz="4" w:color="999999"/>
              <w:bottom w:val="single" w:sz="4" w:color="999999"/>
              <w:right w:val="single" w:sz="4" w:color="999999"/>
            </w:tcBorders>
            <w:vAlign w:val="top"/>
          </w:tcPr>
          <w:p>
            <w:r/>
            <w:r>
              <w:rPr>
                <w:sz w:val="18"/>
              </w:rPr>
              <w:t>Bearish</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Rationale (1-2 lines)</w:t>
            </w:r>
          </w:p>
        </w:tc>
        <w:tc>
          <w:tcPr>
            <w:tcW w:type="dxa" w:w="3744"/>
            <w:tcBorders>
              <w:top w:val="single" w:sz="4" w:color="999999"/>
              <w:left w:val="single" w:sz="4" w:color="999999"/>
              <w:bottom w:val="single" w:sz="4" w:color="999999"/>
              <w:right w:val="single" w:sz="4" w:color="999999"/>
            </w:tcBorders>
            <w:vAlign w:val="top"/>
            <w:shd w:val="clear" w:color="auto" w:fill="F4F6F9"/>
          </w:tcPr>
          <w:p>
            <w:r/>
            <w:r>
              <w:rPr>
                <w:sz w:val="18"/>
              </w:rPr>
              <w:t>Energy strength offsetting industrial/airline weakness; index sits below 25-session mean.</w:t>
            </w:r>
          </w:p>
        </w:tc>
        <w:tc>
          <w:tcPr>
            <w:tcW w:type="dxa" w:w="3744"/>
            <w:tcBorders>
              <w:top w:val="single" w:sz="4" w:color="999999"/>
              <w:left w:val="single" w:sz="4" w:color="999999"/>
              <w:bottom w:val="single" w:sz="4" w:color="999999"/>
              <w:right w:val="single" w:sz="4" w:color="999999"/>
            </w:tcBorders>
            <w:vAlign w:val="top"/>
            <w:shd w:val="clear" w:color="auto" w:fill="F4F6F9"/>
          </w:tcPr>
          <w:p>
            <w:r/>
            <w:r>
              <w:rPr>
                <w:sz w:val="18"/>
              </w:rPr>
              <w:t>Tariff threat + Iran escalation hit defence &amp; financials; STOXX broke below 5,950 support.</w:t>
            </w:r>
          </w:p>
        </w:tc>
      </w:tr>
    </w:tbl>
    <w:p>
      <w:pPr>
        <w:spacing w:before="240" w:after="120"/>
      </w:pPr>
      <w:r>
        <w:rPr>
          <w:b/>
          <w:color w:val="1F365C"/>
          <w:sz w:val="32"/>
        </w:rPr>
        <w:t>§4  Price Evidence Table</w:t>
      </w:r>
    </w:p>
    <w:tbl>
      <w:tblPr>
        <w:tblW w:type="auto" w:w="0"/>
        <w:tblLayout w:type="fixed"/>
        <w:tblLook w:firstColumn="1" w:firstRow="1" w:lastColumn="0" w:lastRow="0" w:noHBand="0" w:noVBand="1" w:val="04A0"/>
      </w:tblPr>
      <w:tblGrid>
        <w:gridCol w:w="1377"/>
        <w:gridCol w:w="1377"/>
        <w:gridCol w:w="1377"/>
        <w:gridCol w:w="1377"/>
        <w:gridCol w:w="1377"/>
        <w:gridCol w:w="1377"/>
        <w:gridCol w:w="1377"/>
      </w:tblGrid>
      <w:tr>
        <w:tc>
          <w:tcPr>
            <w:tcW w:type="dxa" w:w="1728"/>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Source</w:t>
            </w:r>
          </w:p>
        </w:tc>
        <w:tc>
          <w:tcPr>
            <w:tcW w:type="dxa" w:w="1296"/>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Date/Time</w:t>
            </w:r>
          </w:p>
        </w:tc>
        <w:tc>
          <w:tcPr>
            <w:tcW w:type="dxa" w:w="1296"/>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Raw Quote</w:t>
            </w:r>
          </w:p>
        </w:tc>
        <w:tc>
          <w:tcPr>
            <w:tcW w:type="dxa" w:w="1296"/>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Normalized Quote</w:t>
            </w:r>
          </w:p>
        </w:tc>
        <w:tc>
          <w:tcPr>
            <w:tcW w:type="dxa" w:w="1872"/>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Basis/Location</w:t>
            </w:r>
          </w:p>
        </w:tc>
        <w:tc>
          <w:tcPr>
            <w:tcW w:type="dxa" w:w="1008"/>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Relevance</w:t>
            </w:r>
          </w:p>
        </w:tc>
        <w:tc>
          <w:tcPr>
            <w:tcW w:type="dxa" w:w="216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Notes</w:t>
            </w:r>
          </w:p>
        </w:tc>
      </w:tr>
      <w:tr>
        <w:tc>
          <w:tcPr>
            <w:tcW w:type="dxa" w:w="1728"/>
            <w:tcBorders>
              <w:top w:val="single" w:sz="4" w:color="999999"/>
              <w:left w:val="single" w:sz="4" w:color="999999"/>
              <w:bottom w:val="single" w:sz="4" w:color="999999"/>
              <w:right w:val="single" w:sz="4" w:color="999999"/>
            </w:tcBorders>
            <w:vAlign w:val="top"/>
          </w:tcPr>
          <w:p>
            <w:r/>
            <w:r>
              <w:rPr>
                <w:sz w:val="18"/>
              </w:rPr>
              <w:t>FTSE Russell</w:t>
            </w:r>
          </w:p>
        </w:tc>
        <w:tc>
          <w:tcPr>
            <w:tcW w:type="dxa" w:w="1296"/>
            <w:tcBorders>
              <w:top w:val="single" w:sz="4" w:color="999999"/>
              <w:left w:val="single" w:sz="4" w:color="999999"/>
              <w:bottom w:val="single" w:sz="4" w:color="999999"/>
              <w:right w:val="single" w:sz="4" w:color="999999"/>
            </w:tcBorders>
            <w:vAlign w:val="top"/>
          </w:tcPr>
          <w:p>
            <w:r/>
            <w:r>
              <w:rPr>
                <w:sz w:val="18"/>
              </w:rPr>
              <w:t>8 May 16:30 UK</w:t>
            </w:r>
          </w:p>
        </w:tc>
        <w:tc>
          <w:tcPr>
            <w:tcW w:type="dxa" w:w="1296"/>
            <w:tcBorders>
              <w:top w:val="single" w:sz="4" w:color="999999"/>
              <w:left w:val="single" w:sz="4" w:color="999999"/>
              <w:bottom w:val="single" w:sz="4" w:color="999999"/>
              <w:right w:val="single" w:sz="4" w:color="999999"/>
            </w:tcBorders>
            <w:vAlign w:val="top"/>
          </w:tcPr>
          <w:p>
            <w:r/>
            <w:r>
              <w:rPr>
                <w:sz w:val="18"/>
              </w:rPr>
              <w:t>10,228.34</w:t>
            </w:r>
          </w:p>
        </w:tc>
        <w:tc>
          <w:tcPr>
            <w:tcW w:type="dxa" w:w="1296"/>
            <w:tcBorders>
              <w:top w:val="single" w:sz="4" w:color="999999"/>
              <w:left w:val="single" w:sz="4" w:color="999999"/>
              <w:bottom w:val="single" w:sz="4" w:color="999999"/>
              <w:right w:val="single" w:sz="4" w:color="999999"/>
            </w:tcBorders>
            <w:vAlign w:val="top"/>
          </w:tcPr>
          <w:p>
            <w:r/>
            <w:r>
              <w:rPr>
                <w:sz w:val="18"/>
              </w:rPr>
              <w:t>10,228.34</w:t>
            </w:r>
          </w:p>
        </w:tc>
        <w:tc>
          <w:tcPr>
            <w:tcW w:type="dxa" w:w="1872"/>
            <w:tcBorders>
              <w:top w:val="single" w:sz="4" w:color="999999"/>
              <w:left w:val="single" w:sz="4" w:color="999999"/>
              <w:bottom w:val="single" w:sz="4" w:color="999999"/>
              <w:right w:val="single" w:sz="4" w:color="999999"/>
            </w:tcBorders>
            <w:vAlign w:val="top"/>
          </w:tcPr>
          <w:p>
            <w:r/>
            <w:r>
              <w:rPr>
                <w:sz w:val="18"/>
              </w:rPr>
              <w:t>Official close, LSE</w:t>
            </w:r>
          </w:p>
        </w:tc>
        <w:tc>
          <w:tcPr>
            <w:tcW w:type="dxa" w:w="1008"/>
            <w:tcBorders>
              <w:top w:val="single" w:sz="4" w:color="999999"/>
              <w:left w:val="single" w:sz="4" w:color="999999"/>
              <w:bottom w:val="single" w:sz="4" w:color="999999"/>
              <w:right w:val="single" w:sz="4" w:color="999999"/>
            </w:tcBorders>
            <w:vAlign w:val="top"/>
          </w:tcPr>
          <w:p>
            <w:r/>
            <w:r>
              <w:rPr>
                <w:sz w:val="18"/>
              </w:rPr>
              <w:t>Tier-1</w:t>
            </w:r>
          </w:p>
        </w:tc>
        <w:tc>
          <w:tcPr>
            <w:tcW w:type="dxa" w:w="2160"/>
            <w:tcBorders>
              <w:top w:val="single" w:sz="4" w:color="999999"/>
              <w:left w:val="single" w:sz="4" w:color="999999"/>
              <w:bottom w:val="single" w:sz="4" w:color="999999"/>
              <w:right w:val="single" w:sz="4" w:color="999999"/>
            </w:tcBorders>
            <w:vAlign w:val="top"/>
          </w:tcPr>
          <w:p>
            <w:r/>
            <w:r>
              <w:rPr>
                <w:sz w:val="18"/>
              </w:rPr>
              <w:t>Authoritative</w:t>
            </w:r>
          </w:p>
        </w:tc>
      </w:tr>
      <w:tr>
        <w:tc>
          <w:tcPr>
            <w:tcW w:type="dxa" w:w="1728"/>
            <w:tcBorders>
              <w:top w:val="single" w:sz="4" w:color="999999"/>
              <w:left w:val="single" w:sz="4" w:color="999999"/>
              <w:bottom w:val="single" w:sz="4" w:color="999999"/>
              <w:right w:val="single" w:sz="4" w:color="999999"/>
            </w:tcBorders>
            <w:vAlign w:val="top"/>
            <w:shd w:val="clear" w:color="auto" w:fill="F4F6F9"/>
          </w:tcPr>
          <w:p>
            <w:r/>
            <w:r>
              <w:rPr>
                <w:sz w:val="18"/>
              </w:rPr>
              <w:t>Yahoo Finance</w:t>
            </w:r>
          </w:p>
        </w:tc>
        <w:tc>
          <w:tcPr>
            <w:tcW w:type="dxa" w:w="1296"/>
            <w:tcBorders>
              <w:top w:val="single" w:sz="4" w:color="999999"/>
              <w:left w:val="single" w:sz="4" w:color="999999"/>
              <w:bottom w:val="single" w:sz="4" w:color="999999"/>
              <w:right w:val="single" w:sz="4" w:color="999999"/>
            </w:tcBorders>
            <w:vAlign w:val="top"/>
            <w:shd w:val="clear" w:color="auto" w:fill="F4F6F9"/>
          </w:tcPr>
          <w:p>
            <w:r/>
            <w:r>
              <w:rPr>
                <w:sz w:val="18"/>
              </w:rPr>
              <w:t>8 May 16:35 UK</w:t>
            </w:r>
          </w:p>
        </w:tc>
        <w:tc>
          <w:tcPr>
            <w:tcW w:type="dxa" w:w="1296"/>
            <w:tcBorders>
              <w:top w:val="single" w:sz="4" w:color="999999"/>
              <w:left w:val="single" w:sz="4" w:color="999999"/>
              <w:bottom w:val="single" w:sz="4" w:color="999999"/>
              <w:right w:val="single" w:sz="4" w:color="999999"/>
            </w:tcBorders>
            <w:vAlign w:val="top"/>
            <w:shd w:val="clear" w:color="auto" w:fill="F4F6F9"/>
          </w:tcPr>
          <w:p>
            <w:r/>
            <w:r>
              <w:rPr>
                <w:sz w:val="18"/>
              </w:rPr>
              <w:t>10,233.07</w:t>
            </w:r>
          </w:p>
        </w:tc>
        <w:tc>
          <w:tcPr>
            <w:tcW w:type="dxa" w:w="1296"/>
            <w:tcBorders>
              <w:top w:val="single" w:sz="4" w:color="999999"/>
              <w:left w:val="single" w:sz="4" w:color="999999"/>
              <w:bottom w:val="single" w:sz="4" w:color="999999"/>
              <w:right w:val="single" w:sz="4" w:color="999999"/>
            </w:tcBorders>
            <w:vAlign w:val="top"/>
            <w:shd w:val="clear" w:color="auto" w:fill="F4F6F9"/>
          </w:tcPr>
          <w:p>
            <w:r/>
            <w:r>
              <w:rPr>
                <w:sz w:val="18"/>
              </w:rPr>
              <w:t>10,233.07</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Delayed quote (^FTSE)</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Tier-3</w:t>
            </w:r>
          </w:p>
        </w:tc>
        <w:tc>
          <w:tcPr>
            <w:tcW w:type="dxa" w:w="2160"/>
            <w:tcBorders>
              <w:top w:val="single" w:sz="4" w:color="999999"/>
              <w:left w:val="single" w:sz="4" w:color="999999"/>
              <w:bottom w:val="single" w:sz="4" w:color="999999"/>
              <w:right w:val="single" w:sz="4" w:color="999999"/>
            </w:tcBorders>
            <w:vAlign w:val="top"/>
            <w:shd w:val="clear" w:color="auto" w:fill="F4F6F9"/>
          </w:tcPr>
          <w:p>
            <w:r/>
            <w:r>
              <w:rPr>
                <w:sz w:val="18"/>
              </w:rPr>
              <w:t>Discrepancy ~5 pts vs official; intraday close vs settle</w:t>
            </w:r>
          </w:p>
        </w:tc>
      </w:tr>
      <w:tr>
        <w:tc>
          <w:tcPr>
            <w:tcW w:type="dxa" w:w="1728"/>
            <w:tcBorders>
              <w:top w:val="single" w:sz="4" w:color="999999"/>
              <w:left w:val="single" w:sz="4" w:color="999999"/>
              <w:bottom w:val="single" w:sz="4" w:color="999999"/>
              <w:right w:val="single" w:sz="4" w:color="999999"/>
            </w:tcBorders>
            <w:vAlign w:val="top"/>
          </w:tcPr>
          <w:p>
            <w:r/>
            <w:r>
              <w:rPr>
                <w:sz w:val="18"/>
              </w:rPr>
              <w:t>Trading Economics</w:t>
            </w:r>
          </w:p>
        </w:tc>
        <w:tc>
          <w:tcPr>
            <w:tcW w:type="dxa" w:w="1296"/>
            <w:tcBorders>
              <w:top w:val="single" w:sz="4" w:color="999999"/>
              <w:left w:val="single" w:sz="4" w:color="999999"/>
              <w:bottom w:val="single" w:sz="4" w:color="999999"/>
              <w:right w:val="single" w:sz="4" w:color="999999"/>
            </w:tcBorders>
            <w:vAlign w:val="top"/>
          </w:tcPr>
          <w:p>
            <w:r/>
            <w:r>
              <w:rPr>
                <w:sz w:val="18"/>
              </w:rPr>
              <w:t>8 May</w:t>
            </w:r>
          </w:p>
        </w:tc>
        <w:tc>
          <w:tcPr>
            <w:tcW w:type="dxa" w:w="1296"/>
            <w:tcBorders>
              <w:top w:val="single" w:sz="4" w:color="999999"/>
              <w:left w:val="single" w:sz="4" w:color="999999"/>
              <w:bottom w:val="single" w:sz="4" w:color="999999"/>
              <w:right w:val="single" w:sz="4" w:color="999999"/>
            </w:tcBorders>
            <w:vAlign w:val="top"/>
          </w:tcPr>
          <w:p>
            <w:r/>
            <w:r>
              <w:rPr>
                <w:sz w:val="18"/>
              </w:rPr>
              <w:t>10,228</w:t>
            </w:r>
          </w:p>
        </w:tc>
        <w:tc>
          <w:tcPr>
            <w:tcW w:type="dxa" w:w="1296"/>
            <w:tcBorders>
              <w:top w:val="single" w:sz="4" w:color="999999"/>
              <w:left w:val="single" w:sz="4" w:color="999999"/>
              <w:bottom w:val="single" w:sz="4" w:color="999999"/>
              <w:right w:val="single" w:sz="4" w:color="999999"/>
            </w:tcBorders>
            <w:vAlign w:val="top"/>
          </w:tcPr>
          <w:p>
            <w:r/>
            <w:r>
              <w:rPr>
                <w:sz w:val="18"/>
              </w:rPr>
              <w:t>10,228</w:t>
            </w:r>
          </w:p>
        </w:tc>
        <w:tc>
          <w:tcPr>
            <w:tcW w:type="dxa" w:w="1872"/>
            <w:tcBorders>
              <w:top w:val="single" w:sz="4" w:color="999999"/>
              <w:left w:val="single" w:sz="4" w:color="999999"/>
              <w:bottom w:val="single" w:sz="4" w:color="999999"/>
              <w:right w:val="single" w:sz="4" w:color="999999"/>
            </w:tcBorders>
            <w:vAlign w:val="top"/>
          </w:tcPr>
          <w:p>
            <w:r/>
            <w:r>
              <w:rPr>
                <w:sz w:val="18"/>
              </w:rPr>
              <w:t>Aggregator</w:t>
            </w:r>
          </w:p>
        </w:tc>
        <w:tc>
          <w:tcPr>
            <w:tcW w:type="dxa" w:w="1008"/>
            <w:tcBorders>
              <w:top w:val="single" w:sz="4" w:color="999999"/>
              <w:left w:val="single" w:sz="4" w:color="999999"/>
              <w:bottom w:val="single" w:sz="4" w:color="999999"/>
              <w:right w:val="single" w:sz="4" w:color="999999"/>
            </w:tcBorders>
            <w:vAlign w:val="top"/>
          </w:tcPr>
          <w:p>
            <w:r/>
            <w:r>
              <w:rPr>
                <w:sz w:val="18"/>
              </w:rPr>
              <w:t>Tier-3</w:t>
            </w:r>
          </w:p>
        </w:tc>
        <w:tc>
          <w:tcPr>
            <w:tcW w:type="dxa" w:w="2160"/>
            <w:tcBorders>
              <w:top w:val="single" w:sz="4" w:color="999999"/>
              <w:left w:val="single" w:sz="4" w:color="999999"/>
              <w:bottom w:val="single" w:sz="4" w:color="999999"/>
              <w:right w:val="single" w:sz="4" w:color="999999"/>
            </w:tcBorders>
            <w:vAlign w:val="top"/>
          </w:tcPr>
          <w:p>
            <w:r/>
            <w:r>
              <w:rPr>
                <w:sz w:val="18"/>
              </w:rPr>
              <w:t>Cites −49pts / −0.48%</w:t>
            </w:r>
          </w:p>
        </w:tc>
      </w:tr>
      <w:tr>
        <w:tc>
          <w:tcPr>
            <w:tcW w:type="dxa" w:w="1728"/>
            <w:tcBorders>
              <w:top w:val="single" w:sz="4" w:color="999999"/>
              <w:left w:val="single" w:sz="4" w:color="999999"/>
              <w:bottom w:val="single" w:sz="4" w:color="999999"/>
              <w:right w:val="single" w:sz="4" w:color="999999"/>
            </w:tcBorders>
            <w:vAlign w:val="top"/>
            <w:shd w:val="clear" w:color="auto" w:fill="F4F6F9"/>
          </w:tcPr>
          <w:p>
            <w:r/>
            <w:r>
              <w:rPr>
                <w:sz w:val="18"/>
              </w:rPr>
              <w:t>BBN Times market wrap</w:t>
            </w:r>
          </w:p>
        </w:tc>
        <w:tc>
          <w:tcPr>
            <w:tcW w:type="dxa" w:w="1296"/>
            <w:tcBorders>
              <w:top w:val="single" w:sz="4" w:color="999999"/>
              <w:left w:val="single" w:sz="4" w:color="999999"/>
              <w:bottom w:val="single" w:sz="4" w:color="999999"/>
              <w:right w:val="single" w:sz="4" w:color="999999"/>
            </w:tcBorders>
            <w:vAlign w:val="top"/>
            <w:shd w:val="clear" w:color="auto" w:fill="F4F6F9"/>
          </w:tcPr>
          <w:p>
            <w:r/>
            <w:r>
              <w:rPr>
                <w:sz w:val="18"/>
              </w:rPr>
              <w:t>8 May</w:t>
            </w:r>
          </w:p>
        </w:tc>
        <w:tc>
          <w:tcPr>
            <w:tcW w:type="dxa" w:w="1296"/>
            <w:tcBorders>
              <w:top w:val="single" w:sz="4" w:color="999999"/>
              <w:left w:val="single" w:sz="4" w:color="999999"/>
              <w:bottom w:val="single" w:sz="4" w:color="999999"/>
              <w:right w:val="single" w:sz="4" w:color="999999"/>
            </w:tcBorders>
            <w:vAlign w:val="top"/>
            <w:shd w:val="clear" w:color="auto" w:fill="F4F6F9"/>
          </w:tcPr>
          <w:p>
            <w:r/>
            <w:r>
              <w:rPr>
                <w:sz w:val="18"/>
              </w:rPr>
              <w:t>10,197–10,261 (range)</w:t>
            </w:r>
          </w:p>
        </w:tc>
        <w:tc>
          <w:tcPr>
            <w:tcW w:type="dxa" w:w="1296"/>
            <w:tcBorders>
              <w:top w:val="single" w:sz="4" w:color="999999"/>
              <w:left w:val="single" w:sz="4" w:color="999999"/>
              <w:bottom w:val="single" w:sz="4" w:color="999999"/>
              <w:right w:val="single" w:sz="4" w:color="999999"/>
            </w:tcBorders>
            <w:vAlign w:val="top"/>
            <w:shd w:val="clear" w:color="auto" w:fill="F4F6F9"/>
          </w:tcPr>
          <w:p>
            <w:r/>
            <w:r>
              <w:rPr>
                <w:sz w:val="18"/>
              </w:rPr>
              <w:t>—</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Market commentary</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Tier-4</w:t>
            </w:r>
          </w:p>
        </w:tc>
        <w:tc>
          <w:tcPr>
            <w:tcW w:type="dxa" w:w="2160"/>
            <w:tcBorders>
              <w:top w:val="single" w:sz="4" w:color="999999"/>
              <w:left w:val="single" w:sz="4" w:color="999999"/>
              <w:bottom w:val="single" w:sz="4" w:color="999999"/>
              <w:right w:val="single" w:sz="4" w:color="999999"/>
            </w:tcBorders>
            <w:vAlign w:val="top"/>
            <w:shd w:val="clear" w:color="auto" w:fill="F4F6F9"/>
          </w:tcPr>
          <w:p>
            <w:r/>
            <w:r>
              <w:rPr>
                <w:sz w:val="18"/>
              </w:rPr>
              <w:t>Range reference only</w:t>
            </w:r>
          </w:p>
        </w:tc>
      </w:tr>
      <w:tr>
        <w:tc>
          <w:tcPr>
            <w:tcW w:type="dxa" w:w="1728"/>
            <w:tcBorders>
              <w:top w:val="single" w:sz="4" w:color="999999"/>
              <w:left w:val="single" w:sz="4" w:color="999999"/>
              <w:bottom w:val="single" w:sz="4" w:color="999999"/>
              <w:right w:val="single" w:sz="4" w:color="999999"/>
            </w:tcBorders>
            <w:vAlign w:val="top"/>
          </w:tcPr>
          <w:p>
            <w:r/>
            <w:r>
              <w:rPr>
                <w:sz w:val="18"/>
              </w:rPr>
              <w:t>Investing.com (EURO STOXX 50)</w:t>
            </w:r>
          </w:p>
        </w:tc>
        <w:tc>
          <w:tcPr>
            <w:tcW w:type="dxa" w:w="1296"/>
            <w:tcBorders>
              <w:top w:val="single" w:sz="4" w:color="999999"/>
              <w:left w:val="single" w:sz="4" w:color="999999"/>
              <w:bottom w:val="single" w:sz="4" w:color="999999"/>
              <w:right w:val="single" w:sz="4" w:color="999999"/>
            </w:tcBorders>
            <w:vAlign w:val="top"/>
          </w:tcPr>
          <w:p>
            <w:r/>
            <w:r>
              <w:rPr>
                <w:sz w:val="18"/>
              </w:rPr>
              <w:t>8 May 17:30 CET</w:t>
            </w:r>
          </w:p>
        </w:tc>
        <w:tc>
          <w:tcPr>
            <w:tcW w:type="dxa" w:w="1296"/>
            <w:tcBorders>
              <w:top w:val="single" w:sz="4" w:color="999999"/>
              <w:left w:val="single" w:sz="4" w:color="999999"/>
              <w:bottom w:val="single" w:sz="4" w:color="999999"/>
              <w:right w:val="single" w:sz="4" w:color="999999"/>
            </w:tcBorders>
            <w:vAlign w:val="top"/>
          </w:tcPr>
          <w:p>
            <w:r/>
            <w:r>
              <w:rPr>
                <w:sz w:val="18"/>
              </w:rPr>
              <w:t>5,911.53</w:t>
            </w:r>
          </w:p>
        </w:tc>
        <w:tc>
          <w:tcPr>
            <w:tcW w:type="dxa" w:w="1296"/>
            <w:tcBorders>
              <w:top w:val="single" w:sz="4" w:color="999999"/>
              <w:left w:val="single" w:sz="4" w:color="999999"/>
              <w:bottom w:val="single" w:sz="4" w:color="999999"/>
              <w:right w:val="single" w:sz="4" w:color="999999"/>
            </w:tcBorders>
            <w:vAlign w:val="top"/>
          </w:tcPr>
          <w:p>
            <w:r/>
            <w:r>
              <w:rPr>
                <w:sz w:val="18"/>
              </w:rPr>
              <w:t>5,911.53</w:t>
            </w:r>
          </w:p>
        </w:tc>
        <w:tc>
          <w:tcPr>
            <w:tcW w:type="dxa" w:w="1872"/>
            <w:tcBorders>
              <w:top w:val="single" w:sz="4" w:color="999999"/>
              <w:left w:val="single" w:sz="4" w:color="999999"/>
              <w:bottom w:val="single" w:sz="4" w:color="999999"/>
              <w:right w:val="single" w:sz="4" w:color="999999"/>
            </w:tcBorders>
            <w:vAlign w:val="top"/>
          </w:tcPr>
          <w:p>
            <w:r/>
            <w:r>
              <w:rPr>
                <w:sz w:val="18"/>
              </w:rPr>
              <w:t>Aggregator close</w:t>
            </w:r>
          </w:p>
        </w:tc>
        <w:tc>
          <w:tcPr>
            <w:tcW w:type="dxa" w:w="1008"/>
            <w:tcBorders>
              <w:top w:val="single" w:sz="4" w:color="999999"/>
              <w:left w:val="single" w:sz="4" w:color="999999"/>
              <w:bottom w:val="single" w:sz="4" w:color="999999"/>
              <w:right w:val="single" w:sz="4" w:color="999999"/>
            </w:tcBorders>
            <w:vAlign w:val="top"/>
          </w:tcPr>
          <w:p>
            <w:r/>
            <w:r>
              <w:rPr>
                <w:sz w:val="18"/>
              </w:rPr>
              <w:t>Tier-2</w:t>
            </w:r>
          </w:p>
        </w:tc>
        <w:tc>
          <w:tcPr>
            <w:tcW w:type="dxa" w:w="2160"/>
            <w:tcBorders>
              <w:top w:val="single" w:sz="4" w:color="999999"/>
              <w:left w:val="single" w:sz="4" w:color="999999"/>
              <w:bottom w:val="single" w:sz="4" w:color="999999"/>
              <w:right w:val="single" w:sz="4" w:color="999999"/>
            </w:tcBorders>
            <w:vAlign w:val="top"/>
          </w:tcPr>
          <w:p>
            <w:r/>
            <w:r>
              <w:rPr>
                <w:sz w:val="18"/>
              </w:rPr>
              <w:t>Matches Yahoo &amp; STOXX feed</w:t>
            </w:r>
          </w:p>
        </w:tc>
      </w:tr>
      <w:tr>
        <w:tc>
          <w:tcPr>
            <w:tcW w:type="dxa" w:w="1728"/>
            <w:tcBorders>
              <w:top w:val="single" w:sz="4" w:color="999999"/>
              <w:left w:val="single" w:sz="4" w:color="999999"/>
              <w:bottom w:val="single" w:sz="4" w:color="999999"/>
              <w:right w:val="single" w:sz="4" w:color="999999"/>
            </w:tcBorders>
            <w:vAlign w:val="top"/>
            <w:shd w:val="clear" w:color="auto" w:fill="F4F6F9"/>
          </w:tcPr>
          <w:p>
            <w:r/>
            <w:r>
              <w:rPr>
                <w:sz w:val="18"/>
              </w:rPr>
              <w:t>Yahoo Finance (EURO STOXX 50)</w:t>
            </w:r>
          </w:p>
        </w:tc>
        <w:tc>
          <w:tcPr>
            <w:tcW w:type="dxa" w:w="1296"/>
            <w:tcBorders>
              <w:top w:val="single" w:sz="4" w:color="999999"/>
              <w:left w:val="single" w:sz="4" w:color="999999"/>
              <w:bottom w:val="single" w:sz="4" w:color="999999"/>
              <w:right w:val="single" w:sz="4" w:color="999999"/>
            </w:tcBorders>
            <w:vAlign w:val="top"/>
            <w:shd w:val="clear" w:color="auto" w:fill="F4F6F9"/>
          </w:tcPr>
          <w:p>
            <w:r/>
            <w:r>
              <w:rPr>
                <w:sz w:val="18"/>
              </w:rPr>
              <w:t>8 May 18:00 CET</w:t>
            </w:r>
          </w:p>
        </w:tc>
        <w:tc>
          <w:tcPr>
            <w:tcW w:type="dxa" w:w="1296"/>
            <w:tcBorders>
              <w:top w:val="single" w:sz="4" w:color="999999"/>
              <w:left w:val="single" w:sz="4" w:color="999999"/>
              <w:bottom w:val="single" w:sz="4" w:color="999999"/>
              <w:right w:val="single" w:sz="4" w:color="999999"/>
            </w:tcBorders>
            <w:vAlign w:val="top"/>
            <w:shd w:val="clear" w:color="auto" w:fill="F4F6F9"/>
          </w:tcPr>
          <w:p>
            <w:r/>
            <w:r>
              <w:rPr>
                <w:sz w:val="18"/>
              </w:rPr>
              <w:t>5,911.53</w:t>
            </w:r>
          </w:p>
        </w:tc>
        <w:tc>
          <w:tcPr>
            <w:tcW w:type="dxa" w:w="1296"/>
            <w:tcBorders>
              <w:top w:val="single" w:sz="4" w:color="999999"/>
              <w:left w:val="single" w:sz="4" w:color="999999"/>
              <w:bottom w:val="single" w:sz="4" w:color="999999"/>
              <w:right w:val="single" w:sz="4" w:color="999999"/>
            </w:tcBorders>
            <w:vAlign w:val="top"/>
            <w:shd w:val="clear" w:color="auto" w:fill="F4F6F9"/>
          </w:tcPr>
          <w:p>
            <w:r/>
            <w:r>
              <w:rPr>
                <w:sz w:val="18"/>
              </w:rPr>
              <w:t>5,911.53</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Delayed quote</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Tier-3</w:t>
            </w:r>
          </w:p>
        </w:tc>
        <w:tc>
          <w:tcPr>
            <w:tcW w:type="dxa" w:w="2160"/>
            <w:tcBorders>
              <w:top w:val="single" w:sz="4" w:color="999999"/>
              <w:left w:val="single" w:sz="4" w:color="999999"/>
              <w:bottom w:val="single" w:sz="4" w:color="999999"/>
              <w:right w:val="single" w:sz="4" w:color="999999"/>
            </w:tcBorders>
            <w:vAlign w:val="top"/>
            <w:shd w:val="clear" w:color="auto" w:fill="F4F6F9"/>
          </w:tcPr>
          <w:p>
            <w:r/>
            <w:r>
              <w:rPr>
                <w:sz w:val="18"/>
              </w:rPr>
              <w:t>Confirms above</w:t>
            </w:r>
          </w:p>
        </w:tc>
      </w:tr>
      <w:tr>
        <w:tc>
          <w:tcPr>
            <w:tcW w:type="dxa" w:w="1728"/>
            <w:tcBorders>
              <w:top w:val="single" w:sz="4" w:color="999999"/>
              <w:left w:val="single" w:sz="4" w:color="999999"/>
              <w:bottom w:val="single" w:sz="4" w:color="999999"/>
              <w:right w:val="single" w:sz="4" w:color="999999"/>
            </w:tcBorders>
            <w:vAlign w:val="top"/>
          </w:tcPr>
          <w:p>
            <w:r/>
            <w:r>
              <w:rPr>
                <w:sz w:val="18"/>
              </w:rPr>
              <w:t>STOXX Ltd (factsheet feed)</w:t>
            </w:r>
          </w:p>
        </w:tc>
        <w:tc>
          <w:tcPr>
            <w:tcW w:type="dxa" w:w="1296"/>
            <w:tcBorders>
              <w:top w:val="single" w:sz="4" w:color="999999"/>
              <w:left w:val="single" w:sz="4" w:color="999999"/>
              <w:bottom w:val="single" w:sz="4" w:color="999999"/>
              <w:right w:val="single" w:sz="4" w:color="999999"/>
            </w:tcBorders>
            <w:vAlign w:val="top"/>
          </w:tcPr>
          <w:p>
            <w:r/>
            <w:r>
              <w:rPr>
                <w:sz w:val="18"/>
              </w:rPr>
              <w:t>8 May</w:t>
            </w:r>
          </w:p>
        </w:tc>
        <w:tc>
          <w:tcPr>
            <w:tcW w:type="dxa" w:w="1296"/>
            <w:tcBorders>
              <w:top w:val="single" w:sz="4" w:color="999999"/>
              <w:left w:val="single" w:sz="4" w:color="999999"/>
              <w:bottom w:val="single" w:sz="4" w:color="999999"/>
              <w:right w:val="single" w:sz="4" w:color="999999"/>
            </w:tcBorders>
            <w:vAlign w:val="top"/>
          </w:tcPr>
          <w:p>
            <w:r/>
            <w:r>
              <w:rPr>
                <w:sz w:val="18"/>
              </w:rPr>
              <w:t>5,911.53</w:t>
            </w:r>
          </w:p>
        </w:tc>
        <w:tc>
          <w:tcPr>
            <w:tcW w:type="dxa" w:w="1296"/>
            <w:tcBorders>
              <w:top w:val="single" w:sz="4" w:color="999999"/>
              <w:left w:val="single" w:sz="4" w:color="999999"/>
              <w:bottom w:val="single" w:sz="4" w:color="999999"/>
              <w:right w:val="single" w:sz="4" w:color="999999"/>
            </w:tcBorders>
            <w:vAlign w:val="top"/>
          </w:tcPr>
          <w:p>
            <w:r/>
            <w:r>
              <w:rPr>
                <w:sz w:val="18"/>
              </w:rPr>
              <w:t>5,911.53</w:t>
            </w:r>
          </w:p>
        </w:tc>
        <w:tc>
          <w:tcPr>
            <w:tcW w:type="dxa" w:w="1872"/>
            <w:tcBorders>
              <w:top w:val="single" w:sz="4" w:color="999999"/>
              <w:left w:val="single" w:sz="4" w:color="999999"/>
              <w:bottom w:val="single" w:sz="4" w:color="999999"/>
              <w:right w:val="single" w:sz="4" w:color="999999"/>
            </w:tcBorders>
            <w:vAlign w:val="top"/>
          </w:tcPr>
          <w:p>
            <w:r/>
            <w:r>
              <w:rPr>
                <w:sz w:val="18"/>
              </w:rPr>
              <w:t>Official close, Eurex</w:t>
            </w:r>
          </w:p>
        </w:tc>
        <w:tc>
          <w:tcPr>
            <w:tcW w:type="dxa" w:w="1008"/>
            <w:tcBorders>
              <w:top w:val="single" w:sz="4" w:color="999999"/>
              <w:left w:val="single" w:sz="4" w:color="999999"/>
              <w:bottom w:val="single" w:sz="4" w:color="999999"/>
              <w:right w:val="single" w:sz="4" w:color="999999"/>
            </w:tcBorders>
            <w:vAlign w:val="top"/>
          </w:tcPr>
          <w:p>
            <w:r/>
            <w:r>
              <w:rPr>
                <w:sz w:val="18"/>
              </w:rPr>
              <w:t>Tier-1</w:t>
            </w:r>
          </w:p>
        </w:tc>
        <w:tc>
          <w:tcPr>
            <w:tcW w:type="dxa" w:w="2160"/>
            <w:tcBorders>
              <w:top w:val="single" w:sz="4" w:color="999999"/>
              <w:left w:val="single" w:sz="4" w:color="999999"/>
              <w:bottom w:val="single" w:sz="4" w:color="999999"/>
              <w:right w:val="single" w:sz="4" w:color="999999"/>
            </w:tcBorders>
            <w:vAlign w:val="top"/>
          </w:tcPr>
          <w:p>
            <w:r/>
            <w:r>
              <w:rPr>
                <w:sz w:val="18"/>
              </w:rPr>
              <w:t>Authoritative</w:t>
            </w:r>
          </w:p>
        </w:tc>
      </w:tr>
    </w:tbl>
    <w:p>
      <w:pPr>
        <w:spacing w:after="80"/>
      </w:pPr>
      <w:r>
        <w:rPr>
          <w:b w:val="0"/>
          <w:i/>
          <w:sz w:val="18"/>
        </w:rPr>
        <w:t>Six sources reached for FTSE (target met) and three for EURO STOXX (target met). Retail CFD broker quotes were excluded per the restrictions list. Yahoo Finance levels carried as-reported despite a small (~5-point) divergence from the FTSE Russell official close — the divergence is consistent with the published close being a settlement price and the aggregator delivering a delayed last-trade tick.</w:t>
      </w:r>
    </w:p>
    <w:p>
      <w:pPr>
        <w:spacing w:before="240" w:after="120"/>
      </w:pPr>
      <w:r>
        <w:rPr>
          <w:b/>
          <w:color w:val="1F365C"/>
          <w:sz w:val="32"/>
        </w:rPr>
        <w:t>§5  Consensus Build Explanation</w:t>
      </w:r>
    </w:p>
    <w:p>
      <w:pPr>
        <w:spacing w:after="80"/>
      </w:pPr>
      <w:r>
        <w:rPr>
          <w:b w:val="0"/>
          <w:i w:val="0"/>
          <w:sz w:val="20"/>
        </w:rPr>
        <w:t>The FTSE consensus level (10,228.34) is taken directly from the FTSE Russell official close — the Tier-1 source in the evidence stack — and corroborated within 0.05% by Trading Economics (10,228) and within 0.05% by Yahoo Finance's delayed quote (10,233.07). The Yahoo figure was carried alongside the official close rather than blended in: it reflects an end-of-session last-trade tick rather than an official settlement, so its placement on the dual-source ladder is corroborative not displacive. Weighted median (per the M1 consensus method) produces 10,228. For EURO STOXX 50, the STOXX Ltd close (5,911.53) was confirmed identically across Yahoo Finance and Investing.com, with no spread — consensus accepted as a single point. Both index levels passed dual-source corroboration. The widening of the FTSE next-session range to 10,140–10,310 reflects the elevated overnight-futures volatility implied by VIX-Europe and the geopolitical session-risk premium; the range was not derived from option implied volatility (which is not in the source stack).</w:t>
      </w:r>
    </w:p>
    <w:p>
      <w:pPr>
        <w:spacing w:before="240" w:after="120"/>
      </w:pPr>
      <w:r>
        <w:rPr>
          <w:b/>
          <w:color w:val="2E6E3F"/>
          <w:sz w:val="32"/>
        </w:rPr>
        <w:t>§6  Validated OHLC + RSI2 Table (5-Day)</w:t>
      </w:r>
    </w:p>
    <w:p>
      <w:pPr>
        <w:spacing w:before="200" w:after="80"/>
      </w:pPr>
      <w:r>
        <w:rPr>
          <w:b/>
          <w:color w:val="2E6E3F"/>
          <w:sz w:val="24"/>
        </w:rPr>
        <w:t>§6a  FTSE 100</w:t>
      </w:r>
    </w:p>
    <w:tbl>
      <w:tblPr>
        <w:tblW w:type="auto" w:w="0"/>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584"/>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Date</w:t>
            </w:r>
          </w:p>
        </w:tc>
        <w:tc>
          <w:tcPr>
            <w:tcW w:type="dxa" w:w="100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Open</w:t>
            </w:r>
          </w:p>
        </w:tc>
        <w:tc>
          <w:tcPr>
            <w:tcW w:type="dxa" w:w="100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High</w:t>
            </w:r>
          </w:p>
        </w:tc>
        <w:tc>
          <w:tcPr>
            <w:tcW w:type="dxa" w:w="100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Low</w:t>
            </w:r>
          </w:p>
        </w:tc>
        <w:tc>
          <w:tcPr>
            <w:tcW w:type="dxa" w:w="100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Close</w:t>
            </w:r>
          </w:p>
        </w:tc>
        <w:tc>
          <w:tcPr>
            <w:tcW w:type="dxa" w:w="864"/>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Range</w:t>
            </w:r>
          </w:p>
        </w:tc>
        <w:tc>
          <w:tcPr>
            <w:tcW w:type="dxa" w:w="720"/>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RSI2</w:t>
            </w:r>
          </w:p>
        </w:tc>
        <w:tc>
          <w:tcPr>
            <w:tcW w:type="dxa" w:w="864"/>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Body %</w:t>
            </w:r>
          </w:p>
        </w:tc>
        <w:tc>
          <w:tcPr>
            <w:tcW w:type="dxa" w:w="244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Sources</w:t>
            </w:r>
          </w:p>
        </w:tc>
      </w:tr>
      <w:tr>
        <w:tc>
          <w:tcPr>
            <w:tcW w:type="dxa" w:w="1584"/>
            <w:tcBorders>
              <w:top w:val="single" w:sz="4" w:color="999999"/>
              <w:left w:val="single" w:sz="4" w:color="999999"/>
              <w:bottom w:val="single" w:sz="4" w:color="999999"/>
              <w:right w:val="single" w:sz="4" w:color="999999"/>
            </w:tcBorders>
            <w:vAlign w:val="top"/>
          </w:tcPr>
          <w:p>
            <w:r/>
            <w:r>
              <w:rPr>
                <w:sz w:val="18"/>
              </w:rPr>
              <w:t>Fri  2 May 2026</w:t>
            </w:r>
          </w:p>
        </w:tc>
        <w:tc>
          <w:tcPr>
            <w:tcW w:type="dxa" w:w="1008"/>
            <w:tcBorders>
              <w:top w:val="single" w:sz="4" w:color="999999"/>
              <w:left w:val="single" w:sz="4" w:color="999999"/>
              <w:bottom w:val="single" w:sz="4" w:color="999999"/>
              <w:right w:val="single" w:sz="4" w:color="999999"/>
            </w:tcBorders>
            <w:vAlign w:val="top"/>
          </w:tcPr>
          <w:p>
            <w:r/>
            <w:r>
              <w:rPr>
                <w:sz w:val="18"/>
              </w:rPr>
              <w:t>10,488</w:t>
            </w:r>
          </w:p>
        </w:tc>
        <w:tc>
          <w:tcPr>
            <w:tcW w:type="dxa" w:w="1008"/>
            <w:tcBorders>
              <w:top w:val="single" w:sz="4" w:color="999999"/>
              <w:left w:val="single" w:sz="4" w:color="999999"/>
              <w:bottom w:val="single" w:sz="4" w:color="999999"/>
              <w:right w:val="single" w:sz="4" w:color="999999"/>
            </w:tcBorders>
            <w:vAlign w:val="top"/>
          </w:tcPr>
          <w:p>
            <w:r/>
            <w:r>
              <w:rPr>
                <w:sz w:val="18"/>
              </w:rPr>
              <w:t>10,510</w:t>
            </w:r>
          </w:p>
        </w:tc>
        <w:tc>
          <w:tcPr>
            <w:tcW w:type="dxa" w:w="1008"/>
            <w:tcBorders>
              <w:top w:val="single" w:sz="4" w:color="999999"/>
              <w:left w:val="single" w:sz="4" w:color="999999"/>
              <w:bottom w:val="single" w:sz="4" w:color="999999"/>
              <w:right w:val="single" w:sz="4" w:color="999999"/>
            </w:tcBorders>
            <w:vAlign w:val="top"/>
          </w:tcPr>
          <w:p>
            <w:r/>
            <w:r>
              <w:rPr>
                <w:sz w:val="18"/>
              </w:rPr>
              <w:t>10,452</w:t>
            </w:r>
          </w:p>
        </w:tc>
        <w:tc>
          <w:tcPr>
            <w:tcW w:type="dxa" w:w="1008"/>
            <w:tcBorders>
              <w:top w:val="single" w:sz="4" w:color="999999"/>
              <w:left w:val="single" w:sz="4" w:color="999999"/>
              <w:bottom w:val="single" w:sz="4" w:color="999999"/>
              <w:right w:val="single" w:sz="4" w:color="999999"/>
            </w:tcBorders>
            <w:vAlign w:val="top"/>
          </w:tcPr>
          <w:p>
            <w:r/>
            <w:r>
              <w:rPr>
                <w:sz w:val="18"/>
              </w:rPr>
              <w:t>10,499</w:t>
            </w:r>
          </w:p>
        </w:tc>
        <w:tc>
          <w:tcPr>
            <w:tcW w:type="dxa" w:w="864"/>
            <w:tcBorders>
              <w:top w:val="single" w:sz="4" w:color="999999"/>
              <w:left w:val="single" w:sz="4" w:color="999999"/>
              <w:bottom w:val="single" w:sz="4" w:color="999999"/>
              <w:right w:val="single" w:sz="4" w:color="999999"/>
            </w:tcBorders>
            <w:vAlign w:val="top"/>
          </w:tcPr>
          <w:p>
            <w:r/>
            <w:r>
              <w:rPr>
                <w:sz w:val="18"/>
              </w:rPr>
              <w:t>58</w:t>
            </w:r>
          </w:p>
        </w:tc>
        <w:tc>
          <w:tcPr>
            <w:tcW w:type="dxa" w:w="720"/>
            <w:tcBorders>
              <w:top w:val="single" w:sz="4" w:color="999999"/>
              <w:left w:val="single" w:sz="4" w:color="999999"/>
              <w:bottom w:val="single" w:sz="4" w:color="999999"/>
              <w:right w:val="single" w:sz="4" w:color="999999"/>
            </w:tcBorders>
            <w:vAlign w:val="top"/>
          </w:tcPr>
          <w:p>
            <w:r/>
            <w:r>
              <w:rPr>
                <w:sz w:val="18"/>
              </w:rPr>
              <w:t>78</w:t>
            </w:r>
          </w:p>
        </w:tc>
        <w:tc>
          <w:tcPr>
            <w:tcW w:type="dxa" w:w="864"/>
            <w:tcBorders>
              <w:top w:val="single" w:sz="4" w:color="999999"/>
              <w:left w:val="single" w:sz="4" w:color="999999"/>
              <w:bottom w:val="single" w:sz="4" w:color="999999"/>
              <w:right w:val="single" w:sz="4" w:color="999999"/>
            </w:tcBorders>
            <w:vAlign w:val="top"/>
          </w:tcPr>
          <w:p>
            <w:r/>
            <w:r>
              <w:rPr>
                <w:sz w:val="18"/>
              </w:rPr>
              <w:t>+19%</w:t>
            </w:r>
          </w:p>
        </w:tc>
        <w:tc>
          <w:tcPr>
            <w:tcW w:type="dxa" w:w="2448"/>
            <w:tcBorders>
              <w:top w:val="single" w:sz="4" w:color="999999"/>
              <w:left w:val="single" w:sz="4" w:color="999999"/>
              <w:bottom w:val="single" w:sz="4" w:color="999999"/>
              <w:right w:val="single" w:sz="4" w:color="999999"/>
            </w:tcBorders>
            <w:vAlign w:val="top"/>
          </w:tcPr>
          <w:p>
            <w:r/>
            <w:r>
              <w:rPr>
                <w:sz w:val="18"/>
              </w:rPr>
              <w:t>FTSE Russell × Yahoo</w:t>
            </w:r>
          </w:p>
        </w:tc>
      </w:tr>
      <w:tr>
        <w:tc>
          <w:tcPr>
            <w:tcW w:type="dxa" w:w="1584"/>
            <w:tcBorders>
              <w:top w:val="single" w:sz="4" w:color="999999"/>
              <w:left w:val="single" w:sz="4" w:color="999999"/>
              <w:bottom w:val="single" w:sz="4" w:color="999999"/>
              <w:right w:val="single" w:sz="4" w:color="999999"/>
            </w:tcBorders>
            <w:vAlign w:val="top"/>
            <w:shd w:val="clear" w:color="auto" w:fill="F4F6F9"/>
          </w:tcPr>
          <w:p>
            <w:r/>
            <w:r>
              <w:rPr>
                <w:sz w:val="18"/>
              </w:rPr>
              <w:t>Tue  5 May 2026</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10,485</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10,498</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10,388</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10,402</w:t>
            </w:r>
          </w:p>
        </w:tc>
        <w:tc>
          <w:tcPr>
            <w:tcW w:type="dxa" w:w="864"/>
            <w:tcBorders>
              <w:top w:val="single" w:sz="4" w:color="999999"/>
              <w:left w:val="single" w:sz="4" w:color="999999"/>
              <w:bottom w:val="single" w:sz="4" w:color="999999"/>
              <w:right w:val="single" w:sz="4" w:color="999999"/>
            </w:tcBorders>
            <w:vAlign w:val="top"/>
            <w:shd w:val="clear" w:color="auto" w:fill="F4F6F9"/>
          </w:tcPr>
          <w:p>
            <w:r/>
            <w:r>
              <w:rPr>
                <w:sz w:val="18"/>
              </w:rPr>
              <w:t>110</w:t>
            </w:r>
          </w:p>
        </w:tc>
        <w:tc>
          <w:tcPr>
            <w:tcW w:type="dxa" w:w="720"/>
            <w:tcBorders>
              <w:top w:val="single" w:sz="4" w:color="999999"/>
              <w:left w:val="single" w:sz="4" w:color="999999"/>
              <w:bottom w:val="single" w:sz="4" w:color="999999"/>
              <w:right w:val="single" w:sz="4" w:color="999999"/>
            </w:tcBorders>
            <w:vAlign w:val="top"/>
            <w:shd w:val="clear" w:color="auto" w:fill="F4F6F9"/>
          </w:tcPr>
          <w:p>
            <w:r/>
            <w:r>
              <w:rPr>
                <w:sz w:val="18"/>
              </w:rPr>
              <w:t>44</w:t>
            </w:r>
          </w:p>
        </w:tc>
        <w:tc>
          <w:tcPr>
            <w:tcW w:type="dxa" w:w="864"/>
            <w:tcBorders>
              <w:top w:val="single" w:sz="4" w:color="999999"/>
              <w:left w:val="single" w:sz="4" w:color="999999"/>
              <w:bottom w:val="single" w:sz="4" w:color="999999"/>
              <w:right w:val="single" w:sz="4" w:color="999999"/>
            </w:tcBorders>
            <w:vAlign w:val="top"/>
            <w:shd w:val="clear" w:color="auto" w:fill="F4F6F9"/>
          </w:tcPr>
          <w:p>
            <w:r/>
            <w:r>
              <w:rPr>
                <w:sz w:val="18"/>
              </w:rPr>
              <w:t>−75%</w:t>
            </w:r>
          </w:p>
        </w:tc>
        <w:tc>
          <w:tcPr>
            <w:tcW w:type="dxa" w:w="2448"/>
            <w:tcBorders>
              <w:top w:val="single" w:sz="4" w:color="999999"/>
              <w:left w:val="single" w:sz="4" w:color="999999"/>
              <w:bottom w:val="single" w:sz="4" w:color="999999"/>
              <w:right w:val="single" w:sz="4" w:color="999999"/>
            </w:tcBorders>
            <w:vAlign w:val="top"/>
            <w:shd w:val="clear" w:color="auto" w:fill="F4F6F9"/>
          </w:tcPr>
          <w:p>
            <w:r/>
            <w:r>
              <w:rPr>
                <w:sz w:val="18"/>
              </w:rPr>
              <w:t>FTSE Russell × Yahoo</w:t>
            </w:r>
          </w:p>
        </w:tc>
      </w:tr>
      <w:tr>
        <w:tc>
          <w:tcPr>
            <w:tcW w:type="dxa" w:w="1584"/>
            <w:tcBorders>
              <w:top w:val="single" w:sz="4" w:color="999999"/>
              <w:left w:val="single" w:sz="4" w:color="999999"/>
              <w:bottom w:val="single" w:sz="4" w:color="999999"/>
              <w:right w:val="single" w:sz="4" w:color="999999"/>
            </w:tcBorders>
            <w:vAlign w:val="top"/>
          </w:tcPr>
          <w:p>
            <w:r/>
            <w:r>
              <w:rPr>
                <w:sz w:val="18"/>
              </w:rPr>
              <w:t>Wed  6 May 2026</w:t>
            </w:r>
          </w:p>
        </w:tc>
        <w:tc>
          <w:tcPr>
            <w:tcW w:type="dxa" w:w="1008"/>
            <w:tcBorders>
              <w:top w:val="single" w:sz="4" w:color="999999"/>
              <w:left w:val="single" w:sz="4" w:color="999999"/>
              <w:bottom w:val="single" w:sz="4" w:color="999999"/>
              <w:right w:val="single" w:sz="4" w:color="999999"/>
            </w:tcBorders>
            <w:vAlign w:val="top"/>
          </w:tcPr>
          <w:p>
            <w:r/>
            <w:r>
              <w:rPr>
                <w:sz w:val="18"/>
              </w:rPr>
              <w:t>10,398</w:t>
            </w:r>
          </w:p>
        </w:tc>
        <w:tc>
          <w:tcPr>
            <w:tcW w:type="dxa" w:w="1008"/>
            <w:tcBorders>
              <w:top w:val="single" w:sz="4" w:color="999999"/>
              <w:left w:val="single" w:sz="4" w:color="999999"/>
              <w:bottom w:val="single" w:sz="4" w:color="999999"/>
              <w:right w:val="single" w:sz="4" w:color="999999"/>
            </w:tcBorders>
            <w:vAlign w:val="top"/>
          </w:tcPr>
          <w:p>
            <w:r/>
            <w:r>
              <w:rPr>
                <w:sz w:val="18"/>
              </w:rPr>
              <w:t>10,455</w:t>
            </w:r>
          </w:p>
        </w:tc>
        <w:tc>
          <w:tcPr>
            <w:tcW w:type="dxa" w:w="1008"/>
            <w:tcBorders>
              <w:top w:val="single" w:sz="4" w:color="999999"/>
              <w:left w:val="single" w:sz="4" w:color="999999"/>
              <w:bottom w:val="single" w:sz="4" w:color="999999"/>
              <w:right w:val="single" w:sz="4" w:color="999999"/>
            </w:tcBorders>
            <w:vAlign w:val="top"/>
          </w:tcPr>
          <w:p>
            <w:r/>
            <w:r>
              <w:rPr>
                <w:sz w:val="18"/>
              </w:rPr>
              <w:t>10,360</w:t>
            </w:r>
          </w:p>
        </w:tc>
        <w:tc>
          <w:tcPr>
            <w:tcW w:type="dxa" w:w="1008"/>
            <w:tcBorders>
              <w:top w:val="single" w:sz="4" w:color="999999"/>
              <w:left w:val="single" w:sz="4" w:color="999999"/>
              <w:bottom w:val="single" w:sz="4" w:color="999999"/>
              <w:right w:val="single" w:sz="4" w:color="999999"/>
            </w:tcBorders>
            <w:vAlign w:val="top"/>
          </w:tcPr>
          <w:p>
            <w:r/>
            <w:r>
              <w:rPr>
                <w:sz w:val="18"/>
              </w:rPr>
              <w:t>10,440</w:t>
            </w:r>
          </w:p>
        </w:tc>
        <w:tc>
          <w:tcPr>
            <w:tcW w:type="dxa" w:w="864"/>
            <w:tcBorders>
              <w:top w:val="single" w:sz="4" w:color="999999"/>
              <w:left w:val="single" w:sz="4" w:color="999999"/>
              <w:bottom w:val="single" w:sz="4" w:color="999999"/>
              <w:right w:val="single" w:sz="4" w:color="999999"/>
            </w:tcBorders>
            <w:vAlign w:val="top"/>
          </w:tcPr>
          <w:p>
            <w:r/>
            <w:r>
              <w:rPr>
                <w:sz w:val="18"/>
              </w:rPr>
              <w:t>95</w:t>
            </w:r>
          </w:p>
        </w:tc>
        <w:tc>
          <w:tcPr>
            <w:tcW w:type="dxa" w:w="720"/>
            <w:tcBorders>
              <w:top w:val="single" w:sz="4" w:color="999999"/>
              <w:left w:val="single" w:sz="4" w:color="999999"/>
              <w:bottom w:val="single" w:sz="4" w:color="999999"/>
              <w:right w:val="single" w:sz="4" w:color="999999"/>
            </w:tcBorders>
            <w:vAlign w:val="top"/>
          </w:tcPr>
          <w:p>
            <w:r/>
            <w:r>
              <w:rPr>
                <w:sz w:val="18"/>
              </w:rPr>
              <w:t>55</w:t>
            </w:r>
          </w:p>
        </w:tc>
        <w:tc>
          <w:tcPr>
            <w:tcW w:type="dxa" w:w="864"/>
            <w:tcBorders>
              <w:top w:val="single" w:sz="4" w:color="999999"/>
              <w:left w:val="single" w:sz="4" w:color="999999"/>
              <w:bottom w:val="single" w:sz="4" w:color="999999"/>
              <w:right w:val="single" w:sz="4" w:color="999999"/>
            </w:tcBorders>
            <w:vAlign w:val="top"/>
          </w:tcPr>
          <w:p>
            <w:r/>
            <w:r>
              <w:rPr>
                <w:sz w:val="18"/>
              </w:rPr>
              <w:t>+44%</w:t>
            </w:r>
          </w:p>
        </w:tc>
        <w:tc>
          <w:tcPr>
            <w:tcW w:type="dxa" w:w="2448"/>
            <w:tcBorders>
              <w:top w:val="single" w:sz="4" w:color="999999"/>
              <w:left w:val="single" w:sz="4" w:color="999999"/>
              <w:bottom w:val="single" w:sz="4" w:color="999999"/>
              <w:right w:val="single" w:sz="4" w:color="999999"/>
            </w:tcBorders>
            <w:vAlign w:val="top"/>
          </w:tcPr>
          <w:p>
            <w:r/>
            <w:r>
              <w:rPr>
                <w:sz w:val="18"/>
              </w:rPr>
              <w:t>FTSE Russell × Yahoo</w:t>
            </w:r>
          </w:p>
        </w:tc>
      </w:tr>
      <w:tr>
        <w:tc>
          <w:tcPr>
            <w:tcW w:type="dxa" w:w="1584"/>
            <w:tcBorders>
              <w:top w:val="single" w:sz="4" w:color="999999"/>
              <w:left w:val="single" w:sz="4" w:color="999999"/>
              <w:bottom w:val="single" w:sz="4" w:color="999999"/>
              <w:right w:val="single" w:sz="4" w:color="999999"/>
            </w:tcBorders>
            <w:vAlign w:val="top"/>
            <w:shd w:val="clear" w:color="auto" w:fill="F4F6F9"/>
          </w:tcPr>
          <w:p>
            <w:r/>
            <w:r>
              <w:rPr>
                <w:sz w:val="18"/>
              </w:rPr>
              <w:t>Thu  7 May 2026</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10,455</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10,470</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10,255</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10,262</w:t>
            </w:r>
          </w:p>
        </w:tc>
        <w:tc>
          <w:tcPr>
            <w:tcW w:type="dxa" w:w="864"/>
            <w:tcBorders>
              <w:top w:val="single" w:sz="4" w:color="999999"/>
              <w:left w:val="single" w:sz="4" w:color="999999"/>
              <w:bottom w:val="single" w:sz="4" w:color="999999"/>
              <w:right w:val="single" w:sz="4" w:color="999999"/>
            </w:tcBorders>
            <w:vAlign w:val="top"/>
            <w:shd w:val="clear" w:color="auto" w:fill="F4F6F9"/>
          </w:tcPr>
          <w:p>
            <w:r/>
            <w:r>
              <w:rPr>
                <w:sz w:val="18"/>
              </w:rPr>
              <w:t>215</w:t>
            </w:r>
          </w:p>
        </w:tc>
        <w:tc>
          <w:tcPr>
            <w:tcW w:type="dxa" w:w="720"/>
            <w:tcBorders>
              <w:top w:val="single" w:sz="4" w:color="999999"/>
              <w:left w:val="single" w:sz="4" w:color="999999"/>
              <w:bottom w:val="single" w:sz="4" w:color="999999"/>
              <w:right w:val="single" w:sz="4" w:color="999999"/>
            </w:tcBorders>
            <w:vAlign w:val="top"/>
            <w:shd w:val="clear" w:color="auto" w:fill="F4F6F9"/>
          </w:tcPr>
          <w:p>
            <w:r/>
            <w:r>
              <w:rPr>
                <w:sz w:val="18"/>
              </w:rPr>
              <w:t>20</w:t>
            </w:r>
          </w:p>
        </w:tc>
        <w:tc>
          <w:tcPr>
            <w:tcW w:type="dxa" w:w="864"/>
            <w:tcBorders>
              <w:top w:val="single" w:sz="4" w:color="999999"/>
              <w:left w:val="single" w:sz="4" w:color="999999"/>
              <w:bottom w:val="single" w:sz="4" w:color="999999"/>
              <w:right w:val="single" w:sz="4" w:color="999999"/>
            </w:tcBorders>
            <w:vAlign w:val="top"/>
            <w:shd w:val="clear" w:color="auto" w:fill="F4F6F9"/>
          </w:tcPr>
          <w:p>
            <w:r/>
            <w:r>
              <w:rPr>
                <w:sz w:val="18"/>
              </w:rPr>
              <w:t>−90%</w:t>
            </w:r>
          </w:p>
        </w:tc>
        <w:tc>
          <w:tcPr>
            <w:tcW w:type="dxa" w:w="2448"/>
            <w:tcBorders>
              <w:top w:val="single" w:sz="4" w:color="999999"/>
              <w:left w:val="single" w:sz="4" w:color="999999"/>
              <w:bottom w:val="single" w:sz="4" w:color="999999"/>
              <w:right w:val="single" w:sz="4" w:color="999999"/>
            </w:tcBorders>
            <w:vAlign w:val="top"/>
            <w:shd w:val="clear" w:color="auto" w:fill="F4F6F9"/>
          </w:tcPr>
          <w:p>
            <w:r/>
            <w:r>
              <w:rPr>
                <w:sz w:val="18"/>
              </w:rPr>
              <w:t>FTSE Russell × Yahoo</w:t>
            </w:r>
          </w:p>
        </w:tc>
      </w:tr>
      <w:tr>
        <w:tc>
          <w:tcPr>
            <w:tcW w:type="dxa" w:w="1584"/>
            <w:tcBorders>
              <w:top w:val="single" w:sz="4" w:color="999999"/>
              <w:left w:val="single" w:sz="4" w:color="999999"/>
              <w:bottom w:val="single" w:sz="4" w:color="999999"/>
              <w:right w:val="single" w:sz="4" w:color="999999"/>
            </w:tcBorders>
            <w:vAlign w:val="top"/>
          </w:tcPr>
          <w:p>
            <w:r/>
            <w:r>
              <w:rPr>
                <w:sz w:val="18"/>
              </w:rPr>
              <w:t>Fri  8 May 2026</w:t>
            </w:r>
          </w:p>
        </w:tc>
        <w:tc>
          <w:tcPr>
            <w:tcW w:type="dxa" w:w="1008"/>
            <w:tcBorders>
              <w:top w:val="single" w:sz="4" w:color="999999"/>
              <w:left w:val="single" w:sz="4" w:color="999999"/>
              <w:bottom w:val="single" w:sz="4" w:color="999999"/>
              <w:right w:val="single" w:sz="4" w:color="999999"/>
            </w:tcBorders>
            <w:vAlign w:val="top"/>
          </w:tcPr>
          <w:p>
            <w:r/>
            <w:r>
              <w:rPr>
                <w:sz w:val="18"/>
              </w:rPr>
              <w:t>10,196</w:t>
            </w:r>
          </w:p>
        </w:tc>
        <w:tc>
          <w:tcPr>
            <w:tcW w:type="dxa" w:w="1008"/>
            <w:tcBorders>
              <w:top w:val="single" w:sz="4" w:color="999999"/>
              <w:left w:val="single" w:sz="4" w:color="999999"/>
              <w:bottom w:val="single" w:sz="4" w:color="999999"/>
              <w:right w:val="single" w:sz="4" w:color="999999"/>
            </w:tcBorders>
            <w:vAlign w:val="top"/>
          </w:tcPr>
          <w:p>
            <w:r/>
            <w:r>
              <w:rPr>
                <w:sz w:val="18"/>
              </w:rPr>
              <w:t>10,261</w:t>
            </w:r>
          </w:p>
        </w:tc>
        <w:tc>
          <w:tcPr>
            <w:tcW w:type="dxa" w:w="1008"/>
            <w:tcBorders>
              <w:top w:val="single" w:sz="4" w:color="999999"/>
              <w:left w:val="single" w:sz="4" w:color="999999"/>
              <w:bottom w:val="single" w:sz="4" w:color="999999"/>
              <w:right w:val="single" w:sz="4" w:color="999999"/>
            </w:tcBorders>
            <w:vAlign w:val="top"/>
          </w:tcPr>
          <w:p>
            <w:r/>
            <w:r>
              <w:rPr>
                <w:sz w:val="18"/>
              </w:rPr>
              <w:t>10,184</w:t>
            </w:r>
          </w:p>
        </w:tc>
        <w:tc>
          <w:tcPr>
            <w:tcW w:type="dxa" w:w="1008"/>
            <w:tcBorders>
              <w:top w:val="single" w:sz="4" w:color="999999"/>
              <w:left w:val="single" w:sz="4" w:color="999999"/>
              <w:bottom w:val="single" w:sz="4" w:color="999999"/>
              <w:right w:val="single" w:sz="4" w:color="999999"/>
            </w:tcBorders>
            <w:vAlign w:val="top"/>
          </w:tcPr>
          <w:p>
            <w:r/>
            <w:r>
              <w:rPr>
                <w:sz w:val="18"/>
              </w:rPr>
              <w:t>10,228</w:t>
            </w:r>
          </w:p>
        </w:tc>
        <w:tc>
          <w:tcPr>
            <w:tcW w:type="dxa" w:w="864"/>
            <w:tcBorders>
              <w:top w:val="single" w:sz="4" w:color="999999"/>
              <w:left w:val="single" w:sz="4" w:color="999999"/>
              <w:bottom w:val="single" w:sz="4" w:color="999999"/>
              <w:right w:val="single" w:sz="4" w:color="999999"/>
            </w:tcBorders>
            <w:vAlign w:val="top"/>
          </w:tcPr>
          <w:p>
            <w:r/>
            <w:r>
              <w:rPr>
                <w:sz w:val="18"/>
              </w:rPr>
              <w:t>77</w:t>
            </w:r>
          </w:p>
        </w:tc>
        <w:tc>
          <w:tcPr>
            <w:tcW w:type="dxa" w:w="720"/>
            <w:tcBorders>
              <w:top w:val="single" w:sz="4" w:color="999999"/>
              <w:left w:val="single" w:sz="4" w:color="999999"/>
              <w:bottom w:val="single" w:sz="4" w:color="999999"/>
              <w:right w:val="single" w:sz="4" w:color="999999"/>
            </w:tcBorders>
            <w:vAlign w:val="top"/>
          </w:tcPr>
          <w:p>
            <w:r/>
            <w:r>
              <w:rPr>
                <w:sz w:val="18"/>
              </w:rPr>
              <w:t>22</w:t>
            </w:r>
          </w:p>
        </w:tc>
        <w:tc>
          <w:tcPr>
            <w:tcW w:type="dxa" w:w="864"/>
            <w:tcBorders>
              <w:top w:val="single" w:sz="4" w:color="999999"/>
              <w:left w:val="single" w:sz="4" w:color="999999"/>
              <w:bottom w:val="single" w:sz="4" w:color="999999"/>
              <w:right w:val="single" w:sz="4" w:color="999999"/>
            </w:tcBorders>
            <w:vAlign w:val="top"/>
          </w:tcPr>
          <w:p>
            <w:r/>
            <w:r>
              <w:rPr>
                <w:sz w:val="18"/>
              </w:rPr>
              <w:t>+42%</w:t>
            </w:r>
          </w:p>
        </w:tc>
        <w:tc>
          <w:tcPr>
            <w:tcW w:type="dxa" w:w="2448"/>
            <w:tcBorders>
              <w:top w:val="single" w:sz="4" w:color="999999"/>
              <w:left w:val="single" w:sz="4" w:color="999999"/>
              <w:bottom w:val="single" w:sz="4" w:color="999999"/>
              <w:right w:val="single" w:sz="4" w:color="999999"/>
            </w:tcBorders>
            <w:vAlign w:val="top"/>
          </w:tcPr>
          <w:p>
            <w:r/>
            <w:r>
              <w:rPr>
                <w:sz w:val="18"/>
              </w:rPr>
              <w:t>FTSE Russell × Yahoo × TE</w:t>
            </w:r>
          </w:p>
        </w:tc>
      </w:tr>
    </w:tbl>
    <w:p>
      <w:pPr>
        <w:spacing w:after="80"/>
      </w:pPr>
      <w:r>
        <w:rPr>
          <w:b w:val="0"/>
          <w:i/>
          <w:sz w:val="18"/>
        </w:rPr>
        <w:t>5-day swing high: 10,510 (Fri 2 May).  5-day swing low: 10,184 (Fri 8 May).  Net change: −261 points (−2.49%).  Dual-source corroboration: CORROBORATED across all five sessions.</w:t>
      </w:r>
    </w:p>
    <w:p>
      <w:pPr>
        <w:spacing w:before="200" w:after="80"/>
      </w:pPr>
      <w:r>
        <w:rPr>
          <w:b/>
          <w:color w:val="2E6E3F"/>
          <w:sz w:val="24"/>
        </w:rPr>
        <w:t>§6b  EURO STOXX 50</w:t>
      </w:r>
    </w:p>
    <w:tbl>
      <w:tblPr>
        <w:tblW w:type="auto" w:w="0"/>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584"/>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Date</w:t>
            </w:r>
          </w:p>
        </w:tc>
        <w:tc>
          <w:tcPr>
            <w:tcW w:type="dxa" w:w="100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Open</w:t>
            </w:r>
          </w:p>
        </w:tc>
        <w:tc>
          <w:tcPr>
            <w:tcW w:type="dxa" w:w="100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High</w:t>
            </w:r>
          </w:p>
        </w:tc>
        <w:tc>
          <w:tcPr>
            <w:tcW w:type="dxa" w:w="100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Low</w:t>
            </w:r>
          </w:p>
        </w:tc>
        <w:tc>
          <w:tcPr>
            <w:tcW w:type="dxa" w:w="100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Close</w:t>
            </w:r>
          </w:p>
        </w:tc>
        <w:tc>
          <w:tcPr>
            <w:tcW w:type="dxa" w:w="864"/>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Range</w:t>
            </w:r>
          </w:p>
        </w:tc>
        <w:tc>
          <w:tcPr>
            <w:tcW w:type="dxa" w:w="720"/>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RSI2</w:t>
            </w:r>
          </w:p>
        </w:tc>
        <w:tc>
          <w:tcPr>
            <w:tcW w:type="dxa" w:w="864"/>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Body %</w:t>
            </w:r>
          </w:p>
        </w:tc>
        <w:tc>
          <w:tcPr>
            <w:tcW w:type="dxa" w:w="244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Sources</w:t>
            </w:r>
          </w:p>
        </w:tc>
      </w:tr>
      <w:tr>
        <w:tc>
          <w:tcPr>
            <w:tcW w:type="dxa" w:w="1584"/>
            <w:tcBorders>
              <w:top w:val="single" w:sz="4" w:color="999999"/>
              <w:left w:val="single" w:sz="4" w:color="999999"/>
              <w:bottom w:val="single" w:sz="4" w:color="999999"/>
              <w:right w:val="single" w:sz="4" w:color="999999"/>
            </w:tcBorders>
            <w:vAlign w:val="top"/>
          </w:tcPr>
          <w:p>
            <w:r/>
            <w:r>
              <w:rPr>
                <w:sz w:val="18"/>
              </w:rPr>
              <w:t>Fri  2 May 2026</w:t>
            </w:r>
          </w:p>
        </w:tc>
        <w:tc>
          <w:tcPr>
            <w:tcW w:type="dxa" w:w="1008"/>
            <w:tcBorders>
              <w:top w:val="single" w:sz="4" w:color="999999"/>
              <w:left w:val="single" w:sz="4" w:color="999999"/>
              <w:bottom w:val="single" w:sz="4" w:color="999999"/>
              <w:right w:val="single" w:sz="4" w:color="999999"/>
            </w:tcBorders>
            <w:vAlign w:val="top"/>
          </w:tcPr>
          <w:p>
            <w:r/>
            <w:r>
              <w:rPr>
                <w:sz w:val="18"/>
              </w:rPr>
              <w:t>5,998</w:t>
            </w:r>
          </w:p>
        </w:tc>
        <w:tc>
          <w:tcPr>
            <w:tcW w:type="dxa" w:w="1008"/>
            <w:tcBorders>
              <w:top w:val="single" w:sz="4" w:color="999999"/>
              <w:left w:val="single" w:sz="4" w:color="999999"/>
              <w:bottom w:val="single" w:sz="4" w:color="999999"/>
              <w:right w:val="single" w:sz="4" w:color="999999"/>
            </w:tcBorders>
            <w:vAlign w:val="top"/>
          </w:tcPr>
          <w:p>
            <w:r/>
            <w:r>
              <w:rPr>
                <w:sz w:val="18"/>
              </w:rPr>
              <w:t>6,025</w:t>
            </w:r>
          </w:p>
        </w:tc>
        <w:tc>
          <w:tcPr>
            <w:tcW w:type="dxa" w:w="1008"/>
            <w:tcBorders>
              <w:top w:val="single" w:sz="4" w:color="999999"/>
              <w:left w:val="single" w:sz="4" w:color="999999"/>
              <w:bottom w:val="single" w:sz="4" w:color="999999"/>
              <w:right w:val="single" w:sz="4" w:color="999999"/>
            </w:tcBorders>
            <w:vAlign w:val="top"/>
          </w:tcPr>
          <w:p>
            <w:r/>
            <w:r>
              <w:rPr>
                <w:sz w:val="18"/>
              </w:rPr>
              <w:t>5,985</w:t>
            </w:r>
          </w:p>
        </w:tc>
        <w:tc>
          <w:tcPr>
            <w:tcW w:type="dxa" w:w="1008"/>
            <w:tcBorders>
              <w:top w:val="single" w:sz="4" w:color="999999"/>
              <w:left w:val="single" w:sz="4" w:color="999999"/>
              <w:bottom w:val="single" w:sz="4" w:color="999999"/>
              <w:right w:val="single" w:sz="4" w:color="999999"/>
            </w:tcBorders>
            <w:vAlign w:val="top"/>
          </w:tcPr>
          <w:p>
            <w:r/>
            <w:r>
              <w:rPr>
                <w:sz w:val="18"/>
              </w:rPr>
              <w:t>6,020</w:t>
            </w:r>
          </w:p>
        </w:tc>
        <w:tc>
          <w:tcPr>
            <w:tcW w:type="dxa" w:w="864"/>
            <w:tcBorders>
              <w:top w:val="single" w:sz="4" w:color="999999"/>
              <w:left w:val="single" w:sz="4" w:color="999999"/>
              <w:bottom w:val="single" w:sz="4" w:color="999999"/>
              <w:right w:val="single" w:sz="4" w:color="999999"/>
            </w:tcBorders>
            <w:vAlign w:val="top"/>
          </w:tcPr>
          <w:p>
            <w:r/>
            <w:r>
              <w:rPr>
                <w:sz w:val="18"/>
              </w:rPr>
              <w:t>40</w:t>
            </w:r>
          </w:p>
        </w:tc>
        <w:tc>
          <w:tcPr>
            <w:tcW w:type="dxa" w:w="720"/>
            <w:tcBorders>
              <w:top w:val="single" w:sz="4" w:color="999999"/>
              <w:left w:val="single" w:sz="4" w:color="999999"/>
              <w:bottom w:val="single" w:sz="4" w:color="999999"/>
              <w:right w:val="single" w:sz="4" w:color="999999"/>
            </w:tcBorders>
            <w:vAlign w:val="top"/>
          </w:tcPr>
          <w:p>
            <w:r/>
            <w:r>
              <w:rPr>
                <w:sz w:val="18"/>
              </w:rPr>
              <w:t>76</w:t>
            </w:r>
          </w:p>
        </w:tc>
        <w:tc>
          <w:tcPr>
            <w:tcW w:type="dxa" w:w="864"/>
            <w:tcBorders>
              <w:top w:val="single" w:sz="4" w:color="999999"/>
              <w:left w:val="single" w:sz="4" w:color="999999"/>
              <w:bottom w:val="single" w:sz="4" w:color="999999"/>
              <w:right w:val="single" w:sz="4" w:color="999999"/>
            </w:tcBorders>
            <w:vAlign w:val="top"/>
          </w:tcPr>
          <w:p>
            <w:r/>
            <w:r>
              <w:rPr>
                <w:sz w:val="18"/>
              </w:rPr>
              <w:t>+55%</w:t>
            </w:r>
          </w:p>
        </w:tc>
        <w:tc>
          <w:tcPr>
            <w:tcW w:type="dxa" w:w="2448"/>
            <w:tcBorders>
              <w:top w:val="single" w:sz="4" w:color="999999"/>
              <w:left w:val="single" w:sz="4" w:color="999999"/>
              <w:bottom w:val="single" w:sz="4" w:color="999999"/>
              <w:right w:val="single" w:sz="4" w:color="999999"/>
            </w:tcBorders>
            <w:vAlign w:val="top"/>
          </w:tcPr>
          <w:p>
            <w:r/>
            <w:r>
              <w:rPr>
                <w:sz w:val="18"/>
              </w:rPr>
              <w:t>STOXX × Yahoo</w:t>
            </w:r>
          </w:p>
        </w:tc>
      </w:tr>
      <w:tr>
        <w:tc>
          <w:tcPr>
            <w:tcW w:type="dxa" w:w="1584"/>
            <w:tcBorders>
              <w:top w:val="single" w:sz="4" w:color="999999"/>
              <w:left w:val="single" w:sz="4" w:color="999999"/>
              <w:bottom w:val="single" w:sz="4" w:color="999999"/>
              <w:right w:val="single" w:sz="4" w:color="999999"/>
            </w:tcBorders>
            <w:vAlign w:val="top"/>
            <w:shd w:val="clear" w:color="auto" w:fill="F4F6F9"/>
          </w:tcPr>
          <w:p>
            <w:r/>
            <w:r>
              <w:rPr>
                <w:sz w:val="18"/>
              </w:rPr>
              <w:t>Tue  5 May 2026</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6,022</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6,028</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5,955</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5,961</w:t>
            </w:r>
          </w:p>
        </w:tc>
        <w:tc>
          <w:tcPr>
            <w:tcW w:type="dxa" w:w="864"/>
            <w:tcBorders>
              <w:top w:val="single" w:sz="4" w:color="999999"/>
              <w:left w:val="single" w:sz="4" w:color="999999"/>
              <w:bottom w:val="single" w:sz="4" w:color="999999"/>
              <w:right w:val="single" w:sz="4" w:color="999999"/>
            </w:tcBorders>
            <w:vAlign w:val="top"/>
            <w:shd w:val="clear" w:color="auto" w:fill="F4F6F9"/>
          </w:tcPr>
          <w:p>
            <w:r/>
            <w:r>
              <w:rPr>
                <w:sz w:val="18"/>
              </w:rPr>
              <w:t>73</w:t>
            </w:r>
          </w:p>
        </w:tc>
        <w:tc>
          <w:tcPr>
            <w:tcW w:type="dxa" w:w="720"/>
            <w:tcBorders>
              <w:top w:val="single" w:sz="4" w:color="999999"/>
              <w:left w:val="single" w:sz="4" w:color="999999"/>
              <w:bottom w:val="single" w:sz="4" w:color="999999"/>
              <w:right w:val="single" w:sz="4" w:color="999999"/>
            </w:tcBorders>
            <w:vAlign w:val="top"/>
            <w:shd w:val="clear" w:color="auto" w:fill="F4F6F9"/>
          </w:tcPr>
          <w:p>
            <w:r/>
            <w:r>
              <w:rPr>
                <w:sz w:val="18"/>
              </w:rPr>
              <w:t>40</w:t>
            </w:r>
          </w:p>
        </w:tc>
        <w:tc>
          <w:tcPr>
            <w:tcW w:type="dxa" w:w="864"/>
            <w:tcBorders>
              <w:top w:val="single" w:sz="4" w:color="999999"/>
              <w:left w:val="single" w:sz="4" w:color="999999"/>
              <w:bottom w:val="single" w:sz="4" w:color="999999"/>
              <w:right w:val="single" w:sz="4" w:color="999999"/>
            </w:tcBorders>
            <w:vAlign w:val="top"/>
            <w:shd w:val="clear" w:color="auto" w:fill="F4F6F9"/>
          </w:tcPr>
          <w:p>
            <w:r/>
            <w:r>
              <w:rPr>
                <w:sz w:val="18"/>
              </w:rPr>
              <w:t>−84%</w:t>
            </w:r>
          </w:p>
        </w:tc>
        <w:tc>
          <w:tcPr>
            <w:tcW w:type="dxa" w:w="2448"/>
            <w:tcBorders>
              <w:top w:val="single" w:sz="4" w:color="999999"/>
              <w:left w:val="single" w:sz="4" w:color="999999"/>
              <w:bottom w:val="single" w:sz="4" w:color="999999"/>
              <w:right w:val="single" w:sz="4" w:color="999999"/>
            </w:tcBorders>
            <w:vAlign w:val="top"/>
            <w:shd w:val="clear" w:color="auto" w:fill="F4F6F9"/>
          </w:tcPr>
          <w:p>
            <w:r/>
            <w:r>
              <w:rPr>
                <w:sz w:val="18"/>
              </w:rPr>
              <w:t>STOXX × Yahoo</w:t>
            </w:r>
          </w:p>
        </w:tc>
      </w:tr>
      <w:tr>
        <w:tc>
          <w:tcPr>
            <w:tcW w:type="dxa" w:w="1584"/>
            <w:tcBorders>
              <w:top w:val="single" w:sz="4" w:color="999999"/>
              <w:left w:val="single" w:sz="4" w:color="999999"/>
              <w:bottom w:val="single" w:sz="4" w:color="999999"/>
              <w:right w:val="single" w:sz="4" w:color="999999"/>
            </w:tcBorders>
            <w:vAlign w:val="top"/>
          </w:tcPr>
          <w:p>
            <w:r/>
            <w:r>
              <w:rPr>
                <w:sz w:val="18"/>
              </w:rPr>
              <w:t>Wed  6 May 2026</w:t>
            </w:r>
          </w:p>
        </w:tc>
        <w:tc>
          <w:tcPr>
            <w:tcW w:type="dxa" w:w="1008"/>
            <w:tcBorders>
              <w:top w:val="single" w:sz="4" w:color="999999"/>
              <w:left w:val="single" w:sz="4" w:color="999999"/>
              <w:bottom w:val="single" w:sz="4" w:color="999999"/>
              <w:right w:val="single" w:sz="4" w:color="999999"/>
            </w:tcBorders>
            <w:vAlign w:val="top"/>
          </w:tcPr>
          <w:p>
            <w:r/>
            <w:r>
              <w:rPr>
                <w:sz w:val="18"/>
              </w:rPr>
              <w:t>5,958</w:t>
            </w:r>
          </w:p>
        </w:tc>
        <w:tc>
          <w:tcPr>
            <w:tcW w:type="dxa" w:w="1008"/>
            <w:tcBorders>
              <w:top w:val="single" w:sz="4" w:color="999999"/>
              <w:left w:val="single" w:sz="4" w:color="999999"/>
              <w:bottom w:val="single" w:sz="4" w:color="999999"/>
              <w:right w:val="single" w:sz="4" w:color="999999"/>
            </w:tcBorders>
            <w:vAlign w:val="top"/>
          </w:tcPr>
          <w:p>
            <w:r/>
            <w:r>
              <w:rPr>
                <w:sz w:val="18"/>
              </w:rPr>
              <w:t>6,005</w:t>
            </w:r>
          </w:p>
        </w:tc>
        <w:tc>
          <w:tcPr>
            <w:tcW w:type="dxa" w:w="1008"/>
            <w:tcBorders>
              <w:top w:val="single" w:sz="4" w:color="999999"/>
              <w:left w:val="single" w:sz="4" w:color="999999"/>
              <w:bottom w:val="single" w:sz="4" w:color="999999"/>
              <w:right w:val="single" w:sz="4" w:color="999999"/>
            </w:tcBorders>
            <w:vAlign w:val="top"/>
          </w:tcPr>
          <w:p>
            <w:r/>
            <w:r>
              <w:rPr>
                <w:sz w:val="18"/>
              </w:rPr>
              <w:t>5,945</w:t>
            </w:r>
          </w:p>
        </w:tc>
        <w:tc>
          <w:tcPr>
            <w:tcW w:type="dxa" w:w="1008"/>
            <w:tcBorders>
              <w:top w:val="single" w:sz="4" w:color="999999"/>
              <w:left w:val="single" w:sz="4" w:color="999999"/>
              <w:bottom w:val="single" w:sz="4" w:color="999999"/>
              <w:right w:val="single" w:sz="4" w:color="999999"/>
            </w:tcBorders>
            <w:vAlign w:val="top"/>
          </w:tcPr>
          <w:p>
            <w:r/>
            <w:r>
              <w:rPr>
                <w:sz w:val="18"/>
              </w:rPr>
              <w:t>5,989</w:t>
            </w:r>
          </w:p>
        </w:tc>
        <w:tc>
          <w:tcPr>
            <w:tcW w:type="dxa" w:w="864"/>
            <w:tcBorders>
              <w:top w:val="single" w:sz="4" w:color="999999"/>
              <w:left w:val="single" w:sz="4" w:color="999999"/>
              <w:bottom w:val="single" w:sz="4" w:color="999999"/>
              <w:right w:val="single" w:sz="4" w:color="999999"/>
            </w:tcBorders>
            <w:vAlign w:val="top"/>
          </w:tcPr>
          <w:p>
            <w:r/>
            <w:r>
              <w:rPr>
                <w:sz w:val="18"/>
              </w:rPr>
              <w:t>60</w:t>
            </w:r>
          </w:p>
        </w:tc>
        <w:tc>
          <w:tcPr>
            <w:tcW w:type="dxa" w:w="720"/>
            <w:tcBorders>
              <w:top w:val="single" w:sz="4" w:color="999999"/>
              <w:left w:val="single" w:sz="4" w:color="999999"/>
              <w:bottom w:val="single" w:sz="4" w:color="999999"/>
              <w:right w:val="single" w:sz="4" w:color="999999"/>
            </w:tcBorders>
            <w:vAlign w:val="top"/>
          </w:tcPr>
          <w:p>
            <w:r/>
            <w:r>
              <w:rPr>
                <w:sz w:val="18"/>
              </w:rPr>
              <w:t>53</w:t>
            </w:r>
          </w:p>
        </w:tc>
        <w:tc>
          <w:tcPr>
            <w:tcW w:type="dxa" w:w="864"/>
            <w:tcBorders>
              <w:top w:val="single" w:sz="4" w:color="999999"/>
              <w:left w:val="single" w:sz="4" w:color="999999"/>
              <w:bottom w:val="single" w:sz="4" w:color="999999"/>
              <w:right w:val="single" w:sz="4" w:color="999999"/>
            </w:tcBorders>
            <w:vAlign w:val="top"/>
          </w:tcPr>
          <w:p>
            <w:r/>
            <w:r>
              <w:rPr>
                <w:sz w:val="18"/>
              </w:rPr>
              <w:t>+52%</w:t>
            </w:r>
          </w:p>
        </w:tc>
        <w:tc>
          <w:tcPr>
            <w:tcW w:type="dxa" w:w="2448"/>
            <w:tcBorders>
              <w:top w:val="single" w:sz="4" w:color="999999"/>
              <w:left w:val="single" w:sz="4" w:color="999999"/>
              <w:bottom w:val="single" w:sz="4" w:color="999999"/>
              <w:right w:val="single" w:sz="4" w:color="999999"/>
            </w:tcBorders>
            <w:vAlign w:val="top"/>
          </w:tcPr>
          <w:p>
            <w:r/>
            <w:r>
              <w:rPr>
                <w:sz w:val="18"/>
              </w:rPr>
              <w:t>STOXX × Yahoo</w:t>
            </w:r>
          </w:p>
        </w:tc>
      </w:tr>
      <w:tr>
        <w:tc>
          <w:tcPr>
            <w:tcW w:type="dxa" w:w="1584"/>
            <w:tcBorders>
              <w:top w:val="single" w:sz="4" w:color="999999"/>
              <w:left w:val="single" w:sz="4" w:color="999999"/>
              <w:bottom w:val="single" w:sz="4" w:color="999999"/>
              <w:right w:val="single" w:sz="4" w:color="999999"/>
            </w:tcBorders>
            <w:vAlign w:val="top"/>
            <w:shd w:val="clear" w:color="auto" w:fill="F4F6F9"/>
          </w:tcPr>
          <w:p>
            <w:r/>
            <w:r>
              <w:rPr>
                <w:sz w:val="18"/>
              </w:rPr>
              <w:t>Thu  7 May 2026</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5,990</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6,005</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5,968</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5,973</w:t>
            </w:r>
          </w:p>
        </w:tc>
        <w:tc>
          <w:tcPr>
            <w:tcW w:type="dxa" w:w="864"/>
            <w:tcBorders>
              <w:top w:val="single" w:sz="4" w:color="999999"/>
              <w:left w:val="single" w:sz="4" w:color="999999"/>
              <w:bottom w:val="single" w:sz="4" w:color="999999"/>
              <w:right w:val="single" w:sz="4" w:color="999999"/>
            </w:tcBorders>
            <w:vAlign w:val="top"/>
            <w:shd w:val="clear" w:color="auto" w:fill="F4F6F9"/>
          </w:tcPr>
          <w:p>
            <w:r/>
            <w:r>
              <w:rPr>
                <w:sz w:val="18"/>
              </w:rPr>
              <w:t>37</w:t>
            </w:r>
          </w:p>
        </w:tc>
        <w:tc>
          <w:tcPr>
            <w:tcW w:type="dxa" w:w="720"/>
            <w:tcBorders>
              <w:top w:val="single" w:sz="4" w:color="999999"/>
              <w:left w:val="single" w:sz="4" w:color="999999"/>
              <w:bottom w:val="single" w:sz="4" w:color="999999"/>
              <w:right w:val="single" w:sz="4" w:color="999999"/>
            </w:tcBorders>
            <w:vAlign w:val="top"/>
            <w:shd w:val="clear" w:color="auto" w:fill="F4F6F9"/>
          </w:tcPr>
          <w:p>
            <w:r/>
            <w:r>
              <w:rPr>
                <w:sz w:val="18"/>
              </w:rPr>
              <w:t>30</w:t>
            </w:r>
          </w:p>
        </w:tc>
        <w:tc>
          <w:tcPr>
            <w:tcW w:type="dxa" w:w="864"/>
            <w:tcBorders>
              <w:top w:val="single" w:sz="4" w:color="999999"/>
              <w:left w:val="single" w:sz="4" w:color="999999"/>
              <w:bottom w:val="single" w:sz="4" w:color="999999"/>
              <w:right w:val="single" w:sz="4" w:color="999999"/>
            </w:tcBorders>
            <w:vAlign w:val="top"/>
            <w:shd w:val="clear" w:color="auto" w:fill="F4F6F9"/>
          </w:tcPr>
          <w:p>
            <w:r/>
            <w:r>
              <w:rPr>
                <w:sz w:val="18"/>
              </w:rPr>
              <w:t>−46%</w:t>
            </w:r>
          </w:p>
        </w:tc>
        <w:tc>
          <w:tcPr>
            <w:tcW w:type="dxa" w:w="2448"/>
            <w:tcBorders>
              <w:top w:val="single" w:sz="4" w:color="999999"/>
              <w:left w:val="single" w:sz="4" w:color="999999"/>
              <w:bottom w:val="single" w:sz="4" w:color="999999"/>
              <w:right w:val="single" w:sz="4" w:color="999999"/>
            </w:tcBorders>
            <w:vAlign w:val="top"/>
            <w:shd w:val="clear" w:color="auto" w:fill="F4F6F9"/>
          </w:tcPr>
          <w:p>
            <w:r/>
            <w:r>
              <w:rPr>
                <w:sz w:val="18"/>
              </w:rPr>
              <w:t>STOXX × Yahoo</w:t>
            </w:r>
          </w:p>
        </w:tc>
      </w:tr>
      <w:tr>
        <w:tc>
          <w:tcPr>
            <w:tcW w:type="dxa" w:w="1584"/>
            <w:tcBorders>
              <w:top w:val="single" w:sz="4" w:color="999999"/>
              <w:left w:val="single" w:sz="4" w:color="999999"/>
              <w:bottom w:val="single" w:sz="4" w:color="999999"/>
              <w:right w:val="single" w:sz="4" w:color="999999"/>
            </w:tcBorders>
            <w:vAlign w:val="top"/>
          </w:tcPr>
          <w:p>
            <w:r/>
            <w:r>
              <w:rPr>
                <w:sz w:val="18"/>
              </w:rPr>
              <w:t>Fri  8 May 2026</w:t>
            </w:r>
          </w:p>
        </w:tc>
        <w:tc>
          <w:tcPr>
            <w:tcW w:type="dxa" w:w="1008"/>
            <w:tcBorders>
              <w:top w:val="single" w:sz="4" w:color="999999"/>
              <w:left w:val="single" w:sz="4" w:color="999999"/>
              <w:bottom w:val="single" w:sz="4" w:color="999999"/>
              <w:right w:val="single" w:sz="4" w:color="999999"/>
            </w:tcBorders>
            <w:vAlign w:val="top"/>
          </w:tcPr>
          <w:p>
            <w:r/>
            <w:r>
              <w:rPr>
                <w:sz w:val="18"/>
              </w:rPr>
              <w:t>5,950</w:t>
            </w:r>
          </w:p>
        </w:tc>
        <w:tc>
          <w:tcPr>
            <w:tcW w:type="dxa" w:w="1008"/>
            <w:tcBorders>
              <w:top w:val="single" w:sz="4" w:color="999999"/>
              <w:left w:val="single" w:sz="4" w:color="999999"/>
              <w:bottom w:val="single" w:sz="4" w:color="999999"/>
              <w:right w:val="single" w:sz="4" w:color="999999"/>
            </w:tcBorders>
            <w:vAlign w:val="top"/>
          </w:tcPr>
          <w:p>
            <w:r/>
            <w:r>
              <w:rPr>
                <w:sz w:val="18"/>
              </w:rPr>
              <w:t>5,950</w:t>
            </w:r>
          </w:p>
        </w:tc>
        <w:tc>
          <w:tcPr>
            <w:tcW w:type="dxa" w:w="1008"/>
            <w:tcBorders>
              <w:top w:val="single" w:sz="4" w:color="999999"/>
              <w:left w:val="single" w:sz="4" w:color="999999"/>
              <w:bottom w:val="single" w:sz="4" w:color="999999"/>
              <w:right w:val="single" w:sz="4" w:color="999999"/>
            </w:tcBorders>
            <w:vAlign w:val="top"/>
          </w:tcPr>
          <w:p>
            <w:r/>
            <w:r>
              <w:rPr>
                <w:sz w:val="18"/>
              </w:rPr>
              <w:t>5,901</w:t>
            </w:r>
          </w:p>
        </w:tc>
        <w:tc>
          <w:tcPr>
            <w:tcW w:type="dxa" w:w="1008"/>
            <w:tcBorders>
              <w:top w:val="single" w:sz="4" w:color="999999"/>
              <w:left w:val="single" w:sz="4" w:color="999999"/>
              <w:bottom w:val="single" w:sz="4" w:color="999999"/>
              <w:right w:val="single" w:sz="4" w:color="999999"/>
            </w:tcBorders>
            <w:vAlign w:val="top"/>
          </w:tcPr>
          <w:p>
            <w:r/>
            <w:r>
              <w:rPr>
                <w:sz w:val="18"/>
              </w:rPr>
              <w:t>5,912</w:t>
            </w:r>
          </w:p>
        </w:tc>
        <w:tc>
          <w:tcPr>
            <w:tcW w:type="dxa" w:w="864"/>
            <w:tcBorders>
              <w:top w:val="single" w:sz="4" w:color="999999"/>
              <w:left w:val="single" w:sz="4" w:color="999999"/>
              <w:bottom w:val="single" w:sz="4" w:color="999999"/>
              <w:right w:val="single" w:sz="4" w:color="999999"/>
            </w:tcBorders>
            <w:vAlign w:val="top"/>
          </w:tcPr>
          <w:p>
            <w:r/>
            <w:r>
              <w:rPr>
                <w:sz w:val="18"/>
              </w:rPr>
              <w:t>49</w:t>
            </w:r>
          </w:p>
        </w:tc>
        <w:tc>
          <w:tcPr>
            <w:tcW w:type="dxa" w:w="720"/>
            <w:tcBorders>
              <w:top w:val="single" w:sz="4" w:color="999999"/>
              <w:left w:val="single" w:sz="4" w:color="999999"/>
              <w:bottom w:val="single" w:sz="4" w:color="999999"/>
              <w:right w:val="single" w:sz="4" w:color="999999"/>
            </w:tcBorders>
            <w:vAlign w:val="top"/>
          </w:tcPr>
          <w:p>
            <w:r/>
            <w:r>
              <w:rPr>
                <w:sz w:val="18"/>
              </w:rPr>
              <w:t>18</w:t>
            </w:r>
          </w:p>
        </w:tc>
        <w:tc>
          <w:tcPr>
            <w:tcW w:type="dxa" w:w="864"/>
            <w:tcBorders>
              <w:top w:val="single" w:sz="4" w:color="999999"/>
              <w:left w:val="single" w:sz="4" w:color="999999"/>
              <w:bottom w:val="single" w:sz="4" w:color="999999"/>
              <w:right w:val="single" w:sz="4" w:color="999999"/>
            </w:tcBorders>
            <w:vAlign w:val="top"/>
          </w:tcPr>
          <w:p>
            <w:r/>
            <w:r>
              <w:rPr>
                <w:sz w:val="18"/>
              </w:rPr>
              <w:t>−77%</w:t>
            </w:r>
          </w:p>
        </w:tc>
        <w:tc>
          <w:tcPr>
            <w:tcW w:type="dxa" w:w="2448"/>
            <w:tcBorders>
              <w:top w:val="single" w:sz="4" w:color="999999"/>
              <w:left w:val="single" w:sz="4" w:color="999999"/>
              <w:bottom w:val="single" w:sz="4" w:color="999999"/>
              <w:right w:val="single" w:sz="4" w:color="999999"/>
            </w:tcBorders>
            <w:vAlign w:val="top"/>
          </w:tcPr>
          <w:p>
            <w:r/>
            <w:r>
              <w:rPr>
                <w:sz w:val="18"/>
              </w:rPr>
              <w:t>STOXX × Yahoo × Investing</w:t>
            </w:r>
          </w:p>
        </w:tc>
      </w:tr>
    </w:tbl>
    <w:p>
      <w:pPr>
        <w:spacing w:after="80"/>
      </w:pPr>
      <w:r>
        <w:rPr>
          <w:b w:val="0"/>
          <w:i/>
          <w:sz w:val="18"/>
        </w:rPr>
        <w:t>5-day swing high: 6,028 (Tue 5 May).  5-day swing low: 5,901 (Fri 8 May).  Net change: −108 points (−1.79%).  Dual-source corroboration: CORROBORATED across all five sessions.</w:t>
      </w:r>
    </w:p>
    <w:p>
      <w:pPr>
        <w:spacing w:before="240" w:after="120"/>
      </w:pPr>
      <w:r>
        <w:rPr>
          <w:b/>
          <w:color w:val="2E6E3F"/>
          <w:sz w:val="32"/>
        </w:rPr>
        <w:t>§7  Charts</w:t>
      </w:r>
    </w:p>
    <w:p>
      <w:pPr>
        <w:spacing w:after="80"/>
      </w:pPr>
      <w:r>
        <w:rPr>
          <w:b w:val="0"/>
          <w:i/>
          <w:sz w:val="18"/>
        </w:rPr>
        <w:t>Chart assets are produced as standalone PNG exports alongside this report (per the supplementary-outputs configuration). Five charts are toggled active and described textually below in lieu of embedded raster:</w:t>
      </w:r>
    </w:p>
    <w:p>
      <w:pPr>
        <w:pStyle w:val="ListBullet"/>
        <w:spacing w:after="40"/>
      </w:pPr>
      <w:r>
        <w:rPr>
          <w:sz w:val="20"/>
        </w:rPr>
        <w:t>Candlestick (5-day): FTSE shows a clean down-staircase — three consecutive lower closes, the Thu 7 May session a wide-range bearish marubozu (−90% body) breaking the 25-session mean, Fri an inside-day rejection of the 10,184 low.</w:t>
      </w:r>
    </w:p>
    <w:p>
      <w:pPr>
        <w:pStyle w:val="ListBullet"/>
        <w:spacing w:after="40"/>
      </w:pPr>
      <w:r>
        <w:rPr>
          <w:sz w:val="20"/>
        </w:rPr>
        <w:t>Distance-from-open (5-day): cumulative drift since 2 May open finishes at approximately −260 points; the line bottoms on Fri morning and recovers ~45 points into close.</w:t>
      </w:r>
    </w:p>
    <w:p>
      <w:pPr>
        <w:pStyle w:val="ListBullet"/>
        <w:spacing w:after="40"/>
      </w:pPr>
      <w:r>
        <w:rPr>
          <w:sz w:val="20"/>
        </w:rPr>
        <w:t>5-week structure (25-session): index traded a 10,184–10,934 range; the prior trend high of 10,934 (mid-April) has produced a lower-high pattern on the most recent retest at 10,510, marking the medium-term momentum cooling.</w:t>
      </w:r>
    </w:p>
    <w:p>
      <w:pPr>
        <w:pStyle w:val="ListBullet"/>
        <w:spacing w:after="40"/>
      </w:pPr>
      <w:r>
        <w:rPr>
          <w:sz w:val="20"/>
        </w:rPr>
        <w:t>VOLator comparative volatility: FTSE current scaled vol +0.42 (expanding); EURO STOXX +0.55; DAX +0.61; USDX −0.18; S&amp;P 500 −0.05. European equity vol is rising more sharply than US vol — consistent with the tariff/Iran risk-premium being European-localised.</w:t>
      </w:r>
    </w:p>
    <w:p>
      <w:pPr>
        <w:pStyle w:val="ListBullet"/>
        <w:spacing w:after="40"/>
      </w:pPr>
      <w:r>
        <w:rPr>
          <w:sz w:val="20"/>
        </w:rPr>
        <w:t>Smart-scale floor pivot chart: daily, weekly, and monthly pivots overlaid on the two most recent weekly candles. Friday's close sits below the weekly P and is wedged between weekly S1 and S2.</w:t>
      </w:r>
    </w:p>
    <w:p>
      <w:pPr>
        <w:spacing w:before="240" w:after="120"/>
      </w:pPr>
      <w:r>
        <w:rPr>
          <w:b/>
          <w:color w:val="2E6E3F"/>
          <w:sz w:val="32"/>
        </w:rPr>
        <w:t>§8  Short-Term Technical Analysis</w:t>
      </w:r>
    </w:p>
    <w:p>
      <w:pPr>
        <w:spacing w:before="120" w:after="60"/>
      </w:pPr>
      <w:r>
        <w:rPr>
          <w:b/>
          <w:i/>
          <w:color w:val="333333"/>
          <w:sz w:val="21"/>
        </w:rPr>
        <w:t>Session-by-session commentary — FTSE 100</w:t>
      </w:r>
    </w:p>
    <w:p>
      <w:pPr>
        <w:spacing w:after="80"/>
      </w:pPr>
      <w:r>
        <w:rPr>
          <w:b w:val="0"/>
          <w:i w:val="0"/>
          <w:sz w:val="20"/>
        </w:rPr>
        <w:t>Fri 2 May (see §6): Strong bullish candle, close in upper 81% of range, RSI2 = 78 (overbought) — momentum exhaustion signal at the end of a six-week climb.</w:t>
      </w:r>
    </w:p>
    <w:p>
      <w:pPr>
        <w:spacing w:after="80"/>
      </w:pPr>
      <w:r>
        <w:rPr>
          <w:b w:val="0"/>
          <w:i w:val="0"/>
          <w:sz w:val="20"/>
        </w:rPr>
        <w:t>Tue 5 May (see §6): Bearish reversal with body filling −75% of the range; RSI2 collapses to 44. First definitive sign of distribution from the 10,510 area.</w:t>
      </w:r>
    </w:p>
    <w:p>
      <w:pPr>
        <w:spacing w:after="80"/>
      </w:pPr>
      <w:r>
        <w:rPr>
          <w:b w:val="0"/>
          <w:i w:val="0"/>
          <w:sz w:val="20"/>
        </w:rPr>
        <w:t>Wed 6 May (see §6): Inside-day rebound on +44% body, RSI2 recovers to 55. A weak relief bounce — neither test of Tuesday's high nor a fresh low; market consolidating the prior down-move.</w:t>
      </w:r>
    </w:p>
    <w:p>
      <w:pPr>
        <w:spacing w:after="80"/>
      </w:pPr>
      <w:r>
        <w:rPr>
          <w:b w:val="0"/>
          <w:i w:val="0"/>
          <w:sz w:val="20"/>
        </w:rPr>
        <w:t>Thu 7 May (see §6): Wide-range trend day, body −90% of range, RSI2 = 20 (oversold), close at the session low. This is the dominant candle of the week — IAG profit-warning + tariff threats drove industrial-sector selling. The day broke through 10,360 prior-week support.</w:t>
      </w:r>
    </w:p>
    <w:p>
      <w:pPr>
        <w:spacing w:after="80"/>
      </w:pPr>
      <w:r>
        <w:rPr>
          <w:b w:val="0"/>
          <w:i w:val="0"/>
          <w:sz w:val="20"/>
        </w:rPr>
        <w:t>Fri 8 May (see §6): Inside-day hammer-ish, +42% body, RSI2 = 22 (still oversold), close above session open. Selling pressure absent but no clear demand confirmation — buyers tentatively defending 10,184.</w:t>
      </w:r>
    </w:p>
    <w:p>
      <w:pPr>
        <w:spacing w:before="120" w:after="60"/>
      </w:pPr>
      <w:r>
        <w:rPr>
          <w:b/>
          <w:i/>
          <w:color w:val="333333"/>
          <w:sz w:val="21"/>
        </w:rPr>
        <w:t>Sequence assessment</w:t>
      </w:r>
    </w:p>
    <w:p>
      <w:pPr>
        <w:spacing w:after="80"/>
      </w:pPr>
      <w:r>
        <w:rPr>
          <w:b w:val="0"/>
          <w:i w:val="0"/>
          <w:sz w:val="20"/>
        </w:rPr>
        <w:t>Classification: Exhaustion → Continuation (downside). Three of five sessions closed in the lower half of their range; the two up-sessions were inside-days and corrective rather than impulsive. RSI2 has spent three consecutive sessions below 30 with only a single mid-30s rebound — a textbook oversold persistence rather than reversal signature.</w:t>
      </w:r>
    </w:p>
    <w:p>
      <w:pPr>
        <w:spacing w:before="120" w:after="60"/>
      </w:pPr>
      <w:r>
        <w:rPr>
          <w:b/>
          <w:i/>
          <w:color w:val="333333"/>
          <w:sz w:val="21"/>
        </w:rPr>
        <w:t>Nearest support and resistance (5-day visible)</w:t>
      </w:r>
    </w:p>
    <w:p>
      <w:pPr>
        <w:spacing w:after="80"/>
      </w:pPr>
      <w:r>
        <w:rPr>
          <w:b w:val="0"/>
          <w:i w:val="0"/>
          <w:sz w:val="20"/>
        </w:rPr>
        <w:t>Support: 10,184 (Fri swing low); 10,000 (psychological round-number).  Resistance: 10,261 (Thu open / Fri high); 10,360 (Thu intraday demand pocket); 10,510 (5-day swing high).</w:t>
      </w:r>
    </w:p>
    <w:p>
      <w:pPr>
        <w:spacing w:before="120" w:after="60"/>
      </w:pPr>
      <w:r>
        <w:rPr>
          <w:b/>
          <w:i/>
          <w:color w:val="333333"/>
          <w:sz w:val="21"/>
        </w:rPr>
        <w:t>Judgement label</w:t>
      </w:r>
    </w:p>
    <w:p>
      <w:pPr>
        <w:spacing w:after="80"/>
      </w:pPr>
      <w:r>
        <w:rPr>
          <w:b/>
          <w:i w:val="0"/>
          <w:sz w:val="20"/>
        </w:rPr>
        <w:t>Bearish continuation. This label feeds §1 and §16 and is consistent with the §9 regime read below.</w:t>
      </w:r>
    </w:p>
    <w:p>
      <w:pPr>
        <w:spacing w:before="120" w:after="60"/>
      </w:pPr>
      <w:r>
        <w:rPr>
          <w:b/>
          <w:i/>
          <w:color w:val="333333"/>
          <w:sz w:val="21"/>
        </w:rPr>
        <w:t>EURO STOXX 50 — condensed equivalent</w:t>
      </w:r>
    </w:p>
    <w:p>
      <w:pPr>
        <w:spacing w:after="80"/>
      </w:pPr>
      <w:r>
        <w:rPr>
          <w:b w:val="0"/>
          <w:i w:val="0"/>
          <w:sz w:val="20"/>
        </w:rPr>
        <w:t>Identical pattern: Friday a wide-range bearish close below 5,950 support (the prior week's consolidation floor); RSI2 read of 18 is more deeply oversold than FTSE. Sequence: Exhaustion → Bearish continuation. Cited contradiction with FTSE: none — the two indices move in lockstep this week, removing a possible regional diverger signal.</w:t>
      </w:r>
    </w:p>
    <w:p>
      <w:pPr>
        <w:spacing w:before="240" w:after="120"/>
      </w:pPr>
      <w:r>
        <w:rPr>
          <w:b/>
          <w:color w:val="2E6E3F"/>
          <w:sz w:val="32"/>
        </w:rPr>
        <w:t>§9  Medium-Term Regime &amp; VOLator</w:t>
      </w:r>
    </w:p>
    <w:p>
      <w:pPr>
        <w:spacing w:before="120" w:after="60"/>
      </w:pPr>
      <w:r>
        <w:rPr>
          <w:b/>
          <w:i/>
          <w:color w:val="333333"/>
          <w:sz w:val="21"/>
        </w:rPr>
        <w:t>Regime classification — FTSE 100</w:t>
      </w:r>
    </w:p>
    <w:p>
      <w:pPr>
        <w:spacing w:after="80"/>
      </w:pPr>
      <w:r>
        <w:rPr>
          <w:b w:val="0"/>
          <w:i w:val="0"/>
          <w:sz w:val="20"/>
        </w:rPr>
        <w:t>5-week regime (15 Apr to 8 May): Trending–Bullish, cooling. Supporting metrics: overlap ratio 0.42, directional persistence 0.61, VOLator slope +0.18 (expanding), median RSI2 = 52, range position bias = +0.15 (slightly upper). The structural uptrend that ran from late January through April peak of 10,934 remains the prevailing 25-session story, but the most recent 8 sessions have rolled over.</w:t>
      </w:r>
    </w:p>
    <w:p>
      <w:pPr>
        <w:spacing w:after="80"/>
      </w:pPr>
      <w:r>
        <w:rPr>
          <w:b w:val="0"/>
          <w:i w:val="0"/>
          <w:sz w:val="20"/>
        </w:rPr>
        <w:t>Bias: Bullish (cooling).</w:t>
      </w:r>
    </w:p>
    <w:p>
      <w:pPr>
        <w:spacing w:before="120" w:after="60"/>
      </w:pPr>
      <w:r>
        <w:rPr>
          <w:b/>
          <w:i/>
          <w:color w:val="333333"/>
          <w:sz w:val="21"/>
        </w:rPr>
        <w:t>Short-vs-Medium synthesis</w:t>
      </w:r>
    </w:p>
    <w:p>
      <w:pPr>
        <w:spacing w:after="80"/>
      </w:pPr>
      <w:r>
        <w:rPr>
          <w:b w:val="0"/>
          <w:i w:val="0"/>
          <w:sz w:val="20"/>
        </w:rPr>
        <w:t>Per the M3 synthesis matrix: 5-day Trending–Bearish meets 5-week Trending–Bullish → 'Pullback / consolidation within trend — favour trend resumption; avoid fade'. The matrix verdict is favour trend resumption, but the depth of the pullback (~6.5% from the 10,934 high) and the persistent RSI2-below-30 behaviour push the regime classifier into TRANSITION.</w:t>
      </w:r>
    </w:p>
    <w:p>
      <w:pPr>
        <w:spacing w:before="120" w:after="60"/>
      </w:pPr>
      <w:r>
        <w:rPr>
          <w:b/>
          <w:i/>
          <w:color w:val="333333"/>
          <w:sz w:val="21"/>
        </w:rPr>
        <w:t>VOLator readings (25-session window, ATR method, historical scaling)</w:t>
      </w:r>
    </w:p>
    <w:tbl>
      <w:tblPr>
        <w:tblW w:type="auto" w:w="0"/>
        <w:tblLayout w:type="fixed"/>
        <w:tblLook w:firstColumn="1" w:firstRow="1" w:lastColumn="0" w:lastRow="0" w:noHBand="0" w:noVBand="1" w:val="04A0"/>
      </w:tblPr>
      <w:tblGrid>
        <w:gridCol w:w="1928"/>
        <w:gridCol w:w="1928"/>
        <w:gridCol w:w="1928"/>
        <w:gridCol w:w="1928"/>
        <w:gridCol w:w="1928"/>
      </w:tblGrid>
      <w:tr>
        <w:tc>
          <w:tcPr>
            <w:tcW w:type="dxa" w:w="2160"/>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Asset</w:t>
            </w:r>
          </w:p>
        </w:tc>
        <w:tc>
          <w:tcPr>
            <w:tcW w:type="dxa" w:w="1584"/>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Scaled VOLator</w:t>
            </w:r>
          </w:p>
        </w:tc>
        <w:tc>
          <w:tcPr>
            <w:tcW w:type="dxa" w:w="1584"/>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Above/below 0</w:t>
            </w:r>
          </w:p>
        </w:tc>
        <w:tc>
          <w:tcPr>
            <w:tcW w:type="dxa" w:w="1872"/>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Slope</w:t>
            </w:r>
          </w:p>
        </w:tc>
        <w:tc>
          <w:tcPr>
            <w:tcW w:type="dxa" w:w="316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Read</w:t>
            </w:r>
          </w:p>
        </w:tc>
      </w:tr>
      <w:tr>
        <w:tc>
          <w:tcPr>
            <w:tcW w:type="dxa" w:w="2160"/>
            <w:tcBorders>
              <w:top w:val="single" w:sz="4" w:color="999999"/>
              <w:left w:val="single" w:sz="4" w:color="999999"/>
              <w:bottom w:val="single" w:sz="4" w:color="999999"/>
              <w:right w:val="single" w:sz="4" w:color="999999"/>
            </w:tcBorders>
            <w:vAlign w:val="top"/>
          </w:tcPr>
          <w:p>
            <w:r/>
            <w:r>
              <w:rPr>
                <w:sz w:val="18"/>
              </w:rPr>
              <w:t>FTSE 100</w:t>
            </w:r>
          </w:p>
        </w:tc>
        <w:tc>
          <w:tcPr>
            <w:tcW w:type="dxa" w:w="1584"/>
            <w:tcBorders>
              <w:top w:val="single" w:sz="4" w:color="999999"/>
              <w:left w:val="single" w:sz="4" w:color="999999"/>
              <w:bottom w:val="single" w:sz="4" w:color="999999"/>
              <w:right w:val="single" w:sz="4" w:color="999999"/>
            </w:tcBorders>
            <w:vAlign w:val="top"/>
          </w:tcPr>
          <w:p>
            <w:r/>
            <w:r>
              <w:rPr>
                <w:sz w:val="18"/>
              </w:rPr>
              <w:t>+0.42</w:t>
            </w:r>
          </w:p>
        </w:tc>
        <w:tc>
          <w:tcPr>
            <w:tcW w:type="dxa" w:w="1584"/>
            <w:tcBorders>
              <w:top w:val="single" w:sz="4" w:color="999999"/>
              <w:left w:val="single" w:sz="4" w:color="999999"/>
              <w:bottom w:val="single" w:sz="4" w:color="999999"/>
              <w:right w:val="single" w:sz="4" w:color="999999"/>
            </w:tcBorders>
            <w:vAlign w:val="top"/>
          </w:tcPr>
          <w:p>
            <w:r/>
            <w:r>
              <w:rPr>
                <w:sz w:val="18"/>
              </w:rPr>
              <w:t>Above</w:t>
            </w:r>
          </w:p>
        </w:tc>
        <w:tc>
          <w:tcPr>
            <w:tcW w:type="dxa" w:w="1872"/>
            <w:tcBorders>
              <w:top w:val="single" w:sz="4" w:color="999999"/>
              <w:left w:val="single" w:sz="4" w:color="999999"/>
              <w:bottom w:val="single" w:sz="4" w:color="999999"/>
              <w:right w:val="single" w:sz="4" w:color="999999"/>
            </w:tcBorders>
            <w:vAlign w:val="top"/>
          </w:tcPr>
          <w:p>
            <w:r/>
            <w:r>
              <w:rPr>
                <w:sz w:val="18"/>
              </w:rPr>
              <w:t>Positive (+0.18)</w:t>
            </w:r>
          </w:p>
        </w:tc>
        <w:tc>
          <w:tcPr>
            <w:tcW w:type="dxa" w:w="3168"/>
            <w:tcBorders>
              <w:top w:val="single" w:sz="4" w:color="999999"/>
              <w:left w:val="single" w:sz="4" w:color="999999"/>
              <w:bottom w:val="single" w:sz="4" w:color="999999"/>
              <w:right w:val="single" w:sz="4" w:color="999999"/>
            </w:tcBorders>
            <w:vAlign w:val="top"/>
          </w:tcPr>
          <w:p>
            <w:r/>
            <w:r>
              <w:rPr>
                <w:sz w:val="18"/>
              </w:rPr>
              <w:t>Expanding — risk-off pulse</w:t>
            </w:r>
          </w:p>
        </w:tc>
      </w:tr>
      <w:tr>
        <w:tc>
          <w:tcPr>
            <w:tcW w:type="dxa" w:w="2160"/>
            <w:tcBorders>
              <w:top w:val="single" w:sz="4" w:color="999999"/>
              <w:left w:val="single" w:sz="4" w:color="999999"/>
              <w:bottom w:val="single" w:sz="4" w:color="999999"/>
              <w:right w:val="single" w:sz="4" w:color="999999"/>
            </w:tcBorders>
            <w:vAlign w:val="top"/>
            <w:shd w:val="clear" w:color="auto" w:fill="F4F6F9"/>
          </w:tcPr>
          <w:p>
            <w:r/>
            <w:r>
              <w:rPr>
                <w:sz w:val="18"/>
              </w:rPr>
              <w:t>EURO STOXX 50</w:t>
            </w:r>
          </w:p>
        </w:tc>
        <w:tc>
          <w:tcPr>
            <w:tcW w:type="dxa" w:w="1584"/>
            <w:tcBorders>
              <w:top w:val="single" w:sz="4" w:color="999999"/>
              <w:left w:val="single" w:sz="4" w:color="999999"/>
              <w:bottom w:val="single" w:sz="4" w:color="999999"/>
              <w:right w:val="single" w:sz="4" w:color="999999"/>
            </w:tcBorders>
            <w:vAlign w:val="top"/>
            <w:shd w:val="clear" w:color="auto" w:fill="F4F6F9"/>
          </w:tcPr>
          <w:p>
            <w:r/>
            <w:r>
              <w:rPr>
                <w:sz w:val="18"/>
              </w:rPr>
              <w:t>+0.55</w:t>
            </w:r>
          </w:p>
        </w:tc>
        <w:tc>
          <w:tcPr>
            <w:tcW w:type="dxa" w:w="1584"/>
            <w:tcBorders>
              <w:top w:val="single" w:sz="4" w:color="999999"/>
              <w:left w:val="single" w:sz="4" w:color="999999"/>
              <w:bottom w:val="single" w:sz="4" w:color="999999"/>
              <w:right w:val="single" w:sz="4" w:color="999999"/>
            </w:tcBorders>
            <w:vAlign w:val="top"/>
            <w:shd w:val="clear" w:color="auto" w:fill="F4F6F9"/>
          </w:tcPr>
          <w:p>
            <w:r/>
            <w:r>
              <w:rPr>
                <w:sz w:val="18"/>
              </w:rPr>
              <w:t>Above</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Positive (+0.22)</w:t>
            </w:r>
          </w:p>
        </w:tc>
        <w:tc>
          <w:tcPr>
            <w:tcW w:type="dxa" w:w="3168"/>
            <w:tcBorders>
              <w:top w:val="single" w:sz="4" w:color="999999"/>
              <w:left w:val="single" w:sz="4" w:color="999999"/>
              <w:bottom w:val="single" w:sz="4" w:color="999999"/>
              <w:right w:val="single" w:sz="4" w:color="999999"/>
            </w:tcBorders>
            <w:vAlign w:val="top"/>
            <w:shd w:val="clear" w:color="auto" w:fill="F4F6F9"/>
          </w:tcPr>
          <w:p>
            <w:r/>
            <w:r>
              <w:rPr>
                <w:sz w:val="18"/>
              </w:rPr>
              <w:t>Expanding more sharply than FTSE</w:t>
            </w:r>
          </w:p>
        </w:tc>
      </w:tr>
      <w:tr>
        <w:tc>
          <w:tcPr>
            <w:tcW w:type="dxa" w:w="2160"/>
            <w:tcBorders>
              <w:top w:val="single" w:sz="4" w:color="999999"/>
              <w:left w:val="single" w:sz="4" w:color="999999"/>
              <w:bottom w:val="single" w:sz="4" w:color="999999"/>
              <w:right w:val="single" w:sz="4" w:color="999999"/>
            </w:tcBorders>
            <w:vAlign w:val="top"/>
          </w:tcPr>
          <w:p>
            <w:r/>
            <w:r>
              <w:rPr>
                <w:sz w:val="18"/>
              </w:rPr>
              <w:t>USDX (DX-Y.NYB)</w:t>
            </w:r>
          </w:p>
        </w:tc>
        <w:tc>
          <w:tcPr>
            <w:tcW w:type="dxa" w:w="1584"/>
            <w:tcBorders>
              <w:top w:val="single" w:sz="4" w:color="999999"/>
              <w:left w:val="single" w:sz="4" w:color="999999"/>
              <w:bottom w:val="single" w:sz="4" w:color="999999"/>
              <w:right w:val="single" w:sz="4" w:color="999999"/>
            </w:tcBorders>
            <w:vAlign w:val="top"/>
          </w:tcPr>
          <w:p>
            <w:r/>
            <w:r>
              <w:rPr>
                <w:sz w:val="18"/>
              </w:rPr>
              <w:t>−0.18</w:t>
            </w:r>
          </w:p>
        </w:tc>
        <w:tc>
          <w:tcPr>
            <w:tcW w:type="dxa" w:w="1584"/>
            <w:tcBorders>
              <w:top w:val="single" w:sz="4" w:color="999999"/>
              <w:left w:val="single" w:sz="4" w:color="999999"/>
              <w:bottom w:val="single" w:sz="4" w:color="999999"/>
              <w:right w:val="single" w:sz="4" w:color="999999"/>
            </w:tcBorders>
            <w:vAlign w:val="top"/>
          </w:tcPr>
          <w:p>
            <w:r/>
            <w:r>
              <w:rPr>
                <w:sz w:val="18"/>
              </w:rPr>
              <w:t>Below</w:t>
            </w:r>
          </w:p>
        </w:tc>
        <w:tc>
          <w:tcPr>
            <w:tcW w:type="dxa" w:w="1872"/>
            <w:tcBorders>
              <w:top w:val="single" w:sz="4" w:color="999999"/>
              <w:left w:val="single" w:sz="4" w:color="999999"/>
              <w:bottom w:val="single" w:sz="4" w:color="999999"/>
              <w:right w:val="single" w:sz="4" w:color="999999"/>
            </w:tcBorders>
            <w:vAlign w:val="top"/>
          </w:tcPr>
          <w:p>
            <w:r/>
            <w:r>
              <w:rPr>
                <w:sz w:val="18"/>
              </w:rPr>
              <w:t>Negative (−0.08)</w:t>
            </w:r>
          </w:p>
        </w:tc>
        <w:tc>
          <w:tcPr>
            <w:tcW w:type="dxa" w:w="3168"/>
            <w:tcBorders>
              <w:top w:val="single" w:sz="4" w:color="999999"/>
              <w:left w:val="single" w:sz="4" w:color="999999"/>
              <w:bottom w:val="single" w:sz="4" w:color="999999"/>
              <w:right w:val="single" w:sz="4" w:color="999999"/>
            </w:tcBorders>
            <w:vAlign w:val="top"/>
          </w:tcPr>
          <w:p>
            <w:r/>
            <w:r>
              <w:rPr>
                <w:sz w:val="18"/>
              </w:rPr>
              <w:t>Contracting — dollar volatility easing</w:t>
            </w:r>
          </w:p>
        </w:tc>
      </w:tr>
      <w:tr>
        <w:tc>
          <w:tcPr>
            <w:tcW w:type="dxa" w:w="2160"/>
            <w:tcBorders>
              <w:top w:val="single" w:sz="4" w:color="999999"/>
              <w:left w:val="single" w:sz="4" w:color="999999"/>
              <w:bottom w:val="single" w:sz="4" w:color="999999"/>
              <w:right w:val="single" w:sz="4" w:color="999999"/>
            </w:tcBorders>
            <w:vAlign w:val="top"/>
            <w:shd w:val="clear" w:color="auto" w:fill="F4F6F9"/>
          </w:tcPr>
          <w:p>
            <w:r/>
            <w:r>
              <w:rPr>
                <w:sz w:val="18"/>
              </w:rPr>
              <w:t>S&amp;P 500 (^GSPC)</w:t>
            </w:r>
          </w:p>
        </w:tc>
        <w:tc>
          <w:tcPr>
            <w:tcW w:type="dxa" w:w="1584"/>
            <w:tcBorders>
              <w:top w:val="single" w:sz="4" w:color="999999"/>
              <w:left w:val="single" w:sz="4" w:color="999999"/>
              <w:bottom w:val="single" w:sz="4" w:color="999999"/>
              <w:right w:val="single" w:sz="4" w:color="999999"/>
            </w:tcBorders>
            <w:vAlign w:val="top"/>
            <w:shd w:val="clear" w:color="auto" w:fill="F4F6F9"/>
          </w:tcPr>
          <w:p>
            <w:r/>
            <w:r>
              <w:rPr>
                <w:sz w:val="18"/>
              </w:rPr>
              <w:t>−0.05</w:t>
            </w:r>
          </w:p>
        </w:tc>
        <w:tc>
          <w:tcPr>
            <w:tcW w:type="dxa" w:w="1584"/>
            <w:tcBorders>
              <w:top w:val="single" w:sz="4" w:color="999999"/>
              <w:left w:val="single" w:sz="4" w:color="999999"/>
              <w:bottom w:val="single" w:sz="4" w:color="999999"/>
              <w:right w:val="single" w:sz="4" w:color="999999"/>
            </w:tcBorders>
            <w:vAlign w:val="top"/>
            <w:shd w:val="clear" w:color="auto" w:fill="F4F6F9"/>
          </w:tcPr>
          <w:p>
            <w:r/>
            <w:r>
              <w:rPr>
                <w:sz w:val="18"/>
              </w:rPr>
              <w:t>Below</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Flat (+0.01)</w:t>
            </w:r>
          </w:p>
        </w:tc>
        <w:tc>
          <w:tcPr>
            <w:tcW w:type="dxa" w:w="3168"/>
            <w:tcBorders>
              <w:top w:val="single" w:sz="4" w:color="999999"/>
              <w:left w:val="single" w:sz="4" w:color="999999"/>
              <w:bottom w:val="single" w:sz="4" w:color="999999"/>
              <w:right w:val="single" w:sz="4" w:color="999999"/>
            </w:tcBorders>
            <w:vAlign w:val="top"/>
            <w:shd w:val="clear" w:color="auto" w:fill="F4F6F9"/>
          </w:tcPr>
          <w:p>
            <w:r/>
            <w:r>
              <w:rPr>
                <w:sz w:val="18"/>
              </w:rPr>
              <w:t>Stable — US vol not contagious</w:t>
            </w:r>
          </w:p>
        </w:tc>
      </w:tr>
      <w:tr>
        <w:tc>
          <w:tcPr>
            <w:tcW w:type="dxa" w:w="2160"/>
            <w:tcBorders>
              <w:top w:val="single" w:sz="4" w:color="999999"/>
              <w:left w:val="single" w:sz="4" w:color="999999"/>
              <w:bottom w:val="single" w:sz="4" w:color="999999"/>
              <w:right w:val="single" w:sz="4" w:color="999999"/>
            </w:tcBorders>
            <w:vAlign w:val="top"/>
          </w:tcPr>
          <w:p>
            <w:r/>
            <w:r>
              <w:rPr>
                <w:sz w:val="18"/>
              </w:rPr>
              <w:t>DAX 40 (^GDAXI)</w:t>
            </w:r>
          </w:p>
        </w:tc>
        <w:tc>
          <w:tcPr>
            <w:tcW w:type="dxa" w:w="1584"/>
            <w:tcBorders>
              <w:top w:val="single" w:sz="4" w:color="999999"/>
              <w:left w:val="single" w:sz="4" w:color="999999"/>
              <w:bottom w:val="single" w:sz="4" w:color="999999"/>
              <w:right w:val="single" w:sz="4" w:color="999999"/>
            </w:tcBorders>
            <w:vAlign w:val="top"/>
          </w:tcPr>
          <w:p>
            <w:r/>
            <w:r>
              <w:rPr>
                <w:sz w:val="18"/>
              </w:rPr>
              <w:t>+0.61</w:t>
            </w:r>
          </w:p>
        </w:tc>
        <w:tc>
          <w:tcPr>
            <w:tcW w:type="dxa" w:w="1584"/>
            <w:tcBorders>
              <w:top w:val="single" w:sz="4" w:color="999999"/>
              <w:left w:val="single" w:sz="4" w:color="999999"/>
              <w:bottom w:val="single" w:sz="4" w:color="999999"/>
              <w:right w:val="single" w:sz="4" w:color="999999"/>
            </w:tcBorders>
            <w:vAlign w:val="top"/>
          </w:tcPr>
          <w:p>
            <w:r/>
            <w:r>
              <w:rPr>
                <w:sz w:val="18"/>
              </w:rPr>
              <w:t>Above</w:t>
            </w:r>
          </w:p>
        </w:tc>
        <w:tc>
          <w:tcPr>
            <w:tcW w:type="dxa" w:w="1872"/>
            <w:tcBorders>
              <w:top w:val="single" w:sz="4" w:color="999999"/>
              <w:left w:val="single" w:sz="4" w:color="999999"/>
              <w:bottom w:val="single" w:sz="4" w:color="999999"/>
              <w:right w:val="single" w:sz="4" w:color="999999"/>
            </w:tcBorders>
            <w:vAlign w:val="top"/>
          </w:tcPr>
          <w:p>
            <w:r/>
            <w:r>
              <w:rPr>
                <w:sz w:val="18"/>
              </w:rPr>
              <w:t>Positive (+0.25)</w:t>
            </w:r>
          </w:p>
        </w:tc>
        <w:tc>
          <w:tcPr>
            <w:tcW w:type="dxa" w:w="3168"/>
            <w:tcBorders>
              <w:top w:val="single" w:sz="4" w:color="999999"/>
              <w:left w:val="single" w:sz="4" w:color="999999"/>
              <w:bottom w:val="single" w:sz="4" w:color="999999"/>
              <w:right w:val="single" w:sz="4" w:color="999999"/>
            </w:tcBorders>
            <w:vAlign w:val="top"/>
          </w:tcPr>
          <w:p>
            <w:r/>
            <w:r>
              <w:rPr>
                <w:sz w:val="18"/>
              </w:rPr>
              <w:t>Highest — German industrials weighed</w:t>
            </w:r>
          </w:p>
        </w:tc>
      </w:tr>
    </w:tbl>
    <w:p>
      <w:pPr>
        <w:spacing w:before="120" w:after="60"/>
      </w:pPr>
      <w:r>
        <w:rPr>
          <w:b/>
          <w:i/>
          <w:color w:val="333333"/>
          <w:sz w:val="21"/>
        </w:rPr>
        <w:t>Preferred trade protocol</w:t>
      </w:r>
    </w:p>
    <w:p>
      <w:pPr>
        <w:spacing w:after="80"/>
      </w:pPr>
      <w:r>
        <w:rPr>
          <w:b w:val="0"/>
          <w:i w:val="0"/>
          <w:sz w:val="20"/>
        </w:rPr>
        <w:t>Pullback within trend — favour bounce setups at structural support (10,184; weekly S1; 10,000). Avoid initiating fresh shorts at current levels because the medium-term trend remains intact and RSI2 deep oversold raises mean-reversion probability. Reduced conviction applies given the regime synthesis is TRANSITION rather than clean TREND_DOWN or RANGE.</w:t>
      </w:r>
    </w:p>
    <w:p>
      <w:pPr>
        <w:spacing w:before="120" w:after="60"/>
      </w:pPr>
      <w:r>
        <w:rPr>
          <w:b/>
          <w:i/>
          <w:color w:val="333333"/>
          <w:sz w:val="21"/>
        </w:rPr>
        <w:t>Kaufman KER confirmation</w:t>
      </w:r>
    </w:p>
    <w:p>
      <w:pPr>
        <w:spacing w:after="80"/>
      </w:pPr>
      <w:r>
        <w:rPr>
          <w:b w:val="0"/>
          <w:i w:val="0"/>
          <w:sz w:val="20"/>
        </w:rPr>
        <w:t>KER = −0.11 (13-session, 3-EMA smoothed). Classification: Ranging with bearish lean (|KER| &lt; trend threshold of 0.13). KER agrees with the 5-day bearish reading but contradicts the still-bullish medium-term structure. KER signal precedence: in this conflict, the regime label TRANSITION takes precedence (because the medium-term gate is still partially intact and VOLator slope is positive, which fails the RANGE dual-gate). M5 will read regime_label = TRANSITION.</w:t>
      </w:r>
    </w:p>
    <w:p>
      <w:pPr>
        <w:spacing w:before="240" w:after="120"/>
      </w:pPr>
      <w:r>
        <w:rPr>
          <w:b/>
          <w:color w:val="2E6E3F"/>
          <w:sz w:val="32"/>
        </w:rPr>
        <w:t>§10  Cross-Asset Analysis</w:t>
      </w:r>
    </w:p>
    <w:tbl>
      <w:tblPr>
        <w:tblW w:type="auto" w:w="0"/>
        <w:tblLayout w:type="fixed"/>
        <w:tblLook w:firstColumn="1" w:firstRow="1" w:lastColumn="0" w:lastRow="0" w:noHBand="0" w:noVBand="1" w:val="04A0"/>
      </w:tblPr>
      <w:tblGrid>
        <w:gridCol w:w="2409"/>
        <w:gridCol w:w="2409"/>
        <w:gridCol w:w="2409"/>
        <w:gridCol w:w="2409"/>
      </w:tblGrid>
      <w:tr>
        <w:tc>
          <w:tcPr>
            <w:tcW w:type="dxa" w:w="144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Counter</w:t>
            </w:r>
          </w:p>
        </w:tc>
        <w:tc>
          <w:tcPr>
            <w:tcW w:type="dxa" w:w="2016"/>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5-day direction</w:t>
            </w:r>
          </w:p>
        </w:tc>
        <w:tc>
          <w:tcPr>
            <w:tcW w:type="dxa" w:w="4032"/>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Mechanism</w:t>
            </w:r>
          </w:p>
        </w:tc>
        <w:tc>
          <w:tcPr>
            <w:tcW w:type="dxa" w:w="288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Confirmation vs FTSE Step-4 regime</w:t>
            </w:r>
          </w:p>
        </w:tc>
      </w:tr>
      <w:tr>
        <w:tc>
          <w:tcPr>
            <w:tcW w:type="dxa" w:w="1440"/>
            <w:tcBorders>
              <w:top w:val="single" w:sz="4" w:color="999999"/>
              <w:left w:val="single" w:sz="4" w:color="999999"/>
              <w:bottom w:val="single" w:sz="4" w:color="999999"/>
              <w:right w:val="single" w:sz="4" w:color="999999"/>
            </w:tcBorders>
            <w:vAlign w:val="top"/>
          </w:tcPr>
          <w:p>
            <w:r/>
            <w:r>
              <w:rPr>
                <w:sz w:val="18"/>
              </w:rPr>
              <w:t>USDX</w:t>
            </w:r>
          </w:p>
        </w:tc>
        <w:tc>
          <w:tcPr>
            <w:tcW w:type="dxa" w:w="2016"/>
            <w:tcBorders>
              <w:top w:val="single" w:sz="4" w:color="999999"/>
              <w:left w:val="single" w:sz="4" w:color="999999"/>
              <w:bottom w:val="single" w:sz="4" w:color="999999"/>
              <w:right w:val="single" w:sz="4" w:color="999999"/>
            </w:tcBorders>
            <w:vAlign w:val="top"/>
          </w:tcPr>
          <w:p>
            <w:r/>
            <w:r>
              <w:rPr>
                <w:sz w:val="18"/>
              </w:rPr>
              <w:t>Falling (97.95 from ~98.5)</w:t>
            </w:r>
          </w:p>
        </w:tc>
        <w:tc>
          <w:tcPr>
            <w:tcW w:type="dxa" w:w="4032"/>
            <w:tcBorders>
              <w:top w:val="single" w:sz="4" w:color="999999"/>
              <w:left w:val="single" w:sz="4" w:color="999999"/>
              <w:bottom w:val="single" w:sz="4" w:color="999999"/>
              <w:right w:val="single" w:sz="4" w:color="999999"/>
            </w:tcBorders>
            <w:vAlign w:val="top"/>
          </w:tcPr>
          <w:p>
            <w:r/>
            <w:r>
              <w:rPr>
                <w:sz w:val="18"/>
              </w:rPr>
              <w:t>Falling DXY → looser global financial conditions; usually positive for European multinationals via earnings translation. Mildly supportive for FTSE.</w:t>
            </w:r>
          </w:p>
        </w:tc>
        <w:tc>
          <w:tcPr>
            <w:tcW w:type="dxa" w:w="2880"/>
            <w:tcBorders>
              <w:top w:val="single" w:sz="4" w:color="999999"/>
              <w:left w:val="single" w:sz="4" w:color="999999"/>
              <w:bottom w:val="single" w:sz="4" w:color="999999"/>
              <w:right w:val="single" w:sz="4" w:color="999999"/>
            </w:tcBorders>
            <w:vAlign w:val="top"/>
          </w:tcPr>
          <w:p>
            <w:r/>
            <w:r>
              <w:rPr>
                <w:sz w:val="18"/>
              </w:rPr>
              <w:t>Contradicts (USDX easing argues against the bearish FTSE move)</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S&amp;P 500</w:t>
            </w:r>
          </w:p>
        </w:tc>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Rising (+2.3% on week; 6th consecutive winning week)</w:t>
            </w:r>
          </w:p>
        </w:tc>
        <w:tc>
          <w:tcPr>
            <w:tcW w:type="dxa" w:w="4032"/>
            <w:tcBorders>
              <w:top w:val="single" w:sz="4" w:color="999999"/>
              <w:left w:val="single" w:sz="4" w:color="999999"/>
              <w:bottom w:val="single" w:sz="4" w:color="999999"/>
              <w:right w:val="single" w:sz="4" w:color="999999"/>
            </w:tcBorders>
            <w:vAlign w:val="top"/>
            <w:shd w:val="clear" w:color="auto" w:fill="F4F6F9"/>
          </w:tcPr>
          <w:p>
            <w:r/>
            <w:r>
              <w:rPr>
                <w:sz w:val="18"/>
              </w:rPr>
              <w:t>Strong US tape; common-factor beta for European indices is meaningfully positive. Strength here is NOT being transmitted to FTSE — that absence is itself the signal.</w:t>
            </w:r>
          </w:p>
        </w:tc>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Contradicts (cross-Atlantic divergence flag)</w:t>
            </w:r>
          </w:p>
        </w:tc>
      </w:tr>
      <w:tr>
        <w:tc>
          <w:tcPr>
            <w:tcW w:type="dxa" w:w="1440"/>
            <w:tcBorders>
              <w:top w:val="single" w:sz="4" w:color="999999"/>
              <w:left w:val="single" w:sz="4" w:color="999999"/>
              <w:bottom w:val="single" w:sz="4" w:color="999999"/>
              <w:right w:val="single" w:sz="4" w:color="999999"/>
            </w:tcBorders>
            <w:vAlign w:val="top"/>
          </w:tcPr>
          <w:p>
            <w:r/>
            <w:r>
              <w:rPr>
                <w:sz w:val="18"/>
              </w:rPr>
              <w:t>DAX 40</w:t>
            </w:r>
          </w:p>
        </w:tc>
        <w:tc>
          <w:tcPr>
            <w:tcW w:type="dxa" w:w="2016"/>
            <w:tcBorders>
              <w:top w:val="single" w:sz="4" w:color="999999"/>
              <w:left w:val="single" w:sz="4" w:color="999999"/>
              <w:bottom w:val="single" w:sz="4" w:color="999999"/>
              <w:right w:val="single" w:sz="4" w:color="999999"/>
            </w:tcBorders>
            <w:vAlign w:val="top"/>
          </w:tcPr>
          <w:p>
            <w:r/>
            <w:r>
              <w:rPr>
                <w:sz w:val="18"/>
              </w:rPr>
              <w:t>Falling (−1.3% Friday; weekly down)</w:t>
            </w:r>
          </w:p>
        </w:tc>
        <w:tc>
          <w:tcPr>
            <w:tcW w:type="dxa" w:w="4032"/>
            <w:tcBorders>
              <w:top w:val="single" w:sz="4" w:color="999999"/>
              <w:left w:val="single" w:sz="4" w:color="999999"/>
              <w:bottom w:val="single" w:sz="4" w:color="999999"/>
              <w:right w:val="single" w:sz="4" w:color="999999"/>
            </w:tcBorders>
            <w:vAlign w:val="top"/>
          </w:tcPr>
          <w:p>
            <w:r/>
            <w:r>
              <w:rPr>
                <w:sz w:val="18"/>
              </w:rPr>
              <w:t>Direct European-equity confirmation; DAX's industrials-heavy mix is hardest hit by EU-tariff threat — FTSE's lower direct US revenue exposure offers some cushion but tracks the regional sell-off.</w:t>
            </w:r>
          </w:p>
        </w:tc>
        <w:tc>
          <w:tcPr>
            <w:tcW w:type="dxa" w:w="2880"/>
            <w:tcBorders>
              <w:top w:val="single" w:sz="4" w:color="999999"/>
              <w:left w:val="single" w:sz="4" w:color="999999"/>
              <w:bottom w:val="single" w:sz="4" w:color="999999"/>
              <w:right w:val="single" w:sz="4" w:color="999999"/>
            </w:tcBorders>
            <w:vAlign w:val="top"/>
          </w:tcPr>
          <w:p>
            <w:r/>
            <w:r>
              <w:rPr>
                <w:sz w:val="18"/>
              </w:rPr>
              <w:t>Confirms (regional bearish-cyclical read)</w:t>
            </w:r>
          </w:p>
        </w:tc>
      </w:tr>
    </w:tbl>
    <w:p>
      <w:pPr>
        <w:spacing w:after="80"/>
      </w:pPr>
      <w:r>
        <w:rPr>
          <w:b w:val="0"/>
          <w:i/>
          <w:sz w:val="20"/>
        </w:rPr>
        <w:t>Cross-asset aggregate: MIXED. USDX and S&amp;P 500 contradict the FTSE bearish move (offshore conditions are supportive), while DAX confirms the regional pressure. The cross-Atlantic divergence (S&amp;P at fresh ATH while FTSE/STOXX fall) is the dominant story and is explicitly flagged. Mechanism: the tariff-threat asymmetry — EU is a more concentrated target than the UK, which has a separate (10%) tariff arrangement.</w:t>
      </w:r>
    </w:p>
    <w:p>
      <w:pPr>
        <w:spacing w:before="240" w:after="120"/>
      </w:pPr>
      <w:r>
        <w:rPr>
          <w:b/>
          <w:color w:val="2E6E3F"/>
          <w:sz w:val="32"/>
        </w:rPr>
        <w:t>§11  Floor Pivot Analysis</w:t>
      </w:r>
    </w:p>
    <w:p>
      <w:pPr>
        <w:spacing w:before="120" w:after="60"/>
      </w:pPr>
      <w:r>
        <w:rPr>
          <w:b/>
          <w:i/>
          <w:color w:val="333333"/>
          <w:sz w:val="21"/>
        </w:rPr>
        <w:t>Daily pivots (from Thu 7 May H/L/C: 10,470 / 10,255 / 10,262)</w:t>
      </w:r>
    </w:p>
    <w:tbl>
      <w:tblPr>
        <w:tblW w:type="auto" w:w="0"/>
        <w:tblLayout w:type="fixed"/>
        <w:tblLook w:firstColumn="1" w:firstRow="1" w:lastColumn="0" w:lastRow="0" w:noHBand="0" w:noVBand="1" w:val="04A0"/>
      </w:tblPr>
      <w:tblGrid>
        <w:gridCol w:w="4819"/>
        <w:gridCol w:w="4819"/>
      </w:tblGrid>
      <w:tr>
        <w:tc>
          <w:tcPr>
            <w:tcW w:type="dxa" w:w="1440"/>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Level</w:t>
            </w:r>
          </w:p>
        </w:tc>
        <w:tc>
          <w:tcPr>
            <w:tcW w:type="dxa" w:w="172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Price</w:t>
            </w:r>
          </w:p>
        </w:tc>
      </w:tr>
      <w:tr>
        <w:tc>
          <w:tcPr>
            <w:tcW w:type="dxa" w:w="1440"/>
            <w:tcBorders>
              <w:top w:val="single" w:sz="4" w:color="999999"/>
              <w:left w:val="single" w:sz="4" w:color="999999"/>
              <w:bottom w:val="single" w:sz="4" w:color="999999"/>
              <w:right w:val="single" w:sz="4" w:color="999999"/>
            </w:tcBorders>
            <w:vAlign w:val="top"/>
          </w:tcPr>
          <w:p>
            <w:r/>
            <w:r>
              <w:rPr>
                <w:sz w:val="18"/>
              </w:rPr>
              <w:t>R3</w:t>
            </w:r>
          </w:p>
        </w:tc>
        <w:tc>
          <w:tcPr>
            <w:tcW w:type="dxa" w:w="1728"/>
            <w:tcBorders>
              <w:top w:val="single" w:sz="4" w:color="999999"/>
              <w:left w:val="single" w:sz="4" w:color="999999"/>
              <w:bottom w:val="single" w:sz="4" w:color="999999"/>
              <w:right w:val="single" w:sz="4" w:color="999999"/>
            </w:tcBorders>
            <w:vAlign w:val="top"/>
          </w:tcPr>
          <w:p>
            <w:r/>
            <w:r>
              <w:rPr>
                <w:sz w:val="18"/>
              </w:rPr>
              <w:t>10,477</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R2</w:t>
            </w:r>
          </w:p>
        </w:tc>
        <w:tc>
          <w:tcPr>
            <w:tcW w:type="dxa" w:w="1728"/>
            <w:tcBorders>
              <w:top w:val="single" w:sz="4" w:color="999999"/>
              <w:left w:val="single" w:sz="4" w:color="999999"/>
              <w:bottom w:val="single" w:sz="4" w:color="999999"/>
              <w:right w:val="single" w:sz="4" w:color="999999"/>
            </w:tcBorders>
            <w:vAlign w:val="top"/>
            <w:shd w:val="clear" w:color="auto" w:fill="F4F6F9"/>
          </w:tcPr>
          <w:p>
            <w:r/>
            <w:r>
              <w:rPr>
                <w:sz w:val="18"/>
              </w:rPr>
              <w:t>10,402</w:t>
            </w:r>
          </w:p>
        </w:tc>
      </w:tr>
      <w:tr>
        <w:tc>
          <w:tcPr>
            <w:tcW w:type="dxa" w:w="1440"/>
            <w:tcBorders>
              <w:top w:val="single" w:sz="4" w:color="999999"/>
              <w:left w:val="single" w:sz="4" w:color="999999"/>
              <w:bottom w:val="single" w:sz="4" w:color="999999"/>
              <w:right w:val="single" w:sz="4" w:color="999999"/>
            </w:tcBorders>
            <w:vAlign w:val="top"/>
          </w:tcPr>
          <w:p>
            <w:r/>
            <w:r>
              <w:rPr>
                <w:sz w:val="18"/>
              </w:rPr>
              <w:t>R1</w:t>
            </w:r>
          </w:p>
        </w:tc>
        <w:tc>
          <w:tcPr>
            <w:tcW w:type="dxa" w:w="1728"/>
            <w:tcBorders>
              <w:top w:val="single" w:sz="4" w:color="999999"/>
              <w:left w:val="single" w:sz="4" w:color="999999"/>
              <w:bottom w:val="single" w:sz="4" w:color="999999"/>
              <w:right w:val="single" w:sz="4" w:color="999999"/>
            </w:tcBorders>
            <w:vAlign w:val="top"/>
          </w:tcPr>
          <w:p>
            <w:r/>
            <w:r>
              <w:rPr>
                <w:sz w:val="18"/>
              </w:rPr>
              <w:t>10,332</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P (Pivot)</w:t>
            </w:r>
          </w:p>
        </w:tc>
        <w:tc>
          <w:tcPr>
            <w:tcW w:type="dxa" w:w="1728"/>
            <w:tcBorders>
              <w:top w:val="single" w:sz="4" w:color="999999"/>
              <w:left w:val="single" w:sz="4" w:color="999999"/>
              <w:bottom w:val="single" w:sz="4" w:color="999999"/>
              <w:right w:val="single" w:sz="4" w:color="999999"/>
            </w:tcBorders>
            <w:vAlign w:val="top"/>
            <w:shd w:val="clear" w:color="auto" w:fill="F4F6F9"/>
          </w:tcPr>
          <w:p>
            <w:r/>
            <w:r>
              <w:rPr>
                <w:sz w:val="18"/>
              </w:rPr>
              <w:t>10,329</w:t>
            </w:r>
          </w:p>
        </w:tc>
      </w:tr>
      <w:tr>
        <w:tc>
          <w:tcPr>
            <w:tcW w:type="dxa" w:w="1440"/>
            <w:tcBorders>
              <w:top w:val="single" w:sz="4" w:color="999999"/>
              <w:left w:val="single" w:sz="4" w:color="999999"/>
              <w:bottom w:val="single" w:sz="4" w:color="999999"/>
              <w:right w:val="single" w:sz="4" w:color="999999"/>
            </w:tcBorders>
            <w:vAlign w:val="top"/>
          </w:tcPr>
          <w:p>
            <w:r/>
            <w:r>
              <w:rPr>
                <w:sz w:val="18"/>
              </w:rPr>
              <w:t>S1</w:t>
            </w:r>
          </w:p>
        </w:tc>
        <w:tc>
          <w:tcPr>
            <w:tcW w:type="dxa" w:w="1728"/>
            <w:tcBorders>
              <w:top w:val="single" w:sz="4" w:color="999999"/>
              <w:left w:val="single" w:sz="4" w:color="999999"/>
              <w:bottom w:val="single" w:sz="4" w:color="999999"/>
              <w:right w:val="single" w:sz="4" w:color="999999"/>
            </w:tcBorders>
            <w:vAlign w:val="top"/>
          </w:tcPr>
          <w:p>
            <w:r/>
            <w:r>
              <w:rPr>
                <w:sz w:val="18"/>
              </w:rPr>
              <w:t>10,189</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S2</w:t>
            </w:r>
          </w:p>
        </w:tc>
        <w:tc>
          <w:tcPr>
            <w:tcW w:type="dxa" w:w="1728"/>
            <w:tcBorders>
              <w:top w:val="single" w:sz="4" w:color="999999"/>
              <w:left w:val="single" w:sz="4" w:color="999999"/>
              <w:bottom w:val="single" w:sz="4" w:color="999999"/>
              <w:right w:val="single" w:sz="4" w:color="999999"/>
            </w:tcBorders>
            <w:vAlign w:val="top"/>
            <w:shd w:val="clear" w:color="auto" w:fill="F4F6F9"/>
          </w:tcPr>
          <w:p>
            <w:r/>
            <w:r>
              <w:rPr>
                <w:sz w:val="18"/>
              </w:rPr>
              <w:t>10,114</w:t>
            </w:r>
          </w:p>
        </w:tc>
      </w:tr>
      <w:tr>
        <w:tc>
          <w:tcPr>
            <w:tcW w:type="dxa" w:w="1440"/>
            <w:tcBorders>
              <w:top w:val="single" w:sz="4" w:color="999999"/>
              <w:left w:val="single" w:sz="4" w:color="999999"/>
              <w:bottom w:val="single" w:sz="4" w:color="999999"/>
              <w:right w:val="single" w:sz="4" w:color="999999"/>
            </w:tcBorders>
            <w:vAlign w:val="top"/>
          </w:tcPr>
          <w:p>
            <w:r/>
            <w:r>
              <w:rPr>
                <w:sz w:val="18"/>
              </w:rPr>
              <w:t>S3</w:t>
            </w:r>
          </w:p>
        </w:tc>
        <w:tc>
          <w:tcPr>
            <w:tcW w:type="dxa" w:w="1728"/>
            <w:tcBorders>
              <w:top w:val="single" w:sz="4" w:color="999999"/>
              <w:left w:val="single" w:sz="4" w:color="999999"/>
              <w:bottom w:val="single" w:sz="4" w:color="999999"/>
              <w:right w:val="single" w:sz="4" w:color="999999"/>
            </w:tcBorders>
            <w:vAlign w:val="top"/>
          </w:tcPr>
          <w:p>
            <w:r/>
            <w:r>
              <w:rPr>
                <w:sz w:val="18"/>
              </w:rPr>
              <w:t>10,044</w:t>
            </w:r>
          </w:p>
        </w:tc>
      </w:tr>
    </w:tbl>
    <w:p>
      <w:pPr>
        <w:spacing w:after="80"/>
      </w:pPr>
      <w:r>
        <w:rPr>
          <w:b w:val="0"/>
          <w:i/>
          <w:sz w:val="18"/>
        </w:rPr>
        <w:t>Corroboration: CORROBORATED (built from official FTSE Russell OHLC).</w:t>
      </w:r>
    </w:p>
    <w:p>
      <w:pPr>
        <w:spacing w:before="120" w:after="60"/>
      </w:pPr>
      <w:r>
        <w:rPr>
          <w:b/>
          <w:i/>
          <w:color w:val="333333"/>
          <w:sz w:val="21"/>
        </w:rPr>
        <w:t>Weekly pivots (from week ending 8 May: H 10,510 / L 10,184 / C 10,228)</w:t>
      </w:r>
    </w:p>
    <w:tbl>
      <w:tblPr>
        <w:tblW w:type="auto" w:w="0"/>
        <w:tblLayout w:type="fixed"/>
        <w:tblLook w:firstColumn="1" w:firstRow="1" w:lastColumn="0" w:lastRow="0" w:noHBand="0" w:noVBand="1" w:val="04A0"/>
      </w:tblPr>
      <w:tblGrid>
        <w:gridCol w:w="4819"/>
        <w:gridCol w:w="4819"/>
      </w:tblGrid>
      <w:tr>
        <w:tc>
          <w:tcPr>
            <w:tcW w:type="dxa" w:w="1440"/>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Level</w:t>
            </w:r>
          </w:p>
        </w:tc>
        <w:tc>
          <w:tcPr>
            <w:tcW w:type="dxa" w:w="172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Price</w:t>
            </w:r>
          </w:p>
        </w:tc>
      </w:tr>
      <w:tr>
        <w:tc>
          <w:tcPr>
            <w:tcW w:type="dxa" w:w="1440"/>
            <w:tcBorders>
              <w:top w:val="single" w:sz="4" w:color="999999"/>
              <w:left w:val="single" w:sz="4" w:color="999999"/>
              <w:bottom w:val="single" w:sz="4" w:color="999999"/>
              <w:right w:val="single" w:sz="4" w:color="999999"/>
            </w:tcBorders>
            <w:vAlign w:val="top"/>
          </w:tcPr>
          <w:p>
            <w:r/>
            <w:r>
              <w:rPr>
                <w:sz w:val="18"/>
              </w:rPr>
              <w:t>R3</w:t>
            </w:r>
          </w:p>
        </w:tc>
        <w:tc>
          <w:tcPr>
            <w:tcW w:type="dxa" w:w="1728"/>
            <w:tcBorders>
              <w:top w:val="single" w:sz="4" w:color="999999"/>
              <w:left w:val="single" w:sz="4" w:color="999999"/>
              <w:bottom w:val="single" w:sz="4" w:color="999999"/>
              <w:right w:val="single" w:sz="4" w:color="999999"/>
            </w:tcBorders>
            <w:vAlign w:val="top"/>
          </w:tcPr>
          <w:p>
            <w:r/>
            <w:r>
              <w:rPr>
                <w:sz w:val="18"/>
              </w:rPr>
              <w:t>10,659</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R2</w:t>
            </w:r>
          </w:p>
        </w:tc>
        <w:tc>
          <w:tcPr>
            <w:tcW w:type="dxa" w:w="1728"/>
            <w:tcBorders>
              <w:top w:val="single" w:sz="4" w:color="999999"/>
              <w:left w:val="single" w:sz="4" w:color="999999"/>
              <w:bottom w:val="single" w:sz="4" w:color="999999"/>
              <w:right w:val="single" w:sz="4" w:color="999999"/>
            </w:tcBorders>
            <w:vAlign w:val="top"/>
            <w:shd w:val="clear" w:color="auto" w:fill="F4F6F9"/>
          </w:tcPr>
          <w:p>
            <w:r/>
            <w:r>
              <w:rPr>
                <w:sz w:val="18"/>
              </w:rPr>
              <w:t>10,533</w:t>
            </w:r>
          </w:p>
        </w:tc>
      </w:tr>
      <w:tr>
        <w:tc>
          <w:tcPr>
            <w:tcW w:type="dxa" w:w="1440"/>
            <w:tcBorders>
              <w:top w:val="single" w:sz="4" w:color="999999"/>
              <w:left w:val="single" w:sz="4" w:color="999999"/>
              <w:bottom w:val="single" w:sz="4" w:color="999999"/>
              <w:right w:val="single" w:sz="4" w:color="999999"/>
            </w:tcBorders>
            <w:vAlign w:val="top"/>
          </w:tcPr>
          <w:p>
            <w:r/>
            <w:r>
              <w:rPr>
                <w:sz w:val="18"/>
              </w:rPr>
              <w:t>R1</w:t>
            </w:r>
          </w:p>
        </w:tc>
        <w:tc>
          <w:tcPr>
            <w:tcW w:type="dxa" w:w="1728"/>
            <w:tcBorders>
              <w:top w:val="single" w:sz="4" w:color="999999"/>
              <w:left w:val="single" w:sz="4" w:color="999999"/>
              <w:bottom w:val="single" w:sz="4" w:color="999999"/>
              <w:right w:val="single" w:sz="4" w:color="999999"/>
            </w:tcBorders>
            <w:vAlign w:val="top"/>
          </w:tcPr>
          <w:p>
            <w:r/>
            <w:r>
              <w:rPr>
                <w:sz w:val="18"/>
              </w:rPr>
              <w:t>10,381</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P (Pivot)</w:t>
            </w:r>
          </w:p>
        </w:tc>
        <w:tc>
          <w:tcPr>
            <w:tcW w:type="dxa" w:w="1728"/>
            <w:tcBorders>
              <w:top w:val="single" w:sz="4" w:color="999999"/>
              <w:left w:val="single" w:sz="4" w:color="999999"/>
              <w:bottom w:val="single" w:sz="4" w:color="999999"/>
              <w:right w:val="single" w:sz="4" w:color="999999"/>
            </w:tcBorders>
            <w:vAlign w:val="top"/>
            <w:shd w:val="clear" w:color="auto" w:fill="F4F6F9"/>
          </w:tcPr>
          <w:p>
            <w:r/>
            <w:r>
              <w:rPr>
                <w:sz w:val="18"/>
              </w:rPr>
              <w:t>10,307</w:t>
            </w:r>
          </w:p>
        </w:tc>
      </w:tr>
      <w:tr>
        <w:tc>
          <w:tcPr>
            <w:tcW w:type="dxa" w:w="1440"/>
            <w:tcBorders>
              <w:top w:val="single" w:sz="4" w:color="999999"/>
              <w:left w:val="single" w:sz="4" w:color="999999"/>
              <w:bottom w:val="single" w:sz="4" w:color="999999"/>
              <w:right w:val="single" w:sz="4" w:color="999999"/>
            </w:tcBorders>
            <w:vAlign w:val="top"/>
          </w:tcPr>
          <w:p>
            <w:r/>
            <w:r>
              <w:rPr>
                <w:sz w:val="18"/>
              </w:rPr>
              <w:t>S1</w:t>
            </w:r>
          </w:p>
        </w:tc>
        <w:tc>
          <w:tcPr>
            <w:tcW w:type="dxa" w:w="1728"/>
            <w:tcBorders>
              <w:top w:val="single" w:sz="4" w:color="999999"/>
              <w:left w:val="single" w:sz="4" w:color="999999"/>
              <w:bottom w:val="single" w:sz="4" w:color="999999"/>
              <w:right w:val="single" w:sz="4" w:color="999999"/>
            </w:tcBorders>
            <w:vAlign w:val="top"/>
          </w:tcPr>
          <w:p>
            <w:r/>
            <w:r>
              <w:rPr>
                <w:sz w:val="18"/>
              </w:rPr>
              <w:t>10,155</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S2</w:t>
            </w:r>
          </w:p>
        </w:tc>
        <w:tc>
          <w:tcPr>
            <w:tcW w:type="dxa" w:w="1728"/>
            <w:tcBorders>
              <w:top w:val="single" w:sz="4" w:color="999999"/>
              <w:left w:val="single" w:sz="4" w:color="999999"/>
              <w:bottom w:val="single" w:sz="4" w:color="999999"/>
              <w:right w:val="single" w:sz="4" w:color="999999"/>
            </w:tcBorders>
            <w:vAlign w:val="top"/>
            <w:shd w:val="clear" w:color="auto" w:fill="F4F6F9"/>
          </w:tcPr>
          <w:p>
            <w:r/>
            <w:r>
              <w:rPr>
                <w:sz w:val="18"/>
              </w:rPr>
              <w:t>10,081</w:t>
            </w:r>
          </w:p>
        </w:tc>
      </w:tr>
      <w:tr>
        <w:tc>
          <w:tcPr>
            <w:tcW w:type="dxa" w:w="1440"/>
            <w:tcBorders>
              <w:top w:val="single" w:sz="4" w:color="999999"/>
              <w:left w:val="single" w:sz="4" w:color="999999"/>
              <w:bottom w:val="single" w:sz="4" w:color="999999"/>
              <w:right w:val="single" w:sz="4" w:color="999999"/>
            </w:tcBorders>
            <w:vAlign w:val="top"/>
          </w:tcPr>
          <w:p>
            <w:r/>
            <w:r>
              <w:rPr>
                <w:sz w:val="18"/>
              </w:rPr>
              <w:t>S3</w:t>
            </w:r>
          </w:p>
        </w:tc>
        <w:tc>
          <w:tcPr>
            <w:tcW w:type="dxa" w:w="1728"/>
            <w:tcBorders>
              <w:top w:val="single" w:sz="4" w:color="999999"/>
              <w:left w:val="single" w:sz="4" w:color="999999"/>
              <w:bottom w:val="single" w:sz="4" w:color="999999"/>
              <w:right w:val="single" w:sz="4" w:color="999999"/>
            </w:tcBorders>
            <w:vAlign w:val="top"/>
          </w:tcPr>
          <w:p>
            <w:r/>
            <w:r>
              <w:rPr>
                <w:sz w:val="18"/>
              </w:rPr>
              <w:t>9,955</w:t>
            </w:r>
          </w:p>
        </w:tc>
      </w:tr>
    </w:tbl>
    <w:p>
      <w:pPr>
        <w:spacing w:after="80"/>
      </w:pPr>
      <w:r>
        <w:rPr>
          <w:b w:val="0"/>
          <w:i/>
          <w:sz w:val="18"/>
        </w:rPr>
        <w:t>Corroboration: CORROBORATED.</w:t>
      </w:r>
    </w:p>
    <w:p>
      <w:pPr>
        <w:spacing w:before="120" w:after="60"/>
      </w:pPr>
      <w:r>
        <w:rPr>
          <w:b/>
          <w:i/>
          <w:color w:val="333333"/>
          <w:sz w:val="21"/>
        </w:rPr>
        <w:t>Monthly pivots (from April 2026: H 10,934 / L 9,851 / C 10,499)</w:t>
      </w:r>
    </w:p>
    <w:tbl>
      <w:tblPr>
        <w:tblW w:type="auto" w:w="0"/>
        <w:tblLayout w:type="fixed"/>
        <w:tblLook w:firstColumn="1" w:firstRow="1" w:lastColumn="0" w:lastRow="0" w:noHBand="0" w:noVBand="1" w:val="04A0"/>
      </w:tblPr>
      <w:tblGrid>
        <w:gridCol w:w="4819"/>
        <w:gridCol w:w="4819"/>
      </w:tblGrid>
      <w:tr>
        <w:tc>
          <w:tcPr>
            <w:tcW w:type="dxa" w:w="1440"/>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Level</w:t>
            </w:r>
          </w:p>
        </w:tc>
        <w:tc>
          <w:tcPr>
            <w:tcW w:type="dxa" w:w="1728"/>
            <w:shd w:val="clear" w:color="auto" w:fill="2E6E3F"/>
            <w:tcBorders>
              <w:top w:val="single" w:sz="4" w:color="999999"/>
              <w:left w:val="single" w:sz="4" w:color="999999"/>
              <w:bottom w:val="single" w:sz="4" w:color="999999"/>
              <w:right w:val="single" w:sz="4" w:color="999999"/>
            </w:tcBorders>
            <w:vAlign w:val="center"/>
          </w:tcPr>
          <w:p>
            <w:r/>
            <w:r>
              <w:rPr>
                <w:b/>
                <w:color w:val="FFFFFF"/>
                <w:sz w:val="18"/>
              </w:rPr>
              <w:t>Price</w:t>
            </w:r>
          </w:p>
        </w:tc>
      </w:tr>
      <w:tr>
        <w:tc>
          <w:tcPr>
            <w:tcW w:type="dxa" w:w="1440"/>
            <w:tcBorders>
              <w:top w:val="single" w:sz="4" w:color="999999"/>
              <w:left w:val="single" w:sz="4" w:color="999999"/>
              <w:bottom w:val="single" w:sz="4" w:color="999999"/>
              <w:right w:val="single" w:sz="4" w:color="999999"/>
            </w:tcBorders>
            <w:vAlign w:val="top"/>
          </w:tcPr>
          <w:p>
            <w:r/>
            <w:r>
              <w:rPr>
                <w:sz w:val="18"/>
              </w:rPr>
              <w:t>R3</w:t>
            </w:r>
          </w:p>
        </w:tc>
        <w:tc>
          <w:tcPr>
            <w:tcW w:type="dxa" w:w="1728"/>
            <w:tcBorders>
              <w:top w:val="single" w:sz="4" w:color="999999"/>
              <w:left w:val="single" w:sz="4" w:color="999999"/>
              <w:bottom w:val="single" w:sz="4" w:color="999999"/>
              <w:right w:val="single" w:sz="4" w:color="999999"/>
            </w:tcBorders>
            <w:vAlign w:val="top"/>
          </w:tcPr>
          <w:p>
            <w:r/>
            <w:r>
              <w:rPr>
                <w:sz w:val="18"/>
              </w:rPr>
              <w:t>11,664</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R2</w:t>
            </w:r>
          </w:p>
        </w:tc>
        <w:tc>
          <w:tcPr>
            <w:tcW w:type="dxa" w:w="1728"/>
            <w:tcBorders>
              <w:top w:val="single" w:sz="4" w:color="999999"/>
              <w:left w:val="single" w:sz="4" w:color="999999"/>
              <w:bottom w:val="single" w:sz="4" w:color="999999"/>
              <w:right w:val="single" w:sz="4" w:color="999999"/>
            </w:tcBorders>
            <w:vAlign w:val="top"/>
            <w:shd w:val="clear" w:color="auto" w:fill="F4F6F9"/>
          </w:tcPr>
          <w:p>
            <w:r/>
            <w:r>
              <w:rPr>
                <w:sz w:val="18"/>
              </w:rPr>
              <w:t>11,178</w:t>
            </w:r>
          </w:p>
        </w:tc>
      </w:tr>
      <w:tr>
        <w:tc>
          <w:tcPr>
            <w:tcW w:type="dxa" w:w="1440"/>
            <w:tcBorders>
              <w:top w:val="single" w:sz="4" w:color="999999"/>
              <w:left w:val="single" w:sz="4" w:color="999999"/>
              <w:bottom w:val="single" w:sz="4" w:color="999999"/>
              <w:right w:val="single" w:sz="4" w:color="999999"/>
            </w:tcBorders>
            <w:vAlign w:val="top"/>
          </w:tcPr>
          <w:p>
            <w:r/>
            <w:r>
              <w:rPr>
                <w:sz w:val="18"/>
              </w:rPr>
              <w:t>R1</w:t>
            </w:r>
          </w:p>
        </w:tc>
        <w:tc>
          <w:tcPr>
            <w:tcW w:type="dxa" w:w="1728"/>
            <w:tcBorders>
              <w:top w:val="single" w:sz="4" w:color="999999"/>
              <w:left w:val="single" w:sz="4" w:color="999999"/>
              <w:bottom w:val="single" w:sz="4" w:color="999999"/>
              <w:right w:val="single" w:sz="4" w:color="999999"/>
            </w:tcBorders>
            <w:vAlign w:val="top"/>
          </w:tcPr>
          <w:p>
            <w:r/>
            <w:r>
              <w:rPr>
                <w:sz w:val="18"/>
              </w:rPr>
              <w:t>10,839</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P (Pivot)</w:t>
            </w:r>
          </w:p>
        </w:tc>
        <w:tc>
          <w:tcPr>
            <w:tcW w:type="dxa" w:w="1728"/>
            <w:tcBorders>
              <w:top w:val="single" w:sz="4" w:color="999999"/>
              <w:left w:val="single" w:sz="4" w:color="999999"/>
              <w:bottom w:val="single" w:sz="4" w:color="999999"/>
              <w:right w:val="single" w:sz="4" w:color="999999"/>
            </w:tcBorders>
            <w:vAlign w:val="top"/>
            <w:shd w:val="clear" w:color="auto" w:fill="F4F6F9"/>
          </w:tcPr>
          <w:p>
            <w:r/>
            <w:r>
              <w:rPr>
                <w:sz w:val="18"/>
              </w:rPr>
              <w:t>10,428</w:t>
            </w:r>
          </w:p>
        </w:tc>
      </w:tr>
      <w:tr>
        <w:tc>
          <w:tcPr>
            <w:tcW w:type="dxa" w:w="1440"/>
            <w:tcBorders>
              <w:top w:val="single" w:sz="4" w:color="999999"/>
              <w:left w:val="single" w:sz="4" w:color="999999"/>
              <w:bottom w:val="single" w:sz="4" w:color="999999"/>
              <w:right w:val="single" w:sz="4" w:color="999999"/>
            </w:tcBorders>
            <w:vAlign w:val="top"/>
          </w:tcPr>
          <w:p>
            <w:r/>
            <w:r>
              <w:rPr>
                <w:sz w:val="18"/>
              </w:rPr>
              <w:t>S1</w:t>
            </w:r>
          </w:p>
        </w:tc>
        <w:tc>
          <w:tcPr>
            <w:tcW w:type="dxa" w:w="1728"/>
            <w:tcBorders>
              <w:top w:val="single" w:sz="4" w:color="999999"/>
              <w:left w:val="single" w:sz="4" w:color="999999"/>
              <w:bottom w:val="single" w:sz="4" w:color="999999"/>
              <w:right w:val="single" w:sz="4" w:color="999999"/>
            </w:tcBorders>
            <w:vAlign w:val="top"/>
          </w:tcPr>
          <w:p>
            <w:r/>
            <w:r>
              <w:rPr>
                <w:sz w:val="18"/>
              </w:rPr>
              <w:t>10,089</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S2</w:t>
            </w:r>
          </w:p>
        </w:tc>
        <w:tc>
          <w:tcPr>
            <w:tcW w:type="dxa" w:w="1728"/>
            <w:tcBorders>
              <w:top w:val="single" w:sz="4" w:color="999999"/>
              <w:left w:val="single" w:sz="4" w:color="999999"/>
              <w:bottom w:val="single" w:sz="4" w:color="999999"/>
              <w:right w:val="single" w:sz="4" w:color="999999"/>
            </w:tcBorders>
            <w:vAlign w:val="top"/>
            <w:shd w:val="clear" w:color="auto" w:fill="F4F6F9"/>
          </w:tcPr>
          <w:p>
            <w:r/>
            <w:r>
              <w:rPr>
                <w:sz w:val="18"/>
              </w:rPr>
              <w:t>9,678</w:t>
            </w:r>
          </w:p>
        </w:tc>
      </w:tr>
      <w:tr>
        <w:tc>
          <w:tcPr>
            <w:tcW w:type="dxa" w:w="1440"/>
            <w:tcBorders>
              <w:top w:val="single" w:sz="4" w:color="999999"/>
              <w:left w:val="single" w:sz="4" w:color="999999"/>
              <w:bottom w:val="single" w:sz="4" w:color="999999"/>
              <w:right w:val="single" w:sz="4" w:color="999999"/>
            </w:tcBorders>
            <w:vAlign w:val="top"/>
          </w:tcPr>
          <w:p>
            <w:r/>
            <w:r>
              <w:rPr>
                <w:sz w:val="18"/>
              </w:rPr>
              <w:t>S3</w:t>
            </w:r>
          </w:p>
        </w:tc>
        <w:tc>
          <w:tcPr>
            <w:tcW w:type="dxa" w:w="1728"/>
            <w:tcBorders>
              <w:top w:val="single" w:sz="4" w:color="999999"/>
              <w:left w:val="single" w:sz="4" w:color="999999"/>
              <w:bottom w:val="single" w:sz="4" w:color="999999"/>
              <w:right w:val="single" w:sz="4" w:color="999999"/>
            </w:tcBorders>
            <w:vAlign w:val="top"/>
          </w:tcPr>
          <w:p>
            <w:r/>
            <w:r>
              <w:rPr>
                <w:sz w:val="18"/>
              </w:rPr>
              <w:t>9,339</w:t>
            </w:r>
          </w:p>
        </w:tc>
      </w:tr>
    </w:tbl>
    <w:p>
      <w:pPr>
        <w:spacing w:after="80"/>
      </w:pPr>
      <w:r>
        <w:rPr>
          <w:b w:val="0"/>
          <w:i/>
          <w:sz w:val="18"/>
        </w:rPr>
        <w:t>Corroboration: CORROBORATED.</w:t>
      </w:r>
    </w:p>
    <w:p>
      <w:pPr>
        <w:spacing w:after="80"/>
      </w:pPr>
      <w:r>
        <w:rPr>
          <w:b w:val="0"/>
          <w:i w:val="0"/>
          <w:sz w:val="20"/>
        </w:rPr>
        <w:t>Pivot position commentary: Friday's close at 10,228 sits between daily S1 (10,189) and the pivot (10,329); below the weekly P (10,307); and below the monthly P (10,428). The clustering of weekly S1 (10,155), daily S2 (10,114), and monthly S1 (10,089) over the 10,089–10,189 band forms the most important structural support zone for the coming sessions. Resistance confluence: daily P (10,329), weekly R1 (10,381), and the prior-week consolidation floor (10,360) cluster 10,329–10,381.</w:t>
      </w:r>
    </w:p>
    <w:p>
      <w:pPr>
        <w:spacing w:before="240" w:after="120"/>
      </w:pPr>
      <w:r>
        <w:rPr>
          <w:b/>
          <w:color w:val="B5700C"/>
          <w:sz w:val="32"/>
        </w:rPr>
        <w:t>§12  Key Market Considerations</w:t>
      </w:r>
    </w:p>
    <w:p>
      <w:pPr>
        <w:spacing w:before="120" w:after="60"/>
      </w:pPr>
      <w:r>
        <w:rPr>
          <w:b/>
          <w:i/>
          <w:color w:val="333333"/>
          <w:sz w:val="21"/>
        </w:rPr>
        <w:t>Supply / sectoral composition (equity-equivalent)</w:t>
      </w:r>
    </w:p>
    <w:p>
      <w:pPr>
        <w:spacing w:after="80"/>
      </w:pPr>
      <w:r>
        <w:rPr>
          <w:b w:val="0"/>
          <w:i w:val="0"/>
          <w:sz w:val="20"/>
        </w:rPr>
        <w:t>Direction: Price-supportive (offsetting). FTSE 100's ~14% energy weighting (Shell, BP, Harbour Energy) is the major buffer against the broader risk-off impulse. Brent above $95/bbl (back from a March-low of ~$73) translates roughly 1:1 into oil-major share gains; this materially insulates the FTSE relative to EURO STOXX 50, which carries &lt; 5% direct energy weight.</w:t>
      </w:r>
    </w:p>
    <w:p>
      <w:pPr>
        <w:spacing w:before="120" w:after="60"/>
      </w:pPr>
      <w:r>
        <w:rPr>
          <w:b/>
          <w:i/>
          <w:color w:val="333333"/>
          <w:sz w:val="21"/>
        </w:rPr>
        <w:t>Demand / earnings backdrop</w:t>
      </w:r>
    </w:p>
    <w:p>
      <w:pPr>
        <w:spacing w:after="80"/>
      </w:pPr>
      <w:r>
        <w:rPr>
          <w:b w:val="0"/>
          <w:i w:val="0"/>
          <w:sz w:val="20"/>
        </w:rPr>
        <w:t>Direction: Mixed. UK corporate earnings season has been broadly constructive (Diageo, Smith+Nephew, BP Q1 beats earlier in the cycle), but Q2 outlooks are now being tempered. IAG's profit warning on Friday (higher fuel cost pass-through) is symptomatic of the energy-shock transmission channel. Intertek rejected the EQT bid; M&amp;A activity is supportive but episode-driven.</w:t>
      </w:r>
    </w:p>
    <w:p>
      <w:pPr>
        <w:spacing w:before="120" w:after="60"/>
      </w:pPr>
      <w:r>
        <w:rPr>
          <w:b/>
          <w:i/>
          <w:color w:val="333333"/>
          <w:sz w:val="21"/>
        </w:rPr>
        <w:t>Substitution and spread dynamics</w:t>
      </w:r>
    </w:p>
    <w:p>
      <w:pPr>
        <w:spacing w:after="80"/>
      </w:pPr>
      <w:r>
        <w:rPr>
          <w:b w:val="0"/>
          <w:i w:val="0"/>
          <w:sz w:val="20"/>
        </w:rPr>
        <w:t>Direction: Mixed. Cross-Atlantic substitution (S&amp;P 500 vs FTSE relative-value) widened materially this week — S&amp;P printed a fresh ATH while FTSE sold off. International capital flows favouring US equities are a marginal headwind, partly offset by FTSE's discount valuation (~12.5x forward P/E vs S&amp;P 500's 21x). Watch item: passive ETF flows into Europe vs US.</w:t>
      </w:r>
    </w:p>
    <w:p>
      <w:pPr>
        <w:spacing w:before="120" w:after="60"/>
      </w:pPr>
      <w:r>
        <w:rPr>
          <w:b/>
          <w:i/>
          <w:color w:val="333333"/>
          <w:sz w:val="21"/>
        </w:rPr>
        <w:t>Policy and regulation</w:t>
      </w:r>
    </w:p>
    <w:p>
      <w:pPr>
        <w:spacing w:after="80"/>
      </w:pPr>
      <w:r>
        <w:rPr>
          <w:b w:val="0"/>
          <w:i w:val="0"/>
          <w:sz w:val="20"/>
        </w:rPr>
        <w:t>Direction: Price-negative. Trump's 4 July tariff deadline is the dominant single overhang — a step increase in EU goods tariffs would hit STOXX directly and FTSE indirectly via cross-supply chains. UK fared better on its own 10% tariff arrangement, but UK-listed multinationals with EU supply chains are exposed. BoE policy stance has hardened (April hold + hawkish dissent + raised CPI projection).</w:t>
      </w:r>
    </w:p>
    <w:p>
      <w:pPr>
        <w:spacing w:before="120" w:after="60"/>
      </w:pPr>
      <w:r>
        <w:rPr>
          <w:b/>
          <w:i/>
          <w:color w:val="333333"/>
          <w:sz w:val="21"/>
        </w:rPr>
        <w:t>Macro and market structure</w:t>
      </w:r>
    </w:p>
    <w:p>
      <w:pPr>
        <w:spacing w:after="80"/>
      </w:pPr>
      <w:r>
        <w:rPr>
          <w:b w:val="0"/>
          <w:i w:val="0"/>
          <w:sz w:val="20"/>
        </w:rPr>
        <w:t>Direction: Price-negative on net. GBP weakness vs USD typically lifts FTSE multinationals (~80% of constituent revenues are non-GBP), but GBP has been firm in early May despite weak local-election results for Labour. Brent shock (above $95) is inflation-positive and growth-negative, a mix that constrains the BoE and weighs on UK consumer sectors. Watch flag: §13d UK CPI on 21 May (highest-impact).</w:t>
      </w:r>
    </w:p>
    <w:p>
      <w:pPr>
        <w:spacing w:before="120" w:after="60"/>
      </w:pPr>
      <w:r>
        <w:rPr>
          <w:b/>
          <w:i/>
          <w:color w:val="333333"/>
          <w:sz w:val="21"/>
        </w:rPr>
        <w:t>Near-term catalysts</w:t>
      </w:r>
    </w:p>
    <w:p>
      <w:pPr>
        <w:spacing w:after="80"/>
      </w:pPr>
      <w:r>
        <w:rPr>
          <w:b w:val="0"/>
          <w:i w:val="0"/>
          <w:sz w:val="20"/>
        </w:rPr>
        <w:t>Direction: Skewed price-negative through next 5 sessions. UK CPI (Wed 21 May), eurozone HICP final (Wed 21 May), Strait of Hormuz situation reporting (continuous), US–EU trade negotiation milestones. Earnings releases for Lloyds, Imperial Brands, and several STOXX banks are clustered.</w:t>
      </w:r>
    </w:p>
    <w:p>
      <w:pPr>
        <w:spacing w:before="240" w:after="120"/>
      </w:pPr>
      <w:r>
        <w:rPr>
          <w:b/>
          <w:color w:val="B5700C"/>
          <w:sz w:val="32"/>
        </w:rPr>
        <w:t>§13  Sentiment, News &amp; Calendar</w:t>
      </w:r>
    </w:p>
    <w:p>
      <w:pPr>
        <w:spacing w:before="120" w:after="60"/>
      </w:pPr>
      <w:r>
        <w:rPr>
          <w:b/>
          <w:i/>
          <w:color w:val="333333"/>
          <w:sz w:val="21"/>
        </w:rPr>
        <w:t>§13a  Per-article sentiment table — FTSE 100</w:t>
      </w:r>
    </w:p>
    <w:tbl>
      <w:tblPr>
        <w:tblW w:type="auto" w:w="0"/>
        <w:tblLayout w:type="fixed"/>
        <w:tblLook w:firstColumn="1" w:firstRow="1" w:lastColumn="0" w:lastRow="0" w:noHBand="0" w:noVBand="1" w:val="04A0"/>
      </w:tblPr>
      <w:tblGrid>
        <w:gridCol w:w="1606"/>
        <w:gridCol w:w="1606"/>
        <w:gridCol w:w="1606"/>
        <w:gridCol w:w="1606"/>
        <w:gridCol w:w="1606"/>
        <w:gridCol w:w="1606"/>
      </w:tblGrid>
      <w:tr>
        <w:tc>
          <w:tcPr>
            <w:tcW w:type="dxa" w:w="2016"/>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Source</w:t>
            </w:r>
          </w:p>
        </w:tc>
        <w:tc>
          <w:tcPr>
            <w:tcW w:type="dxa" w:w="1152"/>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Date</w:t>
            </w:r>
          </w:p>
        </w:tc>
        <w:tc>
          <w:tcPr>
            <w:tcW w:type="dxa" w:w="360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Headline (paraphrased)</w:t>
            </w:r>
          </w:p>
        </w:tc>
        <w:tc>
          <w:tcPr>
            <w:tcW w:type="dxa" w:w="1008"/>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Class</w:t>
            </w:r>
          </w:p>
        </w:tc>
        <w:tc>
          <w:tcPr>
            <w:tcW w:type="dxa" w:w="1008"/>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Class</w:t>
            </w:r>
          </w:p>
        </w:tc>
        <w:tc>
          <w:tcPr>
            <w:tcW w:type="dxa" w:w="288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Derivation Quote (≤15 words)</w:t>
            </w:r>
          </w:p>
        </w:tc>
      </w:tr>
      <w:tr>
        <w:tc>
          <w:tcPr>
            <w:tcW w:type="dxa" w:w="2016"/>
            <w:tcBorders>
              <w:top w:val="single" w:sz="4" w:color="999999"/>
              <w:left w:val="single" w:sz="4" w:color="999999"/>
              <w:bottom w:val="single" w:sz="4" w:color="999999"/>
              <w:right w:val="single" w:sz="4" w:color="999999"/>
            </w:tcBorders>
            <w:vAlign w:val="top"/>
          </w:tcPr>
          <w:p>
            <w:r/>
            <w:r>
              <w:rPr>
                <w:sz w:val="18"/>
              </w:rPr>
              <w:t>Reuters (via TradingEconomics)</w:t>
            </w:r>
          </w:p>
        </w:tc>
        <w:tc>
          <w:tcPr>
            <w:tcW w:type="dxa" w:w="1152"/>
            <w:tcBorders>
              <w:top w:val="single" w:sz="4" w:color="999999"/>
              <w:left w:val="single" w:sz="4" w:color="999999"/>
              <w:bottom w:val="single" w:sz="4" w:color="999999"/>
              <w:right w:val="single" w:sz="4" w:color="999999"/>
            </w:tcBorders>
            <w:vAlign w:val="top"/>
          </w:tcPr>
          <w:p>
            <w:r/>
            <w:r>
              <w:rPr>
                <w:sz w:val="18"/>
              </w:rPr>
              <w:t>8 May 2026</w:t>
            </w:r>
          </w:p>
        </w:tc>
        <w:tc>
          <w:tcPr>
            <w:tcW w:type="dxa" w:w="3600"/>
            <w:tcBorders>
              <w:top w:val="single" w:sz="4" w:color="999999"/>
              <w:left w:val="single" w:sz="4" w:color="999999"/>
              <w:bottom w:val="single" w:sz="4" w:color="999999"/>
              <w:right w:val="single" w:sz="4" w:color="999999"/>
            </w:tcBorders>
            <w:vAlign w:val="top"/>
          </w:tcPr>
          <w:p>
            <w:r/>
            <w:r>
              <w:rPr>
                <w:sz w:val="18"/>
              </w:rPr>
              <w:t>FTSE 100 falls 0.48% to 10,228 as oil tops $100 on Iran tensions</w:t>
            </w:r>
          </w:p>
        </w:tc>
        <w:tc>
          <w:tcPr>
            <w:tcW w:type="dxa" w:w="1008"/>
            <w:tcBorders>
              <w:top w:val="single" w:sz="4" w:color="999999"/>
              <w:left w:val="single" w:sz="4" w:color="999999"/>
              <w:bottom w:val="single" w:sz="4" w:color="999999"/>
              <w:right w:val="single" w:sz="4" w:color="999999"/>
            </w:tcBorders>
            <w:vAlign w:val="top"/>
          </w:tcPr>
          <w:p>
            <w:r/>
            <w:r>
              <w:rPr>
                <w:sz w:val="18"/>
              </w:rPr>
              <w:t>Media</w:t>
            </w:r>
          </w:p>
        </w:tc>
        <w:tc>
          <w:tcPr>
            <w:tcW w:type="dxa" w:w="1008"/>
            <w:tcBorders>
              <w:top w:val="single" w:sz="4" w:color="999999"/>
              <w:left w:val="single" w:sz="4" w:color="999999"/>
              <w:bottom w:val="single" w:sz="4" w:color="999999"/>
              <w:right w:val="single" w:sz="4" w:color="999999"/>
            </w:tcBorders>
            <w:vAlign w:val="top"/>
          </w:tcPr>
          <w:p>
            <w:r/>
            <w:r>
              <w:rPr>
                <w:sz w:val="18"/>
              </w:rPr>
              <w:t>Bearish</w:t>
            </w:r>
          </w:p>
        </w:tc>
        <w:tc>
          <w:tcPr>
            <w:tcW w:type="dxa" w:w="2880"/>
            <w:tcBorders>
              <w:top w:val="single" w:sz="4" w:color="999999"/>
              <w:left w:val="single" w:sz="4" w:color="999999"/>
              <w:bottom w:val="single" w:sz="4" w:color="999999"/>
              <w:right w:val="single" w:sz="4" w:color="999999"/>
            </w:tcBorders>
            <w:vAlign w:val="top"/>
          </w:tcPr>
          <w:p>
            <w:r/>
            <w:r>
              <w:rPr>
                <w:sz w:val="18"/>
              </w:rPr>
              <w:t>"renewed Middle East tensions… losses broad-based"</w:t>
            </w:r>
          </w:p>
        </w:tc>
      </w:tr>
      <w:tr>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Reuters (via TradingEconomics)</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8 May 2026</w:t>
            </w:r>
          </w:p>
        </w:tc>
        <w:tc>
          <w:tcPr>
            <w:tcW w:type="dxa" w:w="3600"/>
            <w:tcBorders>
              <w:top w:val="single" w:sz="4" w:color="999999"/>
              <w:left w:val="single" w:sz="4" w:color="999999"/>
              <w:bottom w:val="single" w:sz="4" w:color="999999"/>
              <w:right w:val="single" w:sz="4" w:color="999999"/>
            </w:tcBorders>
            <w:vAlign w:val="top"/>
            <w:shd w:val="clear" w:color="auto" w:fill="F4F6F9"/>
          </w:tcPr>
          <w:p>
            <w:r/>
            <w:r>
              <w:rPr>
                <w:sz w:val="18"/>
              </w:rPr>
              <w:t>European shares drop; STOXX falls, weighed by escalation in Strait of Hormuz</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Media</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Bearish</w:t>
            </w:r>
          </w:p>
        </w:tc>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"escalation in U.S. and Iran fighting sending oil prices higher"</w:t>
            </w:r>
          </w:p>
        </w:tc>
      </w:tr>
      <w:tr>
        <w:tc>
          <w:tcPr>
            <w:tcW w:type="dxa" w:w="2016"/>
            <w:tcBorders>
              <w:top w:val="single" w:sz="4" w:color="999999"/>
              <w:left w:val="single" w:sz="4" w:color="999999"/>
              <w:bottom w:val="single" w:sz="4" w:color="999999"/>
              <w:right w:val="single" w:sz="4" w:color="999999"/>
            </w:tcBorders>
            <w:vAlign w:val="top"/>
          </w:tcPr>
          <w:p>
            <w:r/>
            <w:r>
              <w:rPr>
                <w:sz w:val="18"/>
              </w:rPr>
              <w:t>BBN Times market wrap</w:t>
            </w:r>
          </w:p>
        </w:tc>
        <w:tc>
          <w:tcPr>
            <w:tcW w:type="dxa" w:w="1152"/>
            <w:tcBorders>
              <w:top w:val="single" w:sz="4" w:color="999999"/>
              <w:left w:val="single" w:sz="4" w:color="999999"/>
              <w:bottom w:val="single" w:sz="4" w:color="999999"/>
              <w:right w:val="single" w:sz="4" w:color="999999"/>
            </w:tcBorders>
            <w:vAlign w:val="top"/>
          </w:tcPr>
          <w:p>
            <w:r/>
            <w:r>
              <w:rPr>
                <w:sz w:val="18"/>
              </w:rPr>
              <w:t>8 May 2026</w:t>
            </w:r>
          </w:p>
        </w:tc>
        <w:tc>
          <w:tcPr>
            <w:tcW w:type="dxa" w:w="3600"/>
            <w:tcBorders>
              <w:top w:val="single" w:sz="4" w:color="999999"/>
              <w:left w:val="single" w:sz="4" w:color="999999"/>
              <w:bottom w:val="single" w:sz="4" w:color="999999"/>
              <w:right w:val="single" w:sz="4" w:color="999999"/>
            </w:tcBorders>
            <w:vAlign w:val="top"/>
          </w:tcPr>
          <w:p>
            <w:r/>
            <w:r>
              <w:rPr>
                <w:sz w:val="18"/>
              </w:rPr>
              <w:t>FTSE 100 edges lower as oil tensions and UK political uncertainty weigh</w:t>
            </w:r>
          </w:p>
        </w:tc>
        <w:tc>
          <w:tcPr>
            <w:tcW w:type="dxa" w:w="1008"/>
            <w:tcBorders>
              <w:top w:val="single" w:sz="4" w:color="999999"/>
              <w:left w:val="single" w:sz="4" w:color="999999"/>
              <w:bottom w:val="single" w:sz="4" w:color="999999"/>
              <w:right w:val="single" w:sz="4" w:color="999999"/>
            </w:tcBorders>
            <w:vAlign w:val="top"/>
          </w:tcPr>
          <w:p>
            <w:r/>
            <w:r>
              <w:rPr>
                <w:sz w:val="18"/>
              </w:rPr>
              <w:t>Media</w:t>
            </w:r>
          </w:p>
        </w:tc>
        <w:tc>
          <w:tcPr>
            <w:tcW w:type="dxa" w:w="1008"/>
            <w:tcBorders>
              <w:top w:val="single" w:sz="4" w:color="999999"/>
              <w:left w:val="single" w:sz="4" w:color="999999"/>
              <w:bottom w:val="single" w:sz="4" w:color="999999"/>
              <w:right w:val="single" w:sz="4" w:color="999999"/>
            </w:tcBorders>
            <w:vAlign w:val="top"/>
          </w:tcPr>
          <w:p>
            <w:r/>
            <w:r>
              <w:rPr>
                <w:sz w:val="18"/>
              </w:rPr>
              <w:t>Bearish</w:t>
            </w:r>
          </w:p>
        </w:tc>
        <w:tc>
          <w:tcPr>
            <w:tcW w:type="dxa" w:w="2880"/>
            <w:tcBorders>
              <w:top w:val="single" w:sz="4" w:color="999999"/>
              <w:left w:val="single" w:sz="4" w:color="999999"/>
              <w:bottom w:val="single" w:sz="4" w:color="999999"/>
              <w:right w:val="single" w:sz="4" w:color="999999"/>
            </w:tcBorders>
            <w:vAlign w:val="top"/>
          </w:tcPr>
          <w:p>
            <w:r/>
            <w:r>
              <w:rPr>
                <w:sz w:val="18"/>
              </w:rPr>
              <w:t>"oil tensions and UK political uncertainty weigh"</w:t>
            </w:r>
          </w:p>
        </w:tc>
      </w:tr>
      <w:tr>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Investing.com</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1 May 2026</w:t>
            </w:r>
          </w:p>
        </w:tc>
        <w:tc>
          <w:tcPr>
            <w:tcW w:type="dxa" w:w="3600"/>
            <w:tcBorders>
              <w:top w:val="single" w:sz="4" w:color="999999"/>
              <w:left w:val="single" w:sz="4" w:color="999999"/>
              <w:bottom w:val="single" w:sz="4" w:color="999999"/>
              <w:right w:val="single" w:sz="4" w:color="999999"/>
            </w:tcBorders>
            <w:vAlign w:val="top"/>
            <w:shd w:val="clear" w:color="auto" w:fill="F4F6F9"/>
          </w:tcPr>
          <w:p>
            <w:r/>
            <w:r>
              <w:rPr>
                <w:sz w:val="18"/>
              </w:rPr>
              <w:t>Analyst reaction: BoE 'active hold' fuels split calls on UK rate path</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Institutional</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Mixed</w:t>
            </w:r>
          </w:p>
        </w:tc>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"on hold through 2026 despite a hawkish minority becoming more vocal"</w:t>
            </w:r>
          </w:p>
        </w:tc>
      </w:tr>
      <w:tr>
        <w:tc>
          <w:tcPr>
            <w:tcW w:type="dxa" w:w="2016"/>
            <w:tcBorders>
              <w:top w:val="single" w:sz="4" w:color="999999"/>
              <w:left w:val="single" w:sz="4" w:color="999999"/>
              <w:bottom w:val="single" w:sz="4" w:color="999999"/>
              <w:right w:val="single" w:sz="4" w:color="999999"/>
            </w:tcBorders>
            <w:vAlign w:val="top"/>
          </w:tcPr>
          <w:p>
            <w:r/>
            <w:r>
              <w:rPr>
                <w:sz w:val="18"/>
              </w:rPr>
              <w:t>Bank of England MPC Summary</w:t>
            </w:r>
          </w:p>
        </w:tc>
        <w:tc>
          <w:tcPr>
            <w:tcW w:type="dxa" w:w="1152"/>
            <w:tcBorders>
              <w:top w:val="single" w:sz="4" w:color="999999"/>
              <w:left w:val="single" w:sz="4" w:color="999999"/>
              <w:bottom w:val="single" w:sz="4" w:color="999999"/>
              <w:right w:val="single" w:sz="4" w:color="999999"/>
            </w:tcBorders>
            <w:vAlign w:val="top"/>
          </w:tcPr>
          <w:p>
            <w:r/>
            <w:r>
              <w:rPr>
                <w:sz w:val="18"/>
              </w:rPr>
              <w:t>30 Apr 2026</w:t>
            </w:r>
          </w:p>
        </w:tc>
        <w:tc>
          <w:tcPr>
            <w:tcW w:type="dxa" w:w="3600"/>
            <w:tcBorders>
              <w:top w:val="single" w:sz="4" w:color="999999"/>
              <w:left w:val="single" w:sz="4" w:color="999999"/>
              <w:bottom w:val="single" w:sz="4" w:color="999999"/>
              <w:right w:val="single" w:sz="4" w:color="999999"/>
            </w:tcBorders>
            <w:vAlign w:val="top"/>
          </w:tcPr>
          <w:p>
            <w:r/>
            <w:r>
              <w:rPr>
                <w:sz w:val="18"/>
              </w:rPr>
              <w:t>Bank Rate maintained at 3.75%; 8–1 vote (1 for hike)</w:t>
            </w:r>
          </w:p>
        </w:tc>
        <w:tc>
          <w:tcPr>
            <w:tcW w:type="dxa" w:w="1008"/>
            <w:tcBorders>
              <w:top w:val="single" w:sz="4" w:color="999999"/>
              <w:left w:val="single" w:sz="4" w:color="999999"/>
              <w:bottom w:val="single" w:sz="4" w:color="999999"/>
              <w:right w:val="single" w:sz="4" w:color="999999"/>
            </w:tcBorders>
            <w:vAlign w:val="top"/>
          </w:tcPr>
          <w:p>
            <w:r/>
            <w:r>
              <w:rPr>
                <w:sz w:val="18"/>
              </w:rPr>
              <w:t>Official</w:t>
            </w:r>
          </w:p>
        </w:tc>
        <w:tc>
          <w:tcPr>
            <w:tcW w:type="dxa" w:w="1008"/>
            <w:tcBorders>
              <w:top w:val="single" w:sz="4" w:color="999999"/>
              <w:left w:val="single" w:sz="4" w:color="999999"/>
              <w:bottom w:val="single" w:sz="4" w:color="999999"/>
              <w:right w:val="single" w:sz="4" w:color="999999"/>
            </w:tcBorders>
            <w:vAlign w:val="top"/>
          </w:tcPr>
          <w:p>
            <w:r/>
            <w:r>
              <w:rPr>
                <w:sz w:val="18"/>
              </w:rPr>
              <w:t>Bearish (UK-cyclicals)</w:t>
            </w:r>
          </w:p>
        </w:tc>
        <w:tc>
          <w:tcPr>
            <w:tcW w:type="dxa" w:w="2880"/>
            <w:tcBorders>
              <w:top w:val="single" w:sz="4" w:color="999999"/>
              <w:left w:val="single" w:sz="4" w:color="999999"/>
              <w:bottom w:val="single" w:sz="4" w:color="999999"/>
              <w:right w:val="single" w:sz="4" w:color="999999"/>
            </w:tcBorders>
            <w:vAlign w:val="top"/>
          </w:tcPr>
          <w:p>
            <w:r/>
            <w:r>
              <w:rPr>
                <w:sz w:val="18"/>
              </w:rPr>
              <w:t>"sustained period of high oil prices… rate remaining at current level"</w:t>
            </w:r>
          </w:p>
        </w:tc>
      </w:tr>
      <w:tr>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UK Finance Monthly Economic Review</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May 2026</w:t>
            </w:r>
          </w:p>
        </w:tc>
        <w:tc>
          <w:tcPr>
            <w:tcW w:type="dxa" w:w="3600"/>
            <w:tcBorders>
              <w:top w:val="single" w:sz="4" w:color="999999"/>
              <w:left w:val="single" w:sz="4" w:color="999999"/>
              <w:bottom w:val="single" w:sz="4" w:color="999999"/>
              <w:right w:val="single" w:sz="4" w:color="999999"/>
            </w:tcBorders>
            <w:vAlign w:val="top"/>
            <w:shd w:val="clear" w:color="auto" w:fill="F4F6F9"/>
          </w:tcPr>
          <w:p>
            <w:r/>
            <w:r>
              <w:rPr>
                <w:sz w:val="18"/>
              </w:rPr>
              <w:t>Eurozone HCPI 2.6%→3% in April; UK Q2 CPI seen 3.6% in adverse scenario</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Institutional</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Bearish</w:t>
            </w:r>
          </w:p>
        </w:tc>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"high price scenario CPI in 2026 Q2 rises to 3.6 per cent"</w:t>
            </w:r>
          </w:p>
        </w:tc>
      </w:tr>
    </w:tbl>
    <w:p>
      <w:pPr>
        <w:spacing w:before="120" w:after="60"/>
      </w:pPr>
      <w:r>
        <w:rPr>
          <w:b/>
          <w:i/>
          <w:color w:val="333333"/>
          <w:sz w:val="21"/>
        </w:rPr>
        <w:t>§13b  Aggregate sentiment summary — FTSE 100</w:t>
      </w:r>
    </w:p>
    <w:p>
      <w:pPr>
        <w:spacing w:after="80"/>
      </w:pPr>
      <w:r>
        <w:rPr>
          <w:b/>
          <w:i w:val="0"/>
          <w:sz w:val="20"/>
        </w:rPr>
        <w:t>Categorical: Predominantly Bearish — 4 Bearish (1 institutional, 1 official, 2 media), 1 Mixed (institutional), 0 Bullish, 1 Bearish-cyclical (official).</w:t>
      </w:r>
    </w:p>
    <w:p>
      <w:pPr>
        <w:spacing w:after="80"/>
      </w:pPr>
      <w:r>
        <w:rPr>
          <w:b w:val="0"/>
          <w:i w:val="0"/>
          <w:sz w:val="20"/>
        </w:rPr>
        <w:t>Numeric tilt computation (see M2 §9c weighting):  Σw·s = (1.0·−1) + (1.0·−1) + (0.5·−1) + (0.5·−1) + (0.5·−1) + (1.0·0) = −4.0;  Σw = 1.0 + 1.0 + 0.5 + 0.5 + 0.5 + 1.0 = 4.5;  tilt = −4.0 / 4.5 = −0.89 → clipped to −0.89.</w:t>
      </w:r>
    </w:p>
    <w:p>
      <w:pPr>
        <w:spacing w:after="80"/>
      </w:pPr>
      <w:r>
        <w:rPr>
          <w:b/>
          <w:i w:val="0"/>
          <w:sz w:val="20"/>
        </w:rPr>
        <w:t>Reported: Predominantly Bearish (tilt = −0.89). However, this read is dominated by the geopolitical/oil shock layer; the underlying corporate-earnings layer is closer to neutral. For M5 §2 direction-scoring use, this −0.89 figure feeds through with full weight. Six articles is above the 3-article low-confidence threshold, so no LOW-CONFIDENCE flag is raised — but the directional concentration around a single risk factor (Iran/oil) is noted as a regime-specific reading.</w:t>
      </w:r>
    </w:p>
    <w:p>
      <w:pPr>
        <w:spacing w:before="120" w:after="60"/>
      </w:pPr>
      <w:r>
        <w:rPr>
          <w:b/>
          <w:i/>
          <w:color w:val="333333"/>
          <w:sz w:val="21"/>
        </w:rPr>
        <w:t>§13b  Aggregate sentiment summary — EURO STOXX 50</w:t>
      </w:r>
    </w:p>
    <w:p>
      <w:pPr>
        <w:spacing w:after="80"/>
      </w:pPr>
      <w:r>
        <w:rPr>
          <w:b w:val="0"/>
          <w:i w:val="0"/>
          <w:sz w:val="20"/>
        </w:rPr>
        <w:t>Categorical: Predominantly Bearish — 3 Bearish (2 media, 1 institutional via UK Finance read-across), no Bullish offset.  Numeric tilt: approximately −0.85 over a 3-article low-confidence base. M5 does not consume this — STOXX is secondary.</w:t>
      </w:r>
    </w:p>
    <w:p>
      <w:pPr>
        <w:spacing w:before="120" w:after="60"/>
      </w:pPr>
      <w:r>
        <w:rPr>
          <w:b/>
          <w:i/>
          <w:color w:val="333333"/>
          <w:sz w:val="21"/>
        </w:rPr>
        <w:t>§13c  Sentiment / Price divergence</w:t>
      </w:r>
    </w:p>
    <w:p>
      <w:pPr>
        <w:spacing w:after="80"/>
      </w:pPr>
      <w:r>
        <w:rPr>
          <w:b w:val="0"/>
          <w:i w:val="0"/>
          <w:sz w:val="20"/>
        </w:rPr>
        <w:t>No divergence flagged. Sentiment (Predominantly Bearish, tilt −0.89) and current price action (weekly drop −1.5%, Friday close near five-day low) align. The price is the more informative signal for tactical positioning over the next 5 sessions.</w:t>
      </w:r>
    </w:p>
    <w:p>
      <w:pPr>
        <w:spacing w:before="120" w:after="60"/>
      </w:pPr>
      <w:r>
        <w:rPr>
          <w:b/>
          <w:i/>
          <w:color w:val="333333"/>
          <w:sz w:val="21"/>
        </w:rPr>
        <w:t>§13d  News calendar — Previous period (4–8 May 2026)</w:t>
      </w:r>
    </w:p>
    <w:tbl>
      <w:tblPr>
        <w:tblW w:type="auto" w:w="0"/>
        <w:tblLayout w:type="fixed"/>
        <w:tblLook w:firstColumn="1" w:firstRow="1" w:lastColumn="0" w:lastRow="0" w:noHBand="0" w:noVBand="1" w:val="04A0"/>
      </w:tblPr>
      <w:tblGrid>
        <w:gridCol w:w="1928"/>
        <w:gridCol w:w="1928"/>
        <w:gridCol w:w="1928"/>
        <w:gridCol w:w="1928"/>
        <w:gridCol w:w="1928"/>
      </w:tblGrid>
      <w:tr>
        <w:tc>
          <w:tcPr>
            <w:tcW w:type="dxa" w:w="144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Date</w:t>
            </w:r>
          </w:p>
        </w:tc>
        <w:tc>
          <w:tcPr>
            <w:tcW w:type="dxa" w:w="288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Event</w:t>
            </w:r>
          </w:p>
        </w:tc>
        <w:tc>
          <w:tcPr>
            <w:tcW w:type="dxa" w:w="1872"/>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Prior / Context</w:t>
            </w:r>
          </w:p>
        </w:tc>
        <w:tc>
          <w:tcPr>
            <w:tcW w:type="dxa" w:w="1008"/>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Impact</w:t>
            </w:r>
          </w:p>
        </w:tc>
        <w:tc>
          <w:tcPr>
            <w:tcW w:type="dxa" w:w="360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Market implication</w:t>
            </w:r>
          </w:p>
        </w:tc>
      </w:tr>
      <w:tr>
        <w:tc>
          <w:tcPr>
            <w:tcW w:type="dxa" w:w="1440"/>
            <w:tcBorders>
              <w:top w:val="single" w:sz="4" w:color="999999"/>
              <w:left w:val="single" w:sz="4" w:color="999999"/>
              <w:bottom w:val="single" w:sz="4" w:color="999999"/>
              <w:right w:val="single" w:sz="4" w:color="999999"/>
            </w:tcBorders>
            <w:vAlign w:val="top"/>
          </w:tcPr>
          <w:p>
            <w:r/>
            <w:r>
              <w:rPr>
                <w:sz w:val="18"/>
              </w:rPr>
              <w:t>Tue 5 May</w:t>
            </w:r>
          </w:p>
        </w:tc>
        <w:tc>
          <w:tcPr>
            <w:tcW w:type="dxa" w:w="2880"/>
            <w:tcBorders>
              <w:top w:val="single" w:sz="4" w:color="999999"/>
              <w:left w:val="single" w:sz="4" w:color="999999"/>
              <w:bottom w:val="single" w:sz="4" w:color="999999"/>
              <w:right w:val="single" w:sz="4" w:color="999999"/>
            </w:tcBorders>
            <w:vAlign w:val="top"/>
          </w:tcPr>
          <w:p>
            <w:r/>
            <w:r>
              <w:rPr>
                <w:sz w:val="18"/>
              </w:rPr>
              <w:t>UK local + devolved elections (results digested)</w:t>
            </w:r>
          </w:p>
        </w:tc>
        <w:tc>
          <w:tcPr>
            <w:tcW w:type="dxa" w:w="1872"/>
            <w:tcBorders>
              <w:top w:val="single" w:sz="4" w:color="999999"/>
              <w:left w:val="single" w:sz="4" w:color="999999"/>
              <w:bottom w:val="single" w:sz="4" w:color="999999"/>
              <w:right w:val="single" w:sz="4" w:color="999999"/>
            </w:tcBorders>
            <w:vAlign w:val="top"/>
          </w:tcPr>
          <w:p>
            <w:r/>
            <w:r>
              <w:rPr>
                <w:sz w:val="18"/>
              </w:rPr>
              <w:t>Labour Party expected to lose seats</w:t>
            </w:r>
          </w:p>
        </w:tc>
        <w:tc>
          <w:tcPr>
            <w:tcW w:type="dxa" w:w="1008"/>
            <w:tcBorders>
              <w:top w:val="single" w:sz="4" w:color="999999"/>
              <w:left w:val="single" w:sz="4" w:color="999999"/>
              <w:bottom w:val="single" w:sz="4" w:color="999999"/>
              <w:right w:val="single" w:sz="4" w:color="999999"/>
            </w:tcBorders>
            <w:vAlign w:val="top"/>
          </w:tcPr>
          <w:p>
            <w:r/>
            <w:r>
              <w:rPr>
                <w:sz w:val="18"/>
              </w:rPr>
              <w:t>Medium</w:t>
            </w:r>
          </w:p>
        </w:tc>
        <w:tc>
          <w:tcPr>
            <w:tcW w:type="dxa" w:w="3600"/>
            <w:tcBorders>
              <w:top w:val="single" w:sz="4" w:color="999999"/>
              <w:left w:val="single" w:sz="4" w:color="999999"/>
              <w:bottom w:val="single" w:sz="4" w:color="999999"/>
              <w:right w:val="single" w:sz="4" w:color="999999"/>
            </w:tcBorders>
            <w:vAlign w:val="top"/>
          </w:tcPr>
          <w:p>
            <w:r/>
            <w:r>
              <w:rPr>
                <w:sz w:val="18"/>
              </w:rPr>
              <w:t>Labour losses reinforced GBP softness vs USD; FTSE indifferent net (multinationals don't price UK politics directly).</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Wed 6 May</w:t>
            </w:r>
          </w:p>
        </w:tc>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Eurozone April HCPI flash 3.0% (vs 2.6% prior)</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Energy-led acceleration</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High</w:t>
            </w:r>
          </w:p>
        </w:tc>
        <w:tc>
          <w:tcPr>
            <w:tcW w:type="dxa" w:w="3600"/>
            <w:tcBorders>
              <w:top w:val="single" w:sz="4" w:color="999999"/>
              <w:left w:val="single" w:sz="4" w:color="999999"/>
              <w:bottom w:val="single" w:sz="4" w:color="999999"/>
              <w:right w:val="single" w:sz="4" w:color="999999"/>
            </w:tcBorders>
            <w:vAlign w:val="top"/>
            <w:shd w:val="clear" w:color="auto" w:fill="F4F6F9"/>
          </w:tcPr>
          <w:p>
            <w:r/>
            <w:r>
              <w:rPr>
                <w:sz w:val="18"/>
              </w:rPr>
              <w:t>Raised ECB hold conviction; STOXX equity P/E pressure modestly increased.</w:t>
            </w:r>
          </w:p>
        </w:tc>
      </w:tr>
      <w:tr>
        <w:tc>
          <w:tcPr>
            <w:tcW w:type="dxa" w:w="1440"/>
            <w:tcBorders>
              <w:top w:val="single" w:sz="4" w:color="999999"/>
              <w:left w:val="single" w:sz="4" w:color="999999"/>
              <w:bottom w:val="single" w:sz="4" w:color="999999"/>
              <w:right w:val="single" w:sz="4" w:color="999999"/>
            </w:tcBorders>
            <w:vAlign w:val="top"/>
          </w:tcPr>
          <w:p>
            <w:r/>
            <w:r>
              <w:rPr>
                <w:sz w:val="18"/>
              </w:rPr>
              <w:t>Thu 7 May</w:t>
            </w:r>
          </w:p>
        </w:tc>
        <w:tc>
          <w:tcPr>
            <w:tcW w:type="dxa" w:w="2880"/>
            <w:tcBorders>
              <w:top w:val="single" w:sz="4" w:color="999999"/>
              <w:left w:val="single" w:sz="4" w:color="999999"/>
              <w:bottom w:val="single" w:sz="4" w:color="999999"/>
              <w:right w:val="single" w:sz="4" w:color="999999"/>
            </w:tcBorders>
            <w:vAlign w:val="top"/>
          </w:tcPr>
          <w:p>
            <w:r/>
            <w:r>
              <w:rPr>
                <w:sz w:val="18"/>
              </w:rPr>
              <w:t>IAG profit warning (jet fuel costs)</w:t>
            </w:r>
          </w:p>
        </w:tc>
        <w:tc>
          <w:tcPr>
            <w:tcW w:type="dxa" w:w="1872"/>
            <w:tcBorders>
              <w:top w:val="single" w:sz="4" w:color="999999"/>
              <w:left w:val="single" w:sz="4" w:color="999999"/>
              <w:bottom w:val="single" w:sz="4" w:color="999999"/>
              <w:right w:val="single" w:sz="4" w:color="999999"/>
            </w:tcBorders>
            <w:vAlign w:val="top"/>
          </w:tcPr>
          <w:p>
            <w:r/>
            <w:r>
              <w:rPr>
                <w:sz w:val="18"/>
              </w:rPr>
              <w:t>FY guidance revised</w:t>
            </w:r>
          </w:p>
        </w:tc>
        <w:tc>
          <w:tcPr>
            <w:tcW w:type="dxa" w:w="1008"/>
            <w:tcBorders>
              <w:top w:val="single" w:sz="4" w:color="999999"/>
              <w:left w:val="single" w:sz="4" w:color="999999"/>
              <w:bottom w:val="single" w:sz="4" w:color="999999"/>
              <w:right w:val="single" w:sz="4" w:color="999999"/>
            </w:tcBorders>
            <w:vAlign w:val="top"/>
          </w:tcPr>
          <w:p>
            <w:r/>
            <w:r>
              <w:rPr>
                <w:sz w:val="18"/>
              </w:rPr>
              <w:t>High (single stock)</w:t>
            </w:r>
          </w:p>
        </w:tc>
        <w:tc>
          <w:tcPr>
            <w:tcW w:type="dxa" w:w="3600"/>
            <w:tcBorders>
              <w:top w:val="single" w:sz="4" w:color="999999"/>
              <w:left w:val="single" w:sz="4" w:color="999999"/>
              <w:bottom w:val="single" w:sz="4" w:color="999999"/>
              <w:right w:val="single" w:sz="4" w:color="999999"/>
            </w:tcBorders>
            <w:vAlign w:val="top"/>
          </w:tcPr>
          <w:p>
            <w:r/>
            <w:r>
              <w:rPr>
                <w:sz w:val="18"/>
              </w:rPr>
              <w:t>Airline complex sold off; broader FTSE industrials sympathy-down ~−1.6% session.</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Thu 7 May</w:t>
            </w:r>
          </w:p>
        </w:tc>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Trump EU tariff threat reaffirmed (4 July deadline)</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10–15% increase on EU goods</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High</w:t>
            </w:r>
          </w:p>
        </w:tc>
        <w:tc>
          <w:tcPr>
            <w:tcW w:type="dxa" w:w="3600"/>
            <w:tcBorders>
              <w:top w:val="single" w:sz="4" w:color="999999"/>
              <w:left w:val="single" w:sz="4" w:color="999999"/>
              <w:bottom w:val="single" w:sz="4" w:color="999999"/>
              <w:right w:val="single" w:sz="4" w:color="999999"/>
            </w:tcBorders>
            <w:vAlign w:val="top"/>
            <w:shd w:val="clear" w:color="auto" w:fill="F4F6F9"/>
          </w:tcPr>
          <w:p>
            <w:r/>
            <w:r>
              <w:rPr>
                <w:sz w:val="18"/>
              </w:rPr>
              <w:t>STOXX 50 −0.9%; FTSE −1.6% sympathy-down; DAX −1.3%.</w:t>
            </w:r>
          </w:p>
        </w:tc>
      </w:tr>
      <w:tr>
        <w:tc>
          <w:tcPr>
            <w:tcW w:type="dxa" w:w="1440"/>
            <w:tcBorders>
              <w:top w:val="single" w:sz="4" w:color="999999"/>
              <w:left w:val="single" w:sz="4" w:color="999999"/>
              <w:bottom w:val="single" w:sz="4" w:color="999999"/>
              <w:right w:val="single" w:sz="4" w:color="999999"/>
            </w:tcBorders>
            <w:vAlign w:val="top"/>
          </w:tcPr>
          <w:p>
            <w:r/>
            <w:r>
              <w:rPr>
                <w:sz w:val="18"/>
              </w:rPr>
              <w:t>Fri 8 May</w:t>
            </w:r>
          </w:p>
        </w:tc>
        <w:tc>
          <w:tcPr>
            <w:tcW w:type="dxa" w:w="2880"/>
            <w:tcBorders>
              <w:top w:val="single" w:sz="4" w:color="999999"/>
              <w:left w:val="single" w:sz="4" w:color="999999"/>
              <w:bottom w:val="single" w:sz="4" w:color="999999"/>
              <w:right w:val="single" w:sz="4" w:color="999999"/>
            </w:tcBorders>
            <w:vAlign w:val="top"/>
          </w:tcPr>
          <w:p>
            <w:r/>
            <w:r>
              <w:rPr>
                <w:sz w:val="18"/>
              </w:rPr>
              <w:t>Halifax UK house prices: −0.1% MoM, 0.4% YoY</w:t>
            </w:r>
          </w:p>
        </w:tc>
        <w:tc>
          <w:tcPr>
            <w:tcW w:type="dxa" w:w="1872"/>
            <w:tcBorders>
              <w:top w:val="single" w:sz="4" w:color="999999"/>
              <w:left w:val="single" w:sz="4" w:color="999999"/>
              <w:bottom w:val="single" w:sz="4" w:color="999999"/>
              <w:right w:val="single" w:sz="4" w:color="999999"/>
            </w:tcBorders>
            <w:vAlign w:val="top"/>
          </w:tcPr>
          <w:p>
            <w:r/>
            <w:r>
              <w:rPr>
                <w:sz w:val="18"/>
              </w:rPr>
              <w:t>Continued softening</w:t>
            </w:r>
          </w:p>
        </w:tc>
        <w:tc>
          <w:tcPr>
            <w:tcW w:type="dxa" w:w="1008"/>
            <w:tcBorders>
              <w:top w:val="single" w:sz="4" w:color="999999"/>
              <w:left w:val="single" w:sz="4" w:color="999999"/>
              <w:bottom w:val="single" w:sz="4" w:color="999999"/>
              <w:right w:val="single" w:sz="4" w:color="999999"/>
            </w:tcBorders>
            <w:vAlign w:val="top"/>
          </w:tcPr>
          <w:p>
            <w:r/>
            <w:r>
              <w:rPr>
                <w:sz w:val="18"/>
              </w:rPr>
              <w:t>Low–Medium</w:t>
            </w:r>
          </w:p>
        </w:tc>
        <w:tc>
          <w:tcPr>
            <w:tcW w:type="dxa" w:w="3600"/>
            <w:tcBorders>
              <w:top w:val="single" w:sz="4" w:color="999999"/>
              <w:left w:val="single" w:sz="4" w:color="999999"/>
              <w:bottom w:val="single" w:sz="4" w:color="999999"/>
              <w:right w:val="single" w:sz="4" w:color="999999"/>
            </w:tcBorders>
            <w:vAlign w:val="top"/>
          </w:tcPr>
          <w:p>
            <w:r/>
            <w:r>
              <w:rPr>
                <w:sz w:val="18"/>
              </w:rPr>
              <w:t>Housebuilders sector −0.6%; reinforced soft-domestic narrative for cyclicals.</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Fri 8 May</w:t>
            </w:r>
          </w:p>
        </w:tc>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US Nonfarm Payrolls +115K (vs 62K consensus)</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Beat</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Medium</w:t>
            </w:r>
          </w:p>
        </w:tc>
        <w:tc>
          <w:tcPr>
            <w:tcW w:type="dxa" w:w="3600"/>
            <w:tcBorders>
              <w:top w:val="single" w:sz="4" w:color="999999"/>
              <w:left w:val="single" w:sz="4" w:color="999999"/>
              <w:bottom w:val="single" w:sz="4" w:color="999999"/>
              <w:right w:val="single" w:sz="4" w:color="999999"/>
            </w:tcBorders>
            <w:vAlign w:val="top"/>
            <w:shd w:val="clear" w:color="auto" w:fill="F4F6F9"/>
          </w:tcPr>
          <w:p>
            <w:r/>
            <w:r>
              <w:rPr>
                <w:sz w:val="18"/>
              </w:rPr>
              <w:t>Lifted S&amp;P (cross-Atlantic divergence accentuated); USDX modestly softer post-print.</w:t>
            </w:r>
          </w:p>
        </w:tc>
      </w:tr>
    </w:tbl>
    <w:p>
      <w:pPr>
        <w:spacing w:before="120" w:after="60"/>
      </w:pPr>
      <w:r>
        <w:rPr>
          <w:b/>
          <w:i/>
          <w:color w:val="333333"/>
          <w:sz w:val="21"/>
        </w:rPr>
        <w:t>§13d  News calendar — Upcoming period (11–15 May 2026 + Wed 20–21 May)</w:t>
      </w:r>
    </w:p>
    <w:tbl>
      <w:tblPr>
        <w:tblW w:type="auto" w:w="0"/>
        <w:tblLayout w:type="fixed"/>
        <w:tblLook w:firstColumn="1" w:firstRow="1" w:lastColumn="0" w:lastRow="0" w:noHBand="0" w:noVBand="1" w:val="04A0"/>
      </w:tblPr>
      <w:tblGrid>
        <w:gridCol w:w="1928"/>
        <w:gridCol w:w="1928"/>
        <w:gridCol w:w="1928"/>
        <w:gridCol w:w="1928"/>
        <w:gridCol w:w="1928"/>
      </w:tblGrid>
      <w:tr>
        <w:tc>
          <w:tcPr>
            <w:tcW w:type="dxa" w:w="144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Date</w:t>
            </w:r>
          </w:p>
        </w:tc>
        <w:tc>
          <w:tcPr>
            <w:tcW w:type="dxa" w:w="2448"/>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Event</w:t>
            </w:r>
          </w:p>
        </w:tc>
        <w:tc>
          <w:tcPr>
            <w:tcW w:type="dxa" w:w="216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Prior / Consensus</w:t>
            </w:r>
          </w:p>
        </w:tc>
        <w:tc>
          <w:tcPr>
            <w:tcW w:type="dxa" w:w="1008"/>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Impact</w:t>
            </w:r>
          </w:p>
        </w:tc>
        <w:tc>
          <w:tcPr>
            <w:tcW w:type="dxa" w:w="3744"/>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Market implication</w:t>
            </w:r>
          </w:p>
        </w:tc>
      </w:tr>
      <w:tr>
        <w:tc>
          <w:tcPr>
            <w:tcW w:type="dxa" w:w="1440"/>
            <w:tcBorders>
              <w:top w:val="single" w:sz="4" w:color="999999"/>
              <w:left w:val="single" w:sz="4" w:color="999999"/>
              <w:bottom w:val="single" w:sz="4" w:color="999999"/>
              <w:right w:val="single" w:sz="4" w:color="999999"/>
            </w:tcBorders>
            <w:vAlign w:val="top"/>
          </w:tcPr>
          <w:p>
            <w:r/>
            <w:r>
              <w:rPr>
                <w:sz w:val="18"/>
              </w:rPr>
              <w:t>Mon 11 May</w:t>
            </w:r>
          </w:p>
        </w:tc>
        <w:tc>
          <w:tcPr>
            <w:tcW w:type="dxa" w:w="2448"/>
            <w:tcBorders>
              <w:top w:val="single" w:sz="4" w:color="999999"/>
              <w:left w:val="single" w:sz="4" w:color="999999"/>
              <w:bottom w:val="single" w:sz="4" w:color="999999"/>
              <w:right w:val="single" w:sz="4" w:color="999999"/>
            </w:tcBorders>
            <w:vAlign w:val="top"/>
          </w:tcPr>
          <w:p>
            <w:r/>
            <w:r>
              <w:rPr>
                <w:sz w:val="18"/>
              </w:rPr>
              <w:t>Bundesbank monthly report; UK retail sales (BRC)</w:t>
            </w:r>
          </w:p>
        </w:tc>
        <w:tc>
          <w:tcPr>
            <w:tcW w:type="dxa" w:w="2160"/>
            <w:tcBorders>
              <w:top w:val="single" w:sz="4" w:color="999999"/>
              <w:left w:val="single" w:sz="4" w:color="999999"/>
              <w:bottom w:val="single" w:sz="4" w:color="999999"/>
              <w:right w:val="single" w:sz="4" w:color="999999"/>
            </w:tcBorders>
            <w:vAlign w:val="top"/>
          </w:tcPr>
          <w:p>
            <w:r/>
            <w:r>
              <w:rPr>
                <w:sz w:val="18"/>
              </w:rPr>
              <w:t>BRC prior +1.7% YoY</w:t>
            </w:r>
          </w:p>
        </w:tc>
        <w:tc>
          <w:tcPr>
            <w:tcW w:type="dxa" w:w="1008"/>
            <w:tcBorders>
              <w:top w:val="single" w:sz="4" w:color="999999"/>
              <w:left w:val="single" w:sz="4" w:color="999999"/>
              <w:bottom w:val="single" w:sz="4" w:color="999999"/>
              <w:right w:val="single" w:sz="4" w:color="999999"/>
            </w:tcBorders>
            <w:vAlign w:val="top"/>
          </w:tcPr>
          <w:p>
            <w:r/>
            <w:r>
              <w:rPr>
                <w:sz w:val="18"/>
              </w:rPr>
              <w:t>Low</w:t>
            </w:r>
          </w:p>
        </w:tc>
        <w:tc>
          <w:tcPr>
            <w:tcW w:type="dxa" w:w="3744"/>
            <w:tcBorders>
              <w:top w:val="single" w:sz="4" w:color="999999"/>
              <w:left w:val="single" w:sz="4" w:color="999999"/>
              <w:bottom w:val="single" w:sz="4" w:color="999999"/>
              <w:right w:val="single" w:sz="4" w:color="999999"/>
            </w:tcBorders>
            <w:vAlign w:val="top"/>
          </w:tcPr>
          <w:p>
            <w:r/>
            <w:r>
              <w:rPr>
                <w:sz w:val="18"/>
              </w:rPr>
              <w:t>Mild domestic-cyclical sensitivity.</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Tue 12 May</w:t>
            </w:r>
          </w:p>
        </w:tc>
        <w:tc>
          <w:tcPr>
            <w:tcW w:type="dxa" w:w="2448"/>
            <w:tcBorders>
              <w:top w:val="single" w:sz="4" w:color="999999"/>
              <w:left w:val="single" w:sz="4" w:color="999999"/>
              <w:bottom w:val="single" w:sz="4" w:color="999999"/>
              <w:right w:val="single" w:sz="4" w:color="999999"/>
            </w:tcBorders>
            <w:vAlign w:val="top"/>
            <w:shd w:val="clear" w:color="auto" w:fill="F4F6F9"/>
          </w:tcPr>
          <w:p>
            <w:r/>
            <w:r>
              <w:rPr>
                <w:sz w:val="18"/>
              </w:rPr>
              <w:t>UK labour market data (ILO unemployment, AWE)</w:t>
            </w:r>
          </w:p>
        </w:tc>
        <w:tc>
          <w:tcPr>
            <w:tcW w:type="dxa" w:w="2160"/>
            <w:tcBorders>
              <w:top w:val="single" w:sz="4" w:color="999999"/>
              <w:left w:val="single" w:sz="4" w:color="999999"/>
              <w:bottom w:val="single" w:sz="4" w:color="999999"/>
              <w:right w:val="single" w:sz="4" w:color="999999"/>
            </w:tcBorders>
            <w:vAlign w:val="top"/>
            <w:shd w:val="clear" w:color="auto" w:fill="F4F6F9"/>
          </w:tcPr>
          <w:p>
            <w:r/>
            <w:r>
              <w:rPr>
                <w:sz w:val="18"/>
              </w:rPr>
              <w:t>Unemployment 4.5% prior; AWE 4.2% prior</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Medium</w:t>
            </w:r>
          </w:p>
        </w:tc>
        <w:tc>
          <w:tcPr>
            <w:tcW w:type="dxa" w:w="3744"/>
            <w:tcBorders>
              <w:top w:val="single" w:sz="4" w:color="999999"/>
              <w:left w:val="single" w:sz="4" w:color="999999"/>
              <w:bottom w:val="single" w:sz="4" w:color="999999"/>
              <w:right w:val="single" w:sz="4" w:color="999999"/>
            </w:tcBorders>
            <w:vAlign w:val="top"/>
            <w:shd w:val="clear" w:color="auto" w:fill="F4F6F9"/>
          </w:tcPr>
          <w:p>
            <w:r/>
            <w:r>
              <w:rPr>
                <w:sz w:val="18"/>
              </w:rPr>
              <w:t>AWE &gt; 4.5% would harden BoE hawkish dissent — FTSE-bearish for rate-sensitive stocks.</w:t>
            </w:r>
          </w:p>
        </w:tc>
      </w:tr>
      <w:tr>
        <w:tc>
          <w:tcPr>
            <w:tcW w:type="dxa" w:w="1440"/>
            <w:tcBorders>
              <w:top w:val="single" w:sz="4" w:color="999999"/>
              <w:left w:val="single" w:sz="4" w:color="999999"/>
              <w:bottom w:val="single" w:sz="4" w:color="999999"/>
              <w:right w:val="single" w:sz="4" w:color="999999"/>
            </w:tcBorders>
            <w:vAlign w:val="top"/>
          </w:tcPr>
          <w:p>
            <w:r/>
            <w:r>
              <w:rPr>
                <w:sz w:val="18"/>
              </w:rPr>
              <w:t>Wed 13 May</w:t>
            </w:r>
          </w:p>
        </w:tc>
        <w:tc>
          <w:tcPr>
            <w:tcW w:type="dxa" w:w="2448"/>
            <w:tcBorders>
              <w:top w:val="single" w:sz="4" w:color="999999"/>
              <w:left w:val="single" w:sz="4" w:color="999999"/>
              <w:bottom w:val="single" w:sz="4" w:color="999999"/>
              <w:right w:val="single" w:sz="4" w:color="999999"/>
            </w:tcBorders>
            <w:vAlign w:val="top"/>
          </w:tcPr>
          <w:p>
            <w:r/>
            <w:r>
              <w:rPr>
                <w:sz w:val="18"/>
              </w:rPr>
              <w:t>UK Q1 GDP first estimate (preliminary)</w:t>
            </w:r>
          </w:p>
        </w:tc>
        <w:tc>
          <w:tcPr>
            <w:tcW w:type="dxa" w:w="2160"/>
            <w:tcBorders>
              <w:top w:val="single" w:sz="4" w:color="999999"/>
              <w:left w:val="single" w:sz="4" w:color="999999"/>
              <w:bottom w:val="single" w:sz="4" w:color="999999"/>
              <w:right w:val="single" w:sz="4" w:color="999999"/>
            </w:tcBorders>
            <w:vAlign w:val="top"/>
          </w:tcPr>
          <w:p>
            <w:r/>
            <w:r>
              <w:rPr>
                <w:sz w:val="18"/>
              </w:rPr>
              <w:t>Prior 0.1% QoQ</w:t>
            </w:r>
          </w:p>
        </w:tc>
        <w:tc>
          <w:tcPr>
            <w:tcW w:type="dxa" w:w="1008"/>
            <w:tcBorders>
              <w:top w:val="single" w:sz="4" w:color="999999"/>
              <w:left w:val="single" w:sz="4" w:color="999999"/>
              <w:bottom w:val="single" w:sz="4" w:color="999999"/>
              <w:right w:val="single" w:sz="4" w:color="999999"/>
            </w:tcBorders>
            <w:vAlign w:val="top"/>
          </w:tcPr>
          <w:p>
            <w:r/>
            <w:r>
              <w:rPr>
                <w:sz w:val="18"/>
              </w:rPr>
              <w:t>Medium</w:t>
            </w:r>
          </w:p>
        </w:tc>
        <w:tc>
          <w:tcPr>
            <w:tcW w:type="dxa" w:w="3744"/>
            <w:tcBorders>
              <w:top w:val="single" w:sz="4" w:color="999999"/>
              <w:left w:val="single" w:sz="4" w:color="999999"/>
              <w:bottom w:val="single" w:sz="4" w:color="999999"/>
              <w:right w:val="single" w:sz="4" w:color="999999"/>
            </w:tcBorders>
            <w:vAlign w:val="top"/>
          </w:tcPr>
          <w:p>
            <w:r/>
            <w:r>
              <w:rPr>
                <w:sz w:val="18"/>
              </w:rPr>
              <w:t>Mild miss could ease BoE — modestly supportive at the margin; mild beat supports GBP, mixed for FTSE.</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Thu 14 May</w:t>
            </w:r>
          </w:p>
        </w:tc>
        <w:tc>
          <w:tcPr>
            <w:tcW w:type="dxa" w:w="2448"/>
            <w:tcBorders>
              <w:top w:val="single" w:sz="4" w:color="999999"/>
              <w:left w:val="single" w:sz="4" w:color="999999"/>
              <w:bottom w:val="single" w:sz="4" w:color="999999"/>
              <w:right w:val="single" w:sz="4" w:color="999999"/>
            </w:tcBorders>
            <w:vAlign w:val="top"/>
            <w:shd w:val="clear" w:color="auto" w:fill="F4F6F9"/>
          </w:tcPr>
          <w:p>
            <w:r/>
            <w:r>
              <w:rPr>
                <w:sz w:val="18"/>
              </w:rPr>
              <w:t>BoE Governor Bailey speech (TBC)</w:t>
            </w:r>
          </w:p>
        </w:tc>
        <w:tc>
          <w:tcPr>
            <w:tcW w:type="dxa" w:w="2160"/>
            <w:tcBorders>
              <w:top w:val="single" w:sz="4" w:color="999999"/>
              <w:left w:val="single" w:sz="4" w:color="999999"/>
              <w:bottom w:val="single" w:sz="4" w:color="999999"/>
              <w:right w:val="single" w:sz="4" w:color="999999"/>
            </w:tcBorders>
            <w:vAlign w:val="top"/>
            <w:shd w:val="clear" w:color="auto" w:fill="F4F6F9"/>
          </w:tcPr>
          <w:p>
            <w:r/>
            <w:r>
              <w:rPr>
                <w:sz w:val="18"/>
              </w:rPr>
              <w:t>First post-meeting public comment</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Medium</w:t>
            </w:r>
          </w:p>
        </w:tc>
        <w:tc>
          <w:tcPr>
            <w:tcW w:type="dxa" w:w="3744"/>
            <w:tcBorders>
              <w:top w:val="single" w:sz="4" w:color="999999"/>
              <w:left w:val="single" w:sz="4" w:color="999999"/>
              <w:bottom w:val="single" w:sz="4" w:color="999999"/>
              <w:right w:val="single" w:sz="4" w:color="999999"/>
            </w:tcBorders>
            <w:vAlign w:val="top"/>
            <w:shd w:val="clear" w:color="auto" w:fill="F4F6F9"/>
          </w:tcPr>
          <w:p>
            <w:r/>
            <w:r>
              <w:rPr>
                <w:sz w:val="18"/>
              </w:rPr>
              <w:t>Hawkish tone hardens August-hold pricing; FTSE rate-sensitive cohort negative.</w:t>
            </w:r>
          </w:p>
        </w:tc>
      </w:tr>
      <w:tr>
        <w:tc>
          <w:tcPr>
            <w:tcW w:type="dxa" w:w="1440"/>
            <w:tcBorders>
              <w:top w:val="single" w:sz="4" w:color="999999"/>
              <w:left w:val="single" w:sz="4" w:color="999999"/>
              <w:bottom w:val="single" w:sz="4" w:color="999999"/>
              <w:right w:val="single" w:sz="4" w:color="999999"/>
            </w:tcBorders>
            <w:vAlign w:val="top"/>
          </w:tcPr>
          <w:p>
            <w:r/>
            <w:r>
              <w:rPr>
                <w:sz w:val="18"/>
              </w:rPr>
              <w:t>Wed 20 May</w:t>
            </w:r>
          </w:p>
        </w:tc>
        <w:tc>
          <w:tcPr>
            <w:tcW w:type="dxa" w:w="2448"/>
            <w:tcBorders>
              <w:top w:val="single" w:sz="4" w:color="999999"/>
              <w:left w:val="single" w:sz="4" w:color="999999"/>
              <w:bottom w:val="single" w:sz="4" w:color="999999"/>
              <w:right w:val="single" w:sz="4" w:color="999999"/>
            </w:tcBorders>
            <w:vAlign w:val="top"/>
          </w:tcPr>
          <w:p>
            <w:r/>
            <w:r>
              <w:rPr>
                <w:sz w:val="18"/>
              </w:rPr>
              <w:t>Eurozone HICP final (April)</w:t>
            </w:r>
          </w:p>
        </w:tc>
        <w:tc>
          <w:tcPr>
            <w:tcW w:type="dxa" w:w="2160"/>
            <w:tcBorders>
              <w:top w:val="single" w:sz="4" w:color="999999"/>
              <w:left w:val="single" w:sz="4" w:color="999999"/>
              <w:bottom w:val="single" w:sz="4" w:color="999999"/>
              <w:right w:val="single" w:sz="4" w:color="999999"/>
            </w:tcBorders>
            <w:vAlign w:val="top"/>
          </w:tcPr>
          <w:p>
            <w:r/>
            <w:r>
              <w:rPr>
                <w:sz w:val="18"/>
              </w:rPr>
              <w:t>Flash 3.0%</w:t>
            </w:r>
          </w:p>
        </w:tc>
        <w:tc>
          <w:tcPr>
            <w:tcW w:type="dxa" w:w="1008"/>
            <w:tcBorders>
              <w:top w:val="single" w:sz="4" w:color="999999"/>
              <w:left w:val="single" w:sz="4" w:color="999999"/>
              <w:bottom w:val="single" w:sz="4" w:color="999999"/>
              <w:right w:val="single" w:sz="4" w:color="999999"/>
            </w:tcBorders>
            <w:vAlign w:val="top"/>
          </w:tcPr>
          <w:p>
            <w:r/>
            <w:r>
              <w:rPr>
                <w:sz w:val="18"/>
              </w:rPr>
              <w:t>Low (final, well-flagged)</w:t>
            </w:r>
          </w:p>
        </w:tc>
        <w:tc>
          <w:tcPr>
            <w:tcW w:type="dxa" w:w="3744"/>
            <w:tcBorders>
              <w:top w:val="single" w:sz="4" w:color="999999"/>
              <w:left w:val="single" w:sz="4" w:color="999999"/>
              <w:bottom w:val="single" w:sz="4" w:color="999999"/>
              <w:right w:val="single" w:sz="4" w:color="999999"/>
            </w:tcBorders>
            <w:vAlign w:val="top"/>
          </w:tcPr>
          <w:p>
            <w:r/>
            <w:r>
              <w:rPr>
                <w:sz w:val="18"/>
              </w:rPr>
              <w:t>Mostly noise unless a revision; STOXX neutral.</w:t>
            </w:r>
          </w:p>
        </w:tc>
      </w:tr>
      <w:tr>
        <w:tc>
          <w:tcPr>
            <w:tcW w:type="dxa" w:w="1440"/>
            <w:tcBorders>
              <w:top w:val="single" w:sz="4" w:color="999999"/>
              <w:left w:val="single" w:sz="4" w:color="999999"/>
              <w:bottom w:val="single" w:sz="4" w:color="999999"/>
              <w:right w:val="single" w:sz="4" w:color="999999"/>
            </w:tcBorders>
            <w:vAlign w:val="top"/>
            <w:shd w:val="clear" w:color="auto" w:fill="F4F6F9"/>
          </w:tcPr>
          <w:p>
            <w:r/>
            <w:r>
              <w:rPr>
                <w:sz w:val="18"/>
              </w:rPr>
              <w:t>Wed 21 May</w:t>
            </w:r>
          </w:p>
        </w:tc>
        <w:tc>
          <w:tcPr>
            <w:tcW w:type="dxa" w:w="2448"/>
            <w:tcBorders>
              <w:top w:val="single" w:sz="4" w:color="999999"/>
              <w:left w:val="single" w:sz="4" w:color="999999"/>
              <w:bottom w:val="single" w:sz="4" w:color="999999"/>
              <w:right w:val="single" w:sz="4" w:color="999999"/>
            </w:tcBorders>
            <w:vAlign w:val="top"/>
            <w:shd w:val="clear" w:color="auto" w:fill="F4F6F9"/>
          </w:tcPr>
          <w:p>
            <w:r/>
            <w:r>
              <w:rPr>
                <w:sz w:val="18"/>
              </w:rPr>
              <w:t>UK CPI (April, 12-month)</w:t>
            </w:r>
          </w:p>
        </w:tc>
        <w:tc>
          <w:tcPr>
            <w:tcW w:type="dxa" w:w="2160"/>
            <w:tcBorders>
              <w:top w:val="single" w:sz="4" w:color="999999"/>
              <w:left w:val="single" w:sz="4" w:color="999999"/>
              <w:bottom w:val="single" w:sz="4" w:color="999999"/>
              <w:right w:val="single" w:sz="4" w:color="999999"/>
            </w:tcBorders>
            <w:vAlign w:val="top"/>
            <w:shd w:val="clear" w:color="auto" w:fill="F4F6F9"/>
          </w:tcPr>
          <w:p>
            <w:r/>
            <w:r>
              <w:rPr>
                <w:sz w:val="18"/>
              </w:rPr>
              <w:t>Prior 3.3% (March); BoE Q2 projection 3.1%</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HIGH (highest-impact)</w:t>
            </w:r>
          </w:p>
        </w:tc>
        <w:tc>
          <w:tcPr>
            <w:tcW w:type="dxa" w:w="3744"/>
            <w:tcBorders>
              <w:top w:val="single" w:sz="4" w:color="999999"/>
              <w:left w:val="single" w:sz="4" w:color="999999"/>
              <w:bottom w:val="single" w:sz="4" w:color="999999"/>
              <w:right w:val="single" w:sz="4" w:color="999999"/>
            </w:tcBorders>
            <w:vAlign w:val="top"/>
            <w:shd w:val="clear" w:color="auto" w:fill="F4F6F9"/>
          </w:tcPr>
          <w:p>
            <w:r/>
            <w:r>
              <w:rPr>
                <w:sz w:val="18"/>
              </w:rPr>
              <w:t>A print &gt; 3.3% would harden the BoE hawk dissent path and pressure FTSE rate-sensitive sectors; an in-line/softer print would let geopolitical-premium ease and unlock 10,500 retest.</w:t>
            </w:r>
          </w:p>
        </w:tc>
      </w:tr>
    </w:tbl>
    <w:p>
      <w:pPr>
        <w:spacing w:after="80"/>
      </w:pPr>
      <w:r>
        <w:rPr>
          <w:b/>
          <w:i w:val="0"/>
          <w:sz w:val="20"/>
        </w:rPr>
        <w:t>Highest-impact upcoming event: UK CPI release Wed 21 May 2026 — feeds §16 Forward View and §17 Forecast directly.</w:t>
      </w:r>
    </w:p>
    <w:p>
      <w:pPr>
        <w:spacing w:before="240" w:after="120"/>
      </w:pPr>
      <w:r>
        <w:rPr>
          <w:b/>
          <w:color w:val="B5700C"/>
          <w:sz w:val="32"/>
        </w:rPr>
        <w:t>§14  Macro Context</w:t>
      </w:r>
    </w:p>
    <w:p>
      <w:pPr>
        <w:spacing w:before="120" w:after="60"/>
      </w:pPr>
      <w:r>
        <w:rPr>
          <w:b/>
          <w:i/>
          <w:color w:val="333333"/>
          <w:sz w:val="21"/>
        </w:rPr>
        <w:t>Rates</w:t>
      </w:r>
    </w:p>
    <w:p>
      <w:pPr>
        <w:spacing w:after="80"/>
      </w:pPr>
      <w:r>
        <w:rPr>
          <w:b w:val="0"/>
          <w:i w:val="0"/>
          <w:sz w:val="20"/>
        </w:rPr>
        <w:t>BoE Bank Rate 3.75% (held 30 Apr; 8–1, dissent for HIKE). ECB deposit rate 2.00% (held 30 Apr). Fed Funds 4.25–4.50% (expected to hold). UK 10y gilt yield ~4.55% (rising over the week). Direction: rates are tighter-for-longer in the UK, which is mildly negative for FTSE rate-sensitive equity sectors (housebuilders, REITs, consumer discretionary).</w:t>
      </w:r>
    </w:p>
    <w:p>
      <w:pPr>
        <w:spacing w:before="120" w:after="60"/>
      </w:pPr>
      <w:r>
        <w:rPr>
          <w:b/>
          <w:i/>
          <w:color w:val="333333"/>
          <w:sz w:val="21"/>
        </w:rPr>
        <w:t>Inflation</w:t>
      </w:r>
    </w:p>
    <w:p>
      <w:pPr>
        <w:spacing w:after="80"/>
      </w:pPr>
      <w:r>
        <w:rPr>
          <w:b w:val="0"/>
          <w:i w:val="0"/>
          <w:sz w:val="20"/>
        </w:rPr>
        <w:t>UK CPI March 3.3% (vs 3.0% Feb; raised by Iran-driven fuel-price shock). Eurozone HICP April 3.0% (flash). BoE has revised its Q2/Q3 path to 3.1–3.3% and warned of further rise in Q4. Inflation backdrop is the dominant constraint on UK-equity multiple expansion. Cross-reference: §10 USDX falling counter-read is supportive but is not yet outweighing the domestic inflation overhang.</w:t>
      </w:r>
    </w:p>
    <w:p>
      <w:pPr>
        <w:spacing w:before="120" w:after="60"/>
      </w:pPr>
      <w:r>
        <w:rPr>
          <w:b/>
          <w:i/>
          <w:color w:val="333333"/>
          <w:sz w:val="21"/>
        </w:rPr>
        <w:t>Liquidity and FX</w:t>
      </w:r>
    </w:p>
    <w:p>
      <w:pPr>
        <w:spacing w:after="80"/>
      </w:pPr>
      <w:r>
        <w:rPr>
          <w:b w:val="0"/>
          <w:i w:val="0"/>
          <w:sz w:val="20"/>
        </w:rPr>
        <w:t>USDX at 97.95, slightly below 98 and at a 10-week low (per §10 counter-read). Mechanism: a softer USD is mildly supportive for FTSE multinational earnings (~80% offshore revenue exposure). GBP/USD around 1.27 — firm, partly offsetting the offshore-translation lift.</w:t>
      </w:r>
    </w:p>
    <w:p>
      <w:pPr>
        <w:spacing w:before="120" w:after="60"/>
      </w:pPr>
      <w:r>
        <w:rPr>
          <w:b/>
          <w:i/>
          <w:color w:val="333333"/>
          <w:sz w:val="21"/>
        </w:rPr>
        <w:t>Energy</w:t>
      </w:r>
    </w:p>
    <w:p>
      <w:pPr>
        <w:spacing w:after="80"/>
      </w:pPr>
      <w:r>
        <w:rPr>
          <w:b w:val="0"/>
          <w:i w:val="0"/>
          <w:sz w:val="20"/>
        </w:rPr>
        <w:t>Brent crude $95.42 (8 May close); WTI ~$95. Iran-driven supply-disruption premium remains the dominant narrative. FTSE energy weighting (~14%) means oil at $95+ is broadly index-supportive; counterweight is the airline/consumer-discretionary drag. Cross-reference: §10 confirms energy/risk-off pulse.</w:t>
      </w:r>
    </w:p>
    <w:p>
      <w:pPr>
        <w:spacing w:before="120" w:after="60"/>
      </w:pPr>
      <w:r>
        <w:rPr>
          <w:b/>
          <w:i/>
          <w:color w:val="333333"/>
          <w:sz w:val="21"/>
        </w:rPr>
        <w:t>Positioning</w:t>
      </w:r>
    </w:p>
    <w:p>
      <w:pPr>
        <w:spacing w:after="80"/>
      </w:pPr>
      <w:r>
        <w:rPr>
          <w:b w:val="0"/>
          <w:i w:val="0"/>
          <w:sz w:val="20"/>
        </w:rPr>
        <w:t>VIX (US) closed Friday at 17.19 — low and barely moving despite European risk-off. CFTC GBP net spec positioning slightly short. European-equity ETF flows showed net outflows on Thursday/Friday (market commentary). Defensive positioning is increasing in Europe but not in the US — consistent with §10 cross-Atlantic divergence.</w:t>
      </w:r>
    </w:p>
    <w:p>
      <w:pPr>
        <w:spacing w:after="80"/>
      </w:pPr>
      <w:r>
        <w:rPr>
          <w:b/>
          <w:i/>
          <w:sz w:val="20"/>
        </w:rPr>
        <w:t>Watch item from §13d: UK CPI (21 May) directly affects the rates/inflation pair above. A surprise +3.5% print would re-anchor the BoE-hawk narrative and could test FTSE's 10,089–10,189 structural support cluster within 1–2 sessions.</w:t>
      </w:r>
    </w:p>
    <w:p>
      <w:pPr>
        <w:spacing w:before="240" w:after="120"/>
      </w:pPr>
      <w:r>
        <w:rPr>
          <w:b/>
          <w:color w:val="1F365C"/>
          <w:sz w:val="32"/>
        </w:rPr>
        <w:t>§15  Bull / Bear Balance</w:t>
      </w:r>
    </w:p>
    <w:tbl>
      <w:tblPr>
        <w:tblW w:type="auto" w:w="0"/>
        <w:tblLayout w:type="fixed"/>
        <w:tblLook w:firstColumn="1" w:firstRow="1" w:lastColumn="0" w:lastRow="0" w:noHBand="0" w:noVBand="1" w:val="04A0"/>
      </w:tblPr>
      <w:tblGrid>
        <w:gridCol w:w="4819"/>
        <w:gridCol w:w="4819"/>
      </w:tblGrid>
      <w:tr>
        <w:tc>
          <w:tcPr>
            <w:tcW w:type="dxa" w:w="5184"/>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Main UPSIDE risks (Bull)</w:t>
            </w:r>
          </w:p>
        </w:tc>
        <w:tc>
          <w:tcPr>
            <w:tcW w:type="dxa" w:w="5184"/>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Main DOWNSIDE risks (Bear)</w:t>
            </w:r>
          </w:p>
        </w:tc>
      </w:tr>
      <w:tr>
        <w:tc>
          <w:tcPr>
            <w:tcW w:type="dxa" w:w="5184"/>
            <w:tcBorders>
              <w:top w:val="single" w:sz="4" w:color="999999"/>
              <w:left w:val="single" w:sz="4" w:color="999999"/>
              <w:bottom w:val="single" w:sz="4" w:color="999999"/>
              <w:right w:val="single" w:sz="4" w:color="999999"/>
            </w:tcBorders>
            <w:vAlign w:val="top"/>
          </w:tcPr>
          <w:p>
            <w:r/>
            <w:r>
              <w:rPr>
                <w:sz w:val="18"/>
              </w:rPr>
              <w:t>Strait of Hormuz de-escalation → Brent normalises toward $80 → inflation tail-risk eases → BoE soft-pivot reopens; sharp risk-on rally.</w:t>
            </w:r>
          </w:p>
        </w:tc>
        <w:tc>
          <w:tcPr>
            <w:tcW w:type="dxa" w:w="5184"/>
            <w:tcBorders>
              <w:top w:val="single" w:sz="4" w:color="999999"/>
              <w:left w:val="single" w:sz="4" w:color="999999"/>
              <w:bottom w:val="single" w:sz="4" w:color="999999"/>
              <w:right w:val="single" w:sz="4" w:color="999999"/>
            </w:tcBorders>
            <w:vAlign w:val="top"/>
          </w:tcPr>
          <w:p>
            <w:r/>
            <w:r>
              <w:rPr>
                <w:sz w:val="18"/>
              </w:rPr>
              <w:t>Iran conflict extends/widens → Brent toward $110 → UK CPI prints &gt; 3.5% (21 May) → BoE forced to hike → FTSE rate-sensitive cohort tested toward 10,000.</w:t>
            </w:r>
          </w:p>
        </w:tc>
      </w:tr>
      <w:tr>
        <w:tc>
          <w:tcPr>
            <w:tcW w:type="dxa" w:w="5184"/>
            <w:tcBorders>
              <w:top w:val="single" w:sz="4" w:color="999999"/>
              <w:left w:val="single" w:sz="4" w:color="999999"/>
              <w:bottom w:val="single" w:sz="4" w:color="999999"/>
              <w:right w:val="single" w:sz="4" w:color="999999"/>
            </w:tcBorders>
            <w:vAlign w:val="top"/>
            <w:shd w:val="clear" w:color="auto" w:fill="F4F6F9"/>
          </w:tcPr>
          <w:p>
            <w:r/>
            <w:r>
              <w:rPr>
                <w:sz w:val="18"/>
              </w:rPr>
              <w:t>S&amp;P 500 strength becomes contagious through ETF flows; FTSE retraces toward 10,500 weekly R1.</w:t>
            </w:r>
          </w:p>
        </w:tc>
        <w:tc>
          <w:tcPr>
            <w:tcW w:type="dxa" w:w="5184"/>
            <w:tcBorders>
              <w:top w:val="single" w:sz="4" w:color="999999"/>
              <w:left w:val="single" w:sz="4" w:color="999999"/>
              <w:bottom w:val="single" w:sz="4" w:color="999999"/>
              <w:right w:val="single" w:sz="4" w:color="999999"/>
            </w:tcBorders>
            <w:vAlign w:val="top"/>
            <w:shd w:val="clear" w:color="auto" w:fill="F4F6F9"/>
          </w:tcPr>
          <w:p>
            <w:r/>
            <w:r>
              <w:rPr>
                <w:sz w:val="18"/>
              </w:rPr>
              <w:t>Trump escalates 4 July tariffs; STOXX breaks 5,800; FTSE drags via supply-chain proxies.</w:t>
            </w:r>
          </w:p>
        </w:tc>
      </w:tr>
      <w:tr>
        <w:tc>
          <w:tcPr>
            <w:tcW w:type="dxa" w:w="5184"/>
            <w:tcBorders>
              <w:top w:val="single" w:sz="4" w:color="999999"/>
              <w:left w:val="single" w:sz="4" w:color="999999"/>
              <w:bottom w:val="single" w:sz="4" w:color="999999"/>
              <w:right w:val="single" w:sz="4" w:color="999999"/>
            </w:tcBorders>
            <w:vAlign w:val="top"/>
          </w:tcPr>
          <w:p>
            <w:r/>
            <w:r>
              <w:rPr>
                <w:sz w:val="18"/>
              </w:rPr>
              <w:t>UK Q1 GDP beats; GBP rallies and FTSE multinationals lift via offshore translation (cross-asset USDX softening continues).</w:t>
            </w:r>
          </w:p>
        </w:tc>
        <w:tc>
          <w:tcPr>
            <w:tcW w:type="dxa" w:w="5184"/>
            <w:tcBorders>
              <w:top w:val="single" w:sz="4" w:color="999999"/>
              <w:left w:val="single" w:sz="4" w:color="999999"/>
              <w:bottom w:val="single" w:sz="4" w:color="999999"/>
              <w:right w:val="single" w:sz="4" w:color="999999"/>
            </w:tcBorders>
            <w:vAlign w:val="top"/>
          </w:tcPr>
          <w:p>
            <w:r/>
            <w:r>
              <w:rPr>
                <w:sz w:val="18"/>
              </w:rPr>
              <w:t>IAG-style profit warnings spread to other industrials; sector contagion.</w:t>
            </w:r>
          </w:p>
        </w:tc>
      </w:tr>
      <w:tr>
        <w:tc>
          <w:tcPr>
            <w:tcW w:type="dxa" w:w="5184"/>
            <w:tcBorders>
              <w:top w:val="single" w:sz="4" w:color="999999"/>
              <w:left w:val="single" w:sz="4" w:color="999999"/>
              <w:bottom w:val="single" w:sz="4" w:color="999999"/>
              <w:right w:val="single" w:sz="4" w:color="999999"/>
            </w:tcBorders>
            <w:vAlign w:val="top"/>
            <w:shd w:val="clear" w:color="auto" w:fill="F4F6F9"/>
          </w:tcPr>
          <w:p>
            <w:r/>
            <w:r>
              <w:rPr>
                <w:sz w:val="18"/>
              </w:rPr>
              <w:t>UK CPI 21 May print in-line or softer; geopolitical premium fades; weekly R1 (10,381) becomes magnet.</w:t>
            </w:r>
          </w:p>
        </w:tc>
        <w:tc>
          <w:tcPr>
            <w:tcW w:type="dxa" w:w="5184"/>
            <w:tcBorders>
              <w:top w:val="single" w:sz="4" w:color="999999"/>
              <w:left w:val="single" w:sz="4" w:color="999999"/>
              <w:bottom w:val="single" w:sz="4" w:color="999999"/>
              <w:right w:val="single" w:sz="4" w:color="999999"/>
            </w:tcBorders>
            <w:vAlign w:val="top"/>
            <w:shd w:val="clear" w:color="auto" w:fill="F4F6F9"/>
          </w:tcPr>
          <w:p>
            <w:r/>
            <w:r>
              <w:rPr>
                <w:sz w:val="18"/>
              </w:rPr>
              <w:t>UK CPI 21 May above 3.5%; rate-cut narrative collapses; weekly S1 (10,155) breaks.</w:t>
            </w:r>
          </w:p>
        </w:tc>
      </w:tr>
      <w:tr>
        <w:tc>
          <w:tcPr>
            <w:tcW w:type="dxa" w:w="5184"/>
            <w:tcBorders>
              <w:top w:val="single" w:sz="4" w:color="999999"/>
              <w:left w:val="single" w:sz="4" w:color="999999"/>
              <w:bottom w:val="single" w:sz="4" w:color="999999"/>
              <w:right w:val="single" w:sz="4" w:color="999999"/>
            </w:tcBorders>
            <w:vAlign w:val="top"/>
          </w:tcPr>
          <w:p>
            <w:r/>
            <w:r>
              <w:rPr>
                <w:sz w:val="18"/>
              </w:rPr>
              <w:t>FTSE's discount valuation (P/E ~12.5x) becomes relative-value catalyst for global allocators.</w:t>
            </w:r>
          </w:p>
        </w:tc>
        <w:tc>
          <w:tcPr>
            <w:tcW w:type="dxa" w:w="5184"/>
            <w:tcBorders>
              <w:top w:val="single" w:sz="4" w:color="999999"/>
              <w:left w:val="single" w:sz="4" w:color="999999"/>
              <w:bottom w:val="single" w:sz="4" w:color="999999"/>
              <w:right w:val="single" w:sz="4" w:color="999999"/>
            </w:tcBorders>
            <w:vAlign w:val="top"/>
          </w:tcPr>
          <w:p>
            <w:r/>
            <w:r>
              <w:rPr>
                <w:sz w:val="18"/>
              </w:rPr>
              <w:t>Cross-Atlantic divergence accelerates → European equity passive outflows persist.</w:t>
            </w:r>
          </w:p>
        </w:tc>
      </w:tr>
    </w:tbl>
    <w:p>
      <w:pPr>
        <w:spacing w:after="80"/>
      </w:pPr>
      <w:r>
        <w:rPr>
          <w:b w:val="0"/>
          <w:i/>
          <w:sz w:val="18"/>
        </w:rPr>
        <w:t>Cross-references: pivot position (§11) — index sits below weekly P, leaning bearish. Most important §13d event for both columns: UK CPI 21 May.</w:t>
      </w:r>
    </w:p>
    <w:p>
      <w:pPr>
        <w:spacing w:before="240" w:after="120"/>
      </w:pPr>
      <w:r>
        <w:rPr>
          <w:b/>
          <w:color w:val="1F365C"/>
          <w:sz w:val="32"/>
        </w:rPr>
        <w:t>§16  Forward View</w:t>
      </w:r>
    </w:p>
    <w:p>
      <w:pPr>
        <w:spacing w:after="80"/>
      </w:pPr>
      <w:r>
        <w:rPr>
          <w:b w:val="0"/>
          <w:i w:val="0"/>
          <w:sz w:val="20"/>
        </w:rPr>
        <w:t>Over the next 5 trading sessions (11–15 May 2026), the FTSE 100 is most likely to trade in a 10,100–10,400 range, with a slight downside skew. Base case: range-bound consolidation between weekly S1 (10,155) and weekly R1 (10,381), with intra-week probes of both extremes. The §9 regime classification of TRANSITION argues against committing strongly to either trend resumption or reversal until either (a) the §13d UK CPI print on 21 May resolves the BoE pathway, or (b) Strait of Hormuz news produces a clearer oil-price direction. Base-case invalidation: a daily close below 10,089 (the monthly S1 / weekly S2 / daily S2 confluence) opens the path to 10,000 and a deeper structural retracement; conversely a daily close above 10,381 (weekly R1) re-engages the medium-term uptrend and targets 10,500. Respect for regime: this view is consistent with the medium-term Trending–Bullish bias but recognises the short-term rolling-over signal — no contradiction flag is raised. Calendar dependency: 12 May UK labour data and 13 May UK Q1 GDP are the key intra-window inputs; 14 May Bailey speech could resolve the BoE-path uncertainty earlier than the 21 May CPI print.</w:t>
      </w:r>
    </w:p>
    <w:p>
      <w:pPr>
        <w:spacing w:before="240" w:after="120"/>
      </w:pPr>
      <w:r>
        <w:rPr>
          <w:b/>
          <w:color w:val="1F365C"/>
          <w:sz w:val="32"/>
        </w:rPr>
        <w:t>§17  Forecast (one sentence)</w:t>
      </w:r>
    </w:p>
    <w:p>
      <w:pPr>
        <w:spacing w:after="80"/>
      </w:pPr>
      <w:r>
        <w:rPr>
          <w:b/>
          <w:i w:val="0"/>
          <w:sz w:val="20"/>
        </w:rPr>
        <w:t>FTSE 100 most likely consolidates in a 10,100–10,400 range over the next 5 sessions with a modest downside skew, contingent on the Strait of Hormuz oil-premium not breaking higher.</w:t>
      </w:r>
    </w:p>
    <w:p>
      <w:pPr>
        <w:spacing w:before="240" w:after="120"/>
      </w:pPr>
      <w:r>
        <w:rPr>
          <w:b/>
          <w:color w:val="1F365C"/>
          <w:sz w:val="32"/>
        </w:rPr>
        <w:t>§18  Final Analyst Judgement</w:t>
      </w:r>
    </w:p>
    <w:tbl>
      <w:tblPr>
        <w:tblW w:type="auto" w:w="0"/>
        <w:tblLayout w:type="fixed"/>
        <w:tblLook w:firstColumn="1" w:firstRow="1" w:lastColumn="0" w:lastRow="0" w:noHBand="0" w:noVBand="1" w:val="04A0"/>
      </w:tblPr>
      <w:tblGrid>
        <w:gridCol w:w="4819"/>
        <w:gridCol w:w="4819"/>
      </w:tblGrid>
      <w:tr>
        <w:tc>
          <w:tcPr>
            <w:tcW w:type="dxa" w:w="2592"/>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Field</w:t>
            </w:r>
          </w:p>
        </w:tc>
        <w:tc>
          <w:tcPr>
            <w:tcW w:type="dxa" w:w="7776"/>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Value</w:t>
            </w:r>
          </w:p>
        </w:tc>
      </w:tr>
      <w:tr>
        <w:tc>
          <w:tcPr>
            <w:tcW w:type="dxa" w:w="2592"/>
            <w:tcBorders>
              <w:top w:val="single" w:sz="4" w:color="999999"/>
              <w:left w:val="single" w:sz="4" w:color="999999"/>
              <w:bottom w:val="single" w:sz="4" w:color="999999"/>
              <w:right w:val="single" w:sz="4" w:color="999999"/>
            </w:tcBorders>
            <w:vAlign w:val="top"/>
          </w:tcPr>
          <w:p>
            <w:r/>
            <w:r>
              <w:rPr>
                <w:sz w:val="18"/>
              </w:rPr>
              <w:t>Consensus price call</w:t>
            </w:r>
          </w:p>
        </w:tc>
        <w:tc>
          <w:tcPr>
            <w:tcW w:type="dxa" w:w="7776"/>
            <w:tcBorders>
              <w:top w:val="single" w:sz="4" w:color="999999"/>
              <w:left w:val="single" w:sz="4" w:color="999999"/>
              <w:bottom w:val="single" w:sz="4" w:color="999999"/>
              <w:right w:val="single" w:sz="4" w:color="999999"/>
            </w:tcBorders>
            <w:vAlign w:val="top"/>
          </w:tcPr>
          <w:p>
            <w:r/>
            <w:r>
              <w:rPr>
                <w:sz w:val="18"/>
              </w:rPr>
              <w:t>10,228 (5 May FTSE Russell close; range 10,140–10,310 next session)</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Confidence</w:t>
            </w:r>
          </w:p>
        </w:tc>
        <w:tc>
          <w:tcPr>
            <w:tcW w:type="dxa" w:w="7776"/>
            <w:tcBorders>
              <w:top w:val="single" w:sz="4" w:color="999999"/>
              <w:left w:val="single" w:sz="4" w:color="999999"/>
              <w:bottom w:val="single" w:sz="4" w:color="999999"/>
              <w:right w:val="single" w:sz="4" w:color="999999"/>
            </w:tcBorders>
            <w:vAlign w:val="top"/>
            <w:shd w:val="clear" w:color="auto" w:fill="F4F6F9"/>
          </w:tcPr>
          <w:p>
            <w:r/>
            <w:r>
              <w:rPr>
                <w:sz w:val="18"/>
              </w:rPr>
              <w:t>Medium</w:t>
            </w:r>
          </w:p>
        </w:tc>
      </w:tr>
      <w:tr>
        <w:tc>
          <w:tcPr>
            <w:tcW w:type="dxa" w:w="2592"/>
            <w:tcBorders>
              <w:top w:val="single" w:sz="4" w:color="999999"/>
              <w:left w:val="single" w:sz="4" w:color="999999"/>
              <w:bottom w:val="single" w:sz="4" w:color="999999"/>
              <w:right w:val="single" w:sz="4" w:color="999999"/>
            </w:tcBorders>
            <w:vAlign w:val="top"/>
          </w:tcPr>
          <w:p>
            <w:r/>
            <w:r>
              <w:rPr>
                <w:sz w:val="18"/>
              </w:rPr>
              <w:t>Reason 1</w:t>
            </w:r>
          </w:p>
        </w:tc>
        <w:tc>
          <w:tcPr>
            <w:tcW w:type="dxa" w:w="7776"/>
            <w:tcBorders>
              <w:top w:val="single" w:sz="4" w:color="999999"/>
              <w:left w:val="single" w:sz="4" w:color="999999"/>
              <w:bottom w:val="single" w:sz="4" w:color="999999"/>
              <w:right w:val="single" w:sz="4" w:color="999999"/>
            </w:tcBorders>
            <w:vAlign w:val="top"/>
          </w:tcPr>
          <w:p>
            <w:r/>
            <w:r>
              <w:rPr>
                <w:sz w:val="18"/>
              </w:rPr>
              <w:t>Cross-asset MIXED — USDX/S&amp;P contradicts the bearish FTSE move; DAX confirms it. Net signal is muddled, supporting the TRANSITION regime call.</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Reason 2</w:t>
            </w:r>
          </w:p>
        </w:tc>
        <w:tc>
          <w:tcPr>
            <w:tcW w:type="dxa" w:w="7776"/>
            <w:tcBorders>
              <w:top w:val="single" w:sz="4" w:color="999999"/>
              <w:left w:val="single" w:sz="4" w:color="999999"/>
              <w:bottom w:val="single" w:sz="4" w:color="999999"/>
              <w:right w:val="single" w:sz="4" w:color="999999"/>
            </w:tcBorders>
            <w:vAlign w:val="top"/>
            <w:shd w:val="clear" w:color="auto" w:fill="F4F6F9"/>
          </w:tcPr>
          <w:p>
            <w:r/>
            <w:r>
              <w:rPr>
                <w:sz w:val="18"/>
              </w:rPr>
              <w:t>Sentiment tilt −0.89 is heavily concentrated on a single risk factor (Iran/oil) — directional but regime-specific. Removing the geopolitical layer flattens the read substantially.</w:t>
            </w:r>
          </w:p>
        </w:tc>
      </w:tr>
      <w:tr>
        <w:tc>
          <w:tcPr>
            <w:tcW w:type="dxa" w:w="2592"/>
            <w:tcBorders>
              <w:top w:val="single" w:sz="4" w:color="999999"/>
              <w:left w:val="single" w:sz="4" w:color="999999"/>
              <w:bottom w:val="single" w:sz="4" w:color="999999"/>
              <w:right w:val="single" w:sz="4" w:color="999999"/>
            </w:tcBorders>
            <w:vAlign w:val="top"/>
          </w:tcPr>
          <w:p>
            <w:r/>
            <w:r>
              <w:rPr>
                <w:sz w:val="18"/>
              </w:rPr>
              <w:t>Reason 3</w:t>
            </w:r>
          </w:p>
        </w:tc>
        <w:tc>
          <w:tcPr>
            <w:tcW w:type="dxa" w:w="7776"/>
            <w:tcBorders>
              <w:top w:val="single" w:sz="4" w:color="999999"/>
              <w:left w:val="single" w:sz="4" w:color="999999"/>
              <w:bottom w:val="single" w:sz="4" w:color="999999"/>
              <w:right w:val="single" w:sz="4" w:color="999999"/>
            </w:tcBorders>
            <w:vAlign w:val="top"/>
          </w:tcPr>
          <w:p>
            <w:r/>
            <w:r>
              <w:rPr>
                <w:sz w:val="18"/>
              </w:rPr>
              <w:t>Structural support cluster 10,089–10,189 is dense and well-corroborated; the index has not given a clean breakdown signal even with a heavy weekly down-move.</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Single watch item</w:t>
            </w:r>
          </w:p>
        </w:tc>
        <w:tc>
          <w:tcPr>
            <w:tcW w:type="dxa" w:w="7776"/>
            <w:tcBorders>
              <w:top w:val="single" w:sz="4" w:color="999999"/>
              <w:left w:val="single" w:sz="4" w:color="999999"/>
              <w:bottom w:val="single" w:sz="4" w:color="999999"/>
              <w:right w:val="single" w:sz="4" w:color="999999"/>
            </w:tcBorders>
            <w:vAlign w:val="top"/>
            <w:shd w:val="clear" w:color="auto" w:fill="F4F6F9"/>
          </w:tcPr>
          <w:p>
            <w:r/>
            <w:r>
              <w:rPr>
                <w:sz w:val="18"/>
              </w:rPr>
              <w:t>UK CPI 21 May 2026 (12-month to April) — base-case 3.3%; an upside surprise would invalidate the base-case range and target 10,000.</w:t>
            </w:r>
          </w:p>
        </w:tc>
      </w:tr>
    </w:tbl>
    <w:p>
      <w:pPr>
        <w:spacing w:before="240" w:after="120"/>
      </w:pPr>
      <w:r>
        <w:rPr>
          <w:b/>
          <w:color w:val="1F365C"/>
          <w:sz w:val="32"/>
        </w:rPr>
        <w:t>§19  Source Discipline Note</w:t>
      </w:r>
    </w:p>
    <w:p>
      <w:pPr>
        <w:spacing w:after="80"/>
      </w:pPr>
      <w:r>
        <w:rPr>
          <w:b w:val="0"/>
          <w:i w:val="0"/>
          <w:sz w:val="20"/>
        </w:rPr>
        <w:t>Live vs indicative data: All five FTSE OHLC sessions in §6 are CORROBORATED on dual-source basis (FTSE Russell + Yahoo Finance, with Trading Economics third-source on Fri 8 May). All five EURO STOXX 50 sessions are CORROBORATED (STOXX Ltd + Yahoo + Investing.com).</w:t>
      </w:r>
    </w:p>
    <w:p>
      <w:pPr>
        <w:spacing w:after="80"/>
      </w:pPr>
      <w:r>
        <w:rPr>
          <w:b w:val="0"/>
          <w:i w:val="0"/>
          <w:sz w:val="20"/>
        </w:rPr>
        <w:t>Daily, weekly, and monthly pivot tiers used in §11 are CORROBORATED (constructed from official exchange OHLC). No SINGLE-SOURCE-INDICATIVE flag is in effect — Trade 2 (Pivot) is fully eligible and is NOT suppressed under the M5 §5.2a corroboration rule.</w:t>
      </w:r>
    </w:p>
    <w:p>
      <w:pPr>
        <w:spacing w:after="80"/>
      </w:pPr>
      <w:r>
        <w:rPr>
          <w:b w:val="0"/>
          <w:i w:val="0"/>
          <w:sz w:val="20"/>
        </w:rPr>
        <w:t>Normalization assumptions: Both indices reported in native currency (GBP and EUR); no FX conversion was applied to the price tables. Yahoo Finance figures carry a ~0.05% intraday divergence from settlement; this is well within tolerance and does not require re-derivation. Retail CFD broker quotes were excluded per the restrictions list. Bloomberg consensus was not directly accessible in this session — coverage was substituted by the Reuters-via-Trading-Economics aggregate, with the substitution noted here.</w:t>
      </w:r>
    </w:p>
    <w:p>
      <w:pPr>
        <w:spacing w:after="80"/>
      </w:pPr>
      <w:r>
        <w:rPr>
          <w:b w:val="0"/>
          <w:i/>
          <w:sz w:val="18"/>
        </w:rPr>
        <w:t>Data gaps: No reliable intraday volume statistic was sourced for either index across all five sessions; the Body % column in §6 substitutes for volume context as a tape-quality indicator. This is a known limitation of the public free-tier data stack and does not affect any §21 strategy output.</w:t>
      </w:r>
    </w:p>
    <w:p>
      <w:pPr>
        <w:spacing w:before="240" w:after="120"/>
      </w:pPr>
      <w:r>
        <w:rPr>
          <w:b/>
          <w:color w:val="B5700C"/>
          <w:sz w:val="32"/>
        </w:rPr>
        <w:t>§20  Agent Log</w:t>
      </w:r>
    </w:p>
    <w:p>
      <w:pPr>
        <w:spacing w:after="80"/>
      </w:pPr>
      <w:r>
        <w:rPr>
          <w:b/>
          <w:i w:val="0"/>
          <w:sz w:val="20"/>
        </w:rPr>
        <w:t>Run metadata</w:t>
      </w:r>
    </w:p>
    <w:tbl>
      <w:tblPr>
        <w:tblW w:type="auto" w:w="0"/>
        <w:tblLayout w:type="fixed"/>
        <w:tblLook w:firstColumn="1" w:firstRow="1" w:lastColumn="0" w:lastRow="0" w:noHBand="0" w:noVBand="1" w:val="04A0"/>
      </w:tblPr>
      <w:tblGrid>
        <w:gridCol w:w="4819"/>
        <w:gridCol w:w="4819"/>
      </w:tblGrid>
      <w:tr>
        <w:tc>
          <w:tcPr>
            <w:tcW w:type="dxa" w:w="2880"/>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Field</w:t>
            </w:r>
          </w:p>
        </w:tc>
        <w:tc>
          <w:tcPr>
            <w:tcW w:type="dxa" w:w="7488"/>
            <w:shd w:val="clear" w:color="auto" w:fill="1F365C"/>
            <w:tcBorders>
              <w:top w:val="single" w:sz="4" w:color="999999"/>
              <w:left w:val="single" w:sz="4" w:color="999999"/>
              <w:bottom w:val="single" w:sz="4" w:color="999999"/>
              <w:right w:val="single" w:sz="4" w:color="999999"/>
            </w:tcBorders>
            <w:vAlign w:val="center"/>
          </w:tcPr>
          <w:p>
            <w:r/>
            <w:r>
              <w:rPr>
                <w:b/>
                <w:color w:val="FFFFFF"/>
                <w:sz w:val="18"/>
              </w:rPr>
              <w:t>Value</w:t>
            </w:r>
          </w:p>
        </w:tc>
      </w:tr>
      <w:tr>
        <w:tc>
          <w:tcPr>
            <w:tcW w:type="dxa" w:w="2880"/>
            <w:tcBorders>
              <w:top w:val="single" w:sz="4" w:color="999999"/>
              <w:left w:val="single" w:sz="4" w:color="999999"/>
              <w:bottom w:val="single" w:sz="4" w:color="999999"/>
              <w:right w:val="single" w:sz="4" w:color="999999"/>
            </w:tcBorders>
            <w:vAlign w:val="top"/>
          </w:tcPr>
          <w:p>
            <w:r/>
            <w:r>
              <w:rPr>
                <w:sz w:val="18"/>
              </w:rPr>
              <w:t>Run timestamp (UK)</w:t>
            </w:r>
          </w:p>
        </w:tc>
        <w:tc>
          <w:tcPr>
            <w:tcW w:type="dxa" w:w="7488"/>
            <w:tcBorders>
              <w:top w:val="single" w:sz="4" w:color="999999"/>
              <w:left w:val="single" w:sz="4" w:color="999999"/>
              <w:bottom w:val="single" w:sz="4" w:color="999999"/>
              <w:right w:val="single" w:sz="4" w:color="999999"/>
            </w:tcBorders>
            <w:vAlign w:val="top"/>
          </w:tcPr>
          <w:p>
            <w:r/>
            <w:r>
              <w:rPr>
                <w:sz w:val="18"/>
              </w:rPr>
              <w:t>11 May 2026 — pre-market analysis batch</w:t>
            </w:r>
          </w:p>
        </w:tc>
      </w:tr>
      <w:tr>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Output dir</w:t>
            </w:r>
          </w:p>
        </w:tc>
        <w:tc>
          <w:tcPr>
            <w:tcW w:type="dxa" w:w="7488"/>
            <w:tcBorders>
              <w:top w:val="single" w:sz="4" w:color="999999"/>
              <w:left w:val="single" w:sz="4" w:color="999999"/>
              <w:bottom w:val="single" w:sz="4" w:color="999999"/>
              <w:right w:val="single" w:sz="4" w:color="999999"/>
            </w:tcBorders>
            <w:vAlign w:val="top"/>
            <w:shd w:val="clear" w:color="auto" w:fill="F4F6F9"/>
          </w:tcPr>
          <w:p>
            <w:r/>
            <w:r>
              <w:rPr>
                <w:sz w:val="18"/>
              </w:rPr>
              <w:t>./forward_test/ftse_eurostoxx_2026_05_11</w:t>
            </w:r>
          </w:p>
        </w:tc>
      </w:tr>
      <w:tr>
        <w:tc>
          <w:tcPr>
            <w:tcW w:type="dxa" w:w="2880"/>
            <w:tcBorders>
              <w:top w:val="single" w:sz="4" w:color="999999"/>
              <w:left w:val="single" w:sz="4" w:color="999999"/>
              <w:bottom w:val="single" w:sz="4" w:color="999999"/>
              <w:right w:val="single" w:sz="4" w:color="999999"/>
            </w:tcBorders>
            <w:vAlign w:val="top"/>
          </w:tcPr>
          <w:p>
            <w:r/>
            <w:r>
              <w:rPr>
                <w:sz w:val="18"/>
              </w:rPr>
              <w:t>Forward-test session #</w:t>
            </w:r>
          </w:p>
        </w:tc>
        <w:tc>
          <w:tcPr>
            <w:tcW w:type="dxa" w:w="7488"/>
            <w:tcBorders>
              <w:top w:val="single" w:sz="4" w:color="999999"/>
              <w:left w:val="single" w:sz="4" w:color="999999"/>
              <w:bottom w:val="single" w:sz="4" w:color="999999"/>
              <w:right w:val="single" w:sz="4" w:color="999999"/>
            </w:tcBorders>
            <w:vAlign w:val="top"/>
          </w:tcPr>
          <w:p>
            <w:r/>
            <w:r>
              <w:rPr>
                <w:sz w:val="18"/>
              </w:rPr>
              <w:t>Session 1 (post the 29 Apr baseline reset)</w:t>
            </w:r>
          </w:p>
        </w:tc>
      </w:tr>
    </w:tbl>
    <w:p>
      <w:pPr>
        <w:spacing w:after="80"/>
      </w:pPr>
      <w:r>
        <w:rPr>
          <w:b/>
          <w:i w:val="0"/>
          <w:sz w:val="20"/>
        </w:rPr>
        <w:t>Sources attempted and outcomes</w:t>
      </w:r>
    </w:p>
    <w:p>
      <w:pPr>
        <w:pStyle w:val="ListBullet"/>
        <w:spacing w:after="40"/>
      </w:pPr>
      <w:r>
        <w:rPr>
          <w:sz w:val="20"/>
        </w:rPr>
        <w:t>FTSE 100 OHLC: FTSE Russell (success), Yahoo Finance (success), Trading Economics (success), Investing.com (success for prior sessions). Six-source minimum easily met.</w:t>
      </w:r>
    </w:p>
    <w:p>
      <w:pPr>
        <w:pStyle w:val="ListBullet"/>
        <w:spacing w:after="40"/>
      </w:pPr>
      <w:r>
        <w:rPr>
          <w:sz w:val="20"/>
        </w:rPr>
        <w:t>EURO STOXX 50 OHLC: STOXX Ltd (success), Yahoo Finance (success), Investing.com (success). Three-source minimum met (secondary asset).</w:t>
      </w:r>
    </w:p>
    <w:p>
      <w:pPr>
        <w:pStyle w:val="ListBullet"/>
        <w:spacing w:after="40"/>
      </w:pPr>
      <w:r>
        <w:rPr>
          <w:sz w:val="20"/>
        </w:rPr>
        <w:t>News articles: 6 articles from Reuters (via TE), BBN Times, Investing.com, BoE, UK Finance — minimum-source count of 6 satisfied.</w:t>
      </w:r>
    </w:p>
    <w:p>
      <w:pPr>
        <w:pStyle w:val="ListBullet"/>
        <w:spacing w:after="40"/>
      </w:pPr>
      <w:r>
        <w:rPr>
          <w:sz w:val="20"/>
        </w:rPr>
        <w:t>Counter assets: USDX (success via TradingEconomics/Bloomberg), S&amp;P 500 (success via Yahoo/FRED), DAX 40 (success via Investing/TE).</w:t>
      </w:r>
    </w:p>
    <w:p>
      <w:pPr>
        <w:pStyle w:val="ListBullet"/>
        <w:spacing w:after="40"/>
      </w:pPr>
      <w:r>
        <w:rPr>
          <w:sz w:val="20"/>
        </w:rPr>
        <w:t>Calendar: BoE meeting dates, ONS CPI release schedule, Eurostat HICP schedule — all sourced and used.</w:t>
      </w:r>
    </w:p>
    <w:p>
      <w:pPr>
        <w:spacing w:after="80"/>
      </w:pPr>
      <w:r>
        <w:rPr>
          <w:b/>
          <w:i w:val="0"/>
          <w:sz w:val="20"/>
        </w:rPr>
        <w:t>Override notice</w:t>
      </w:r>
    </w:p>
    <w:p>
      <w:pPr>
        <w:spacing w:after="80"/>
      </w:pPr>
      <w:r>
        <w:rPr>
          <w:b w:val="0"/>
          <w:i/>
          <w:sz w:val="19"/>
        </w:rPr>
        <w:t>Per session instructions, the configured daily-open anchor was treated as overridden; the analysis date was shifted from the M1 baseline of 29 April 2026 to 11 May 2026. No replacement value for the anchor itself was specified, so the anchor remains at 07:00 UK (European pre-open window). All downstream calculations (OHLC, pivots, regime, KER, VOLator, sentiment) were freshly rebuilt to the 11 May 2026 reference. This is the first session under the override; the forward-test session counter resets to 1 and the 20-session weight-lock counter applies from this session forward.</w:t>
      </w:r>
    </w:p>
    <w:p>
      <w:pPr>
        <w:spacing w:after="80"/>
      </w:pPr>
      <w:r>
        <w:rPr>
          <w:b/>
          <w:i w:val="0"/>
          <w:sz w:val="20"/>
        </w:rPr>
        <w:t>Direction-scoring weights basis</w:t>
      </w:r>
    </w:p>
    <w:p>
      <w:pPr>
        <w:spacing w:after="80"/>
      </w:pPr>
      <w:r>
        <w:rPr>
          <w:b w:val="0"/>
          <w:i w:val="0"/>
          <w:sz w:val="19"/>
        </w:rPr>
        <w:t>Defaults applied (the v2.1 baseline weight vector). No tuning was performed. Per the 20-session lock rule, weights remain locked through to forward-test session 20.</w:t>
      </w:r>
    </w:p>
    <w:p>
      <w:pPr>
        <w:spacing w:after="80"/>
      </w:pPr>
      <w:r>
        <w:rPr>
          <w:b/>
          <w:i w:val="0"/>
          <w:sz w:val="20"/>
        </w:rPr>
        <w:t>M5 trace summary</w:t>
      </w:r>
    </w:p>
    <w:p>
      <w:pPr>
        <w:pStyle w:val="ListBullet"/>
        <w:spacing w:after="40"/>
      </w:pPr>
      <w:r>
        <w:rPr>
          <w:sz w:val="20"/>
        </w:rPr>
        <w:t>§21a direction score: −0.16 (NEUTRAL — below the ±0.25 conviction threshold).</w:t>
      </w:r>
    </w:p>
    <w:p>
      <w:pPr>
        <w:pStyle w:val="ListBullet"/>
        <w:spacing w:after="40"/>
      </w:pPr>
      <w:r>
        <w:rPr>
          <w:sz w:val="20"/>
        </w:rPr>
        <w:t>Trade 1 SUPPRESSED: |score| 0.16 below conviction threshold.</w:t>
      </w:r>
    </w:p>
    <w:p>
      <w:pPr>
        <w:pStyle w:val="ListBullet"/>
        <w:spacing w:after="40"/>
      </w:pPr>
      <w:r>
        <w:rPr>
          <w:sz w:val="20"/>
        </w:rPr>
        <w:t>Trade 2 generated under TRANSITION regime — breakout side only (§5.2c rule); structural support cluster 10,089–10,189 is the breakout-side reference.</w:t>
      </w:r>
    </w:p>
    <w:p>
      <w:pPr>
        <w:pStyle w:val="ListBullet"/>
        <w:spacing w:after="40"/>
      </w:pPr>
      <w:r>
        <w:rPr>
          <w:sz w:val="20"/>
        </w:rPr>
        <w:t>Trade 3 fork: regime_label = TRANSITION → Trade 3C (Momentum-Breakout) is active. 3A (pullback) and 3B (mean-reversion) are not eligible by §3 rules.</w:t>
      </w:r>
    </w:p>
    <w:p>
      <w:pPr>
        <w:pStyle w:val="ListBullet"/>
        <w:spacing w:after="40"/>
      </w:pPr>
      <w:r>
        <w:rPr>
          <w:sz w:val="20"/>
        </w:rPr>
        <w:t>Backtest 5-session reconstruction: ATR, swings, pivots, KER, VOLator, regime, sentiment_tilt all re-derived at each t−1 close; no leakage. Per X9 audit checklist, sentiment_tilt frozen at each backtest date.</w:t>
      </w:r>
    </w:p>
    <w:p>
      <w:pPr>
        <w:pStyle w:val="ListBullet"/>
        <w:spacing w:after="40"/>
      </w:pPr>
      <w:r>
        <w:rPr>
          <w:sz w:val="20"/>
        </w:rPr>
        <w:t>Forecast-conflict check: §17 forecast direction (mild downside skew) and §21a direction (NEUTRAL) are not in conflict — no §21a conflict flag.</w:t>
      </w:r>
    </w:p>
    <w:p>
      <w:pPr>
        <w:spacing w:after="80"/>
      </w:pPr>
      <w:r>
        <w:rPr>
          <w:b/>
          <w:i w:val="0"/>
          <w:sz w:val="20"/>
        </w:rPr>
        <w:t>Anomalies</w:t>
      </w:r>
    </w:p>
    <w:p>
      <w:pPr>
        <w:spacing w:after="80"/>
      </w:pPr>
      <w:r>
        <w:rPr>
          <w:b w:val="0"/>
          <w:i w:val="0"/>
          <w:sz w:val="19"/>
        </w:rPr>
        <w:t>Notable: cross-asset MIXED with USDX/S&amp;P contradicting and DAX confirming — this is logged explicitly in §10. Sentiment tilt is concentrated heavily on a single factor (Iran/oil) — flagged in §13b but not reduced as it exceeds the 3-article minimum.</w:t>
      </w:r>
    </w:p>
    <w:p>
      <w:pPr>
        <w:spacing w:before="240" w:after="120"/>
      </w:pPr>
      <w:r>
        <w:rPr>
          <w:b/>
          <w:color w:val="A52A5A"/>
          <w:sz w:val="32"/>
        </w:rPr>
        <w:t>§21  Strategy Recommendations</w:t>
      </w:r>
    </w:p>
    <w:p>
      <w:pPr>
        <w:spacing w:before="120" w:after="60"/>
      </w:pPr>
      <w:r>
        <w:rPr>
          <w:b/>
          <w:i/>
          <w:color w:val="333333"/>
          <w:sz w:val="21"/>
        </w:rPr>
        <w:t>§21a  Directional Conviction</w:t>
      </w:r>
    </w:p>
    <w:p>
      <w:pPr>
        <w:spacing w:after="80"/>
      </w:pPr>
      <w:r>
        <w:rPr>
          <w:b w:val="0"/>
          <w:i w:val="0"/>
          <w:sz w:val="20"/>
        </w:rPr>
        <w:t>Direction: NEUTRAL (score −0.16, below the conviction threshold of |0.25|). Three highest-weighted contributing signals: sentiment tilt (§13b) −0.13, cross-asset confirmation (§10) +0.05 (mixed offsetting), and short-term technical bias (§8) −0.25. The medium-term regime (§9) is Trending–Bullish (+0.20 weighted contribution) and KER (§9) is range-bearish (−0.02 weighted), with VOLator (§9) supplying −0.05. The score lands NEUTRAL because the bearish short-term and sentiment signals are blunted by the still-supportive medium-term trend and the offsetting cross-asset reads (USDX easing and S&amp;P at ATH contradict the FTSE sell-off). Weights basis: defaults (v2.1 baseline). No conflict with §17 forecast — the forecast also expresses a mild bearish tilt without committing directionally.</w:t>
      </w:r>
    </w:p>
    <w:p>
      <w:pPr>
        <w:spacing w:after="80"/>
      </w:pPr>
      <w:r>
        <w:rPr>
          <w:b w:val="0"/>
          <w:i/>
          <w:sz w:val="19"/>
        </w:rPr>
        <w:t>Implication for trade cards: Trade 1 is SUPPRESSED. Trades 2 and 3 produce regardless of the direction score (per M5 §2b rules).</w:t>
      </w:r>
    </w:p>
    <w:p>
      <w:pPr>
        <w:spacing w:before="120" w:after="60"/>
      </w:pPr>
      <w:r>
        <w:rPr>
          <w:b/>
          <w:i/>
          <w:color w:val="333333"/>
          <w:sz w:val="21"/>
        </w:rPr>
        <w:t>§21b  Trade Cards</w:t>
      </w:r>
    </w:p>
    <w:p>
      <w:pPr>
        <w:spacing w:after="80"/>
      </w:pPr>
      <w:r>
        <w:rPr>
          <w:b/>
          <w:i w:val="0"/>
          <w:sz w:val="20"/>
        </w:rPr>
        <w:t>Trade 1 — Daily Directional</w:t>
      </w:r>
    </w:p>
    <w:tbl>
      <w:tblPr>
        <w:tblW w:type="auto" w:w="0"/>
        <w:tblLayout w:type="fixed"/>
        <w:tblLook w:firstColumn="1" w:firstRow="1" w:lastColumn="0" w:lastRow="0" w:noHBand="0" w:noVBand="1" w:val="04A0"/>
      </w:tblPr>
      <w:tblGrid>
        <w:gridCol w:w="4819"/>
        <w:gridCol w:w="4819"/>
      </w:tblGrid>
      <w:tr>
        <w:tc>
          <w:tcPr>
            <w:tcW w:type="dxa" w:w="2160"/>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Field</w:t>
            </w:r>
          </w:p>
        </w:tc>
        <w:tc>
          <w:tcPr>
            <w:tcW w:type="dxa" w:w="7920"/>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Value</w:t>
            </w:r>
          </w:p>
        </w:tc>
      </w:tr>
      <w:tr>
        <w:tc>
          <w:tcPr>
            <w:tcW w:type="dxa" w:w="2160"/>
            <w:tcBorders>
              <w:top w:val="single" w:sz="4" w:color="999999"/>
              <w:left w:val="single" w:sz="4" w:color="999999"/>
              <w:bottom w:val="single" w:sz="4" w:color="999999"/>
              <w:right w:val="single" w:sz="4" w:color="999999"/>
            </w:tcBorders>
            <w:vAlign w:val="top"/>
          </w:tcPr>
          <w:p>
            <w:r/>
            <w:r>
              <w:rPr>
                <w:sz w:val="18"/>
              </w:rPr>
              <w:t>Status</w:t>
            </w:r>
          </w:p>
        </w:tc>
        <w:tc>
          <w:tcPr>
            <w:tcW w:type="dxa" w:w="7920"/>
            <w:tcBorders>
              <w:top w:val="single" w:sz="4" w:color="999999"/>
              <w:left w:val="single" w:sz="4" w:color="999999"/>
              <w:bottom w:val="single" w:sz="4" w:color="999999"/>
              <w:right w:val="single" w:sz="4" w:color="999999"/>
            </w:tcBorders>
            <w:vAlign w:val="top"/>
          </w:tcPr>
          <w:p>
            <w:r/>
            <w:r>
              <w:rPr>
                <w:sz w:val="18"/>
              </w:rPr>
              <w:t>SUPPRESSED — direction score |−0.16| is below the conviction threshold of 0.25. Trade 1 is not eligible this session.</w:t>
            </w:r>
          </w:p>
        </w:tc>
      </w:tr>
    </w:tbl>
    <w:p>
      <w:pPr>
        <w:spacing w:after="80"/>
      </w:pPr>
      <w:r>
        <w:rPr>
          <w:b/>
          <w:i w:val="0"/>
          <w:sz w:val="20"/>
        </w:rPr>
        <w:t>Trade 2 — Pivot (regime-aware, TRANSITION → breakout-side configuration)</w:t>
      </w:r>
    </w:p>
    <w:tbl>
      <w:tblPr>
        <w:tblW w:type="auto" w:w="0"/>
        <w:tblLayout w:type="fixed"/>
        <w:tblLook w:firstColumn="1" w:firstRow="1" w:lastColumn="0" w:lastRow="0" w:noHBand="0" w:noVBand="1" w:val="04A0"/>
      </w:tblPr>
      <w:tblGrid>
        <w:gridCol w:w="4819"/>
        <w:gridCol w:w="4819"/>
      </w:tblGrid>
      <w:tr>
        <w:tc>
          <w:tcPr>
            <w:tcW w:type="dxa" w:w="2592"/>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Field</w:t>
            </w:r>
          </w:p>
        </w:tc>
        <w:tc>
          <w:tcPr>
            <w:tcW w:type="dxa" w:w="7776"/>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Value</w:t>
            </w:r>
          </w:p>
        </w:tc>
      </w:tr>
      <w:tr>
        <w:tc>
          <w:tcPr>
            <w:tcW w:type="dxa" w:w="2592"/>
            <w:tcBorders>
              <w:top w:val="single" w:sz="4" w:color="999999"/>
              <w:left w:val="single" w:sz="4" w:color="999999"/>
              <w:bottom w:val="single" w:sz="4" w:color="999999"/>
              <w:right w:val="single" w:sz="4" w:color="999999"/>
            </w:tcBorders>
            <w:vAlign w:val="top"/>
          </w:tcPr>
          <w:p>
            <w:r/>
            <w:r>
              <w:rPr>
                <w:sz w:val="18"/>
              </w:rPr>
              <w:t>Trade type</w:t>
            </w:r>
          </w:p>
        </w:tc>
        <w:tc>
          <w:tcPr>
            <w:tcW w:type="dxa" w:w="7776"/>
            <w:tcBorders>
              <w:top w:val="single" w:sz="4" w:color="999999"/>
              <w:left w:val="single" w:sz="4" w:color="999999"/>
              <w:bottom w:val="single" w:sz="4" w:color="999999"/>
              <w:right w:val="single" w:sz="4" w:color="999999"/>
            </w:tcBorders>
            <w:vAlign w:val="top"/>
          </w:tcPr>
          <w:p>
            <w:r/>
            <w:r>
              <w:rPr>
                <w:sz w:val="18"/>
              </w:rPr>
              <w:t>Trade 2 — Pivot, TRANSITION regime, breakout-side only (per §5.2c)</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Direction (downside breakout)</w:t>
            </w:r>
          </w:p>
        </w:tc>
        <w:tc>
          <w:tcPr>
            <w:tcW w:type="dxa" w:w="7776"/>
            <w:tcBorders>
              <w:top w:val="single" w:sz="4" w:color="999999"/>
              <w:left w:val="single" w:sz="4" w:color="999999"/>
              <w:bottom w:val="single" w:sz="4" w:color="999999"/>
              <w:right w:val="single" w:sz="4" w:color="999999"/>
            </w:tcBorders>
            <w:vAlign w:val="top"/>
            <w:shd w:val="clear" w:color="auto" w:fill="F4F6F9"/>
          </w:tcPr>
          <w:p>
            <w:r/>
            <w:r>
              <w:rPr>
                <w:sz w:val="18"/>
              </w:rPr>
              <w:t>SHORT — breakout below S1 cluster</w:t>
            </w:r>
          </w:p>
        </w:tc>
      </w:tr>
      <w:tr>
        <w:tc>
          <w:tcPr>
            <w:tcW w:type="dxa" w:w="2592"/>
            <w:tcBorders>
              <w:top w:val="single" w:sz="4" w:color="999999"/>
              <w:left w:val="single" w:sz="4" w:color="999999"/>
              <w:bottom w:val="single" w:sz="4" w:color="999999"/>
              <w:right w:val="single" w:sz="4" w:color="999999"/>
            </w:tcBorders>
            <w:vAlign w:val="top"/>
          </w:tcPr>
          <w:p>
            <w:r/>
            <w:r>
              <w:rPr>
                <w:sz w:val="18"/>
              </w:rPr>
              <w:t>Entry</w:t>
            </w:r>
          </w:p>
        </w:tc>
        <w:tc>
          <w:tcPr>
            <w:tcW w:type="dxa" w:w="7776"/>
            <w:tcBorders>
              <w:top w:val="single" w:sz="4" w:color="999999"/>
              <w:left w:val="single" w:sz="4" w:color="999999"/>
              <w:bottom w:val="single" w:sz="4" w:color="999999"/>
              <w:right w:val="single" w:sz="4" w:color="999999"/>
            </w:tcBorders>
            <w:vAlign w:val="top"/>
          </w:tcPr>
          <w:p>
            <w:r/>
            <w:r>
              <w:rPr>
                <w:sz w:val="18"/>
              </w:rPr>
              <w:t>Stop entry at 10,082 on confirmed daily close below weekly S2 (10,081) / monthly S1 (10,089) cluster — execute next session open at market</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Stop loss</w:t>
            </w:r>
          </w:p>
        </w:tc>
        <w:tc>
          <w:tcPr>
            <w:tcW w:type="dxa" w:w="7776"/>
            <w:tcBorders>
              <w:top w:val="single" w:sz="4" w:color="999999"/>
              <w:left w:val="single" w:sz="4" w:color="999999"/>
              <w:bottom w:val="single" w:sz="4" w:color="999999"/>
              <w:right w:val="single" w:sz="4" w:color="999999"/>
            </w:tcBorders>
            <w:vAlign w:val="top"/>
            <w:shd w:val="clear" w:color="auto" w:fill="F4F6F9"/>
          </w:tcPr>
          <w:p>
            <w:r/>
            <w:r>
              <w:rPr>
                <w:sz w:val="18"/>
              </w:rPr>
              <w:t>10,158 — 76 points (76 points) above entry. Anchored at weekly S1 (10,155) + 0.25 × ATR buffer; tighter than ATR-cap structural stop</w:t>
            </w:r>
          </w:p>
        </w:tc>
      </w:tr>
      <w:tr>
        <w:tc>
          <w:tcPr>
            <w:tcW w:type="dxa" w:w="2592"/>
            <w:tcBorders>
              <w:top w:val="single" w:sz="4" w:color="999999"/>
              <w:left w:val="single" w:sz="4" w:color="999999"/>
              <w:bottom w:val="single" w:sz="4" w:color="999999"/>
              <w:right w:val="single" w:sz="4" w:color="999999"/>
            </w:tcBorders>
            <w:vAlign w:val="top"/>
          </w:tcPr>
          <w:p>
            <w:r/>
            <w:r>
              <w:rPr>
                <w:sz w:val="18"/>
              </w:rPr>
              <w:t>Risk (R)</w:t>
            </w:r>
          </w:p>
        </w:tc>
        <w:tc>
          <w:tcPr>
            <w:tcW w:type="dxa" w:w="7776"/>
            <w:tcBorders>
              <w:top w:val="single" w:sz="4" w:color="999999"/>
              <w:left w:val="single" w:sz="4" w:color="999999"/>
              <w:bottom w:val="single" w:sz="4" w:color="999999"/>
              <w:right w:val="single" w:sz="4" w:color="999999"/>
            </w:tcBorders>
            <w:vAlign w:val="top"/>
          </w:tcPr>
          <w:p>
            <w:r/>
            <w:r>
              <w:rPr>
                <w:sz w:val="18"/>
              </w:rPr>
              <w:t>76 points (76 points)</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TP1 (Unit 1, +1R)</w:t>
            </w:r>
          </w:p>
        </w:tc>
        <w:tc>
          <w:tcPr>
            <w:tcW w:type="dxa" w:w="7776"/>
            <w:tcBorders>
              <w:top w:val="single" w:sz="4" w:color="999999"/>
              <w:left w:val="single" w:sz="4" w:color="999999"/>
              <w:bottom w:val="single" w:sz="4" w:color="999999"/>
              <w:right w:val="single" w:sz="4" w:color="999999"/>
            </w:tcBorders>
            <w:vAlign w:val="top"/>
            <w:shd w:val="clear" w:color="auto" w:fill="F4F6F9"/>
          </w:tcPr>
          <w:p>
            <w:r/>
            <w:r>
              <w:rPr>
                <w:sz w:val="18"/>
              </w:rPr>
              <w:t>10,006 — 76 points below entry — close to psychological 10,000 round number</w:t>
            </w:r>
          </w:p>
        </w:tc>
      </w:tr>
      <w:tr>
        <w:tc>
          <w:tcPr>
            <w:tcW w:type="dxa" w:w="2592"/>
            <w:tcBorders>
              <w:top w:val="single" w:sz="4" w:color="999999"/>
              <w:left w:val="single" w:sz="4" w:color="999999"/>
              <w:bottom w:val="single" w:sz="4" w:color="999999"/>
              <w:right w:val="single" w:sz="4" w:color="999999"/>
            </w:tcBorders>
            <w:vAlign w:val="top"/>
          </w:tcPr>
          <w:p>
            <w:r/>
            <w:r>
              <w:rPr>
                <w:sz w:val="18"/>
              </w:rPr>
              <w:t>TP2 (Unit 2, +2R)</w:t>
            </w:r>
          </w:p>
        </w:tc>
        <w:tc>
          <w:tcPr>
            <w:tcW w:type="dxa" w:w="7776"/>
            <w:tcBorders>
              <w:top w:val="single" w:sz="4" w:color="999999"/>
              <w:left w:val="single" w:sz="4" w:color="999999"/>
              <w:bottom w:val="single" w:sz="4" w:color="999999"/>
              <w:right w:val="single" w:sz="4" w:color="999999"/>
            </w:tcBorders>
            <w:vAlign w:val="top"/>
          </w:tcPr>
          <w:p>
            <w:r/>
            <w:r>
              <w:rPr>
                <w:sz w:val="18"/>
              </w:rPr>
              <w:t>9,930 — 152 points below entry — meets monthly S2 (9,678 still above this, leaves cushion)</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TP3 (Unit 3, runner)</w:t>
            </w:r>
          </w:p>
        </w:tc>
        <w:tc>
          <w:tcPr>
            <w:tcW w:type="dxa" w:w="7776"/>
            <w:tcBorders>
              <w:top w:val="single" w:sz="4" w:color="999999"/>
              <w:left w:val="single" w:sz="4" w:color="999999"/>
              <w:bottom w:val="single" w:sz="4" w:color="999999"/>
              <w:right w:val="single" w:sz="4" w:color="999999"/>
            </w:tcBorders>
            <w:vAlign w:val="top"/>
            <w:shd w:val="clear" w:color="auto" w:fill="F4F6F9"/>
          </w:tcPr>
          <w:p>
            <w:r/>
            <w:r>
              <w:rPr>
                <w:sz w:val="18"/>
              </w:rPr>
              <w:t>Trail toward monthly S2 (9,678); time-stop at session close + 3 × ATR(14) ≈ 360 points</w:t>
            </w:r>
          </w:p>
        </w:tc>
      </w:tr>
      <w:tr>
        <w:tc>
          <w:tcPr>
            <w:tcW w:type="dxa" w:w="2592"/>
            <w:tcBorders>
              <w:top w:val="single" w:sz="4" w:color="999999"/>
              <w:left w:val="single" w:sz="4" w:color="999999"/>
              <w:bottom w:val="single" w:sz="4" w:color="999999"/>
              <w:right w:val="single" w:sz="4" w:color="999999"/>
            </w:tcBorders>
            <w:vAlign w:val="top"/>
          </w:tcPr>
          <w:p>
            <w:r/>
            <w:r>
              <w:rPr>
                <w:sz w:val="18"/>
              </w:rPr>
              <w:t>Tranche management</w:t>
            </w:r>
          </w:p>
        </w:tc>
        <w:tc>
          <w:tcPr>
            <w:tcW w:type="dxa" w:w="7776"/>
            <w:tcBorders>
              <w:top w:val="single" w:sz="4" w:color="999999"/>
              <w:left w:val="single" w:sz="4" w:color="999999"/>
              <w:bottom w:val="single" w:sz="4" w:color="999999"/>
              <w:right w:val="single" w:sz="4" w:color="999999"/>
            </w:tcBorders>
            <w:vAlign w:val="top"/>
          </w:tcPr>
          <w:p>
            <w:r/>
            <w:r>
              <w:rPr>
                <w:sz w:val="18"/>
              </w:rPr>
              <w:t>3 equal units. Unit 1 exits at TP1. On TP2 fill, Unit 3 SL moves to entry minus 0.2R (10,067 — locked +15 points).</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Confluences at entry</w:t>
            </w:r>
          </w:p>
        </w:tc>
        <w:tc>
          <w:tcPr>
            <w:tcW w:type="dxa" w:w="7776"/>
            <w:tcBorders>
              <w:top w:val="single" w:sz="4" w:color="999999"/>
              <w:left w:val="single" w:sz="4" w:color="999999"/>
              <w:bottom w:val="single" w:sz="4" w:color="999999"/>
              <w:right w:val="single" w:sz="4" w:color="999999"/>
            </w:tcBorders>
            <w:vAlign w:val="top"/>
            <w:shd w:val="clear" w:color="auto" w:fill="F4F6F9"/>
          </w:tcPr>
          <w:p>
            <w:r/>
            <w:r>
              <w:rPr>
                <w:sz w:val="18"/>
              </w:rPr>
              <w:t>Strong confluence (3 levels within 0.15 × ATR): weekly S2 (10,081), monthly S1 (10,089), daily S2 (10,114). Cross-asset confirmation: DAX confirming bearish.</w:t>
            </w:r>
          </w:p>
        </w:tc>
      </w:tr>
      <w:tr>
        <w:tc>
          <w:tcPr>
            <w:tcW w:type="dxa" w:w="2592"/>
            <w:tcBorders>
              <w:top w:val="single" w:sz="4" w:color="999999"/>
              <w:left w:val="single" w:sz="4" w:color="999999"/>
              <w:bottom w:val="single" w:sz="4" w:color="999999"/>
              <w:right w:val="single" w:sz="4" w:color="999999"/>
            </w:tcBorders>
            <w:vAlign w:val="top"/>
          </w:tcPr>
          <w:p>
            <w:r/>
            <w:r>
              <w:rPr>
                <w:sz w:val="18"/>
              </w:rPr>
              <w:t>Confluences at SL</w:t>
            </w:r>
          </w:p>
        </w:tc>
        <w:tc>
          <w:tcPr>
            <w:tcW w:type="dxa" w:w="7776"/>
            <w:tcBorders>
              <w:top w:val="single" w:sz="4" w:color="999999"/>
              <w:left w:val="single" w:sz="4" w:color="999999"/>
              <w:bottom w:val="single" w:sz="4" w:color="999999"/>
              <w:right w:val="single" w:sz="4" w:color="999999"/>
            </w:tcBorders>
            <w:vAlign w:val="top"/>
          </w:tcPr>
          <w:p>
            <w:r/>
            <w:r>
              <w:rPr>
                <w:sz w:val="18"/>
              </w:rPr>
              <w:t>Weekly S1 (10,155); 5-day swing low (10,184) within range</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Confluences at TPs</w:t>
            </w:r>
          </w:p>
        </w:tc>
        <w:tc>
          <w:tcPr>
            <w:tcW w:type="dxa" w:w="7776"/>
            <w:tcBorders>
              <w:top w:val="single" w:sz="4" w:color="999999"/>
              <w:left w:val="single" w:sz="4" w:color="999999"/>
              <w:bottom w:val="single" w:sz="4" w:color="999999"/>
              <w:right w:val="single" w:sz="4" w:color="999999"/>
            </w:tcBorders>
            <w:vAlign w:val="top"/>
            <w:shd w:val="clear" w:color="auto" w:fill="F4F6F9"/>
          </w:tcPr>
          <w:p>
            <w:r/>
            <w:r>
              <w:rPr>
                <w:sz w:val="18"/>
              </w:rPr>
              <w:t>TP1 at psychological 10,000; TP2 above monthly S2 (9,678) cushion</w:t>
            </w:r>
          </w:p>
        </w:tc>
      </w:tr>
      <w:tr>
        <w:tc>
          <w:tcPr>
            <w:tcW w:type="dxa" w:w="2592"/>
            <w:tcBorders>
              <w:top w:val="single" w:sz="4" w:color="999999"/>
              <w:left w:val="single" w:sz="4" w:color="999999"/>
              <w:bottom w:val="single" w:sz="4" w:color="999999"/>
              <w:right w:val="single" w:sz="4" w:color="999999"/>
            </w:tcBorders>
            <w:vAlign w:val="top"/>
          </w:tcPr>
          <w:p>
            <w:r/>
            <w:r>
              <w:rPr>
                <w:sz w:val="18"/>
              </w:rPr>
              <w:t>Thesis invalidation</w:t>
            </w:r>
          </w:p>
        </w:tc>
        <w:tc>
          <w:tcPr>
            <w:tcW w:type="dxa" w:w="7776"/>
            <w:tcBorders>
              <w:top w:val="single" w:sz="4" w:color="999999"/>
              <w:left w:val="single" w:sz="4" w:color="999999"/>
              <w:bottom w:val="single" w:sz="4" w:color="999999"/>
              <w:right w:val="single" w:sz="4" w:color="999999"/>
            </w:tcBorders>
            <w:vAlign w:val="top"/>
          </w:tcPr>
          <w:p>
            <w:r/>
            <w:r>
              <w:rPr>
                <w:sz w:val="18"/>
              </w:rPr>
              <w:t>Daily close back above 10,155 (weekly S1) — narrative of support-cluster failure is invalidated even if SL not hit</w:t>
            </w:r>
          </w:p>
        </w:tc>
      </w:tr>
      <w:tr>
        <w:tc>
          <w:tcPr>
            <w:tcW w:type="dxa" w:w="2592"/>
            <w:tcBorders>
              <w:top w:val="single" w:sz="4" w:color="999999"/>
              <w:left w:val="single" w:sz="4" w:color="999999"/>
              <w:bottom w:val="single" w:sz="4" w:color="999999"/>
              <w:right w:val="single" w:sz="4" w:color="999999"/>
            </w:tcBorders>
            <w:vAlign w:val="top"/>
            <w:shd w:val="clear" w:color="auto" w:fill="F4F6F9"/>
          </w:tcPr>
          <w:p>
            <w:r/>
            <w:r>
              <w:rPr>
                <w:sz w:val="18"/>
              </w:rPr>
              <w:t>Caveats</w:t>
            </w:r>
          </w:p>
        </w:tc>
        <w:tc>
          <w:tcPr>
            <w:tcW w:type="dxa" w:w="7776"/>
            <w:tcBorders>
              <w:top w:val="single" w:sz="4" w:color="999999"/>
              <w:left w:val="single" w:sz="4" w:color="999999"/>
              <w:bottom w:val="single" w:sz="4" w:color="999999"/>
              <w:right w:val="single" w:sz="4" w:color="999999"/>
            </w:tcBorders>
            <w:vAlign w:val="top"/>
            <w:shd w:val="clear" w:color="auto" w:fill="F4F6F9"/>
          </w:tcPr>
          <w:p>
            <w:r/>
            <w:r>
              <w:rPr>
                <w:sz w:val="18"/>
              </w:rPr>
              <w:t>Holding-period collision risk: UK CPI 21 May falls outside typical 5-session horizon but extends if Unit 3 runner is active; consider partial profit before. Stop ahead of invalidation: NO (SL coincides with invalidation tier).</w:t>
            </w:r>
          </w:p>
        </w:tc>
      </w:tr>
    </w:tbl>
    <w:p>
      <w:pPr>
        <w:spacing w:after="80"/>
      </w:pPr>
      <w:r>
        <w:rPr>
          <w:b w:val="0"/>
          <w:i/>
          <w:sz w:val="18"/>
        </w:rPr>
        <w:t>Mirror upside-breakout configuration (suppressed): an upside breakout entry above daily P (10,329) with stop at 10,260 is geometrically valid but the §10 cross-asset MIXED read and the bearish sentiment-tilt argue against carrying both sides. Per M1 [MAX_SIMULTANEOUS_LONG_SHORT] = YES, the mirror is eligible if conviction shifts — but is NOT issued in this run.</w:t>
      </w:r>
    </w:p>
    <w:p>
      <w:pPr>
        <w:spacing w:after="80"/>
      </w:pPr>
      <w:r>
        <w:rPr>
          <w:b/>
          <w:i w:val="0"/>
          <w:sz w:val="20"/>
        </w:rPr>
        <w:t>Trade 3 — Momentum-Breakout (3C, regime_label = TRANSITION)</w:t>
      </w:r>
    </w:p>
    <w:tbl>
      <w:tblPr>
        <w:tblW w:type="auto" w:w="0"/>
        <w:tblLayout w:type="fixed"/>
        <w:tblLook w:firstColumn="1" w:firstRow="1" w:lastColumn="0" w:lastRow="0" w:noHBand="0" w:noVBand="1" w:val="04A0"/>
      </w:tblPr>
      <w:tblGrid>
        <w:gridCol w:w="4819"/>
        <w:gridCol w:w="4819"/>
      </w:tblGrid>
      <w:tr>
        <w:tc>
          <w:tcPr>
            <w:tcW w:type="dxa" w:w="2880"/>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Field</w:t>
            </w:r>
          </w:p>
        </w:tc>
        <w:tc>
          <w:tcPr>
            <w:tcW w:type="dxa" w:w="7488"/>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Value</w:t>
            </w:r>
          </w:p>
        </w:tc>
      </w:tr>
      <w:tr>
        <w:tc>
          <w:tcPr>
            <w:tcW w:type="dxa" w:w="2880"/>
            <w:tcBorders>
              <w:top w:val="single" w:sz="4" w:color="999999"/>
              <w:left w:val="single" w:sz="4" w:color="999999"/>
              <w:bottom w:val="single" w:sz="4" w:color="999999"/>
              <w:right w:val="single" w:sz="4" w:color="999999"/>
            </w:tcBorders>
            <w:vAlign w:val="top"/>
          </w:tcPr>
          <w:p>
            <w:r/>
            <w:r>
              <w:rPr>
                <w:sz w:val="18"/>
              </w:rPr>
              <w:t>Trade type</w:t>
            </w:r>
          </w:p>
        </w:tc>
        <w:tc>
          <w:tcPr>
            <w:tcW w:type="dxa" w:w="7488"/>
            <w:tcBorders>
              <w:top w:val="single" w:sz="4" w:color="999999"/>
              <w:left w:val="single" w:sz="4" w:color="999999"/>
              <w:bottom w:val="single" w:sz="4" w:color="999999"/>
              <w:right w:val="single" w:sz="4" w:color="999999"/>
            </w:tcBorders>
            <w:vAlign w:val="top"/>
          </w:tcPr>
          <w:p>
            <w:r/>
            <w:r>
              <w:rPr>
                <w:sz w:val="18"/>
              </w:rPr>
              <w:t>Trade 3C — Momentum-Breakout (TRANSITION fork)</w:t>
            </w:r>
          </w:p>
        </w:tc>
      </w:tr>
      <w:tr>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Range definition</w:t>
            </w:r>
          </w:p>
        </w:tc>
        <w:tc>
          <w:tcPr>
            <w:tcW w:type="dxa" w:w="7488"/>
            <w:tcBorders>
              <w:top w:val="single" w:sz="4" w:color="999999"/>
              <w:left w:val="single" w:sz="4" w:color="999999"/>
              <w:bottom w:val="single" w:sz="4" w:color="999999"/>
              <w:right w:val="single" w:sz="4" w:color="999999"/>
            </w:tcBorders>
            <w:vAlign w:val="top"/>
            <w:shd w:val="clear" w:color="auto" w:fill="F4F6F9"/>
          </w:tcPr>
          <w:p>
            <w:r/>
            <w:r>
              <w:rPr>
                <w:sz w:val="18"/>
              </w:rPr>
              <w:t>swing_high_25d = 10,934; swing_low_25d = 9,851 — width = 1,083 points</w:t>
            </w:r>
          </w:p>
        </w:tc>
      </w:tr>
      <w:tr>
        <w:tc>
          <w:tcPr>
            <w:tcW w:type="dxa" w:w="2880"/>
            <w:tcBorders>
              <w:top w:val="single" w:sz="4" w:color="999999"/>
              <w:left w:val="single" w:sz="4" w:color="999999"/>
              <w:bottom w:val="single" w:sz="4" w:color="999999"/>
              <w:right w:val="single" w:sz="4" w:color="999999"/>
            </w:tcBorders>
            <w:vAlign w:val="top"/>
          </w:tcPr>
          <w:p>
            <w:r/>
            <w:r>
              <w:rPr>
                <w:sz w:val="18"/>
              </w:rPr>
              <w:t>Direction trigger</w:t>
            </w:r>
          </w:p>
        </w:tc>
        <w:tc>
          <w:tcPr>
            <w:tcW w:type="dxa" w:w="7488"/>
            <w:tcBorders>
              <w:top w:val="single" w:sz="4" w:color="999999"/>
              <w:left w:val="single" w:sz="4" w:color="999999"/>
              <w:bottom w:val="single" w:sz="4" w:color="999999"/>
              <w:right w:val="single" w:sz="4" w:color="999999"/>
            </w:tcBorders>
            <w:vAlign w:val="top"/>
          </w:tcPr>
          <w:p>
            <w:r/>
            <w:r>
              <w:rPr>
                <w:sz w:val="18"/>
              </w:rPr>
              <w:t>SHORT — recent failed retests cluster at the upper boundary (10,510 on 2 May produced a lower high vs 10,934). VOLator slope positive (expanding); cross-asset MIXED but DAX confirming. Long-side breakout not eligible.</w:t>
            </w:r>
          </w:p>
        </w:tc>
      </w:tr>
      <w:tr>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Confirmed break threshold</w:t>
            </w:r>
          </w:p>
        </w:tc>
        <w:tc>
          <w:tcPr>
            <w:tcW w:type="dxa" w:w="7488"/>
            <w:tcBorders>
              <w:top w:val="single" w:sz="4" w:color="999999"/>
              <w:left w:val="single" w:sz="4" w:color="999999"/>
              <w:bottom w:val="single" w:sz="4" w:color="999999"/>
              <w:right w:val="single" w:sz="4" w:color="999999"/>
            </w:tcBorders>
            <w:vAlign w:val="top"/>
            <w:shd w:val="clear" w:color="auto" w:fill="F4F6F9"/>
          </w:tcPr>
          <w:p>
            <w:r/>
            <w:r>
              <w:rPr>
                <w:sz w:val="18"/>
              </w:rPr>
              <w:t>Daily close beyond a key boundary by ≥ 0.25 × ATR(14). ATR(14) estimate = 145 points → 36-point buffer required. Lower boundary buffer = 9,851 − 36 = 9,815. Note: this is below the current price and not yet confirmed.</w:t>
            </w:r>
          </w:p>
        </w:tc>
      </w:tr>
      <w:tr>
        <w:tc>
          <w:tcPr>
            <w:tcW w:type="dxa" w:w="2880"/>
            <w:tcBorders>
              <w:top w:val="single" w:sz="4" w:color="999999"/>
              <w:left w:val="single" w:sz="4" w:color="999999"/>
              <w:bottom w:val="single" w:sz="4" w:color="999999"/>
              <w:right w:val="single" w:sz="4" w:color="999999"/>
            </w:tcBorders>
            <w:vAlign w:val="top"/>
          </w:tcPr>
          <w:p>
            <w:r/>
            <w:r>
              <w:rPr>
                <w:sz w:val="18"/>
              </w:rPr>
              <w:t>Trade status</w:t>
            </w:r>
          </w:p>
        </w:tc>
        <w:tc>
          <w:tcPr>
            <w:tcW w:type="dxa" w:w="7488"/>
            <w:tcBorders>
              <w:top w:val="single" w:sz="4" w:color="999999"/>
              <w:left w:val="single" w:sz="4" w:color="999999"/>
              <w:bottom w:val="single" w:sz="4" w:color="999999"/>
              <w:right w:val="single" w:sz="4" w:color="999999"/>
            </w:tcBorders>
            <w:vAlign w:val="top"/>
          </w:tcPr>
          <w:p>
            <w:r/>
            <w:r>
              <w:rPr>
                <w:sz w:val="18"/>
              </w:rPr>
              <w:t>PENDING — no confirmed break has occurred. Index sits 377 points above 9,851 lower boundary. Trade arms only on a confirmed daily close below 9,815.</w:t>
            </w:r>
          </w:p>
        </w:tc>
      </w:tr>
      <w:tr>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Theoretical entry (if armed)</w:t>
            </w:r>
          </w:p>
        </w:tc>
        <w:tc>
          <w:tcPr>
            <w:tcW w:type="dxa" w:w="7488"/>
            <w:tcBorders>
              <w:top w:val="single" w:sz="4" w:color="999999"/>
              <w:left w:val="single" w:sz="4" w:color="999999"/>
              <w:bottom w:val="single" w:sz="4" w:color="999999"/>
              <w:right w:val="single" w:sz="4" w:color="999999"/>
            </w:tcBorders>
            <w:vAlign w:val="top"/>
            <w:shd w:val="clear" w:color="auto" w:fill="F4F6F9"/>
          </w:tcPr>
          <w:p>
            <w:r/>
            <w:r>
              <w:rPr>
                <w:sz w:val="18"/>
              </w:rPr>
              <w:t>On confirmed breakout candle close, market-on-next-open</w:t>
            </w:r>
          </w:p>
        </w:tc>
      </w:tr>
      <w:tr>
        <w:tc>
          <w:tcPr>
            <w:tcW w:type="dxa" w:w="2880"/>
            <w:tcBorders>
              <w:top w:val="single" w:sz="4" w:color="999999"/>
              <w:left w:val="single" w:sz="4" w:color="999999"/>
              <w:bottom w:val="single" w:sz="4" w:color="999999"/>
              <w:right w:val="single" w:sz="4" w:color="999999"/>
            </w:tcBorders>
            <w:vAlign w:val="top"/>
          </w:tcPr>
          <w:p>
            <w:r/>
            <w:r>
              <w:rPr>
                <w:sz w:val="18"/>
              </w:rPr>
              <w:t>Theoretical stop loss</w:t>
            </w:r>
          </w:p>
        </w:tc>
        <w:tc>
          <w:tcPr>
            <w:tcW w:type="dxa" w:w="7488"/>
            <w:tcBorders>
              <w:top w:val="single" w:sz="4" w:color="999999"/>
              <w:left w:val="single" w:sz="4" w:color="999999"/>
              <w:bottom w:val="single" w:sz="4" w:color="999999"/>
              <w:right w:val="single" w:sz="4" w:color="999999"/>
            </w:tcBorders>
            <w:vAlign w:val="top"/>
          </w:tcPr>
          <w:p>
            <w:r/>
            <w:r>
              <w:rPr>
                <w:sz w:val="18"/>
              </w:rPr>
              <w:t>9,851 + 0.40 × 1,083 = 10,284 (inside range, at far side of midpoint). Generous post-fakeout stop.</w:t>
            </w:r>
          </w:p>
        </w:tc>
      </w:tr>
      <w:tr>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Theoretical TP1 (1× measured move)</w:t>
            </w:r>
          </w:p>
        </w:tc>
        <w:tc>
          <w:tcPr>
            <w:tcW w:type="dxa" w:w="7488"/>
            <w:tcBorders>
              <w:top w:val="single" w:sz="4" w:color="999999"/>
              <w:left w:val="single" w:sz="4" w:color="999999"/>
              <w:bottom w:val="single" w:sz="4" w:color="999999"/>
              <w:right w:val="single" w:sz="4" w:color="999999"/>
            </w:tcBorders>
            <w:vAlign w:val="top"/>
            <w:shd w:val="clear" w:color="auto" w:fill="F4F6F9"/>
          </w:tcPr>
          <w:p>
            <w:r/>
            <w:r>
              <w:rPr>
                <w:sz w:val="18"/>
              </w:rPr>
              <w:t>9,851 − 1,083 = 8,768</w:t>
            </w:r>
          </w:p>
        </w:tc>
      </w:tr>
      <w:tr>
        <w:tc>
          <w:tcPr>
            <w:tcW w:type="dxa" w:w="2880"/>
            <w:tcBorders>
              <w:top w:val="single" w:sz="4" w:color="999999"/>
              <w:left w:val="single" w:sz="4" w:color="999999"/>
              <w:bottom w:val="single" w:sz="4" w:color="999999"/>
              <w:right w:val="single" w:sz="4" w:color="999999"/>
            </w:tcBorders>
            <w:vAlign w:val="top"/>
          </w:tcPr>
          <w:p>
            <w:r/>
            <w:r>
              <w:rPr>
                <w:sz w:val="18"/>
              </w:rPr>
              <w:t>Theoretical TP2 (1.5× measured move)</w:t>
            </w:r>
          </w:p>
        </w:tc>
        <w:tc>
          <w:tcPr>
            <w:tcW w:type="dxa" w:w="7488"/>
            <w:tcBorders>
              <w:top w:val="single" w:sz="4" w:color="999999"/>
              <w:left w:val="single" w:sz="4" w:color="999999"/>
              <w:bottom w:val="single" w:sz="4" w:color="999999"/>
              <w:right w:val="single" w:sz="4" w:color="999999"/>
            </w:tcBorders>
            <w:vAlign w:val="top"/>
          </w:tcPr>
          <w:p>
            <w:r/>
            <w:r>
              <w:rPr>
                <w:sz w:val="18"/>
              </w:rPr>
              <w:t>9,851 − 1,625 = 8,226</w:t>
            </w:r>
          </w:p>
        </w:tc>
      </w:tr>
      <w:tr>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Theoretical TP3 (runner)</w:t>
            </w:r>
          </w:p>
        </w:tc>
        <w:tc>
          <w:tcPr>
            <w:tcW w:type="dxa" w:w="7488"/>
            <w:tcBorders>
              <w:top w:val="single" w:sz="4" w:color="999999"/>
              <w:left w:val="single" w:sz="4" w:color="999999"/>
              <w:bottom w:val="single" w:sz="4" w:color="999999"/>
              <w:right w:val="single" w:sz="4" w:color="999999"/>
            </w:tcBorders>
            <w:vAlign w:val="top"/>
            <w:shd w:val="clear" w:color="auto" w:fill="F4F6F9"/>
          </w:tcPr>
          <w:p>
            <w:r/>
            <w:r>
              <w:rPr>
                <w:sz w:val="18"/>
              </w:rPr>
              <w:t>Discretionary trail beyond 1.5× MM, anchored to subsequent swing structure</w:t>
            </w:r>
          </w:p>
        </w:tc>
      </w:tr>
      <w:tr>
        <w:tc>
          <w:tcPr>
            <w:tcW w:type="dxa" w:w="2880"/>
            <w:tcBorders>
              <w:top w:val="single" w:sz="4" w:color="999999"/>
              <w:left w:val="single" w:sz="4" w:color="999999"/>
              <w:bottom w:val="single" w:sz="4" w:color="999999"/>
              <w:right w:val="single" w:sz="4" w:color="999999"/>
            </w:tcBorders>
            <w:vAlign w:val="top"/>
          </w:tcPr>
          <w:p>
            <w:r/>
            <w:r>
              <w:rPr>
                <w:sz w:val="18"/>
              </w:rPr>
              <w:t>Tranche management</w:t>
            </w:r>
          </w:p>
        </w:tc>
        <w:tc>
          <w:tcPr>
            <w:tcW w:type="dxa" w:w="7488"/>
            <w:tcBorders>
              <w:top w:val="single" w:sz="4" w:color="999999"/>
              <w:left w:val="single" w:sz="4" w:color="999999"/>
              <w:bottom w:val="single" w:sz="4" w:color="999999"/>
              <w:right w:val="single" w:sz="4" w:color="999999"/>
            </w:tcBorders>
            <w:vAlign w:val="top"/>
          </w:tcPr>
          <w:p>
            <w:r/>
            <w:r>
              <w:rPr>
                <w:sz w:val="18"/>
              </w:rPr>
              <w:t>3 equal units; on TP2 fill, Unit 3 SL → broken boundary at 9,851 (tighter than universal trail rule)</w:t>
            </w:r>
          </w:p>
        </w:tc>
      </w:tr>
      <w:tr>
        <w:tc>
          <w:tcPr>
            <w:tcW w:type="dxa" w:w="2880"/>
            <w:tcBorders>
              <w:top w:val="single" w:sz="4" w:color="999999"/>
              <w:left w:val="single" w:sz="4" w:color="999999"/>
              <w:bottom w:val="single" w:sz="4" w:color="999999"/>
              <w:right w:val="single" w:sz="4" w:color="999999"/>
            </w:tcBorders>
            <w:vAlign w:val="top"/>
            <w:shd w:val="clear" w:color="auto" w:fill="F4F6F9"/>
          </w:tcPr>
          <w:p>
            <w:r/>
            <w:r>
              <w:rPr>
                <w:sz w:val="18"/>
              </w:rPr>
              <w:t>Thesis invalidation</w:t>
            </w:r>
          </w:p>
        </w:tc>
        <w:tc>
          <w:tcPr>
            <w:tcW w:type="dxa" w:w="7488"/>
            <w:tcBorders>
              <w:top w:val="single" w:sz="4" w:color="999999"/>
              <w:left w:val="single" w:sz="4" w:color="999999"/>
              <w:bottom w:val="single" w:sz="4" w:color="999999"/>
              <w:right w:val="single" w:sz="4" w:color="999999"/>
            </w:tcBorders>
            <w:vAlign w:val="top"/>
            <w:shd w:val="clear" w:color="auto" w:fill="F4F6F9"/>
          </w:tcPr>
          <w:p>
            <w:r/>
            <w:r>
              <w:rPr>
                <w:sz w:val="18"/>
              </w:rPr>
              <w:t>Daily close back inside the range past the midpoint (10,393) — would invalidate the breakout entirely</w:t>
            </w:r>
          </w:p>
        </w:tc>
      </w:tr>
      <w:tr>
        <w:tc>
          <w:tcPr>
            <w:tcW w:type="dxa" w:w="2880"/>
            <w:tcBorders>
              <w:top w:val="single" w:sz="4" w:color="999999"/>
              <w:left w:val="single" w:sz="4" w:color="999999"/>
              <w:bottom w:val="single" w:sz="4" w:color="999999"/>
              <w:right w:val="single" w:sz="4" w:color="999999"/>
            </w:tcBorders>
            <w:vAlign w:val="top"/>
          </w:tcPr>
          <w:p>
            <w:r/>
            <w:r>
              <w:rPr>
                <w:sz w:val="18"/>
              </w:rPr>
              <w:t>Caveats</w:t>
            </w:r>
          </w:p>
        </w:tc>
        <w:tc>
          <w:tcPr>
            <w:tcW w:type="dxa" w:w="7488"/>
            <w:tcBorders>
              <w:top w:val="single" w:sz="4" w:color="999999"/>
              <w:left w:val="single" w:sz="4" w:color="999999"/>
              <w:bottom w:val="single" w:sz="4" w:color="999999"/>
              <w:right w:val="single" w:sz="4" w:color="999999"/>
            </w:tcBorders>
            <w:vAlign w:val="top"/>
          </w:tcPr>
          <w:p>
            <w:r/>
            <w:r>
              <w:rPr>
                <w:sz w:val="18"/>
              </w:rPr>
              <w:t>PENDING (not armed); single-source-indicative pivots: none; cross-asset MIXED could mute breakout follow-through; 25-session range is wide → stop distance large (R = 433 points) — position-sizing must be sized down to maintain unit risk budget</w:t>
            </w:r>
          </w:p>
        </w:tc>
      </w:tr>
    </w:tbl>
    <w:p>
      <w:pPr>
        <w:spacing w:before="120" w:after="60"/>
      </w:pPr>
      <w:r>
        <w:rPr>
          <w:b/>
          <w:i/>
          <w:color w:val="333333"/>
          <w:sz w:val="21"/>
        </w:rPr>
        <w:t>§21c  5-Session No-Leakage Backtest</w:t>
      </w:r>
    </w:p>
    <w:tbl>
      <w:tblPr>
        <w:tblW w:type="auto" w:w="0"/>
        <w:tblLayout w:type="fixed"/>
        <w:tblLook w:firstColumn="1" w:firstRow="1" w:lastColumn="0" w:lastRow="0" w:noHBand="0" w:noVBand="1" w:val="04A0"/>
      </w:tblPr>
      <w:tblGrid>
        <w:gridCol w:w="1377"/>
        <w:gridCol w:w="1377"/>
        <w:gridCol w:w="1377"/>
        <w:gridCol w:w="1377"/>
        <w:gridCol w:w="1377"/>
        <w:gridCol w:w="1377"/>
        <w:gridCol w:w="1377"/>
      </w:tblGrid>
      <w:tr>
        <w:tc>
          <w:tcPr>
            <w:tcW w:type="dxa" w:w="2016"/>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Date (t−N)</w:t>
            </w:r>
          </w:p>
        </w:tc>
        <w:tc>
          <w:tcPr>
            <w:tcW w:type="dxa" w:w="2304"/>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Strategy</w:t>
            </w:r>
          </w:p>
        </w:tc>
        <w:tc>
          <w:tcPr>
            <w:tcW w:type="dxa" w:w="2016"/>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Direction</w:t>
            </w:r>
          </w:p>
        </w:tc>
        <w:tc>
          <w:tcPr>
            <w:tcW w:type="dxa" w:w="1152"/>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Triggered</w:t>
            </w:r>
          </w:p>
        </w:tc>
        <w:tc>
          <w:tcPr>
            <w:tcW w:type="dxa" w:w="1872"/>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Entry / Exit</w:t>
            </w:r>
          </w:p>
        </w:tc>
        <w:tc>
          <w:tcPr>
            <w:tcW w:type="dxa" w:w="1152"/>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Outcome (R)</w:t>
            </w:r>
          </w:p>
        </w:tc>
        <w:tc>
          <w:tcPr>
            <w:tcW w:type="dxa" w:w="1008"/>
            <w:shd w:val="clear" w:color="auto" w:fill="A52A5A"/>
            <w:tcBorders>
              <w:top w:val="single" w:sz="4" w:color="999999"/>
              <w:left w:val="single" w:sz="4" w:color="999999"/>
              <w:bottom w:val="single" w:sz="4" w:color="999999"/>
              <w:right w:val="single" w:sz="4" w:color="999999"/>
            </w:tcBorders>
            <w:vAlign w:val="center"/>
          </w:tcPr>
          <w:p>
            <w:r/>
            <w:r>
              <w:rPr>
                <w:b/>
                <w:color w:val="FFFFFF"/>
                <w:sz w:val="18"/>
              </w:rPr>
              <w:t>Days to resolution</w:t>
            </w:r>
          </w:p>
        </w:tc>
      </w:tr>
      <w:tr>
        <w:tc>
          <w:tcPr>
            <w:tcW w:type="dxa" w:w="2016"/>
            <w:tcBorders>
              <w:top w:val="single" w:sz="4" w:color="999999"/>
              <w:left w:val="single" w:sz="4" w:color="999999"/>
              <w:bottom w:val="single" w:sz="4" w:color="999999"/>
              <w:right w:val="single" w:sz="4" w:color="999999"/>
            </w:tcBorders>
            <w:vAlign w:val="top"/>
          </w:tcPr>
          <w:p>
            <w:r/>
            <w:r>
              <w:rPr>
                <w:sz w:val="18"/>
              </w:rPr>
              <w:t>Fri 2 May 2026 (t−5)</w:t>
            </w:r>
          </w:p>
        </w:tc>
        <w:tc>
          <w:tcPr>
            <w:tcW w:type="dxa" w:w="2304"/>
            <w:tcBorders>
              <w:top w:val="single" w:sz="4" w:color="999999"/>
              <w:left w:val="single" w:sz="4" w:color="999999"/>
              <w:bottom w:val="single" w:sz="4" w:color="999999"/>
              <w:right w:val="single" w:sz="4" w:color="999999"/>
            </w:tcBorders>
            <w:vAlign w:val="top"/>
          </w:tcPr>
          <w:p>
            <w:r/>
            <w:r>
              <w:rPr>
                <w:sz w:val="18"/>
              </w:rPr>
              <w:t>Trade 1</w:t>
            </w:r>
          </w:p>
        </w:tc>
        <w:tc>
          <w:tcPr>
            <w:tcW w:type="dxa" w:w="2016"/>
            <w:tcBorders>
              <w:top w:val="single" w:sz="4" w:color="999999"/>
              <w:left w:val="single" w:sz="4" w:color="999999"/>
              <w:bottom w:val="single" w:sz="4" w:color="999999"/>
              <w:right w:val="single" w:sz="4" w:color="999999"/>
            </w:tcBorders>
            <w:vAlign w:val="top"/>
          </w:tcPr>
          <w:p>
            <w:r/>
            <w:r>
              <w:rPr>
                <w:sz w:val="18"/>
              </w:rPr>
              <w:t>LONG (regime then TREND_UP)</w:t>
            </w:r>
          </w:p>
        </w:tc>
        <w:tc>
          <w:tcPr>
            <w:tcW w:type="dxa" w:w="1152"/>
            <w:tcBorders>
              <w:top w:val="single" w:sz="4" w:color="999999"/>
              <w:left w:val="single" w:sz="4" w:color="999999"/>
              <w:bottom w:val="single" w:sz="4" w:color="999999"/>
              <w:right w:val="single" w:sz="4" w:color="999999"/>
            </w:tcBorders>
            <w:vAlign w:val="top"/>
          </w:tcPr>
          <w:p>
            <w:r/>
            <w:r>
              <w:rPr>
                <w:sz w:val="18"/>
              </w:rPr>
              <w:t>YES</w:t>
            </w:r>
          </w:p>
        </w:tc>
        <w:tc>
          <w:tcPr>
            <w:tcW w:type="dxa" w:w="1872"/>
            <w:tcBorders>
              <w:top w:val="single" w:sz="4" w:color="999999"/>
              <w:left w:val="single" w:sz="4" w:color="999999"/>
              <w:bottom w:val="single" w:sz="4" w:color="999999"/>
              <w:right w:val="single" w:sz="4" w:color="999999"/>
            </w:tcBorders>
            <w:vAlign w:val="top"/>
          </w:tcPr>
          <w:p>
            <w:r/>
            <w:r>
              <w:rPr>
                <w:sz w:val="18"/>
              </w:rPr>
              <w:t>10,488 → 10,402 (5 May SL)</w:t>
            </w:r>
          </w:p>
        </w:tc>
        <w:tc>
          <w:tcPr>
            <w:tcW w:type="dxa" w:w="1152"/>
            <w:tcBorders>
              <w:top w:val="single" w:sz="4" w:color="999999"/>
              <w:left w:val="single" w:sz="4" w:color="999999"/>
              <w:bottom w:val="single" w:sz="4" w:color="999999"/>
              <w:right w:val="single" w:sz="4" w:color="999999"/>
            </w:tcBorders>
            <w:vAlign w:val="top"/>
          </w:tcPr>
          <w:p>
            <w:r/>
            <w:r>
              <w:rPr>
                <w:sz w:val="18"/>
              </w:rPr>
              <w:t>−1.00R</w:t>
            </w:r>
          </w:p>
        </w:tc>
        <w:tc>
          <w:tcPr>
            <w:tcW w:type="dxa" w:w="1008"/>
            <w:tcBorders>
              <w:top w:val="single" w:sz="4" w:color="999999"/>
              <w:left w:val="single" w:sz="4" w:color="999999"/>
              <w:bottom w:val="single" w:sz="4" w:color="999999"/>
              <w:right w:val="single" w:sz="4" w:color="999999"/>
            </w:tcBorders>
            <w:vAlign w:val="top"/>
          </w:tcPr>
          <w:p>
            <w:r/>
            <w:r>
              <w:rPr>
                <w:sz w:val="18"/>
              </w:rPr>
              <w:t>1 day</w:t>
            </w:r>
          </w:p>
        </w:tc>
      </w:tr>
      <w:tr>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Fri 2 May 2026 (t−5)</w:t>
            </w:r>
          </w:p>
        </w:tc>
        <w:tc>
          <w:tcPr>
            <w:tcW w:type="dxa" w:w="2304"/>
            <w:tcBorders>
              <w:top w:val="single" w:sz="4" w:color="999999"/>
              <w:left w:val="single" w:sz="4" w:color="999999"/>
              <w:bottom w:val="single" w:sz="4" w:color="999999"/>
              <w:right w:val="single" w:sz="4" w:color="999999"/>
            </w:tcBorders>
            <w:vAlign w:val="top"/>
            <w:shd w:val="clear" w:color="auto" w:fill="F4F6F9"/>
          </w:tcPr>
          <w:p>
            <w:r/>
            <w:r>
              <w:rPr>
                <w:sz w:val="18"/>
              </w:rPr>
              <w:t>Trade 2 (Pivot, TREND_UP breakout)</w:t>
            </w:r>
          </w:p>
        </w:tc>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LONG above P (10,498)</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NO</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w:t>
            </w:r>
          </w:p>
        </w:tc>
      </w:tr>
      <w:tr>
        <w:tc>
          <w:tcPr>
            <w:tcW w:type="dxa" w:w="2016"/>
            <w:tcBorders>
              <w:top w:val="single" w:sz="4" w:color="999999"/>
              <w:left w:val="single" w:sz="4" w:color="999999"/>
              <w:bottom w:val="single" w:sz="4" w:color="999999"/>
              <w:right w:val="single" w:sz="4" w:color="999999"/>
            </w:tcBorders>
            <w:vAlign w:val="top"/>
          </w:tcPr>
          <w:p>
            <w:r/>
            <w:r>
              <w:rPr>
                <w:sz w:val="18"/>
              </w:rPr>
              <w:t>Fri 2 May 2026 (t−5)</w:t>
            </w:r>
          </w:p>
        </w:tc>
        <w:tc>
          <w:tcPr>
            <w:tcW w:type="dxa" w:w="2304"/>
            <w:tcBorders>
              <w:top w:val="single" w:sz="4" w:color="999999"/>
              <w:left w:val="single" w:sz="4" w:color="999999"/>
              <w:bottom w:val="single" w:sz="4" w:color="999999"/>
              <w:right w:val="single" w:sz="4" w:color="999999"/>
            </w:tcBorders>
            <w:vAlign w:val="top"/>
          </w:tcPr>
          <w:p>
            <w:r/>
            <w:r>
              <w:rPr>
                <w:sz w:val="18"/>
              </w:rPr>
              <w:t>Trade 3A (Momentum-Pullback)</w:t>
            </w:r>
          </w:p>
        </w:tc>
        <w:tc>
          <w:tcPr>
            <w:tcW w:type="dxa" w:w="2016"/>
            <w:tcBorders>
              <w:top w:val="single" w:sz="4" w:color="999999"/>
              <w:left w:val="single" w:sz="4" w:color="999999"/>
              <w:bottom w:val="single" w:sz="4" w:color="999999"/>
              <w:right w:val="single" w:sz="4" w:color="999999"/>
            </w:tcBorders>
            <w:vAlign w:val="top"/>
          </w:tcPr>
          <w:p>
            <w:r/>
            <w:r>
              <w:rPr>
                <w:sz w:val="18"/>
              </w:rPr>
              <w:t>LONG 38.2% retrace</w:t>
            </w:r>
          </w:p>
        </w:tc>
        <w:tc>
          <w:tcPr>
            <w:tcW w:type="dxa" w:w="1152"/>
            <w:tcBorders>
              <w:top w:val="single" w:sz="4" w:color="999999"/>
              <w:left w:val="single" w:sz="4" w:color="999999"/>
              <w:bottom w:val="single" w:sz="4" w:color="999999"/>
              <w:right w:val="single" w:sz="4" w:color="999999"/>
            </w:tcBorders>
            <w:vAlign w:val="top"/>
          </w:tcPr>
          <w:p>
            <w:r/>
            <w:r>
              <w:rPr>
                <w:sz w:val="18"/>
              </w:rPr>
              <w:t>NO (no eligible pullback that session)</w:t>
            </w:r>
          </w:p>
        </w:tc>
        <w:tc>
          <w:tcPr>
            <w:tcW w:type="dxa" w:w="1872"/>
            <w:tcBorders>
              <w:top w:val="single" w:sz="4" w:color="999999"/>
              <w:left w:val="single" w:sz="4" w:color="999999"/>
              <w:bottom w:val="single" w:sz="4" w:color="999999"/>
              <w:right w:val="single" w:sz="4" w:color="999999"/>
            </w:tcBorders>
            <w:vAlign w:val="top"/>
          </w:tcPr>
          <w:p>
            <w:r/>
            <w:r>
              <w:rPr>
                <w:sz w:val="18"/>
              </w:rPr>
              <w:t>—</w:t>
            </w:r>
          </w:p>
        </w:tc>
        <w:tc>
          <w:tcPr>
            <w:tcW w:type="dxa" w:w="1152"/>
            <w:tcBorders>
              <w:top w:val="single" w:sz="4" w:color="999999"/>
              <w:left w:val="single" w:sz="4" w:color="999999"/>
              <w:bottom w:val="single" w:sz="4" w:color="999999"/>
              <w:right w:val="single" w:sz="4" w:color="999999"/>
            </w:tcBorders>
            <w:vAlign w:val="top"/>
          </w:tcPr>
          <w:p>
            <w:r/>
            <w:r>
              <w:rPr>
                <w:sz w:val="18"/>
              </w:rPr>
              <w:t>—</w:t>
            </w:r>
          </w:p>
        </w:tc>
        <w:tc>
          <w:tcPr>
            <w:tcW w:type="dxa" w:w="1008"/>
            <w:tcBorders>
              <w:top w:val="single" w:sz="4" w:color="999999"/>
              <w:left w:val="single" w:sz="4" w:color="999999"/>
              <w:bottom w:val="single" w:sz="4" w:color="999999"/>
              <w:right w:val="single" w:sz="4" w:color="999999"/>
            </w:tcBorders>
            <w:vAlign w:val="top"/>
          </w:tcPr>
          <w:p>
            <w:r/>
            <w:r>
              <w:rPr>
                <w:sz w:val="18"/>
              </w:rPr>
              <w:t>—</w:t>
            </w:r>
          </w:p>
        </w:tc>
      </w:tr>
      <w:tr>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Tue 5 May 2026 (t−4)</w:t>
            </w:r>
          </w:p>
        </w:tc>
        <w:tc>
          <w:tcPr>
            <w:tcW w:type="dxa" w:w="2304"/>
            <w:tcBorders>
              <w:top w:val="single" w:sz="4" w:color="999999"/>
              <w:left w:val="single" w:sz="4" w:color="999999"/>
              <w:bottom w:val="single" w:sz="4" w:color="999999"/>
              <w:right w:val="single" w:sz="4" w:color="999999"/>
            </w:tcBorders>
            <w:vAlign w:val="top"/>
            <w:shd w:val="clear" w:color="auto" w:fill="F4F6F9"/>
          </w:tcPr>
          <w:p>
            <w:r/>
            <w:r>
              <w:rPr>
                <w:sz w:val="18"/>
              </w:rPr>
              <w:t>Trade 1</w:t>
            </w:r>
          </w:p>
        </w:tc>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NEUTRAL (score −0.18, suppressed)</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SUPPRESSED</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w:t>
            </w:r>
          </w:p>
        </w:tc>
      </w:tr>
      <w:tr>
        <w:tc>
          <w:tcPr>
            <w:tcW w:type="dxa" w:w="2016"/>
            <w:tcBorders>
              <w:top w:val="single" w:sz="4" w:color="999999"/>
              <w:left w:val="single" w:sz="4" w:color="999999"/>
              <w:bottom w:val="single" w:sz="4" w:color="999999"/>
              <w:right w:val="single" w:sz="4" w:color="999999"/>
            </w:tcBorders>
            <w:vAlign w:val="top"/>
          </w:tcPr>
          <w:p>
            <w:r/>
            <w:r>
              <w:rPr>
                <w:sz w:val="18"/>
              </w:rPr>
              <w:t>Tue 5 May 2026 (t−4)</w:t>
            </w:r>
          </w:p>
        </w:tc>
        <w:tc>
          <w:tcPr>
            <w:tcW w:type="dxa" w:w="2304"/>
            <w:tcBorders>
              <w:top w:val="single" w:sz="4" w:color="999999"/>
              <w:left w:val="single" w:sz="4" w:color="999999"/>
              <w:bottom w:val="single" w:sz="4" w:color="999999"/>
              <w:right w:val="single" w:sz="4" w:color="999999"/>
            </w:tcBorders>
            <w:vAlign w:val="top"/>
          </w:tcPr>
          <w:p>
            <w:r/>
            <w:r>
              <w:rPr>
                <w:sz w:val="18"/>
              </w:rPr>
              <w:t>Trade 2 (Pivot, TRANSITION breakout-side)</w:t>
            </w:r>
          </w:p>
        </w:tc>
        <w:tc>
          <w:tcPr>
            <w:tcW w:type="dxa" w:w="2016"/>
            <w:tcBorders>
              <w:top w:val="single" w:sz="4" w:color="999999"/>
              <w:left w:val="single" w:sz="4" w:color="999999"/>
              <w:bottom w:val="single" w:sz="4" w:color="999999"/>
              <w:right w:val="single" w:sz="4" w:color="999999"/>
            </w:tcBorders>
            <w:vAlign w:val="top"/>
          </w:tcPr>
          <w:p>
            <w:r/>
            <w:r>
              <w:rPr>
                <w:sz w:val="18"/>
              </w:rPr>
              <w:t>SHORT below S1 (10,394)</w:t>
            </w:r>
          </w:p>
        </w:tc>
        <w:tc>
          <w:tcPr>
            <w:tcW w:type="dxa" w:w="1152"/>
            <w:tcBorders>
              <w:top w:val="single" w:sz="4" w:color="999999"/>
              <w:left w:val="single" w:sz="4" w:color="999999"/>
              <w:bottom w:val="single" w:sz="4" w:color="999999"/>
              <w:right w:val="single" w:sz="4" w:color="999999"/>
            </w:tcBorders>
            <w:vAlign w:val="top"/>
          </w:tcPr>
          <w:p>
            <w:r/>
            <w:r>
              <w:rPr>
                <w:sz w:val="18"/>
              </w:rPr>
              <w:t>YES (Thu 7 May)</w:t>
            </w:r>
          </w:p>
        </w:tc>
        <w:tc>
          <w:tcPr>
            <w:tcW w:type="dxa" w:w="1872"/>
            <w:tcBorders>
              <w:top w:val="single" w:sz="4" w:color="999999"/>
              <w:left w:val="single" w:sz="4" w:color="999999"/>
              <w:bottom w:val="single" w:sz="4" w:color="999999"/>
              <w:right w:val="single" w:sz="4" w:color="999999"/>
            </w:tcBorders>
            <w:vAlign w:val="top"/>
          </w:tcPr>
          <w:p>
            <w:r/>
            <w:r>
              <w:rPr>
                <w:sz w:val="18"/>
              </w:rPr>
              <w:t>10,394 → 10,255 (7 May low)</w:t>
            </w:r>
          </w:p>
        </w:tc>
        <w:tc>
          <w:tcPr>
            <w:tcW w:type="dxa" w:w="1152"/>
            <w:tcBorders>
              <w:top w:val="single" w:sz="4" w:color="999999"/>
              <w:left w:val="single" w:sz="4" w:color="999999"/>
              <w:bottom w:val="single" w:sz="4" w:color="999999"/>
              <w:right w:val="single" w:sz="4" w:color="999999"/>
            </w:tcBorders>
            <w:vAlign w:val="top"/>
          </w:tcPr>
          <w:p>
            <w:r/>
            <w:r>
              <w:rPr>
                <w:sz w:val="18"/>
              </w:rPr>
              <w:t>+1.00R then partial</w:t>
            </w:r>
          </w:p>
        </w:tc>
        <w:tc>
          <w:tcPr>
            <w:tcW w:type="dxa" w:w="1008"/>
            <w:tcBorders>
              <w:top w:val="single" w:sz="4" w:color="999999"/>
              <w:left w:val="single" w:sz="4" w:color="999999"/>
              <w:bottom w:val="single" w:sz="4" w:color="999999"/>
              <w:right w:val="single" w:sz="4" w:color="999999"/>
            </w:tcBorders>
            <w:vAlign w:val="top"/>
          </w:tcPr>
          <w:p>
            <w:r/>
            <w:r>
              <w:rPr>
                <w:sz w:val="18"/>
              </w:rPr>
              <w:t>2 days (TP1 hit; Unit 2/3 open)</w:t>
            </w:r>
          </w:p>
        </w:tc>
      </w:tr>
      <w:tr>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Tue 5 May 2026 (t−4)</w:t>
            </w:r>
          </w:p>
        </w:tc>
        <w:tc>
          <w:tcPr>
            <w:tcW w:type="dxa" w:w="2304"/>
            <w:tcBorders>
              <w:top w:val="single" w:sz="4" w:color="999999"/>
              <w:left w:val="single" w:sz="4" w:color="999999"/>
              <w:bottom w:val="single" w:sz="4" w:color="999999"/>
              <w:right w:val="single" w:sz="4" w:color="999999"/>
            </w:tcBorders>
            <w:vAlign w:val="top"/>
            <w:shd w:val="clear" w:color="auto" w:fill="F4F6F9"/>
          </w:tcPr>
          <w:p>
            <w:r/>
            <w:r>
              <w:rPr>
                <w:sz w:val="18"/>
              </w:rPr>
              <w:t>Trade 3C (Momentum-Breakout)</w:t>
            </w:r>
          </w:p>
        </w:tc>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PENDING (no break)</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NO</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w:t>
            </w:r>
          </w:p>
        </w:tc>
      </w:tr>
      <w:tr>
        <w:tc>
          <w:tcPr>
            <w:tcW w:type="dxa" w:w="2016"/>
            <w:tcBorders>
              <w:top w:val="single" w:sz="4" w:color="999999"/>
              <w:left w:val="single" w:sz="4" w:color="999999"/>
              <w:bottom w:val="single" w:sz="4" w:color="999999"/>
              <w:right w:val="single" w:sz="4" w:color="999999"/>
            </w:tcBorders>
            <w:vAlign w:val="top"/>
          </w:tcPr>
          <w:p>
            <w:r/>
            <w:r>
              <w:rPr>
                <w:sz w:val="18"/>
              </w:rPr>
              <w:t>Wed 6 May 2026 (t−3)</w:t>
            </w:r>
          </w:p>
        </w:tc>
        <w:tc>
          <w:tcPr>
            <w:tcW w:type="dxa" w:w="2304"/>
            <w:tcBorders>
              <w:top w:val="single" w:sz="4" w:color="999999"/>
              <w:left w:val="single" w:sz="4" w:color="999999"/>
              <w:bottom w:val="single" w:sz="4" w:color="999999"/>
              <w:right w:val="single" w:sz="4" w:color="999999"/>
            </w:tcBorders>
            <w:vAlign w:val="top"/>
          </w:tcPr>
          <w:p>
            <w:r/>
            <w:r>
              <w:rPr>
                <w:sz w:val="18"/>
              </w:rPr>
              <w:t>Trade 1</w:t>
            </w:r>
          </w:p>
        </w:tc>
        <w:tc>
          <w:tcPr>
            <w:tcW w:type="dxa" w:w="2016"/>
            <w:tcBorders>
              <w:top w:val="single" w:sz="4" w:color="999999"/>
              <w:left w:val="single" w:sz="4" w:color="999999"/>
              <w:bottom w:val="single" w:sz="4" w:color="999999"/>
              <w:right w:val="single" w:sz="4" w:color="999999"/>
            </w:tcBorders>
            <w:vAlign w:val="top"/>
          </w:tcPr>
          <w:p>
            <w:r/>
            <w:r>
              <w:rPr>
                <w:sz w:val="18"/>
              </w:rPr>
              <w:t>NEUTRAL (score −0.10, suppressed)</w:t>
            </w:r>
          </w:p>
        </w:tc>
        <w:tc>
          <w:tcPr>
            <w:tcW w:type="dxa" w:w="1152"/>
            <w:tcBorders>
              <w:top w:val="single" w:sz="4" w:color="999999"/>
              <w:left w:val="single" w:sz="4" w:color="999999"/>
              <w:bottom w:val="single" w:sz="4" w:color="999999"/>
              <w:right w:val="single" w:sz="4" w:color="999999"/>
            </w:tcBorders>
            <w:vAlign w:val="top"/>
          </w:tcPr>
          <w:p>
            <w:r/>
            <w:r>
              <w:rPr>
                <w:sz w:val="18"/>
              </w:rPr>
              <w:t>—</w:t>
            </w:r>
          </w:p>
        </w:tc>
        <w:tc>
          <w:tcPr>
            <w:tcW w:type="dxa" w:w="1872"/>
            <w:tcBorders>
              <w:top w:val="single" w:sz="4" w:color="999999"/>
              <w:left w:val="single" w:sz="4" w:color="999999"/>
              <w:bottom w:val="single" w:sz="4" w:color="999999"/>
              <w:right w:val="single" w:sz="4" w:color="999999"/>
            </w:tcBorders>
            <w:vAlign w:val="top"/>
          </w:tcPr>
          <w:p>
            <w:r/>
            <w:r>
              <w:rPr>
                <w:sz w:val="18"/>
              </w:rPr>
              <w:t>SUPPRESSED</w:t>
            </w:r>
          </w:p>
        </w:tc>
        <w:tc>
          <w:tcPr>
            <w:tcW w:type="dxa" w:w="1152"/>
            <w:tcBorders>
              <w:top w:val="single" w:sz="4" w:color="999999"/>
              <w:left w:val="single" w:sz="4" w:color="999999"/>
              <w:bottom w:val="single" w:sz="4" w:color="999999"/>
              <w:right w:val="single" w:sz="4" w:color="999999"/>
            </w:tcBorders>
            <w:vAlign w:val="top"/>
          </w:tcPr>
          <w:p>
            <w:r/>
            <w:r>
              <w:rPr>
                <w:sz w:val="18"/>
              </w:rPr>
              <w:t>—</w:t>
            </w:r>
          </w:p>
        </w:tc>
        <w:tc>
          <w:tcPr>
            <w:tcW w:type="dxa" w:w="1008"/>
            <w:tcBorders>
              <w:top w:val="single" w:sz="4" w:color="999999"/>
              <w:left w:val="single" w:sz="4" w:color="999999"/>
              <w:bottom w:val="single" w:sz="4" w:color="999999"/>
              <w:right w:val="single" w:sz="4" w:color="999999"/>
            </w:tcBorders>
            <w:vAlign w:val="top"/>
          </w:tcPr>
          <w:p>
            <w:r/>
            <w:r>
              <w:rPr>
                <w:sz w:val="18"/>
              </w:rPr>
              <w:t>—</w:t>
            </w:r>
          </w:p>
        </w:tc>
      </w:tr>
      <w:tr>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Wed 6 May 2026 (t−3)</w:t>
            </w:r>
          </w:p>
        </w:tc>
        <w:tc>
          <w:tcPr>
            <w:tcW w:type="dxa" w:w="2304"/>
            <w:tcBorders>
              <w:top w:val="single" w:sz="4" w:color="999999"/>
              <w:left w:val="single" w:sz="4" w:color="999999"/>
              <w:bottom w:val="single" w:sz="4" w:color="999999"/>
              <w:right w:val="single" w:sz="4" w:color="999999"/>
            </w:tcBorders>
            <w:vAlign w:val="top"/>
            <w:shd w:val="clear" w:color="auto" w:fill="F4F6F9"/>
          </w:tcPr>
          <w:p>
            <w:r/>
            <w:r>
              <w:rPr>
                <w:sz w:val="18"/>
              </w:rPr>
              <w:t>Trade 2 (Pivot, TRANSITION)</w:t>
            </w:r>
          </w:p>
        </w:tc>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SHORT below S1 (still active)</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Already triggered Tue</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w:t>
            </w:r>
          </w:p>
        </w:tc>
      </w:tr>
      <w:tr>
        <w:tc>
          <w:tcPr>
            <w:tcW w:type="dxa" w:w="2016"/>
            <w:tcBorders>
              <w:top w:val="single" w:sz="4" w:color="999999"/>
              <w:left w:val="single" w:sz="4" w:color="999999"/>
              <w:bottom w:val="single" w:sz="4" w:color="999999"/>
              <w:right w:val="single" w:sz="4" w:color="999999"/>
            </w:tcBorders>
            <w:vAlign w:val="top"/>
          </w:tcPr>
          <w:p>
            <w:r/>
            <w:r>
              <w:rPr>
                <w:sz w:val="18"/>
              </w:rPr>
              <w:t>Wed 6 May 2026 (t−3)</w:t>
            </w:r>
          </w:p>
        </w:tc>
        <w:tc>
          <w:tcPr>
            <w:tcW w:type="dxa" w:w="2304"/>
            <w:tcBorders>
              <w:top w:val="single" w:sz="4" w:color="999999"/>
              <w:left w:val="single" w:sz="4" w:color="999999"/>
              <w:bottom w:val="single" w:sz="4" w:color="999999"/>
              <w:right w:val="single" w:sz="4" w:color="999999"/>
            </w:tcBorders>
            <w:vAlign w:val="top"/>
          </w:tcPr>
          <w:p>
            <w:r/>
            <w:r>
              <w:rPr>
                <w:sz w:val="18"/>
              </w:rPr>
              <w:t>Trade 3C</w:t>
            </w:r>
          </w:p>
        </w:tc>
        <w:tc>
          <w:tcPr>
            <w:tcW w:type="dxa" w:w="2016"/>
            <w:tcBorders>
              <w:top w:val="single" w:sz="4" w:color="999999"/>
              <w:left w:val="single" w:sz="4" w:color="999999"/>
              <w:bottom w:val="single" w:sz="4" w:color="999999"/>
              <w:right w:val="single" w:sz="4" w:color="999999"/>
            </w:tcBorders>
            <w:vAlign w:val="top"/>
          </w:tcPr>
          <w:p>
            <w:r/>
            <w:r>
              <w:rPr>
                <w:sz w:val="18"/>
              </w:rPr>
              <w:t>PENDING</w:t>
            </w:r>
          </w:p>
        </w:tc>
        <w:tc>
          <w:tcPr>
            <w:tcW w:type="dxa" w:w="1152"/>
            <w:tcBorders>
              <w:top w:val="single" w:sz="4" w:color="999999"/>
              <w:left w:val="single" w:sz="4" w:color="999999"/>
              <w:bottom w:val="single" w:sz="4" w:color="999999"/>
              <w:right w:val="single" w:sz="4" w:color="999999"/>
            </w:tcBorders>
            <w:vAlign w:val="top"/>
          </w:tcPr>
          <w:p>
            <w:r/>
            <w:r>
              <w:rPr>
                <w:sz w:val="18"/>
              </w:rPr>
              <w:t>NO</w:t>
            </w:r>
          </w:p>
        </w:tc>
        <w:tc>
          <w:tcPr>
            <w:tcW w:type="dxa" w:w="1872"/>
            <w:tcBorders>
              <w:top w:val="single" w:sz="4" w:color="999999"/>
              <w:left w:val="single" w:sz="4" w:color="999999"/>
              <w:bottom w:val="single" w:sz="4" w:color="999999"/>
              <w:right w:val="single" w:sz="4" w:color="999999"/>
            </w:tcBorders>
            <w:vAlign w:val="top"/>
          </w:tcPr>
          <w:p>
            <w:r/>
            <w:r>
              <w:rPr>
                <w:sz w:val="18"/>
              </w:rPr>
              <w:t>—</w:t>
            </w:r>
          </w:p>
        </w:tc>
        <w:tc>
          <w:tcPr>
            <w:tcW w:type="dxa" w:w="1152"/>
            <w:tcBorders>
              <w:top w:val="single" w:sz="4" w:color="999999"/>
              <w:left w:val="single" w:sz="4" w:color="999999"/>
              <w:bottom w:val="single" w:sz="4" w:color="999999"/>
              <w:right w:val="single" w:sz="4" w:color="999999"/>
            </w:tcBorders>
            <w:vAlign w:val="top"/>
          </w:tcPr>
          <w:p>
            <w:r/>
            <w:r>
              <w:rPr>
                <w:sz w:val="18"/>
              </w:rPr>
              <w:t>—</w:t>
            </w:r>
          </w:p>
        </w:tc>
        <w:tc>
          <w:tcPr>
            <w:tcW w:type="dxa" w:w="1008"/>
            <w:tcBorders>
              <w:top w:val="single" w:sz="4" w:color="999999"/>
              <w:left w:val="single" w:sz="4" w:color="999999"/>
              <w:bottom w:val="single" w:sz="4" w:color="999999"/>
              <w:right w:val="single" w:sz="4" w:color="999999"/>
            </w:tcBorders>
            <w:vAlign w:val="top"/>
          </w:tcPr>
          <w:p>
            <w:r/>
            <w:r>
              <w:rPr>
                <w:sz w:val="18"/>
              </w:rPr>
              <w:t>—</w:t>
            </w:r>
          </w:p>
        </w:tc>
      </w:tr>
      <w:tr>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Thu 7 May 2026 (t−2)</w:t>
            </w:r>
          </w:p>
        </w:tc>
        <w:tc>
          <w:tcPr>
            <w:tcW w:type="dxa" w:w="2304"/>
            <w:tcBorders>
              <w:top w:val="single" w:sz="4" w:color="999999"/>
              <w:left w:val="single" w:sz="4" w:color="999999"/>
              <w:bottom w:val="single" w:sz="4" w:color="999999"/>
              <w:right w:val="single" w:sz="4" w:color="999999"/>
            </w:tcBorders>
            <w:vAlign w:val="top"/>
            <w:shd w:val="clear" w:color="auto" w:fill="F4F6F9"/>
          </w:tcPr>
          <w:p>
            <w:r/>
            <w:r>
              <w:rPr>
                <w:sz w:val="18"/>
              </w:rPr>
              <w:t>Trade 1</w:t>
            </w:r>
          </w:p>
        </w:tc>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SHORT (score −0.32)</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YES</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10,455 open → 10,262 close</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+1.33R (target TP1 +1R passed; runner open)</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1 day (OPEN @ +0.5R into Fri)</w:t>
            </w:r>
          </w:p>
        </w:tc>
      </w:tr>
      <w:tr>
        <w:tc>
          <w:tcPr>
            <w:tcW w:type="dxa" w:w="2016"/>
            <w:tcBorders>
              <w:top w:val="single" w:sz="4" w:color="999999"/>
              <w:left w:val="single" w:sz="4" w:color="999999"/>
              <w:bottom w:val="single" w:sz="4" w:color="999999"/>
              <w:right w:val="single" w:sz="4" w:color="999999"/>
            </w:tcBorders>
            <w:vAlign w:val="top"/>
          </w:tcPr>
          <w:p>
            <w:r/>
            <w:r>
              <w:rPr>
                <w:sz w:val="18"/>
              </w:rPr>
              <w:t>Thu 7 May 2026 (t−2)</w:t>
            </w:r>
          </w:p>
        </w:tc>
        <w:tc>
          <w:tcPr>
            <w:tcW w:type="dxa" w:w="2304"/>
            <w:tcBorders>
              <w:top w:val="single" w:sz="4" w:color="999999"/>
              <w:left w:val="single" w:sz="4" w:color="999999"/>
              <w:bottom w:val="single" w:sz="4" w:color="999999"/>
              <w:right w:val="single" w:sz="4" w:color="999999"/>
            </w:tcBorders>
            <w:vAlign w:val="top"/>
          </w:tcPr>
          <w:p>
            <w:r/>
            <w:r>
              <w:rPr>
                <w:sz w:val="18"/>
              </w:rPr>
              <w:t>Trade 2 (Pivot, TRANSITION)</w:t>
            </w:r>
          </w:p>
        </w:tc>
        <w:tc>
          <w:tcPr>
            <w:tcW w:type="dxa" w:w="2016"/>
            <w:tcBorders>
              <w:top w:val="single" w:sz="4" w:color="999999"/>
              <w:left w:val="single" w:sz="4" w:color="999999"/>
              <w:bottom w:val="single" w:sz="4" w:color="999999"/>
              <w:right w:val="single" w:sz="4" w:color="999999"/>
            </w:tcBorders>
            <w:vAlign w:val="top"/>
          </w:tcPr>
          <w:p>
            <w:r/>
            <w:r>
              <w:rPr>
                <w:sz w:val="18"/>
              </w:rPr>
              <w:t>SHORT (carried)</w:t>
            </w:r>
          </w:p>
        </w:tc>
        <w:tc>
          <w:tcPr>
            <w:tcW w:type="dxa" w:w="1152"/>
            <w:tcBorders>
              <w:top w:val="single" w:sz="4" w:color="999999"/>
              <w:left w:val="single" w:sz="4" w:color="999999"/>
              <w:bottom w:val="single" w:sz="4" w:color="999999"/>
              <w:right w:val="single" w:sz="4" w:color="999999"/>
            </w:tcBorders>
            <w:vAlign w:val="top"/>
          </w:tcPr>
          <w:p>
            <w:r/>
            <w:r>
              <w:rPr>
                <w:sz w:val="18"/>
              </w:rPr>
              <w:t>—</w:t>
            </w:r>
          </w:p>
        </w:tc>
        <w:tc>
          <w:tcPr>
            <w:tcW w:type="dxa" w:w="1872"/>
            <w:tcBorders>
              <w:top w:val="single" w:sz="4" w:color="999999"/>
              <w:left w:val="single" w:sz="4" w:color="999999"/>
              <w:bottom w:val="single" w:sz="4" w:color="999999"/>
              <w:right w:val="single" w:sz="4" w:color="999999"/>
            </w:tcBorders>
            <w:vAlign w:val="top"/>
          </w:tcPr>
          <w:p>
            <w:r/>
            <w:r>
              <w:rPr>
                <w:sz w:val="18"/>
              </w:rPr>
              <w:t>Carried</w:t>
            </w:r>
          </w:p>
        </w:tc>
        <w:tc>
          <w:tcPr>
            <w:tcW w:type="dxa" w:w="1152"/>
            <w:tcBorders>
              <w:top w:val="single" w:sz="4" w:color="999999"/>
              <w:left w:val="single" w:sz="4" w:color="999999"/>
              <w:bottom w:val="single" w:sz="4" w:color="999999"/>
              <w:right w:val="single" w:sz="4" w:color="999999"/>
            </w:tcBorders>
            <w:vAlign w:val="top"/>
          </w:tcPr>
          <w:p>
            <w:r/>
            <w:r>
              <w:rPr>
                <w:sz w:val="18"/>
              </w:rPr>
              <w:t>+2.00R (TP2 hit during Thu range)</w:t>
            </w:r>
          </w:p>
        </w:tc>
        <w:tc>
          <w:tcPr>
            <w:tcW w:type="dxa" w:w="1008"/>
            <w:tcBorders>
              <w:top w:val="single" w:sz="4" w:color="999999"/>
              <w:left w:val="single" w:sz="4" w:color="999999"/>
              <w:bottom w:val="single" w:sz="4" w:color="999999"/>
              <w:right w:val="single" w:sz="4" w:color="999999"/>
            </w:tcBorders>
            <w:vAlign w:val="top"/>
          </w:tcPr>
          <w:p>
            <w:r/>
            <w:r>
              <w:rPr>
                <w:sz w:val="18"/>
              </w:rPr>
              <w:t>3 days</w:t>
            </w:r>
          </w:p>
        </w:tc>
      </w:tr>
      <w:tr>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Thu 7 May 2026 (t−2)</w:t>
            </w:r>
          </w:p>
        </w:tc>
        <w:tc>
          <w:tcPr>
            <w:tcW w:type="dxa" w:w="2304"/>
            <w:tcBorders>
              <w:top w:val="single" w:sz="4" w:color="999999"/>
              <w:left w:val="single" w:sz="4" w:color="999999"/>
              <w:bottom w:val="single" w:sz="4" w:color="999999"/>
              <w:right w:val="single" w:sz="4" w:color="999999"/>
            </w:tcBorders>
            <w:vAlign w:val="top"/>
            <w:shd w:val="clear" w:color="auto" w:fill="F4F6F9"/>
          </w:tcPr>
          <w:p>
            <w:r/>
            <w:r>
              <w:rPr>
                <w:sz w:val="18"/>
              </w:rPr>
              <w:t>Trade 3C</w:t>
            </w:r>
          </w:p>
        </w:tc>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PENDING</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NO</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w:t>
            </w:r>
          </w:p>
        </w:tc>
      </w:tr>
      <w:tr>
        <w:tc>
          <w:tcPr>
            <w:tcW w:type="dxa" w:w="2016"/>
            <w:tcBorders>
              <w:top w:val="single" w:sz="4" w:color="999999"/>
              <w:left w:val="single" w:sz="4" w:color="999999"/>
              <w:bottom w:val="single" w:sz="4" w:color="999999"/>
              <w:right w:val="single" w:sz="4" w:color="999999"/>
            </w:tcBorders>
            <w:vAlign w:val="top"/>
          </w:tcPr>
          <w:p>
            <w:r/>
            <w:r>
              <w:rPr>
                <w:sz w:val="18"/>
              </w:rPr>
              <w:t>Fri 8 May 2026 (t−1)</w:t>
            </w:r>
          </w:p>
        </w:tc>
        <w:tc>
          <w:tcPr>
            <w:tcW w:type="dxa" w:w="2304"/>
            <w:tcBorders>
              <w:top w:val="single" w:sz="4" w:color="999999"/>
              <w:left w:val="single" w:sz="4" w:color="999999"/>
              <w:bottom w:val="single" w:sz="4" w:color="999999"/>
              <w:right w:val="single" w:sz="4" w:color="999999"/>
            </w:tcBorders>
            <w:vAlign w:val="top"/>
          </w:tcPr>
          <w:p>
            <w:r/>
            <w:r>
              <w:rPr>
                <w:sz w:val="18"/>
              </w:rPr>
              <w:t>Trade 1</w:t>
            </w:r>
          </w:p>
        </w:tc>
        <w:tc>
          <w:tcPr>
            <w:tcW w:type="dxa" w:w="2016"/>
            <w:tcBorders>
              <w:top w:val="single" w:sz="4" w:color="999999"/>
              <w:left w:val="single" w:sz="4" w:color="999999"/>
              <w:bottom w:val="single" w:sz="4" w:color="999999"/>
              <w:right w:val="single" w:sz="4" w:color="999999"/>
            </w:tcBorders>
            <w:vAlign w:val="top"/>
          </w:tcPr>
          <w:p>
            <w:r/>
            <w:r>
              <w:rPr>
                <w:sz w:val="18"/>
              </w:rPr>
              <w:t>SHORT (score −0.28; carried)</w:t>
            </w:r>
          </w:p>
        </w:tc>
        <w:tc>
          <w:tcPr>
            <w:tcW w:type="dxa" w:w="1152"/>
            <w:tcBorders>
              <w:top w:val="single" w:sz="4" w:color="999999"/>
              <w:left w:val="single" w:sz="4" w:color="999999"/>
              <w:bottom w:val="single" w:sz="4" w:color="999999"/>
              <w:right w:val="single" w:sz="4" w:color="999999"/>
            </w:tcBorders>
            <w:vAlign w:val="top"/>
          </w:tcPr>
          <w:p>
            <w:r/>
            <w:r>
              <w:rPr>
                <w:sz w:val="18"/>
              </w:rPr>
              <w:t>Carried</w:t>
            </w:r>
          </w:p>
        </w:tc>
        <w:tc>
          <w:tcPr>
            <w:tcW w:type="dxa" w:w="1872"/>
            <w:tcBorders>
              <w:top w:val="single" w:sz="4" w:color="999999"/>
              <w:left w:val="single" w:sz="4" w:color="999999"/>
              <w:bottom w:val="single" w:sz="4" w:color="999999"/>
              <w:right w:val="single" w:sz="4" w:color="999999"/>
            </w:tcBorders>
            <w:vAlign w:val="top"/>
          </w:tcPr>
          <w:p>
            <w:r/>
            <w:r>
              <w:rPr>
                <w:sz w:val="18"/>
              </w:rPr>
              <w:t>Runner from Thu (10,262) — Fri close 10,228</w:t>
            </w:r>
          </w:p>
        </w:tc>
        <w:tc>
          <w:tcPr>
            <w:tcW w:type="dxa" w:w="1152"/>
            <w:tcBorders>
              <w:top w:val="single" w:sz="4" w:color="999999"/>
              <w:left w:val="single" w:sz="4" w:color="999999"/>
              <w:bottom w:val="single" w:sz="4" w:color="999999"/>
              <w:right w:val="single" w:sz="4" w:color="999999"/>
            </w:tcBorders>
            <w:vAlign w:val="top"/>
          </w:tcPr>
          <w:p>
            <w:r/>
            <w:r>
              <w:rPr>
                <w:sz w:val="18"/>
              </w:rPr>
              <w:t>+0.50R OPEN</w:t>
            </w:r>
          </w:p>
        </w:tc>
        <w:tc>
          <w:tcPr>
            <w:tcW w:type="dxa" w:w="1008"/>
            <w:tcBorders>
              <w:top w:val="single" w:sz="4" w:color="999999"/>
              <w:left w:val="single" w:sz="4" w:color="999999"/>
              <w:bottom w:val="single" w:sz="4" w:color="999999"/>
              <w:right w:val="single" w:sz="4" w:color="999999"/>
            </w:tcBorders>
            <w:vAlign w:val="top"/>
          </w:tcPr>
          <w:p>
            <w:r/>
            <w:r>
              <w:rPr>
                <w:sz w:val="18"/>
              </w:rPr>
              <w:t>5+ (open)</w:t>
            </w:r>
          </w:p>
        </w:tc>
      </w:tr>
      <w:tr>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Fri 8 May 2026 (t−1)</w:t>
            </w:r>
          </w:p>
        </w:tc>
        <w:tc>
          <w:tcPr>
            <w:tcW w:type="dxa" w:w="2304"/>
            <w:tcBorders>
              <w:top w:val="single" w:sz="4" w:color="999999"/>
              <w:left w:val="single" w:sz="4" w:color="999999"/>
              <w:bottom w:val="single" w:sz="4" w:color="999999"/>
              <w:right w:val="single" w:sz="4" w:color="999999"/>
            </w:tcBorders>
            <w:vAlign w:val="top"/>
            <w:shd w:val="clear" w:color="auto" w:fill="F4F6F9"/>
          </w:tcPr>
          <w:p>
            <w:r/>
            <w:r>
              <w:rPr>
                <w:sz w:val="18"/>
              </w:rPr>
              <w:t>Trade 2 (Pivot)</w:t>
            </w:r>
          </w:p>
        </w:tc>
        <w:tc>
          <w:tcPr>
            <w:tcW w:type="dxa" w:w="2016"/>
            <w:tcBorders>
              <w:top w:val="single" w:sz="4" w:color="999999"/>
              <w:left w:val="single" w:sz="4" w:color="999999"/>
              <w:bottom w:val="single" w:sz="4" w:color="999999"/>
              <w:right w:val="single" w:sz="4" w:color="999999"/>
            </w:tcBorders>
            <w:vAlign w:val="top"/>
            <w:shd w:val="clear" w:color="auto" w:fill="F4F6F9"/>
          </w:tcPr>
          <w:p>
            <w:r/>
            <w:r>
              <w:rPr>
                <w:sz w:val="18"/>
              </w:rPr>
              <w:t>Final tranche carried</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w:t>
            </w:r>
          </w:p>
        </w:tc>
        <w:tc>
          <w:tcPr>
            <w:tcW w:type="dxa" w:w="1872"/>
            <w:tcBorders>
              <w:top w:val="single" w:sz="4" w:color="999999"/>
              <w:left w:val="single" w:sz="4" w:color="999999"/>
              <w:bottom w:val="single" w:sz="4" w:color="999999"/>
              <w:right w:val="single" w:sz="4" w:color="999999"/>
            </w:tcBorders>
            <w:vAlign w:val="top"/>
            <w:shd w:val="clear" w:color="auto" w:fill="F4F6F9"/>
          </w:tcPr>
          <w:p>
            <w:r/>
            <w:r>
              <w:rPr>
                <w:sz w:val="18"/>
              </w:rPr>
              <w:t>Runner toward P; close 10,228</w:t>
            </w:r>
          </w:p>
        </w:tc>
        <w:tc>
          <w:tcPr>
            <w:tcW w:type="dxa" w:w="1152"/>
            <w:tcBorders>
              <w:top w:val="single" w:sz="4" w:color="999999"/>
              <w:left w:val="single" w:sz="4" w:color="999999"/>
              <w:bottom w:val="single" w:sz="4" w:color="999999"/>
              <w:right w:val="single" w:sz="4" w:color="999999"/>
            </w:tcBorders>
            <w:vAlign w:val="top"/>
            <w:shd w:val="clear" w:color="auto" w:fill="F4F6F9"/>
          </w:tcPr>
          <w:p>
            <w:r/>
            <w:r>
              <w:rPr>
                <w:sz w:val="18"/>
              </w:rPr>
              <w:t>Final blended +1.83R</w:t>
            </w:r>
          </w:p>
        </w:tc>
        <w:tc>
          <w:tcPr>
            <w:tcW w:type="dxa" w:w="1008"/>
            <w:tcBorders>
              <w:top w:val="single" w:sz="4" w:color="999999"/>
              <w:left w:val="single" w:sz="4" w:color="999999"/>
              <w:bottom w:val="single" w:sz="4" w:color="999999"/>
              <w:right w:val="single" w:sz="4" w:color="999999"/>
            </w:tcBorders>
            <w:vAlign w:val="top"/>
            <w:shd w:val="clear" w:color="auto" w:fill="F4F6F9"/>
          </w:tcPr>
          <w:p>
            <w:r/>
            <w:r>
              <w:rPr>
                <w:sz w:val="18"/>
              </w:rPr>
              <w:t>4 days resolved</w:t>
            </w:r>
          </w:p>
        </w:tc>
      </w:tr>
      <w:tr>
        <w:tc>
          <w:tcPr>
            <w:tcW w:type="dxa" w:w="2016"/>
            <w:tcBorders>
              <w:top w:val="single" w:sz="4" w:color="999999"/>
              <w:left w:val="single" w:sz="4" w:color="999999"/>
              <w:bottom w:val="single" w:sz="4" w:color="999999"/>
              <w:right w:val="single" w:sz="4" w:color="999999"/>
            </w:tcBorders>
            <w:vAlign w:val="top"/>
          </w:tcPr>
          <w:p>
            <w:r/>
            <w:r>
              <w:rPr>
                <w:sz w:val="18"/>
              </w:rPr>
              <w:t>Fri 8 May 2026 (t−1)</w:t>
            </w:r>
          </w:p>
        </w:tc>
        <w:tc>
          <w:tcPr>
            <w:tcW w:type="dxa" w:w="2304"/>
            <w:tcBorders>
              <w:top w:val="single" w:sz="4" w:color="999999"/>
              <w:left w:val="single" w:sz="4" w:color="999999"/>
              <w:bottom w:val="single" w:sz="4" w:color="999999"/>
              <w:right w:val="single" w:sz="4" w:color="999999"/>
            </w:tcBorders>
            <w:vAlign w:val="top"/>
          </w:tcPr>
          <w:p>
            <w:r/>
            <w:r>
              <w:rPr>
                <w:sz w:val="18"/>
              </w:rPr>
              <w:t>Trade 3C</w:t>
            </w:r>
          </w:p>
        </w:tc>
        <w:tc>
          <w:tcPr>
            <w:tcW w:type="dxa" w:w="2016"/>
            <w:tcBorders>
              <w:top w:val="single" w:sz="4" w:color="999999"/>
              <w:left w:val="single" w:sz="4" w:color="999999"/>
              <w:bottom w:val="single" w:sz="4" w:color="999999"/>
              <w:right w:val="single" w:sz="4" w:color="999999"/>
            </w:tcBorders>
            <w:vAlign w:val="top"/>
          </w:tcPr>
          <w:p>
            <w:r/>
            <w:r>
              <w:rPr>
                <w:sz w:val="18"/>
              </w:rPr>
              <w:t>PENDING</w:t>
            </w:r>
          </w:p>
        </w:tc>
        <w:tc>
          <w:tcPr>
            <w:tcW w:type="dxa" w:w="1152"/>
            <w:tcBorders>
              <w:top w:val="single" w:sz="4" w:color="999999"/>
              <w:left w:val="single" w:sz="4" w:color="999999"/>
              <w:bottom w:val="single" w:sz="4" w:color="999999"/>
              <w:right w:val="single" w:sz="4" w:color="999999"/>
            </w:tcBorders>
            <w:vAlign w:val="top"/>
          </w:tcPr>
          <w:p>
            <w:r/>
            <w:r>
              <w:rPr>
                <w:sz w:val="18"/>
              </w:rPr>
              <w:t>NO</w:t>
            </w:r>
          </w:p>
        </w:tc>
        <w:tc>
          <w:tcPr>
            <w:tcW w:type="dxa" w:w="1872"/>
            <w:tcBorders>
              <w:top w:val="single" w:sz="4" w:color="999999"/>
              <w:left w:val="single" w:sz="4" w:color="999999"/>
              <w:bottom w:val="single" w:sz="4" w:color="999999"/>
              <w:right w:val="single" w:sz="4" w:color="999999"/>
            </w:tcBorders>
            <w:vAlign w:val="top"/>
          </w:tcPr>
          <w:p>
            <w:r/>
            <w:r>
              <w:rPr>
                <w:sz w:val="18"/>
              </w:rPr>
              <w:t>—</w:t>
            </w:r>
          </w:p>
        </w:tc>
        <w:tc>
          <w:tcPr>
            <w:tcW w:type="dxa" w:w="1152"/>
            <w:tcBorders>
              <w:top w:val="single" w:sz="4" w:color="999999"/>
              <w:left w:val="single" w:sz="4" w:color="999999"/>
              <w:bottom w:val="single" w:sz="4" w:color="999999"/>
              <w:right w:val="single" w:sz="4" w:color="999999"/>
            </w:tcBorders>
            <w:vAlign w:val="top"/>
          </w:tcPr>
          <w:p>
            <w:r/>
            <w:r>
              <w:rPr>
                <w:sz w:val="18"/>
              </w:rPr>
              <w:t>—</w:t>
            </w:r>
          </w:p>
        </w:tc>
        <w:tc>
          <w:tcPr>
            <w:tcW w:type="dxa" w:w="1008"/>
            <w:tcBorders>
              <w:top w:val="single" w:sz="4" w:color="999999"/>
              <w:left w:val="single" w:sz="4" w:color="999999"/>
              <w:bottom w:val="single" w:sz="4" w:color="999999"/>
              <w:right w:val="single" w:sz="4" w:color="999999"/>
            </w:tcBorders>
            <w:vAlign w:val="top"/>
          </w:tcPr>
          <w:p>
            <w:r/>
            <w:r>
              <w:rPr>
                <w:sz w:val="18"/>
              </w:rPr>
              <w:t>—</w:t>
            </w:r>
          </w:p>
        </w:tc>
      </w:tr>
    </w:tbl>
    <w:p>
      <w:pPr>
        <w:spacing w:after="80"/>
      </w:pPr>
      <w:r>
        <w:rPr>
          <w:b w:val="0"/>
          <w:i/>
          <w:sz w:val="18"/>
        </w:rPr>
        <w:t>Reconstruction notes: All M3 §11 surface fields re-derived at each t−1 close. sentiment_tilt frozen at the respective t−1 date — Friday 2 May's frozen tilt was approximately +0.10 (pre-Iran-escalation); by Tue 5 May tilt had moved to −0.35; by Thu 7 May tilt was −0.78 (consistent with the live read of −0.89). No data from any session t was used in the reconstruction of that session's signals.</w:t>
      </w:r>
    </w:p>
    <w:p>
      <w:pPr>
        <w:spacing w:before="120" w:after="60"/>
      </w:pPr>
      <w:r>
        <w:rPr>
          <w:b/>
          <w:i/>
          <w:color w:val="333333"/>
          <w:sz w:val="21"/>
        </w:rPr>
        <w:t>§21d  'What is working' aggregate</w:t>
      </w:r>
    </w:p>
    <w:p>
      <w:pPr>
        <w:spacing w:after="80"/>
      </w:pPr>
      <w:r>
        <w:rPr>
          <w:b w:val="0"/>
          <w:i w:val="0"/>
          <w:sz w:val="20"/>
        </w:rPr>
        <w:t>Trade 1 over the last 5 sessions: triggered 2/5 times (Fri 2 May, Thu 7 May). One loss (−1.00R on Fri 2 May long), one open winner (+0.50R Thu 7 May short carrying). Mean R across closed trades: −0.25R. TP1 / TP2 / TP3 hit rates: 1/2 = 50% / 0/2 = 0% / 0/2 = 0%.</w:t>
      </w:r>
    </w:p>
    <w:p>
      <w:pPr>
        <w:spacing w:after="80"/>
      </w:pPr>
      <w:r>
        <w:rPr>
          <w:b w:val="0"/>
          <w:i w:val="0"/>
          <w:sz w:val="20"/>
        </w:rPr>
        <w:t>Trade 2 (Pivot) over the last 5 sessions: triggered 1/5 times (entered Tue 5 May SHORT below S1 cluster; Trade 2 was only Pivot-side eligible after the regime shifted to TRANSITION). One resolved winner: +1.83R blended over 4 days. Mean R across closed trades: +1.83R. TP1 / TP2 / TP3 hit rates: 1/1 = 100% / 1/1 = 100% / Runner partially captured (≈ 50% of theoretical TP3 distance).</w:t>
      </w:r>
    </w:p>
    <w:p>
      <w:pPr>
        <w:spacing w:after="80"/>
      </w:pPr>
      <w:r>
        <w:rPr>
          <w:b w:val="0"/>
          <w:i w:val="0"/>
          <w:sz w:val="20"/>
        </w:rPr>
        <w:t>Trade 3C (Momentum-Breakout): triggered 0/5 times — no confirmed daily close beyond the 25-session range boundary occurred this week. Mean R: insufficient triggers to rank.</w:t>
      </w:r>
    </w:p>
    <w:p>
      <w:pPr>
        <w:spacing w:after="80"/>
      </w:pPr>
      <w:r>
        <w:rPr>
          <w:b/>
          <w:i w:val="0"/>
          <w:sz w:val="20"/>
        </w:rPr>
        <w:t>Strongest performer: Trade 2 (Pivot, TRANSITION breakout-side) at +1.83R mean. Weakest performer: Trade 1 at −0.25R mean (one loss + one open positive).</w:t>
      </w:r>
    </w:p>
    <w:p>
      <w:pPr>
        <w:spacing w:after="80"/>
      </w:pPr>
      <w:r>
        <w:rPr>
          <w:b w:val="0"/>
          <w:i/>
          <w:sz w:val="18"/>
        </w:rPr>
        <w:t>Limitations: Five-session windows are too small to support statistical claims. The backtest cannot model intraday tick-level fills, slippage, or commission. Treat as a directional sanity-check, not a strategy-validation framework.</w:t>
      </w:r>
    </w:p>
    <w:p>
      <w:pPr>
        <w:spacing w:before="200" w:after="80"/>
        <w:pBdr>
          <w:top w:val="single" w:sz="6" w:space="1" w:color="999999"/>
        </w:pBdr>
      </w:pPr>
    </w:p>
    <w:p>
      <w:pPr>
        <w:jc w:val="center"/>
      </w:pPr>
      <w:r>
        <w:rPr>
          <w:i/>
          <w:color w:val="808080"/>
          <w:sz w:val="18"/>
        </w:rPr>
        <w:t>— End of Report —</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FTSE 100 Daily Report  │  11 May 2026  │  Senior European Equity Strategist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