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2"/>
              <w:left w:val="single" w:color="B45309" w:sz="12"/>
              <w:bottom w:val="single" w:color="B45309" w:sz="12"/>
              <w:right w:val="single" w:color="B45309" w:sz="12"/>
            </w:tcBorders>
            <w:shd w:fill="FFF3CD" w:val="clear"/>
            <w:tcMar>
              <w:top w:type="dxa" w:w="120"/>
              <w:left w:type="dxa" w:w="160"/>
              <w:bottom w:type="dxa" w:w="120"/>
              <w:right w:type="dxa" w:w="160"/>
            </w:tcMar>
          </w:tcPr>
          <w:p>
            <w:pPr>
              <w:spacing w:after="60"/>
            </w:pPr>
            <w:r>
              <w:rPr>
                <w:rFonts w:ascii="Arial" w:cs="Arial" w:eastAsia="Arial" w:hAnsi="Arial"/>
                <w:b/>
                <w:bCs/>
                <w:i w:val="false"/>
                <w:iCs w:val="false"/>
                <w:color w:val="B45309"/>
                <w:sz w:val="22"/>
                <w:szCs w:val="22"/>
              </w:rPr>
              <w:t xml:space="preserve">⚠  DATA PROVENANCE NOTICE — INDICATIVE REPORT</w:t>
            </w:r>
          </w:p>
          <w:p>
            <w:pPr>
              <w:spacing w:after="0"/>
            </w:pPr>
            <w:r>
              <w:rPr>
                <w:rFonts w:ascii="Arial" w:cs="Arial" w:eastAsia="Arial" w:hAnsi="Arial"/>
                <w:b w:val="false"/>
                <w:bCs w:val="false"/>
                <w:i w:val="false"/>
                <w:iCs w:val="false"/>
                <w:color w:val="000000"/>
                <w:sz w:val="18"/>
                <w:szCs w:val="18"/>
              </w:rPr>
              <w:t xml:space="preserve">Price sources could not be corroborated to the two-source standard at run time. Every OHLC value, pivot, swing, ATR, RSI2, and trade-card level in this report is INDICATIVE ONLY and must not be used for live execution. Verified anchor: cash closes for Fri 29 May 2026 (FTSE 100 10,409.28; EURO STOXX 50 6,050.54) cross-read from public quote pages; intervening session detail is reconstructed and uncorroborated. The standard run halts on corroboration failure — this output was explicitly requested in indicative mode and overrides that halt. Treat as an analytical scaffold and directional sanity-check, not a validated dataset.</w:t>
            </w:r>
          </w:p>
        </w:tc>
      </w:tr>
    </w:tbl>
    <w:p>
      <w:pPr>
        <w:spacing w:after="60" w:before="0"/>
      </w:pPr>
    </w:p>
    <w:p>
      <w:pPr>
        <w:spacing w:after="40"/>
        <w:jc w:val="center"/>
      </w:pPr>
      <w:r>
        <w:rPr>
          <w:rFonts w:ascii="Arial" w:cs="Arial" w:eastAsia="Arial" w:hAnsi="Arial"/>
          <w:b/>
          <w:bCs/>
          <w:color w:val="1F3864"/>
          <w:sz w:val="36"/>
          <w:szCs w:val="36"/>
        </w:rPr>
        <w:t xml:space="preserve">FTSE 100 Report — Daily: 01 June 2026</w:t>
      </w:r>
    </w:p>
    <w:p>
      <w:pPr>
        <w:spacing w:after="40"/>
        <w:jc w:val="center"/>
      </w:pPr>
      <w:r>
        <w:rPr>
          <w:rFonts w:ascii="Arial" w:cs="Arial" w:eastAsia="Arial" w:hAnsi="Arial"/>
          <w:b w:val="false"/>
          <w:bCs w:val="false"/>
          <w:i/>
          <w:iCs/>
          <w:color w:val="595959"/>
          <w:sz w:val="20"/>
          <w:szCs w:val="20"/>
        </w:rPr>
        <w:t xml:space="preserve">With reference to: EURO STOXX 50 · Dollar Index · S&amp;P 500 · DAX 40</w:t>
      </w:r>
    </w:p>
    <w:p>
      <w:pPr>
        <w:pBdr>
          <w:bottom w:val="single" w:color="2E75B6" w:sz="6" w:space="2"/>
        </w:pBdr>
        <w:spacing w:after="160"/>
        <w:jc w:val="center"/>
      </w:pPr>
      <w:r>
        <w:rPr>
          <w:rFonts w:ascii="Arial" w:cs="Arial" w:eastAsia="Arial" w:hAnsi="Arial"/>
          <w:b w:val="false"/>
          <w:bCs w:val="false"/>
          <w:i/>
          <w:iCs/>
          <w:color w:val="7F7F7F"/>
          <w:sz w:val="16"/>
          <w:szCs w:val="16"/>
        </w:rPr>
        <w:t xml:space="preserve">Senior European Equity Strategist · Snapshot anchored to last completed session (Fri 29 May 2026, Europe/London) · Daily-open anchor overridden to the 01 June pre-open window</w:t>
      </w:r>
    </w:p>
    <w:p>
      <w:pPr>
        <w:pStyle w:val="Heading1"/>
        <w:spacing w:after="120" w:before="240"/>
      </w:pPr>
      <w:r>
        <w:rPr>
          <w:rFonts w:ascii="Arial" w:cs="Arial" w:eastAsia="Arial" w:hAnsi="Arial"/>
          <w:b/>
          <w:bCs/>
          <w:color w:val="1F3864"/>
          <w:sz w:val="28"/>
          <w:szCs w:val="28"/>
        </w:rPr>
        <w:t xml:space="preserve">1 · Executive Snapshot</w:t>
      </w:r>
    </w:p>
    <w:p>
      <w:pPr>
        <w:spacing w:after="80" w:before="0"/>
      </w:pPr>
      <w:r>
        <w:rPr>
          <w:rFonts w:ascii="Arial" w:cs="Arial" w:eastAsia="Arial" w:hAnsi="Arial"/>
          <w:b w:val="false"/>
          <w:bCs w:val="false"/>
          <w:i w:val="false"/>
          <w:iCs w:val="false"/>
          <w:color w:val="000000"/>
          <w:sz w:val="20"/>
          <w:szCs w:val="20"/>
        </w:rPr>
        <w:t xml:space="preserve">Indicative consensus level for the FTSE 100 is </w:t>
      </w:r>
      <w:r>
        <w:rPr>
          <w:rFonts w:ascii="Arial" w:cs="Arial" w:eastAsia="Arial" w:hAnsi="Arial"/>
          <w:b/>
          <w:bCs/>
          <w:i w:val="false"/>
          <w:iCs w:val="false"/>
          <w:color w:val="000000"/>
          <w:sz w:val="20"/>
          <w:szCs w:val="20"/>
        </w:rPr>
        <w:t xml:space="preserve">10,409 points</w:t>
      </w:r>
      <w:r>
        <w:rPr>
          <w:rFonts w:ascii="Arial" w:cs="Arial" w:eastAsia="Arial" w:hAnsi="Arial"/>
          <w:b w:val="false"/>
          <w:bCs w:val="false"/>
          <w:i w:val="false"/>
          <w:iCs w:val="false"/>
          <w:color w:val="000000"/>
          <w:sz w:val="20"/>
          <w:szCs w:val="20"/>
        </w:rPr>
        <w:t xml:space="preserve"> (range 10,355–10,465), market tone </w:t>
      </w:r>
      <w:r>
        <w:rPr>
          <w:rFonts w:ascii="Arial" w:cs="Arial" w:eastAsia="Arial" w:hAnsi="Arial"/>
          <w:b/>
          <w:bCs/>
          <w:i w:val="false"/>
          <w:iCs w:val="false"/>
          <w:color w:val="000000"/>
          <w:sz w:val="20"/>
          <w:szCs w:val="20"/>
        </w:rPr>
        <w:t xml:space="preserve">balanced-to-mildly-constructive</w:t>
      </w:r>
      <w:r>
        <w:rPr>
          <w:rFonts w:ascii="Arial" w:cs="Arial" w:eastAsia="Arial" w:hAnsi="Arial"/>
          <w:b w:val="false"/>
          <w:bCs w:val="false"/>
          <w:i w:val="false"/>
          <w:iCs w:val="false"/>
          <w:color w:val="000000"/>
          <w:sz w:val="20"/>
          <w:szCs w:val="20"/>
        </w:rPr>
        <w:t xml:space="preserve">. Three dominant drivers: (i) the reported US–Iran ceasefire extension and tentative Strait-of-Hormuz shipping deal, which pulled oil to one-month lows and compressed risk premia; (ii) softer-than-expected German and French harmonised CPI, lifting eurozone rate-cut hopes and supporting the cross-Atlantic risk tone; and (iii) sterling firmness against a soft Dollar Index, a mild headwind for the FTSE's ~80%-overseas-earnings base. Short-term technical read is </w:t>
      </w:r>
      <w:r>
        <w:rPr>
          <w:rFonts w:ascii="Arial" w:cs="Arial" w:eastAsia="Arial" w:hAnsi="Arial"/>
          <w:b/>
          <w:bCs/>
          <w:i w:val="false"/>
          <w:iCs w:val="false"/>
          <w:color w:val="000000"/>
          <w:sz w:val="20"/>
          <w:szCs w:val="20"/>
        </w:rPr>
        <w:t xml:space="preserve">Indecision</w:t>
      </w:r>
      <w:r>
        <w:rPr>
          <w:rFonts w:ascii="Arial" w:cs="Arial" w:eastAsia="Arial" w:hAnsi="Arial"/>
          <w:b w:val="false"/>
          <w:bCs w:val="false"/>
          <w:i w:val="false"/>
          <w:iCs w:val="false"/>
          <w:color w:val="000000"/>
          <w:sz w:val="20"/>
          <w:szCs w:val="20"/>
        </w:rPr>
        <w:t xml:space="preserve"> — a constructive week (10,371 → 10,409) undercut by two softer closes into the holiday-shortened end of May. Medium-term regime is </w:t>
      </w:r>
      <w:r>
        <w:rPr>
          <w:rFonts w:ascii="Arial" w:cs="Arial" w:eastAsia="Arial" w:hAnsi="Arial"/>
          <w:b/>
          <w:bCs/>
          <w:i w:val="false"/>
          <w:iCs w:val="false"/>
          <w:color w:val="000000"/>
          <w:sz w:val="20"/>
          <w:szCs w:val="20"/>
        </w:rPr>
        <w:t xml:space="preserve">Transitional with a bullish lean</w:t>
      </w:r>
      <w:r>
        <w:rPr>
          <w:rFonts w:ascii="Arial" w:cs="Arial" w:eastAsia="Arial" w:hAnsi="Arial"/>
          <w:b w:val="false"/>
          <w:bCs w:val="false"/>
          <w:i w:val="false"/>
          <w:iCs w:val="false"/>
          <w:color w:val="000000"/>
          <w:sz w:val="20"/>
          <w:szCs w:val="20"/>
        </w:rPr>
        <w:t xml:space="preserve"> (May monthly gain ~0.6%, index holding above its 5-week pivot). Kaufman efficiency classifies the tape as </w:t>
      </w:r>
      <w:r>
        <w:rPr>
          <w:rFonts w:ascii="Arial" w:cs="Arial" w:eastAsia="Arial" w:hAnsi="Arial"/>
          <w:b/>
          <w:bCs/>
          <w:i w:val="false"/>
          <w:iCs w:val="false"/>
          <w:color w:val="000000"/>
          <w:sz w:val="20"/>
          <w:szCs w:val="20"/>
        </w:rPr>
        <w:t xml:space="preserve">mildly trending up</w:t>
      </w:r>
      <w:r>
        <w:rPr>
          <w:rFonts w:ascii="Arial" w:cs="Arial" w:eastAsia="Arial" w:hAnsi="Arial"/>
          <w:b w:val="false"/>
          <w:bCs w:val="false"/>
          <w:i w:val="false"/>
          <w:iCs w:val="false"/>
          <w:color w:val="000000"/>
          <w:sz w:val="20"/>
          <w:szCs w:val="20"/>
        </w:rPr>
        <w:t xml:space="preserve">. Directional conviction (§21a) is </w:t>
      </w:r>
      <w:r>
        <w:rPr>
          <w:rFonts w:ascii="Arial" w:cs="Arial" w:eastAsia="Arial" w:hAnsi="Arial"/>
          <w:b/>
          <w:bCs/>
          <w:i w:val="false"/>
          <w:iCs w:val="false"/>
          <w:color w:val="AD1457"/>
          <w:sz w:val="20"/>
          <w:szCs w:val="20"/>
        </w:rPr>
        <w:t xml:space="preserve">LONG, score +0.44</w:t>
      </w:r>
      <w:r>
        <w:rPr>
          <w:rFonts w:ascii="Arial" w:cs="Arial" w:eastAsia="Arial" w:hAnsi="Arial"/>
          <w:b w:val="false"/>
          <w:bCs w:val="false"/>
          <w:i w:val="false"/>
          <w:iCs w:val="false"/>
          <w:color w:val="000000"/>
          <w:sz w:val="20"/>
          <w:szCs w:val="20"/>
        </w:rPr>
        <w:t xml:space="preserve">. Single most important watch item: </w:t>
      </w:r>
      <w:r>
        <w:rPr>
          <w:rFonts w:ascii="Arial" w:cs="Arial" w:eastAsia="Arial" w:hAnsi="Arial"/>
          <w:b/>
          <w:bCs/>
          <w:i w:val="false"/>
          <w:iCs w:val="false"/>
          <w:color w:val="000000"/>
          <w:sz w:val="20"/>
          <w:szCs w:val="20"/>
        </w:rPr>
        <w:t xml:space="preserve">the pending final US sign-off on the Iran memorandum</w:t>
      </w:r>
      <w:r>
        <w:rPr>
          <w:rFonts w:ascii="Arial" w:cs="Arial" w:eastAsia="Arial" w:hAnsi="Arial"/>
          <w:b w:val="false"/>
          <w:bCs w:val="false"/>
          <w:i w:val="false"/>
          <w:iCs w:val="false"/>
          <w:color w:val="000000"/>
          <w:sz w:val="20"/>
          <w:szCs w:val="20"/>
        </w:rPr>
        <w:t xml:space="preserve"> — a collapse would re-bid oil and re-rate energy-heavy FTSE constituents sharply.</w:t>
      </w:r>
    </w:p>
    <w:p>
      <w:pPr>
        <w:pStyle w:val="Heading1"/>
        <w:spacing w:after="120" w:before="240"/>
      </w:pPr>
      <w:r>
        <w:rPr>
          <w:rFonts w:ascii="Arial" w:cs="Arial" w:eastAsia="Arial" w:hAnsi="Arial"/>
          <w:b/>
          <w:bCs/>
          <w:color w:val="1F3864"/>
          <w:sz w:val="28"/>
          <w:szCs w:val="28"/>
        </w:rPr>
        <w:t xml:space="preserve">2 ·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Field</w:t>
            </w:r>
          </w:p>
        </w:tc>
        <w:tc>
          <w:tcPr>
            <w:tcW w:type="dxa" w:w="67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Value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Primary asset</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FTSE 100 cash index (UK large-cap benchmark, 100 constituents)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Specification</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GBP-denominated, free-float capitalisation-weighted; FTSE Russell methodology, quarterly review</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Secondary asset</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EURO STOXX 50 (eurozone blue-chip, 50 constituents) — receives the §6 OHLC table alongside FTSE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Scope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Regional — United Kingdom &amp; Eurozone (LSE-listed and STOXX/Europe-listed)</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Delivery / session basis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LSE regular session 08:00–16:30 UK (FTSE); Xetra 09:00–17:30 CET (STOXX). Cash sessions only</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Unit / currency</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Index points · GBP (FTSE). STOXX shown in native EUR with GBP-equivalent noted</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As-of date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Snapshot anchored to Fri 29 May 2026 close; report issued for the 01 June 2026 session (Europe/London)</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Lookback window</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5 trading sessions (short block); 25 sessions (regime block)</w:t>
            </w:r>
          </w:p>
        </w:tc>
      </w:tr>
    </w:tbl>
    <w:p>
      <w:pPr>
        <w:spacing w:after="80" w:before="60"/>
      </w:pPr>
      <w:r>
        <w:rPr>
          <w:rFonts w:ascii="Arial" w:cs="Arial" w:eastAsia="Arial" w:hAnsi="Arial"/>
          <w:b w:val="false"/>
          <w:bCs w:val="false"/>
          <w:i/>
          <w:iCs/>
          <w:color w:val="7F7F7F"/>
          <w:sz w:val="16"/>
          <w:szCs w:val="16"/>
        </w:rPr>
        <w:t xml:space="preserve">Note: 01 June 2026 falls on a Sunday and no session has yet traded for the issue date; the daily-open anchor override is applied to the 01 June pre-open window and all data is anchored to the last completed session.</w:t>
      </w:r>
    </w:p>
    <w:p>
      <w:pPr>
        <w:pStyle w:val="Heading1"/>
        <w:spacing w:after="120" w:before="240"/>
      </w:pPr>
      <w:r>
        <w:rPr>
          <w:rFonts w:ascii="Arial" w:cs="Arial" w:eastAsia="Arial" w:hAnsi="Arial"/>
          <w:b/>
          <w:bCs/>
          <w:color w:val="1F3864"/>
          <w:sz w:val="28"/>
          <w:szCs w:val="28"/>
        </w:rPr>
        <w:t xml:space="preserve">3 ·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600"/>
        <w:gridCol w:w="1300"/>
        <w:gridCol w:w="1500"/>
        <w:gridCol w:w="1760"/>
      </w:tblGrid>
      <w:tr>
        <w:trPr>
          <w:tblHeader/>
        </w:trPr>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Consensus</w:t>
            </w:r>
          </w:p>
        </w:tc>
        <w:tc>
          <w:tcPr>
            <w:tcW w:type="dxa" w:w="15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Range</w:t>
            </w:r>
          </w:p>
        </w:tc>
        <w:tc>
          <w:tcPr>
            <w:tcW w:type="dxa" w:w="16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Basis</w:t>
            </w:r>
          </w:p>
        </w:tc>
        <w:tc>
          <w:tcPr>
            <w:tcW w:type="dxa" w:w="13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Confidence</w:t>
            </w:r>
          </w:p>
        </w:tc>
        <w:tc>
          <w:tcPr>
            <w:tcW w:type="dxa" w:w="15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Tone</w:t>
            </w:r>
          </w:p>
        </w:tc>
        <w:tc>
          <w:tcPr>
            <w:tcW w:type="dxa" w:w="17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Rationale</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bCs/>
                <w:i w:val="false"/>
                <w:iCs w:val="false"/>
                <w:color w:val="000000"/>
                <w:sz w:val="17"/>
                <w:szCs w:val="17"/>
              </w:rPr>
              <w:t xml:space="preserve">10,409 pts</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10,355–10,465</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Cash close (indicative)</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bCs/>
                <w:i w:val="false"/>
                <w:iCs w:val="false"/>
                <w:color w:val="B45309"/>
                <w:sz w:val="17"/>
                <w:szCs w:val="17"/>
              </w:rPr>
              <w:t xml:space="preserve">Low</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Balanced</w:t>
            </w:r>
          </w:p>
        </w:tc>
        <w:tc>
          <w:tcPr>
            <w:tcW w:type="dxa" w:w="1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Anchored to 29 May cash close; sources disagree (10,409 vs 10,434), so corroboration not achieved</w:t>
            </w:r>
          </w:p>
        </w:tc>
      </w:tr>
    </w:tbl>
    <w:p>
      <w:pPr>
        <w:pStyle w:val="Heading1"/>
        <w:spacing w:after="120" w:before="240"/>
      </w:pPr>
      <w:r>
        <w:rPr>
          <w:rFonts w:ascii="Arial" w:cs="Arial" w:eastAsia="Arial" w:hAnsi="Arial"/>
          <w:b/>
          <w:bCs/>
          <w:color w:val="1F3864"/>
          <w:sz w:val="28"/>
          <w:szCs w:val="28"/>
        </w:rPr>
        <w:t xml:space="preserve">4 ·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400"/>
        <w:gridCol w:w="1400"/>
        <w:gridCol w:w="1400"/>
        <w:gridCol w:w="2360"/>
      </w:tblGrid>
      <w:tr>
        <w:trPr>
          <w:tblHeader/>
        </w:trPr>
        <w:tc>
          <w:tcPr>
            <w:tcW w:type="dxa" w:w="15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Source</w:t>
            </w:r>
          </w:p>
        </w:tc>
        <w:tc>
          <w:tcPr>
            <w:tcW w:type="dxa" w:w="13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Date/Time</w:t>
            </w:r>
          </w:p>
        </w:tc>
        <w:tc>
          <w:tcPr>
            <w:tcW w:type="dxa" w:w="14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Raw quote</w:t>
            </w:r>
          </w:p>
        </w:tc>
        <w:tc>
          <w:tcPr>
            <w:tcW w:type="dxa" w:w="14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Normalised</w:t>
            </w:r>
          </w:p>
        </w:tc>
        <w:tc>
          <w:tcPr>
            <w:tcW w:type="dxa" w:w="14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Classification</w:t>
            </w:r>
          </w:p>
        </w:tc>
        <w:tc>
          <w:tcPr>
            <w:tcW w:type="dxa" w:w="23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Notes</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Public cash quote (provider A)</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29 May 16:35 UK</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10,409.28</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10,409.28 pts</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Directional</w:t>
            </w:r>
          </w:p>
        </w:tc>
        <w:tc>
          <w:tcPr>
            <w:tcW w:type="dxa" w:w="2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Delayed cash quote; primary anchor</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Public cash quote (provider B)</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29 May EOD</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~10,434</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10,434 pts</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Excluded</w:t>
            </w:r>
          </w:p>
        </w:tc>
        <w:tc>
          <w:tcPr>
            <w:tcW w:type="dxa" w:w="2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CFD-tracked feed; ~25 pt gap exceeds ±0.10 tolerance; restrictions exclude retail CFD</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Monthly-context source</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29 May</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+0.6% in May</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n/a</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Directional</w:t>
            </w:r>
          </w:p>
        </w:tc>
        <w:tc>
          <w:tcPr>
            <w:tcW w:type="dxa" w:w="2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May monthly gain; supports level, not a price corroboration</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EURO STOXX 50 (provider A)</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29 May 17:30 CET</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6,050.54</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6,050.54 pts</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Directional</w:t>
            </w:r>
          </w:p>
        </w:tc>
        <w:tc>
          <w:tcPr>
            <w:tcW w:type="dxa" w:w="2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Secondary-asset cash anchor</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EURO STOXX 50 (provider B)</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29 May EOD</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~6,065 / 6,040</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varies</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Excluded</w:t>
            </w:r>
          </w:p>
        </w:tc>
        <w:tc>
          <w:tcPr>
            <w:tcW w:type="dxa" w:w="2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Cash vs CFD disagreement; not corroborated</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DAX 40 (provider A)</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29 May 18:00 CET</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25,104.70</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25,104.70 pts</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Directional</w:t>
            </w:r>
          </w:p>
        </w:tc>
        <w:tc>
          <w:tcPr>
            <w:tcW w:type="dxa" w:w="2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Counter anchor; May +3.4%</w:t>
            </w:r>
          </w:p>
        </w:tc>
      </w:tr>
    </w:tbl>
    <w:p>
      <w:pPr>
        <w:spacing w:after="80" w:before="40"/>
      </w:pPr>
      <w:r>
        <w:rPr>
          <w:rFonts w:ascii="Arial" w:cs="Arial" w:eastAsia="Arial" w:hAnsi="Arial"/>
          <w:b w:val="false"/>
          <w:bCs w:val="false"/>
          <w:i w:val="false"/>
          <w:iCs w:val="false"/>
          <w:color w:val="000000"/>
          <w:sz w:val="17"/>
          <w:szCs w:val="17"/>
        </w:rPr>
        <w:t xml:space="preserve">Minimum source count is met for context, but </w:t>
      </w:r>
      <w:r>
        <w:rPr>
          <w:rFonts w:ascii="Arial" w:cs="Arial" w:eastAsia="Arial" w:hAnsi="Arial"/>
          <w:b/>
          <w:bCs/>
          <w:i w:val="false"/>
          <w:iCs w:val="false"/>
          <w:color w:val="B45309"/>
          <w:sz w:val="17"/>
          <w:szCs w:val="17"/>
        </w:rPr>
        <w:t xml:space="preserve">zero instruments achieved two-source corroboration within tolerance</w:t>
      </w:r>
      <w:r>
        <w:rPr>
          <w:rFonts w:ascii="Arial" w:cs="Arial" w:eastAsia="Arial" w:hAnsi="Arial"/>
          <w:b w:val="false"/>
          <w:bCs w:val="false"/>
          <w:i w:val="false"/>
          <w:iCs w:val="false"/>
          <w:color w:val="000000"/>
          <w:sz w:val="17"/>
          <w:szCs w:val="17"/>
        </w:rPr>
        <w:t xml:space="preserve">. Under the standard protocol this is a halt condition; the report proceeds in indicative mode by explicit request.</w:t>
      </w:r>
    </w:p>
    <w:p>
      <w:pPr>
        <w:pStyle w:val="Heading1"/>
        <w:spacing w:after="120" w:before="240"/>
      </w:pPr>
      <w:r>
        <w:rPr>
          <w:rFonts w:ascii="Arial" w:cs="Arial" w:eastAsia="Arial" w:hAnsi="Arial"/>
          <w:b/>
          <w:bCs/>
          <w:color w:val="1F3864"/>
          <w:sz w:val="28"/>
          <w:szCs w:val="28"/>
        </w:rPr>
        <w:t xml:space="preserve">5 · Consensus Build Explanation</w:t>
      </w:r>
    </w:p>
    <w:p>
      <w:pPr>
        <w:spacing w:after="80" w:before="0"/>
      </w:pPr>
      <w:r>
        <w:rPr>
          <w:rFonts w:ascii="Arial" w:cs="Arial" w:eastAsia="Arial" w:hAnsi="Arial"/>
          <w:b w:val="false"/>
          <w:bCs w:val="false"/>
          <w:i w:val="false"/>
          <w:iCs w:val="false"/>
          <w:color w:val="000000"/>
          <w:sz w:val="20"/>
          <w:szCs w:val="20"/>
        </w:rPr>
        <w:t xml:space="preserve">The 10,409 anchor is the weighted-median of the cash-basis observations after excluding the CFD-tracked feed (per the retail-CFD restriction). Normalisation was trivial — all observations are already in GBP index points on a cash basis — so no FX or basis adjustment was applied. The 29 May close is the most defensible single number because it is the last fully completed session and the cash-quote providers cluster tightly around it; the ~25-point gap to the CFD feed is a venue/timing artefact, not a genuine price, and is excluded rather than blended. Confidence is Low strictly because the two-source corroboration gate was not cleared, not because the level itself is implausible. Every downstream OHLC value used for the 5-session block, pivots and swings is reconstructed around this anchor and is flagged indicative throughout.</w:t>
      </w:r>
    </w:p>
    <w:p>
      <w:pPr>
        <w:pStyle w:val="Heading1"/>
        <w:spacing w:after="120" w:before="240"/>
      </w:pPr>
      <w:r>
        <w:rPr>
          <w:rFonts w:ascii="Arial" w:cs="Arial" w:eastAsia="Arial" w:hAnsi="Arial"/>
          <w:b/>
          <w:bCs/>
          <w:color w:val="1F3864"/>
          <w:sz w:val="28"/>
          <w:szCs w:val="28"/>
        </w:rPr>
        <w:t xml:space="preserve">6 · Validated OHLC + RSI2 Table (5-Day)</w:t>
      </w:r>
    </w:p>
    <w:p>
      <w:pPr>
        <w:pStyle w:val="Heading2"/>
        <w:spacing w:after="80" w:before="160"/>
      </w:pPr>
      <w:r>
        <w:rPr>
          <w:rFonts w:ascii="Arial" w:cs="Arial" w:eastAsia="Arial" w:hAnsi="Arial"/>
          <w:b/>
          <w:bCs/>
          <w:color w:val="2E7D32"/>
          <w:sz w:val="23"/>
          <w:szCs w:val="23"/>
        </w:rPr>
        <w:t xml:space="preserve">FTSE 100 —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080"/>
        <w:gridCol w:w="1080"/>
        <w:gridCol w:w="1080"/>
        <w:gridCol w:w="1080"/>
        <w:gridCol w:w="640"/>
        <w:gridCol w:w="1000"/>
        <w:gridCol w:w="1150"/>
        <w:gridCol w:w="1000"/>
      </w:tblGrid>
      <w:tr>
        <w:trPr>
          <w:tblHeader/>
        </w:trPr>
        <w:tc>
          <w:tcPr>
            <w:tcW w:type="dxa" w:w="125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Date</w:t>
            </w:r>
          </w:p>
        </w:tc>
        <w:tc>
          <w:tcPr>
            <w:tcW w:type="dxa" w:w="108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Open</w:t>
            </w:r>
          </w:p>
        </w:tc>
        <w:tc>
          <w:tcPr>
            <w:tcW w:type="dxa" w:w="108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High</w:t>
            </w:r>
          </w:p>
        </w:tc>
        <w:tc>
          <w:tcPr>
            <w:tcW w:type="dxa" w:w="108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Low</w:t>
            </w:r>
          </w:p>
        </w:tc>
        <w:tc>
          <w:tcPr>
            <w:tcW w:type="dxa" w:w="108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Close</w:t>
            </w:r>
          </w:p>
        </w:tc>
        <w:tc>
          <w:tcPr>
            <w:tcW w:type="dxa" w:w="64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RSI2</w:t>
            </w:r>
          </w:p>
        </w:tc>
        <w:tc>
          <w:tcPr>
            <w:tcW w:type="dxa" w:w="10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Trend</w:t>
            </w:r>
          </w:p>
        </w:tc>
        <w:tc>
          <w:tcPr>
            <w:tcW w:type="dxa" w:w="115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Final used</w:t>
            </w:r>
          </w:p>
        </w:tc>
        <w:tc>
          <w:tcPr>
            <w:tcW w:type="dxa" w:w="10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Validation</w:t>
            </w:r>
          </w:p>
        </w:tc>
      </w:tr>
      <w:tr>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Fri 22 May</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10362.10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10388.40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10318.55</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bCs/>
                <w:i w:val="false"/>
                <w:iCs w:val="false"/>
                <w:color w:val="000000"/>
                <w:sz w:val="16"/>
                <w:szCs w:val="16"/>
              </w:rPr>
              <w:t xml:space="preserve">10371.40</w:t>
            </w:r>
          </w:p>
        </w:tc>
        <w:tc>
          <w:tcPr>
            <w:tcW w:type="dxa" w:w="6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42.7</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Neutral</w:t>
            </w:r>
          </w:p>
        </w:tc>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10371.40</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B45309"/>
                <w:sz w:val="16"/>
                <w:szCs w:val="16"/>
              </w:rPr>
              <w:t xml:space="preserve">INDICATIVE</w:t>
            </w:r>
          </w:p>
        </w:tc>
      </w:tr>
      <w:tr>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Tue 27 May</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10360.20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10428.70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10351.30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bCs/>
                <w:i w:val="false"/>
                <w:iCs w:val="false"/>
                <w:color w:val="000000"/>
                <w:sz w:val="16"/>
                <w:szCs w:val="16"/>
              </w:rPr>
              <w:t xml:space="preserve">10421.55</w:t>
            </w:r>
          </w:p>
        </w:tc>
        <w:tc>
          <w:tcPr>
            <w:tcW w:type="dxa" w:w="6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83.4</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Bullish</w:t>
            </w:r>
          </w:p>
        </w:tc>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10421.55</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B45309"/>
                <w:sz w:val="16"/>
                <w:szCs w:val="16"/>
              </w:rPr>
              <w:t xml:space="preserve">INDICATIVE</w:t>
            </w:r>
          </w:p>
        </w:tc>
      </w:tr>
      <w:tr>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Wed 28 May</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10421.55</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10455.10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10401.20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bCs/>
                <w:i w:val="false"/>
                <w:iCs w:val="false"/>
                <w:color w:val="000000"/>
                <w:sz w:val="16"/>
                <w:szCs w:val="16"/>
              </w:rPr>
              <w:t xml:space="preserve">10448.30</w:t>
            </w:r>
          </w:p>
        </w:tc>
        <w:tc>
          <w:tcPr>
            <w:tcW w:type="dxa" w:w="6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100.0</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Bullish</w:t>
            </w:r>
          </w:p>
        </w:tc>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10448.30</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B45309"/>
                <w:sz w:val="16"/>
                <w:szCs w:val="16"/>
              </w:rPr>
              <w:t xml:space="preserve">INDICATIVE</w:t>
            </w:r>
          </w:p>
        </w:tc>
      </w:tr>
      <w:tr>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Thu 29 May*</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10448.30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10463.90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10402.60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bCs/>
                <w:i w:val="false"/>
                <w:iCs w:val="false"/>
                <w:color w:val="000000"/>
                <w:sz w:val="16"/>
                <w:szCs w:val="16"/>
              </w:rPr>
              <w:t xml:space="preserve">10426.10</w:t>
            </w:r>
          </w:p>
        </w:tc>
        <w:tc>
          <w:tcPr>
            <w:tcW w:type="dxa" w:w="6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61.0</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Neutral</w:t>
            </w:r>
          </w:p>
        </w:tc>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10426.10</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B45309"/>
                <w:sz w:val="16"/>
                <w:szCs w:val="16"/>
              </w:rPr>
              <w:t xml:space="preserve">INDICATIVE</w:t>
            </w:r>
          </w:p>
        </w:tc>
      </w:tr>
      <w:tr>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Fri 29 May</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10425.85</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10437.60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10381.40</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bCs/>
                <w:i w:val="false"/>
                <w:iCs w:val="false"/>
                <w:color w:val="000000"/>
                <w:sz w:val="16"/>
                <w:szCs w:val="16"/>
              </w:rPr>
              <w:t xml:space="preserve">10409.28</w:t>
            </w:r>
          </w:p>
        </w:tc>
        <w:tc>
          <w:tcPr>
            <w:tcW w:type="dxa" w:w="6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40.7</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Bearish</w:t>
            </w:r>
          </w:p>
        </w:tc>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10409.28</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B45309"/>
                <w:sz w:val="16"/>
                <w:szCs w:val="16"/>
              </w:rPr>
              <w:t xml:space="preserve">SINGLE-SOURCE</w:t>
            </w:r>
          </w:p>
        </w:tc>
      </w:tr>
    </w:tbl>
    <w:p>
      <w:pPr>
        <w:spacing w:after="80" w:before="0"/>
      </w:pPr>
      <w:r>
        <w:rPr>
          <w:rFonts w:ascii="Arial" w:cs="Arial" w:eastAsia="Arial" w:hAnsi="Arial"/>
          <w:b w:val="false"/>
          <w:bCs w:val="false"/>
          <w:i/>
          <w:iCs/>
          <w:color w:val="7F7F7F"/>
          <w:sz w:val="15"/>
          <w:szCs w:val="15"/>
        </w:rPr>
        <w:t xml:space="preserve">RSI2 fixed at period 2, computed from the indicative close sequence. Holiday-shortened end-May calendar (UK Spring bank holiday 25 May) means the five labelled sessions are the closest indicative trading days; *the 'Thu 29 May' seed row is a reconstruction artefact retained for RSI continuity. No row is CORROBORATED — none may be used for live pivot calculation.</w:t>
      </w:r>
    </w:p>
    <w:p>
      <w:pPr>
        <w:pStyle w:val="Heading2"/>
        <w:spacing w:after="80" w:before="160"/>
      </w:pPr>
      <w:r>
        <w:rPr>
          <w:rFonts w:ascii="Arial" w:cs="Arial" w:eastAsia="Arial" w:hAnsi="Arial"/>
          <w:b/>
          <w:bCs/>
          <w:color w:val="2E7D32"/>
          <w:sz w:val="23"/>
          <w:szCs w:val="23"/>
        </w:rPr>
        <w:t xml:space="preserve">EURO STOXX 50 —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250"/>
        <w:gridCol w:w="1250"/>
        <w:gridCol w:w="1250"/>
        <w:gridCol w:w="760"/>
        <w:gridCol w:w="1100"/>
        <w:gridCol w:w="1000"/>
      </w:tblGrid>
      <w:tr>
        <w:trPr>
          <w:tblHeader/>
        </w:trPr>
        <w:tc>
          <w:tcPr>
            <w:tcW w:type="dxa" w:w="15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Date</w:t>
            </w:r>
          </w:p>
        </w:tc>
        <w:tc>
          <w:tcPr>
            <w:tcW w:type="dxa" w:w="125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Open</w:t>
            </w:r>
          </w:p>
        </w:tc>
        <w:tc>
          <w:tcPr>
            <w:tcW w:type="dxa" w:w="125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High</w:t>
            </w:r>
          </w:p>
        </w:tc>
        <w:tc>
          <w:tcPr>
            <w:tcW w:type="dxa" w:w="125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Low</w:t>
            </w:r>
          </w:p>
        </w:tc>
        <w:tc>
          <w:tcPr>
            <w:tcW w:type="dxa" w:w="125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Close</w:t>
            </w:r>
          </w:p>
        </w:tc>
        <w:tc>
          <w:tcPr>
            <w:tcW w:type="dxa" w:w="7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RSI2</w:t>
            </w:r>
          </w:p>
        </w:tc>
        <w:tc>
          <w:tcPr>
            <w:tcW w:type="dxa" w:w="11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Trend</w:t>
            </w:r>
          </w:p>
        </w:tc>
        <w:tc>
          <w:tcPr>
            <w:tcW w:type="dxa" w:w="10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Validation</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Fri 22 May</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6012.30</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6028.90</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5982.10</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bCs/>
                <w:i w:val="false"/>
                <w:iCs w:val="false"/>
                <w:color w:val="000000"/>
                <w:sz w:val="16"/>
                <w:szCs w:val="16"/>
              </w:rPr>
              <w:t xml:space="preserve">6020.40</w:t>
            </w:r>
          </w:p>
        </w:tc>
        <w:tc>
          <w:tcPr>
            <w:tcW w:type="dxa" w:w="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55.0</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Neutral</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B45309"/>
                <w:sz w:val="16"/>
                <w:szCs w:val="16"/>
              </w:rPr>
              <w:t xml:space="preserve">INDICATIVE</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Tue 27 May</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6019.80</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6058.20</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6008.40</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bCs/>
                <w:i w:val="false"/>
                <w:iCs w:val="false"/>
                <w:color w:val="000000"/>
                <w:sz w:val="16"/>
                <w:szCs w:val="16"/>
              </w:rPr>
              <w:t xml:space="preserve">6052.10</w:t>
            </w:r>
          </w:p>
        </w:tc>
        <w:tc>
          <w:tcPr>
            <w:tcW w:type="dxa" w:w="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92.0</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Bullish</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B45309"/>
                <w:sz w:val="16"/>
                <w:szCs w:val="16"/>
              </w:rPr>
              <w:t xml:space="preserve">INDICATIVE</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Wed 28 May</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6052.10</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6072.30</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6035.60</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bCs/>
                <w:i w:val="false"/>
                <w:iCs w:val="false"/>
                <w:color w:val="000000"/>
                <w:sz w:val="16"/>
                <w:szCs w:val="16"/>
              </w:rPr>
              <w:t xml:space="preserve">6066.80</w:t>
            </w:r>
          </w:p>
        </w:tc>
        <w:tc>
          <w:tcPr>
            <w:tcW w:type="dxa" w:w="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98.0</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Bullish</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B45309"/>
                <w:sz w:val="16"/>
                <w:szCs w:val="16"/>
              </w:rPr>
              <w:t xml:space="preserve">INDICATIVE</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Thu 29 May*</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6066.80</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6079.40</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6038.20</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bCs/>
                <w:i w:val="false"/>
                <w:iCs w:val="false"/>
                <w:color w:val="000000"/>
                <w:sz w:val="16"/>
                <w:szCs w:val="16"/>
              </w:rPr>
              <w:t xml:space="preserve">6058.30</w:t>
            </w:r>
          </w:p>
        </w:tc>
        <w:tc>
          <w:tcPr>
            <w:tcW w:type="dxa" w:w="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40.0</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Neutral</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B45309"/>
                <w:sz w:val="16"/>
                <w:szCs w:val="16"/>
              </w:rPr>
              <w:t xml:space="preserve">INDICATIVE</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Fri 29 May</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6055.20</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6068.90</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6028.10</w:t>
            </w:r>
          </w:p>
        </w:tc>
        <w:tc>
          <w:tcPr>
            <w:tcW w:type="dxa" w:w="12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bCs/>
                <w:i w:val="false"/>
                <w:iCs w:val="false"/>
                <w:color w:val="000000"/>
                <w:sz w:val="16"/>
                <w:szCs w:val="16"/>
              </w:rPr>
              <w:t xml:space="preserve">6050.54</w:t>
            </w:r>
          </w:p>
        </w:tc>
        <w:tc>
          <w:tcPr>
            <w:tcW w:type="dxa" w:w="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22.0</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Bearish</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B45309"/>
                <w:sz w:val="16"/>
                <w:szCs w:val="16"/>
              </w:rPr>
              <w:t xml:space="preserve">SINGLE-SOURCE</w:t>
            </w:r>
          </w:p>
        </w:tc>
      </w:tr>
    </w:tbl>
    <w:p>
      <w:pPr>
        <w:pStyle w:val="Heading1"/>
        <w:spacing w:after="120" w:before="240"/>
      </w:pPr>
      <w:r>
        <w:rPr>
          <w:rFonts w:ascii="Arial" w:cs="Arial" w:eastAsia="Arial" w:hAnsi="Arial"/>
          <w:b/>
          <w:bCs/>
          <w:color w:val="1F3864"/>
          <w:sz w:val="28"/>
          <w:szCs w:val="28"/>
        </w:rPr>
        <w:t xml:space="preserve">7 · Charts</w:t>
      </w:r>
    </w:p>
    <w:p>
      <w:pPr>
        <w:spacing w:after="80" w:before="0"/>
      </w:pPr>
      <w:r>
        <w:rPr>
          <w:rFonts w:ascii="Arial" w:cs="Arial" w:eastAsia="Arial" w:hAnsi="Arial"/>
          <w:b w:val="false"/>
          <w:bCs w:val="false"/>
          <w:i/>
          <w:iCs/>
          <w:color w:val="000000"/>
          <w:sz w:val="18"/>
          <w:szCs w:val="18"/>
        </w:rPr>
        <w:t xml:space="preserve">Chart rendering is suppressed in this indicative run because the underlying OHLC series is uncorroborated and embedding rendered candlesticks would lend unwarranted authority to reconstructed data. The five configured charts (5-day candlestick, distance-from-open, 25-session structure, comparative volatility, and smart-scale pivot) would be produced from the §6 table and §11 pivots once a corroborated dataset is supplied. Structurally: the candlestick would show three constructive sessions into 28 May followed by two softer closes; the distance-from-open chart would show shrinking intraday ranges (volatility compression); the pivot chart would place the 29 May close just below the daily pivot at 10,409.</w:t>
      </w:r>
    </w:p>
    <w:p>
      <w:pPr>
        <w:pStyle w:val="Heading1"/>
        <w:spacing w:after="120" w:before="240"/>
      </w:pPr>
      <w:r>
        <w:rPr>
          <w:rFonts w:ascii="Arial" w:cs="Arial" w:eastAsia="Arial" w:hAnsi="Arial"/>
          <w:b/>
          <w:bCs/>
          <w:color w:val="1F3864"/>
          <w:sz w:val="28"/>
          <w:szCs w:val="28"/>
        </w:rPr>
        <w:t xml:space="preserve">8 · Short-Term Technical Analysis</w:t>
      </w:r>
    </w:p>
    <w:p>
      <w:pPr>
        <w:spacing w:after="80" w:before="0"/>
      </w:pPr>
      <w:r>
        <w:rPr>
          <w:rFonts w:ascii="Arial" w:cs="Arial" w:eastAsia="Arial" w:hAnsi="Arial"/>
          <w:b/>
          <w:bCs/>
          <w:i w:val="false"/>
          <w:iCs w:val="false"/>
          <w:color w:val="000000"/>
          <w:sz w:val="20"/>
          <w:szCs w:val="20"/>
        </w:rPr>
        <w:t xml:space="preserve">Fri 22 May (see §6): </w:t>
      </w:r>
      <w:r>
        <w:rPr>
          <w:rFonts w:ascii="Arial" w:cs="Arial" w:eastAsia="Arial" w:hAnsi="Arial"/>
          <w:b w:val="false"/>
          <w:bCs w:val="false"/>
          <w:i w:val="false"/>
          <w:iCs w:val="false"/>
          <w:color w:val="000000"/>
          <w:sz w:val="20"/>
          <w:szCs w:val="20"/>
        </w:rPr>
        <w:t xml:space="preserve">near-doji close mid-range, RSI2 42.7 — indecisive start, no directional commitment.</w:t>
      </w:r>
    </w:p>
    <w:p>
      <w:pPr>
        <w:spacing w:after="80" w:before="0"/>
      </w:pPr>
      <w:r>
        <w:rPr>
          <w:rFonts w:ascii="Arial" w:cs="Arial" w:eastAsia="Arial" w:hAnsi="Arial"/>
          <w:b/>
          <w:bCs/>
          <w:i w:val="false"/>
          <w:iCs w:val="false"/>
          <w:color w:val="000000"/>
          <w:sz w:val="20"/>
          <w:szCs w:val="20"/>
        </w:rPr>
        <w:t xml:space="preserve">Tue 27 May: </w:t>
      </w:r>
      <w:r>
        <w:rPr>
          <w:rFonts w:ascii="Arial" w:cs="Arial" w:eastAsia="Arial" w:hAnsi="Arial"/>
          <w:b w:val="false"/>
          <w:bCs w:val="false"/>
          <w:i w:val="false"/>
          <w:iCs w:val="false"/>
          <w:color w:val="000000"/>
          <w:sz w:val="20"/>
          <w:szCs w:val="20"/>
        </w:rPr>
        <w:t xml:space="preserve">bullish body closing in the upper third of range, RSI2 surging to 83.4 — momentum re-engaging after the holiday gap.</w:t>
      </w:r>
    </w:p>
    <w:p>
      <w:pPr>
        <w:spacing w:after="80" w:before="0"/>
      </w:pPr>
      <w:r>
        <w:rPr>
          <w:rFonts w:ascii="Arial" w:cs="Arial" w:eastAsia="Arial" w:hAnsi="Arial"/>
          <w:b/>
          <w:bCs/>
          <w:i w:val="false"/>
          <w:iCs w:val="false"/>
          <w:color w:val="000000"/>
          <w:sz w:val="20"/>
          <w:szCs w:val="20"/>
        </w:rPr>
        <w:t xml:space="preserve">Wed 28 May: </w:t>
      </w:r>
      <w:r>
        <w:rPr>
          <w:rFonts w:ascii="Arial" w:cs="Arial" w:eastAsia="Arial" w:hAnsi="Arial"/>
          <w:b w:val="false"/>
          <w:bCs w:val="false"/>
          <w:i w:val="false"/>
          <w:iCs w:val="false"/>
          <w:color w:val="000000"/>
          <w:sz w:val="20"/>
          <w:szCs w:val="20"/>
        </w:rPr>
        <w:t xml:space="preserve">second consecutive bullish close, RSI2 pinned at 100 — strong but now stretched, a classic short-window overbought flag.</w:t>
      </w:r>
    </w:p>
    <w:p>
      <w:pPr>
        <w:spacing w:after="80" w:before="0"/>
      </w:pPr>
      <w:r>
        <w:rPr>
          <w:rFonts w:ascii="Arial" w:cs="Arial" w:eastAsia="Arial" w:hAnsi="Arial"/>
          <w:b/>
          <w:bCs/>
          <w:i w:val="false"/>
          <w:iCs w:val="false"/>
          <w:color w:val="000000"/>
          <w:sz w:val="20"/>
          <w:szCs w:val="20"/>
        </w:rPr>
        <w:t xml:space="preserve">Thu 29 May (seed): </w:t>
      </w:r>
      <w:r>
        <w:rPr>
          <w:rFonts w:ascii="Arial" w:cs="Arial" w:eastAsia="Arial" w:hAnsi="Arial"/>
          <w:b w:val="false"/>
          <w:bCs w:val="false"/>
          <w:i w:val="false"/>
          <w:iCs w:val="false"/>
          <w:color w:val="000000"/>
          <w:sz w:val="20"/>
          <w:szCs w:val="20"/>
        </w:rPr>
        <w:t xml:space="preserve">upper-wick rejection from ~10,464, close back in mid-range — the overbought condition begins to unwind.</w:t>
      </w:r>
    </w:p>
    <w:p>
      <w:pPr>
        <w:spacing w:after="80" w:before="0"/>
      </w:pPr>
      <w:r>
        <w:rPr>
          <w:rFonts w:ascii="Arial" w:cs="Arial" w:eastAsia="Arial" w:hAnsi="Arial"/>
          <w:b/>
          <w:bCs/>
          <w:i w:val="false"/>
          <w:iCs w:val="false"/>
          <w:color w:val="000000"/>
          <w:sz w:val="20"/>
          <w:szCs w:val="20"/>
        </w:rPr>
        <w:t xml:space="preserve">Fri 29 May: </w:t>
      </w:r>
      <w:r>
        <w:rPr>
          <w:rFonts w:ascii="Arial" w:cs="Arial" w:eastAsia="Arial" w:hAnsi="Arial"/>
          <w:b w:val="false"/>
          <w:bCs w:val="false"/>
          <w:i w:val="false"/>
          <w:iCs w:val="false"/>
          <w:color w:val="000000"/>
          <w:sz w:val="20"/>
          <w:szCs w:val="20"/>
        </w:rPr>
        <w:t xml:space="preserve">bearish body, close at ~38% of range, RSI2 down to 40.7 — the pullback confirms, though within the prior days' range (no breakdown).</w:t>
      </w:r>
    </w:p>
    <w:p>
      <w:pPr>
        <w:spacing w:after="80" w:before="0"/>
      </w:pPr>
      <w:r>
        <w:rPr>
          <w:rFonts w:ascii="Arial" w:cs="Arial" w:eastAsia="Arial" w:hAnsi="Arial"/>
          <w:b/>
          <w:bCs/>
          <w:i w:val="false"/>
          <w:iCs w:val="false"/>
          <w:color w:val="000000"/>
          <w:sz w:val="20"/>
          <w:szCs w:val="20"/>
        </w:rPr>
        <w:t xml:space="preserve">Sequence assessment: </w:t>
      </w:r>
      <w:r>
        <w:rPr>
          <w:rFonts w:ascii="Arial" w:cs="Arial" w:eastAsia="Arial" w:hAnsi="Arial"/>
          <w:b w:val="false"/>
          <w:bCs w:val="false"/>
          <w:i w:val="false"/>
          <w:iCs w:val="false"/>
          <w:color w:val="000000"/>
          <w:sz w:val="20"/>
          <w:szCs w:val="20"/>
        </w:rPr>
        <w:t xml:space="preserve">Compression / Indecision — two strong up-closes immediately faded by two soft closes, with contracting ranges. Nearest support 10,381 (Fri low) then 10,342 (5-day swing low); nearest resistance 10,464 (5-day swing high). </w:t>
      </w:r>
    </w:p>
    <w:p>
      <w:pPr>
        <w:spacing w:after="80" w:before="0"/>
      </w:pPr>
      <w:r>
        <w:rPr>
          <w:rFonts w:ascii="Arial" w:cs="Arial" w:eastAsia="Arial" w:hAnsi="Arial"/>
          <w:b/>
          <w:bCs/>
          <w:i w:val="false"/>
          <w:iCs w:val="false"/>
          <w:color w:val="000000"/>
          <w:sz w:val="20"/>
          <w:szCs w:val="20"/>
        </w:rPr>
        <w:t xml:space="preserve">Judgement label: </w:t>
      </w:r>
      <w:r>
        <w:rPr>
          <w:rFonts w:ascii="Arial" w:cs="Arial" w:eastAsia="Arial" w:hAnsi="Arial"/>
          <w:b/>
          <w:bCs/>
          <w:i w:val="false"/>
          <w:iCs w:val="false"/>
          <w:color w:val="1F3864"/>
          <w:sz w:val="20"/>
          <w:szCs w:val="20"/>
        </w:rPr>
        <w:t xml:space="preserve">Indecision</w:t>
      </w:r>
      <w:r>
        <w:rPr>
          <w:rFonts w:ascii="Arial" w:cs="Arial" w:eastAsia="Arial" w:hAnsi="Arial"/>
          <w:b w:val="false"/>
          <w:bCs w:val="false"/>
          <w:i w:val="false"/>
          <w:iCs w:val="false"/>
          <w:color w:val="000000"/>
          <w:sz w:val="20"/>
          <w:szCs w:val="20"/>
        </w:rPr>
        <w:t xml:space="preserve">. This is consistent with the Transitional regime in §9 — no conflict.</w:t>
      </w:r>
    </w:p>
    <w:p>
      <w:pPr>
        <w:pStyle w:val="Heading1"/>
        <w:spacing w:after="120" w:before="240"/>
      </w:pPr>
      <w:r>
        <w:rPr>
          <w:rFonts w:ascii="Arial" w:cs="Arial" w:eastAsia="Arial" w:hAnsi="Arial"/>
          <w:b/>
          <w:bCs/>
          <w:color w:val="1F3864"/>
          <w:sz w:val="28"/>
          <w:szCs w:val="28"/>
        </w:rPr>
        <w:t xml:space="preserve">9 · Medium-Term Regime &amp; VOLator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Metric</w:t>
            </w:r>
          </w:p>
        </w:tc>
        <w:tc>
          <w:tcPr>
            <w:tcW w:type="dxa" w:w="67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Indicative reading</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Regime classification</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Transitional (bullish lean)</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Overlap ratio</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High — recent sessions overlap heavily (range-bound chop into month-end)</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Directional persistence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Weak positive — net up over 25 sessions but non-persistent day-to-day</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VOLator slope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Slightly negative (volatility compressing as oil/geopolitical premium drains)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Median RSI2 (5-day)</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~61 — mildly constructive but not extended</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Range-position bias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Mid-to-upper of the 25-day range (10,180–10,612 indicative)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Bias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Bullish (directional component of the regime)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Kaufman confirmation</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Mildly Trending Up — agrees with the bullish lean; does not contradict</w:t>
            </w:r>
          </w:p>
        </w:tc>
      </w:tr>
    </w:tbl>
    <w:p>
      <w:pPr>
        <w:spacing w:after="80" w:before="0"/>
      </w:pPr>
      <w:r>
        <w:rPr>
          <w:rFonts w:ascii="Arial" w:cs="Arial" w:eastAsia="Arial" w:hAnsi="Arial"/>
          <w:b/>
          <w:bCs/>
          <w:i w:val="false"/>
          <w:iCs w:val="false"/>
          <w:color w:val="000000"/>
          <w:sz w:val="20"/>
          <w:szCs w:val="20"/>
        </w:rPr>
        <w:t xml:space="preserve">Preferred trade protocol: </w:t>
      </w:r>
      <w:r>
        <w:rPr>
          <w:rFonts w:ascii="Arial" w:cs="Arial" w:eastAsia="Arial" w:hAnsi="Arial"/>
          <w:b w:val="false"/>
          <w:bCs w:val="false"/>
          <w:i w:val="false"/>
          <w:iCs w:val="false"/>
          <w:color w:val="000000"/>
          <w:sz w:val="20"/>
          <w:szCs w:val="20"/>
        </w:rPr>
        <w:t xml:space="preserve">the short-term Indecision (§8) against a Transitional-bullish medium-term regime points to a breakout-side bias with reduced conviction — favour momentum on a confirmed break rather than fading the range. VOLator below midpoint and contracting argues against aggressive mean-reversion sizing.</w:t>
      </w:r>
    </w:p>
    <w:p>
      <w:pPr>
        <w:pStyle w:val="Heading1"/>
        <w:spacing w:after="120" w:before="240"/>
      </w:pPr>
      <w:r>
        <w:rPr>
          <w:rFonts w:ascii="Arial" w:cs="Arial" w:eastAsia="Arial" w:hAnsi="Arial"/>
          <w:b/>
          <w:bCs/>
          <w:color w:val="1F3864"/>
          <w:sz w:val="28"/>
          <w:szCs w:val="28"/>
        </w:rPr>
        <w:t xml:space="preserve">10 ·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3060"/>
        <w:gridCol w:w="1500"/>
        <w:gridCol w:w="1900"/>
      </w:tblGrid>
      <w:tr>
        <w:trPr>
          <w:tblHeader/>
        </w:trPr>
        <w:tc>
          <w:tcPr>
            <w:tcW w:type="dxa" w:w="17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Counter</w:t>
            </w:r>
          </w:p>
        </w:tc>
        <w:tc>
          <w:tcPr>
            <w:tcW w:type="dxa" w:w="12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5-day dir.</w:t>
            </w:r>
          </w:p>
        </w:tc>
        <w:tc>
          <w:tcPr>
            <w:tcW w:type="dxa" w:w="30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Mechanism to FTSE</w:t>
            </w:r>
          </w:p>
        </w:tc>
        <w:tc>
          <w:tcPr>
            <w:tcW w:type="dxa" w:w="15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Status</w:t>
            </w:r>
          </w:p>
        </w:tc>
        <w:tc>
          <w:tcPr>
            <w:tcW w:type="dxa" w:w="19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Implication</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Dollar Index</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Falling (~98.85)</w:t>
            </w:r>
          </w:p>
        </w:tc>
        <w:tc>
          <w:tcPr>
            <w:tcW w:type="dxa" w:w="30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Soft USD lifts GBP; a stronger pound is a mild drag on FTSE overseas-earnings translation</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Contradicts</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Modest headwind — caps upside despite risk-on</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S&amp;P 500</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Rising (7,580, record area)</w:t>
            </w:r>
          </w:p>
        </w:tc>
        <w:tc>
          <w:tcPr>
            <w:tcW w:type="dxa" w:w="30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Cross-Atlantic risk beta; US strength pulls European equity risk appetite higher</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Confirms</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Supports the bullish lean</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DAX 40</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Rising (25,105, +3.4% May)</w:t>
            </w:r>
          </w:p>
        </w:tc>
        <w:tc>
          <w:tcPr>
            <w:tcW w:type="dxa" w:w="30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Eurozone risk proxy; German strength signals regional equity demand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Confirms</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Supports; STOXX/FTSE follow-through likely</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EURO STOXX 50 (sec.)</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Flat-to-soft (6,050)</w:t>
            </w:r>
          </w:p>
        </w:tc>
        <w:tc>
          <w:tcPr>
            <w:tcW w:type="dxa" w:w="30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Direct eurozone read-across; shares banks/energy beta with FTSE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Neutral</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Mixed — STOXX faded late like FTSE</w:t>
            </w:r>
          </w:p>
        </w:tc>
      </w:tr>
    </w:tbl>
    <w:p>
      <w:pPr>
        <w:spacing w:after="80" w:before="0"/>
      </w:pPr>
      <w:r>
        <w:rPr>
          <w:rFonts w:ascii="Arial" w:cs="Arial" w:eastAsia="Arial" w:hAnsi="Arial"/>
          <w:b/>
          <w:bCs/>
          <w:i w:val="false"/>
          <w:iCs w:val="false"/>
          <w:color w:val="000000"/>
          <w:sz w:val="20"/>
          <w:szCs w:val="20"/>
        </w:rPr>
        <w:t xml:space="preserve">Aggregate cross-asset read: </w:t>
      </w:r>
      <w:r>
        <w:rPr>
          <w:rFonts w:ascii="Arial" w:cs="Arial" w:eastAsia="Arial" w:hAnsi="Arial"/>
          <w:b w:val="false"/>
          <w:bCs w:val="false"/>
          <w:i w:val="false"/>
          <w:iCs w:val="false"/>
          <w:color w:val="000000"/>
          <w:sz w:val="20"/>
          <w:szCs w:val="20"/>
        </w:rPr>
        <w:t xml:space="preserve">CONFIRM with one contradiction. Two of three active counters (S&amp;P 500, DAX) confirm the bullish medium-term lean; the soft Dollar Index </w:t>
      </w:r>
      <w:r>
        <w:rPr>
          <w:rFonts w:ascii="Arial" w:cs="Arial" w:eastAsia="Arial" w:hAnsi="Arial"/>
          <w:b/>
          <w:bCs/>
          <w:i w:val="false"/>
          <w:iCs w:val="false"/>
          <w:color w:val="B45309"/>
          <w:sz w:val="20"/>
          <w:szCs w:val="20"/>
        </w:rPr>
        <w:t xml:space="preserve">contradicts</w:t>
      </w:r>
      <w:r>
        <w:rPr>
          <w:rFonts w:ascii="Arial" w:cs="Arial" w:eastAsia="Arial" w:hAnsi="Arial"/>
          <w:b w:val="false"/>
          <w:bCs w:val="false"/>
          <w:i w:val="false"/>
          <w:iCs w:val="false"/>
          <w:color w:val="000000"/>
          <w:sz w:val="20"/>
          <w:szCs w:val="20"/>
        </w:rPr>
        <w:t xml:space="preserve"> via the sterling-strength channel and is flagged rather than resolved — it feeds the Bull/Bear balance (§15) as the principal counterweight to upside.</w:t>
      </w:r>
    </w:p>
    <w:p>
      <w:pPr>
        <w:pStyle w:val="Heading1"/>
        <w:spacing w:after="120" w:before="240"/>
      </w:pPr>
      <w:r>
        <w:rPr>
          <w:rFonts w:ascii="Arial" w:cs="Arial" w:eastAsia="Arial" w:hAnsi="Arial"/>
          <w:b/>
          <w:bCs/>
          <w:color w:val="1F3864"/>
          <w:sz w:val="28"/>
          <w:szCs w:val="28"/>
        </w:rPr>
        <w:t xml:space="preserve">11 · Floor Pivot Analysis</w:t>
      </w:r>
    </w:p>
    <w:p>
      <w:pPr>
        <w:pStyle w:val="Heading2"/>
        <w:spacing w:after="80" w:before="160"/>
      </w:pPr>
      <w:r>
        <w:rPr>
          <w:rFonts w:ascii="Arial" w:cs="Arial" w:eastAsia="Arial" w:hAnsi="Arial"/>
          <w:b/>
          <w:bCs/>
          <w:color w:val="2E7D32"/>
          <w:sz w:val="23"/>
          <w:szCs w:val="23"/>
        </w:rPr>
        <w:t xml:space="preserve">Daily pivots (from indicative 29 May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Level</w:t>
            </w:r>
          </w:p>
        </w:tc>
        <w:tc>
          <w:tcPr>
            <w:tcW w:type="dxa" w:w="312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Price (pts)</w:t>
            </w:r>
          </w:p>
        </w:tc>
        <w:tc>
          <w:tcPr>
            <w:tcW w:type="dxa" w:w="312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Tier</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2E7D32"/>
                <w:sz w:val="17"/>
                <w:szCs w:val="17"/>
              </w:rPr>
              <w:t xml:space="preserve">R3</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10,493.65</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Resistance</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2E7D32"/>
                <w:sz w:val="17"/>
                <w:szCs w:val="17"/>
              </w:rPr>
              <w:t xml:space="preserve">R2</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10,465.63</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Resistance</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2E7D32"/>
                <w:sz w:val="17"/>
                <w:szCs w:val="17"/>
              </w:rPr>
              <w:t xml:space="preserve">R1.5</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10,451.54</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Resistance (derived)</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2E7D32"/>
                <w:sz w:val="17"/>
                <w:szCs w:val="17"/>
              </w:rPr>
              <w:t xml:space="preserve">R1</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10,437.45</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Resistance</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bCs/>
                <w:i w:val="false"/>
                <w:iCs w:val="false"/>
                <w:color w:val="000000"/>
                <w:sz w:val="17"/>
                <w:szCs w:val="17"/>
              </w:rPr>
              <w:t xml:space="preserve">P</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10,409.43</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Pivot</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AD1457"/>
                <w:sz w:val="17"/>
                <w:szCs w:val="17"/>
              </w:rPr>
              <w:t xml:space="preserve">S1</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10,381.25</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Support</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AD1457"/>
                <w:sz w:val="17"/>
                <w:szCs w:val="17"/>
              </w:rPr>
              <w:t xml:space="preserve">S1.5</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10,367.24</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Support (derived)</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AD1457"/>
                <w:sz w:val="17"/>
                <w:szCs w:val="17"/>
              </w:rPr>
              <w:t xml:space="preserve">S2</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10,353.23</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Support</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AD1457"/>
                <w:sz w:val="17"/>
                <w:szCs w:val="17"/>
              </w:rPr>
              <w:t xml:space="preserve">S3</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10,325.05</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Support</w:t>
            </w:r>
          </w:p>
        </w:tc>
      </w:tr>
    </w:tbl>
    <w:p>
      <w:pPr>
        <w:pStyle w:val="Heading2"/>
        <w:spacing w:after="80" w:before="160"/>
      </w:pPr>
      <w:r>
        <w:rPr>
          <w:rFonts w:ascii="Arial" w:cs="Arial" w:eastAsia="Arial" w:hAnsi="Arial"/>
          <w:b/>
          <w:bCs/>
          <w:color w:val="2E7D32"/>
          <w:sz w:val="23"/>
          <w:szCs w:val="23"/>
        </w:rPr>
        <w:t xml:space="preserve">Weekly pivots (from indicative week of 18–22 May)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Level</w:t>
            </w:r>
          </w:p>
        </w:tc>
        <w:tc>
          <w:tcPr>
            <w:tcW w:type="dxa" w:w="312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Price (pts)</w:t>
            </w:r>
          </w:p>
        </w:tc>
        <w:tc>
          <w:tcPr>
            <w:tcW w:type="dxa" w:w="312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Tier</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2E7D32"/>
                <w:sz w:val="17"/>
                <w:szCs w:val="17"/>
              </w:rPr>
              <w:t xml:space="preserve">R2</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10,575.80</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Resistance</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2E7D32"/>
                <w:sz w:val="17"/>
                <w:szCs w:val="17"/>
              </w:rPr>
              <w:t xml:space="preserve">R1</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10,473.60</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Resistance</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bCs/>
                <w:i w:val="false"/>
                <w:iCs w:val="false"/>
                <w:color w:val="000000"/>
                <w:sz w:val="17"/>
                <w:szCs w:val="17"/>
              </w:rPr>
              <w:t xml:space="preserve">P</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10,385.80</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Pivot</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AD1457"/>
                <w:sz w:val="17"/>
                <w:szCs w:val="17"/>
              </w:rPr>
              <w:t xml:space="preserve">S1</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10,283.60</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Support</w:t>
            </w:r>
          </w:p>
        </w:tc>
      </w:tr>
      <w:t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AD1457"/>
                <w:sz w:val="17"/>
                <w:szCs w:val="17"/>
              </w:rPr>
              <w:t xml:space="preserve">S2</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10,195.80</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Support</w:t>
            </w:r>
          </w:p>
        </w:tc>
      </w:tr>
    </w:tbl>
    <w:p>
      <w:pPr>
        <w:spacing w:after="80" w:before="0"/>
      </w:pPr>
      <w:r>
        <w:rPr>
          <w:rFonts w:ascii="Arial" w:cs="Arial" w:eastAsia="Arial" w:hAnsi="Arial"/>
          <w:b/>
          <w:bCs/>
          <w:i w:val="false"/>
          <w:iCs w:val="false"/>
          <w:color w:val="000000"/>
          <w:sz w:val="20"/>
          <w:szCs w:val="20"/>
        </w:rPr>
        <w:t xml:space="preserve">Source status: </w:t>
      </w:r>
      <w:r>
        <w:rPr>
          <w:rFonts w:ascii="Arial" w:cs="Arial" w:eastAsia="Arial" w:hAnsi="Arial"/>
          <w:b w:val="false"/>
          <w:bCs w:val="false"/>
          <w:i w:val="false"/>
          <w:iCs w:val="false"/>
          <w:color w:val="000000"/>
          <w:sz w:val="20"/>
          <w:szCs w:val="20"/>
        </w:rPr>
        <w:t xml:space="preserve">ALL pivot levels are SINGLE-SOURCE INDICATIVE — prior-period H/L/C were not corroborated. Per the strategy suppression rules this flag propagates to §21 and forces suppression of the pivot-fade trade. Position narrative: the 29 May close (10,409) sits fractionally above the daily pivot (10,409.43 — effectively at P) and above the weekly pivot (10,386), a mildly constructive structural position; first resistance 10,437, first support 10,381. No daily/weekly/monthly confluence within 0.05%.</w:t>
      </w:r>
    </w:p>
    <w:p>
      <w:pPr>
        <w:pStyle w:val="Heading1"/>
        <w:spacing w:after="120" w:before="240"/>
      </w:pPr>
      <w:r>
        <w:rPr>
          <w:rFonts w:ascii="Arial" w:cs="Arial" w:eastAsia="Arial" w:hAnsi="Arial"/>
          <w:b/>
          <w:bCs/>
          <w:color w:val="1F3864"/>
          <w:sz w:val="28"/>
          <w:szCs w:val="28"/>
        </w:rPr>
        <w:t xml:space="preserve">12 · Key Market Considerations</w:t>
      </w:r>
    </w:p>
    <w:p>
      <w:pPr>
        <w:spacing w:after="80" w:before="0"/>
      </w:pPr>
      <w:r>
        <w:rPr>
          <w:rFonts w:ascii="Arial" w:cs="Arial" w:eastAsia="Arial" w:hAnsi="Arial"/>
          <w:b/>
          <w:bCs/>
          <w:i w:val="false"/>
          <w:iCs w:val="false"/>
          <w:color w:val="000000"/>
          <w:sz w:val="20"/>
          <w:szCs w:val="20"/>
        </w:rPr>
        <w:t xml:space="preserve">Geopolitics / Energy — </w:t>
      </w:r>
      <w:r>
        <w:rPr>
          <w:rFonts w:ascii="Arial" w:cs="Arial" w:eastAsia="Arial" w:hAnsi="Arial"/>
          <w:b w:val="false"/>
          <w:bCs w:val="false"/>
          <w:i w:val="false"/>
          <w:iCs w:val="false"/>
          <w:color w:val="000000"/>
          <w:sz w:val="20"/>
          <w:szCs w:val="20"/>
        </w:rPr>
        <w:t xml:space="preserve">price-supportive (cyclical). </w:t>
      </w:r>
      <w:r>
        <w:rPr>
          <w:rFonts w:ascii="Arial" w:cs="Arial" w:eastAsia="Arial" w:hAnsi="Arial"/>
          <w:b w:val="false"/>
          <w:bCs w:val="false"/>
          <w:i w:val="false"/>
          <w:iCs w:val="false"/>
          <w:color w:val="000000"/>
          <w:sz w:val="20"/>
          <w:szCs w:val="20"/>
        </w:rPr>
        <w:t xml:space="preserve">The reported US–Iran ceasefire extension and tentative Strait-of-Hormuz shipping deal pushed Brent to ~$91 and WTI to ~$87 (one-month lows), easing input-cost and inflation pressure. Lower oil is a mixed signal for the FTSE specifically — supportive for the broad index and consumer names, negative for the heavy energy weight (Shell, BP).</w:t>
      </w:r>
    </w:p>
    <w:p>
      <w:pPr>
        <w:spacing w:after="80" w:before="0"/>
      </w:pPr>
      <w:r>
        <w:rPr>
          <w:rFonts w:ascii="Arial" w:cs="Arial" w:eastAsia="Arial" w:hAnsi="Arial"/>
          <w:b/>
          <w:bCs/>
          <w:i w:val="false"/>
          <w:iCs w:val="false"/>
          <w:color w:val="000000"/>
          <w:sz w:val="20"/>
          <w:szCs w:val="20"/>
        </w:rPr>
        <w:t xml:space="preserve">Inflation / Policy — </w:t>
      </w:r>
      <w:r>
        <w:rPr>
          <w:rFonts w:ascii="Arial" w:cs="Arial" w:eastAsia="Arial" w:hAnsi="Arial"/>
          <w:b w:val="false"/>
          <w:bCs w:val="false"/>
          <w:i w:val="false"/>
          <w:iCs w:val="false"/>
          <w:color w:val="000000"/>
          <w:sz w:val="20"/>
          <w:szCs w:val="20"/>
        </w:rPr>
        <w:t xml:space="preserve">price-supportive (cyclical). </w:t>
      </w:r>
      <w:r>
        <w:rPr>
          <w:rFonts w:ascii="Arial" w:cs="Arial" w:eastAsia="Arial" w:hAnsi="Arial"/>
          <w:b w:val="false"/>
          <w:bCs w:val="false"/>
          <w:i w:val="false"/>
          <w:iCs w:val="false"/>
          <w:color w:val="000000"/>
          <w:sz w:val="20"/>
          <w:szCs w:val="20"/>
        </w:rPr>
        <w:t xml:space="preserve">Softer-than-expected German (2.7%) and French harmonised CPI raised eurozone rate-cut expectations, supporting equity valuations region-wide.</w:t>
      </w:r>
    </w:p>
    <w:p>
      <w:pPr>
        <w:spacing w:after="80" w:before="0"/>
      </w:pPr>
      <w:r>
        <w:rPr>
          <w:rFonts w:ascii="Arial" w:cs="Arial" w:eastAsia="Arial" w:hAnsi="Arial"/>
          <w:b/>
          <w:bCs/>
          <w:i w:val="false"/>
          <w:iCs w:val="false"/>
          <w:color w:val="000000"/>
          <w:sz w:val="20"/>
          <w:szCs w:val="20"/>
        </w:rPr>
        <w:t xml:space="preserve">Macro / FX — </w:t>
      </w:r>
      <w:r>
        <w:rPr>
          <w:rFonts w:ascii="Arial" w:cs="Arial" w:eastAsia="Arial" w:hAnsi="Arial"/>
          <w:b w:val="false"/>
          <w:bCs w:val="false"/>
          <w:i w:val="false"/>
          <w:iCs w:val="false"/>
          <w:color w:val="000000"/>
          <w:sz w:val="20"/>
          <w:szCs w:val="20"/>
        </w:rPr>
        <w:t xml:space="preserve">mild headwind (cyclical). </w:t>
      </w:r>
      <w:r>
        <w:rPr>
          <w:rFonts w:ascii="Arial" w:cs="Arial" w:eastAsia="Arial" w:hAnsi="Arial"/>
          <w:b w:val="false"/>
          <w:bCs w:val="false"/>
          <w:i w:val="false"/>
          <w:iCs w:val="false"/>
          <w:color w:val="000000"/>
          <w:sz w:val="20"/>
          <w:szCs w:val="20"/>
        </w:rPr>
        <w:t xml:space="preserve">A soft Dollar Index leaves sterling firm; GBP strength dampens the translated value of FTSE multinationals' overseas earnings.</w:t>
      </w:r>
    </w:p>
    <w:p>
      <w:pPr>
        <w:spacing w:after="80" w:before="0"/>
      </w:pPr>
      <w:r>
        <w:rPr>
          <w:rFonts w:ascii="Arial" w:cs="Arial" w:eastAsia="Arial" w:hAnsi="Arial"/>
          <w:b/>
          <w:bCs/>
          <w:i w:val="false"/>
          <w:iCs w:val="false"/>
          <w:color w:val="000000"/>
          <w:sz w:val="20"/>
          <w:szCs w:val="20"/>
        </w:rPr>
        <w:t xml:space="preserve">Substitution / Spreads — </w:t>
      </w:r>
      <w:r>
        <w:rPr>
          <w:rFonts w:ascii="Arial" w:cs="Arial" w:eastAsia="Arial" w:hAnsi="Arial"/>
          <w:b w:val="false"/>
          <w:bCs w:val="false"/>
          <w:i w:val="false"/>
          <w:iCs w:val="false"/>
          <w:color w:val="000000"/>
          <w:sz w:val="20"/>
          <w:szCs w:val="20"/>
        </w:rPr>
        <w:t xml:space="preserve">neutral. </w:t>
      </w:r>
      <w:r>
        <w:rPr>
          <w:rFonts w:ascii="Arial" w:cs="Arial" w:eastAsia="Arial" w:hAnsi="Arial"/>
          <w:b w:val="false"/>
          <w:bCs w:val="false"/>
          <w:i w:val="false"/>
          <w:iCs w:val="false"/>
          <w:color w:val="000000"/>
          <w:sz w:val="20"/>
          <w:szCs w:val="20"/>
        </w:rPr>
        <w:t xml:space="preserve">FTSE continues to lag the DAX (+3.4% May vs FTSE +0.6%), reflecting Germany's fiscal-stimulus and defence-spend tailwind; relative-value rotation into UK large-caps is a latent, not active, factor.</w:t>
      </w:r>
    </w:p>
    <w:p>
      <w:pPr>
        <w:spacing w:after="80" w:before="0"/>
      </w:pPr>
      <w:r>
        <w:rPr>
          <w:rFonts w:ascii="Arial" w:cs="Arial" w:eastAsia="Arial" w:hAnsi="Arial"/>
          <w:b/>
          <w:bCs/>
          <w:i w:val="false"/>
          <w:iCs w:val="false"/>
          <w:color w:val="000000"/>
          <w:sz w:val="20"/>
          <w:szCs w:val="20"/>
        </w:rPr>
        <w:t xml:space="preserve">Near-term catalysts — </w:t>
      </w:r>
      <w:r>
        <w:rPr>
          <w:rFonts w:ascii="Arial" w:cs="Arial" w:eastAsia="Arial" w:hAnsi="Arial"/>
          <w:b w:val="false"/>
          <w:bCs w:val="false"/>
          <w:i w:val="false"/>
          <w:iCs w:val="false"/>
          <w:color w:val="000000"/>
          <w:sz w:val="20"/>
          <w:szCs w:val="20"/>
        </w:rPr>
        <w:t xml:space="preserve">the pending final US sign-off on the Iran memorandum (see §13d) is the dominant structural swing factor for the next five sessions; eurozone and UK data round out the calendar.</w:t>
      </w:r>
    </w:p>
    <w:p>
      <w:pPr>
        <w:pStyle w:val="Heading1"/>
        <w:spacing w:after="120" w:before="240"/>
      </w:pPr>
      <w:r>
        <w:rPr>
          <w:rFonts w:ascii="Arial" w:cs="Arial" w:eastAsia="Arial" w:hAnsi="Arial"/>
          <w:b/>
          <w:bCs/>
          <w:color w:val="1F3864"/>
          <w:sz w:val="28"/>
          <w:szCs w:val="28"/>
        </w:rPr>
        <w:t xml:space="preserve">13 · Sentiment, News &amp; Calendar</w:t>
      </w:r>
    </w:p>
    <w:p>
      <w:pPr>
        <w:pStyle w:val="Heading2"/>
        <w:spacing w:after="80" w:before="160"/>
      </w:pPr>
      <w:r>
        <w:rPr>
          <w:rFonts w:ascii="Arial" w:cs="Arial" w:eastAsia="Arial" w:hAnsi="Arial"/>
          <w:b/>
          <w:bCs/>
          <w:color w:val="B45309"/>
          <w:sz w:val="23"/>
          <w:szCs w:val="23"/>
        </w:rPr>
        <w:t xml:space="preserve">13a ·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2900"/>
        <w:gridCol w:w="1400"/>
        <w:gridCol w:w="2560"/>
      </w:tblGrid>
      <w:tr>
        <w:trPr>
          <w:tblHeader/>
        </w:trPr>
        <w:tc>
          <w:tcPr>
            <w:tcW w:type="dxa" w:w="14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Source</w:t>
            </w:r>
          </w:p>
        </w:tc>
        <w:tc>
          <w:tcPr>
            <w:tcW w:type="dxa" w:w="11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Date</w:t>
            </w:r>
          </w:p>
        </w:tc>
        <w:tc>
          <w:tcPr>
            <w:tcW w:type="dxa" w:w="29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Headline (summarised)</w:t>
            </w:r>
          </w:p>
        </w:tc>
        <w:tc>
          <w:tcPr>
            <w:tcW w:type="dxa" w:w="14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Class.</w:t>
            </w:r>
          </w:p>
        </w:tc>
        <w:tc>
          <w:tcPr>
            <w:tcW w:type="dxa" w:w="25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Derived sentiment</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Trading Economics</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29 May</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UK index up second month; Mid-East ceasefire optimism</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Trade Press</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Bullish — ceasefire optimism lifts tone</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Investing.com</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29 May</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US–Iran deal progress could broaden global equity gains</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Media</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Bullish — deal could broaden equity performance</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Reuters (archive)</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04 May</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Dollar up, European stocks fell after warship-hit reports</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Institutional</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Bearish — geopolitical shock hit equities</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Trading Economics</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29 May</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DAX ends May +3.4% on US–Iran hopes</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Trade Press</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Bullish — regional risk appetite firm</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EBC / market wrap</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20 May</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STOXX 50 rebound looks like repair, not confirmed strength</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Media</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Mixed — rebound incomplete</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Trading Economics</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29 May</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Softer German/French CPI raises ECB-easing hopes</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Trade Press</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Bullish — easing hopes support equities</w:t>
            </w:r>
          </w:p>
        </w:tc>
      </w:tr>
    </w:tbl>
    <w:p>
      <w:pPr>
        <w:pStyle w:val="Heading2"/>
        <w:spacing w:after="80" w:before="160"/>
      </w:pPr>
      <w:r>
        <w:rPr>
          <w:rFonts w:ascii="Arial" w:cs="Arial" w:eastAsia="Arial" w:hAnsi="Arial"/>
          <w:b/>
          <w:bCs/>
          <w:color w:val="B45309"/>
          <w:sz w:val="23"/>
          <w:szCs w:val="23"/>
        </w:rPr>
        <w:t xml:space="preserve">13b · Aggregate sentiment</w:t>
      </w:r>
    </w:p>
    <w:p>
      <w:pPr>
        <w:spacing w:after="80" w:before="0"/>
      </w:pPr>
      <w:r>
        <w:rPr>
          <w:rFonts w:ascii="Arial" w:cs="Arial" w:eastAsia="Arial" w:hAnsi="Arial"/>
          <w:b w:val="false"/>
          <w:bCs w:val="false"/>
          <w:i w:val="false"/>
          <w:iCs w:val="false"/>
          <w:color w:val="000000"/>
          <w:sz w:val="20"/>
          <w:szCs w:val="20"/>
        </w:rPr>
        <w:t xml:space="preserve">Counts: 4 Bullish (3 trade press, 1 media), 1 Bearish (institutional), 1 Mixed (media) = </w:t>
      </w:r>
      <w:r>
        <w:rPr>
          <w:rFonts w:ascii="Arial" w:cs="Arial" w:eastAsia="Arial" w:hAnsi="Arial"/>
          <w:b/>
          <w:bCs/>
          <w:i w:val="false"/>
          <w:iCs w:val="false"/>
          <w:color w:val="AD1457"/>
          <w:sz w:val="20"/>
          <w:szCs w:val="20"/>
        </w:rPr>
        <w:t xml:space="preserve">Predominantly Bullish (tilt = +0.30)</w:t>
      </w:r>
      <w:r>
        <w:rPr>
          <w:rFonts w:ascii="Arial" w:cs="Arial" w:eastAsia="Arial" w:hAnsi="Arial"/>
          <w:b w:val="false"/>
          <w:bCs w:val="false"/>
          <w:i w:val="false"/>
          <w:iCs w:val="false"/>
          <w:color w:val="000000"/>
          <w:sz w:val="20"/>
          <w:szCs w:val="20"/>
        </w:rPr>
        <w:t xml:space="preserve">. The single Bearish item is institutional (higher weight) and is a dated 4 May shock, partially offsetting the more recent bullish cluster — hence a moderate rather than strong positive tilt. </w:t>
      </w:r>
      <w:r>
        <w:rPr>
          <w:rFonts w:ascii="Arial" w:cs="Arial" w:eastAsia="Arial" w:hAnsi="Arial"/>
          <w:b/>
          <w:bCs/>
          <w:i w:val="false"/>
          <w:iCs w:val="false"/>
          <w:color w:val="000000"/>
          <w:sz w:val="20"/>
          <w:szCs w:val="20"/>
        </w:rPr>
        <w:t xml:space="preserve">Divergence flag: </w:t>
      </w:r>
      <w:r>
        <w:rPr>
          <w:rFonts w:ascii="Arial" w:cs="Arial" w:eastAsia="Arial" w:hAnsi="Arial"/>
          <w:b w:val="false"/>
          <w:bCs w:val="false"/>
          <w:i w:val="false"/>
          <w:iCs w:val="false"/>
          <w:color w:val="000000"/>
          <w:sz w:val="20"/>
          <w:szCs w:val="20"/>
        </w:rPr>
        <w:t xml:space="preserve">sentiment is bullish while the latest price action softened (29 May down) — a mild sentiment/price divergence; given the Transitional regime, price action is the more reliable near-term signal and sentiment is treated as a supportive backdrop, not a trigger.</w:t>
      </w:r>
    </w:p>
    <w:p>
      <w:pPr>
        <w:pStyle w:val="Heading2"/>
        <w:spacing w:after="80" w:before="160"/>
      </w:pPr>
      <w:r>
        <w:rPr>
          <w:rFonts w:ascii="Arial" w:cs="Arial" w:eastAsia="Arial" w:hAnsi="Arial"/>
          <w:b/>
          <w:bCs/>
          <w:color w:val="B45309"/>
          <w:sz w:val="23"/>
          <w:szCs w:val="23"/>
        </w:rPr>
        <w:t xml:space="preserve">13c · Previous-period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400"/>
        <w:gridCol w:w="900"/>
        <w:gridCol w:w="2160"/>
      </w:tblGrid>
      <w:tr>
        <w:trPr>
          <w:tblHeader/>
        </w:trPr>
        <w:tc>
          <w:tcPr>
            <w:tcW w:type="dxa" w:w="13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Date</w:t>
            </w:r>
          </w:p>
        </w:tc>
        <w:tc>
          <w:tcPr>
            <w:tcW w:type="dxa" w:w="26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Event</w:t>
            </w:r>
          </w:p>
        </w:tc>
        <w:tc>
          <w:tcPr>
            <w:tcW w:type="dxa" w:w="24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Prior / context</w:t>
            </w:r>
          </w:p>
        </w:tc>
        <w:tc>
          <w:tcPr>
            <w:tcW w:type="dxa" w:w="9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Impact</w:t>
            </w:r>
          </w:p>
        </w:tc>
        <w:tc>
          <w:tcPr>
            <w:tcW w:type="dxa" w:w="21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Implication for FTSE</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Mon 25 May</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UK Spring bank holiday</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LSE closed</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Low</w:t>
            </w:r>
          </w:p>
        </w:tc>
        <w:tc>
          <w:tcPr>
            <w:tcW w:type="dxa" w:w="2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No UK session; thin liquidity into week</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Thu 28 May</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US–Iran truce-extension reports</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Active conflict prior</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High</w:t>
            </w:r>
          </w:p>
        </w:tc>
        <w:tc>
          <w:tcPr>
            <w:tcW w:type="dxa" w:w="2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Risk-on; oil lower, FTSE/STOXX bid</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Fri 29 May</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German/French flash HICP</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DE 2.9% prior</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High</w:t>
            </w:r>
          </w:p>
        </w:tc>
        <w:tc>
          <w:tcPr>
            <w:tcW w:type="dxa" w:w="2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DE 2.7% &lt; est; ECB-easing hopes, equities firm</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Fri 29 May</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Month-end / May close</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FTSE +0.6% MTD</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Med</w:t>
            </w:r>
          </w:p>
        </w:tc>
        <w:tc>
          <w:tcPr>
            <w:tcW w:type="dxa" w:w="2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Rebalancing flows; soft close despite monthly gain</w:t>
            </w:r>
          </w:p>
        </w:tc>
      </w:tr>
    </w:tbl>
    <w:p>
      <w:pPr>
        <w:pStyle w:val="Heading2"/>
        <w:spacing w:after="80" w:before="160"/>
      </w:pPr>
      <w:r>
        <w:rPr>
          <w:rFonts w:ascii="Arial" w:cs="Arial" w:eastAsia="Arial" w:hAnsi="Arial"/>
          <w:b/>
          <w:bCs/>
          <w:color w:val="B45309"/>
          <w:sz w:val="23"/>
          <w:szCs w:val="23"/>
        </w:rPr>
        <w:t xml:space="preserve">13d · Upcoming-period calendar (next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400"/>
        <w:gridCol w:w="900"/>
        <w:gridCol w:w="2160"/>
      </w:tblGrid>
      <w:tr>
        <w:trPr>
          <w:tblHeader/>
        </w:trPr>
        <w:tc>
          <w:tcPr>
            <w:tcW w:type="dxa" w:w="13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Date</w:t>
            </w:r>
          </w:p>
        </w:tc>
        <w:tc>
          <w:tcPr>
            <w:tcW w:type="dxa" w:w="26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Event</w:t>
            </w:r>
          </w:p>
        </w:tc>
        <w:tc>
          <w:tcPr>
            <w:tcW w:type="dxa" w:w="24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Context</w:t>
            </w:r>
          </w:p>
        </w:tc>
        <w:tc>
          <w:tcPr>
            <w:tcW w:type="dxa" w:w="9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Impact</w:t>
            </w:r>
          </w:p>
        </w:tc>
        <w:tc>
          <w:tcPr>
            <w:tcW w:type="dxa" w:w="21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Implication for FTSE</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bCs/>
                <w:i w:val="false"/>
                <w:iCs w:val="false"/>
                <w:color w:val="000000"/>
                <w:sz w:val="15"/>
                <w:szCs w:val="15"/>
              </w:rPr>
              <w:t xml:space="preserve">01–02 Jun</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bCs/>
                <w:i w:val="false"/>
                <w:iCs w:val="false"/>
                <w:color w:val="000000"/>
                <w:sz w:val="15"/>
                <w:szCs w:val="15"/>
              </w:rPr>
              <w:t xml:space="preserve">US final sign-off on Iran memorandum</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bCs/>
                <w:i w:val="false"/>
                <w:iCs w:val="false"/>
                <w:color w:val="000000"/>
                <w:sz w:val="15"/>
                <w:szCs w:val="15"/>
              </w:rPr>
              <w:t xml:space="preserve">Awaiting Presidential approval</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bCs/>
                <w:i w:val="false"/>
                <w:iCs w:val="false"/>
                <w:color w:val="B45309"/>
                <w:sz w:val="15"/>
                <w:szCs w:val="15"/>
              </w:rPr>
              <w:t xml:space="preserve">High</w:t>
            </w:r>
          </w:p>
        </w:tc>
        <w:tc>
          <w:tcPr>
            <w:tcW w:type="dxa" w:w="2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bCs/>
                <w:i w:val="false"/>
                <w:iCs w:val="false"/>
                <w:color w:val="000000"/>
                <w:sz w:val="15"/>
                <w:szCs w:val="15"/>
              </w:rPr>
              <w:t xml:space="preserve">Approval → oil lower, risk-on, FTSE up; collapse → oil spike, energy re-rate, sharp risk-off</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02 Jun</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Eurozone flash CPI</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Tracking softer</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High</w:t>
            </w:r>
          </w:p>
        </w:tc>
        <w:tc>
          <w:tcPr>
            <w:tcW w:type="dxa" w:w="2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Cooler print reinforces ECB-easing/equity bid</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03 Jun</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UK / eurozone services PMI</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Expansion ~watch</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Med</w:t>
            </w:r>
          </w:p>
        </w:tc>
        <w:tc>
          <w:tcPr>
            <w:tcW w:type="dxa" w:w="2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Beat supports cyclicals; miss caps upside</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04 Jun</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ECB commentary / speakers</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Post-CPI</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Med</w:t>
            </w:r>
          </w:p>
        </w:tc>
        <w:tc>
          <w:tcPr>
            <w:tcW w:type="dxa" w:w="2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Dovish tone supportive for STOXX, read-across to FTSE</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05 Jun</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US payrolls</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Cross-Atlantic</w:t>
            </w:r>
          </w:p>
        </w:tc>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Med</w:t>
            </w:r>
          </w:p>
        </w:tc>
        <w:tc>
          <w:tcPr>
            <w:tcW w:type="dxa" w:w="2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Strong print lifts S&amp;P beta; very strong revives USD (GBP/FTSE drag)</w:t>
            </w:r>
          </w:p>
        </w:tc>
      </w:tr>
    </w:tbl>
    <w:p>
      <w:pPr>
        <w:spacing w:after="80" w:before="0"/>
      </w:pPr>
      <w:r>
        <w:rPr>
          <w:rFonts w:ascii="Arial" w:cs="Arial" w:eastAsia="Arial" w:hAnsi="Arial"/>
          <w:b w:val="false"/>
          <w:bCs w:val="false"/>
          <w:i/>
          <w:iCs/>
          <w:color w:val="000000"/>
          <w:sz w:val="16"/>
          <w:szCs w:val="16"/>
        </w:rPr>
        <w:t xml:space="preserve">Highest-impact event (bold above): the US sign-off on the Iran memorandum — a positive confirmation would entrench the oil-lower, risk-on backdrop and likely carry the FTSE through 10,437/10,465; a collapse would re-bid oil, re-rate energy names higher but hit the broad risk tone, and is the primary invalidation risk for the long bias.</w:t>
      </w:r>
    </w:p>
    <w:p>
      <w:pPr>
        <w:pStyle w:val="Heading1"/>
        <w:spacing w:after="120" w:before="240"/>
      </w:pPr>
      <w:r>
        <w:rPr>
          <w:rFonts w:ascii="Arial" w:cs="Arial" w:eastAsia="Arial" w:hAnsi="Arial"/>
          <w:b/>
          <w:bCs/>
          <w:color w:val="1F3864"/>
          <w:sz w:val="28"/>
          <w:szCs w:val="28"/>
        </w:rPr>
        <w:t xml:space="preserve">14 · Macro Context</w:t>
      </w:r>
    </w:p>
    <w:p>
      <w:pPr>
        <w:spacing w:after="80" w:before="0"/>
      </w:pPr>
      <w:r>
        <w:rPr>
          <w:rFonts w:ascii="Arial" w:cs="Arial" w:eastAsia="Arial" w:hAnsi="Arial"/>
          <w:b/>
          <w:bCs/>
          <w:i w:val="false"/>
          <w:iCs w:val="false"/>
          <w:color w:val="000000"/>
          <w:sz w:val="20"/>
          <w:szCs w:val="20"/>
        </w:rPr>
        <w:t xml:space="preserve">Rates &amp; policy — </w:t>
      </w:r>
      <w:r>
        <w:rPr>
          <w:rFonts w:ascii="Arial" w:cs="Arial" w:eastAsia="Arial" w:hAnsi="Arial"/>
          <w:b w:val="false"/>
          <w:bCs w:val="false"/>
          <w:i w:val="false"/>
          <w:iCs w:val="false"/>
          <w:color w:val="000000"/>
          <w:sz w:val="20"/>
          <w:szCs w:val="20"/>
        </w:rPr>
        <w:t xml:space="preserve">the BoE remains the FTSE's domestic anchor; soft eurozone CPI (§13c) and rising ECB-easing odds set a dovish regional backdrop. Cross-referencing the S&amp;P 500 read from §10 (rising), the global rate-cut narrative is risk-supportive.</w:t>
      </w:r>
    </w:p>
    <w:p>
      <w:pPr>
        <w:spacing w:after="80" w:before="0"/>
      </w:pPr>
      <w:r>
        <w:rPr>
          <w:rFonts w:ascii="Arial" w:cs="Arial" w:eastAsia="Arial" w:hAnsi="Arial"/>
          <w:b/>
          <w:bCs/>
          <w:i w:val="false"/>
          <w:iCs w:val="false"/>
          <w:color w:val="000000"/>
          <w:sz w:val="20"/>
          <w:szCs w:val="20"/>
        </w:rPr>
        <w:t xml:space="preserve">Inflation — </w:t>
      </w:r>
      <w:r>
        <w:rPr>
          <w:rFonts w:ascii="Arial" w:cs="Arial" w:eastAsia="Arial" w:hAnsi="Arial"/>
          <w:b w:val="false"/>
          <w:bCs w:val="false"/>
          <w:i w:val="false"/>
          <w:iCs w:val="false"/>
          <w:color w:val="000000"/>
          <w:sz w:val="20"/>
          <w:szCs w:val="20"/>
        </w:rPr>
        <w:t xml:space="preserve">price-supportive: cooler German/French prints and lower oil reduce the inflation impulse.</w:t>
      </w:r>
    </w:p>
    <w:p>
      <w:pPr>
        <w:spacing w:after="80" w:before="0"/>
      </w:pPr>
      <w:r>
        <w:rPr>
          <w:rFonts w:ascii="Arial" w:cs="Arial" w:eastAsia="Arial" w:hAnsi="Arial"/>
          <w:b/>
          <w:bCs/>
          <w:i w:val="false"/>
          <w:iCs w:val="false"/>
          <w:color w:val="000000"/>
          <w:sz w:val="20"/>
          <w:szCs w:val="20"/>
        </w:rPr>
        <w:t xml:space="preserve">Liquidity &amp; FX — </w:t>
      </w:r>
      <w:r>
        <w:rPr>
          <w:rFonts w:ascii="Arial" w:cs="Arial" w:eastAsia="Arial" w:hAnsi="Arial"/>
          <w:b w:val="false"/>
          <w:bCs w:val="false"/>
          <w:i w:val="false"/>
          <w:iCs w:val="false"/>
          <w:color w:val="000000"/>
          <w:sz w:val="20"/>
          <w:szCs w:val="20"/>
        </w:rPr>
        <w:t xml:space="preserve">citing the Dollar Index read from §10 (falling): a soft USD/firm GBP is the key macro </w:t>
      </w:r>
      <w:r>
        <w:rPr>
          <w:rFonts w:ascii="Arial" w:cs="Arial" w:eastAsia="Arial" w:hAnsi="Arial"/>
          <w:b/>
          <w:bCs/>
          <w:i w:val="false"/>
          <w:iCs w:val="false"/>
          <w:color w:val="B45309"/>
          <w:sz w:val="20"/>
          <w:szCs w:val="20"/>
        </w:rPr>
        <w:t xml:space="preserve">counterweight</w:t>
      </w:r>
      <w:r>
        <w:rPr>
          <w:rFonts w:ascii="Arial" w:cs="Arial" w:eastAsia="Arial" w:hAnsi="Arial"/>
          <w:b w:val="false"/>
          <w:bCs w:val="false"/>
          <w:i w:val="false"/>
          <w:iCs w:val="false"/>
          <w:color w:val="000000"/>
          <w:sz w:val="20"/>
          <w:szCs w:val="20"/>
        </w:rPr>
        <w:t xml:space="preserve"> — it is the one cross-asset signal contradicting the bullish lean and the main reason upside conviction is moderate rather than high.</w:t>
      </w:r>
    </w:p>
    <w:p>
      <w:pPr>
        <w:spacing w:after="80" w:before="0"/>
      </w:pPr>
      <w:r>
        <w:rPr>
          <w:rFonts w:ascii="Arial" w:cs="Arial" w:eastAsia="Arial" w:hAnsi="Arial"/>
          <w:b/>
          <w:bCs/>
          <w:i w:val="false"/>
          <w:iCs w:val="false"/>
          <w:color w:val="000000"/>
          <w:sz w:val="20"/>
          <w:szCs w:val="20"/>
        </w:rPr>
        <w:t xml:space="preserve">Energy — </w:t>
      </w:r>
      <w:r>
        <w:rPr>
          <w:rFonts w:ascii="Arial" w:cs="Arial" w:eastAsia="Arial" w:hAnsi="Arial"/>
          <w:b w:val="false"/>
          <w:bCs w:val="false"/>
          <w:i w:val="false"/>
          <w:iCs w:val="false"/>
          <w:color w:val="000000"/>
          <w:sz w:val="20"/>
          <w:szCs w:val="20"/>
        </w:rPr>
        <w:t xml:space="preserve">Brent ~$91, WTI ~$87 and falling; disinflationary and broadly risk-supportive but a drag on FTSE energy heavyweights. </w:t>
      </w:r>
    </w:p>
    <w:p>
      <w:pPr>
        <w:spacing w:after="80" w:before="0"/>
      </w:pPr>
      <w:r>
        <w:rPr>
          <w:rFonts w:ascii="Arial" w:cs="Arial" w:eastAsia="Arial" w:hAnsi="Arial"/>
          <w:b/>
          <w:bCs/>
          <w:i w:val="false"/>
          <w:iCs w:val="false"/>
          <w:color w:val="000000"/>
          <w:sz w:val="20"/>
          <w:szCs w:val="20"/>
        </w:rPr>
        <w:t xml:space="preserve">Positioning — </w:t>
      </w:r>
      <w:r>
        <w:rPr>
          <w:rFonts w:ascii="Arial" w:cs="Arial" w:eastAsia="Arial" w:hAnsi="Arial"/>
          <w:b w:val="false"/>
          <w:bCs w:val="false"/>
          <w:i w:val="false"/>
          <w:iCs w:val="false"/>
          <w:color w:val="000000"/>
          <w:sz w:val="20"/>
          <w:szCs w:val="20"/>
        </w:rPr>
        <w:t xml:space="preserve">VIX ~15.3 (low, risk-complacent); VOLator compressing (§9). Watch item from §13d: the Iran sign-off could spike volatility sharply from this low base.</w:t>
      </w:r>
    </w:p>
    <w:p>
      <w:pPr>
        <w:pStyle w:val="Heading1"/>
        <w:spacing w:after="120" w:before="240"/>
      </w:pPr>
      <w:r>
        <w:rPr>
          <w:rFonts w:ascii="Arial" w:cs="Arial" w:eastAsia="Arial" w:hAnsi="Arial"/>
          <w:b/>
          <w:bCs/>
          <w:color w:val="1F3864"/>
          <w:sz w:val="28"/>
          <w:szCs w:val="28"/>
        </w:rPr>
        <w:t xml:space="preserve">15 ·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default"/>
            </w:r>
          </w:p>
        </w:tc>
        <w:tc>
          <w:tcPr>
            <w:tcW w:type="dxa" w:w="468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defaul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Iran memorandum approval entrenches oil-lower, risk-on backdrop (§13d top event)</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Iran deal collapse re-bids oil; broad risk-off despite energy-name pop</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S&amp;P 500 record-area strength + DAX +3.4% drag European risk higher (§10 confirms)</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Soft Dollar Index → firm GBP drags FTSE overseas-earnings translation (§10 contradiction)</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Close holds above daily &amp; weekly pivots (§11) — constructive structure</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All pivots single-source indicative (§11/§19) — structural levels unreliable for execution</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Dovish ECB read-across from softer CPI supports valuations</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7"/>
                <w:szCs w:val="17"/>
              </w:rPr>
              <w:t xml:space="preserve">Short-term Indecision (§8); two soft closes warn of failed breakout</w:t>
            </w:r>
          </w:p>
        </w:tc>
      </w:tr>
    </w:tbl>
    <w:p>
      <w:pPr>
        <w:pStyle w:val="Heading1"/>
        <w:spacing w:after="120" w:before="240"/>
      </w:pPr>
      <w:r>
        <w:rPr>
          <w:rFonts w:ascii="Arial" w:cs="Arial" w:eastAsia="Arial" w:hAnsi="Arial"/>
          <w:b/>
          <w:bCs/>
          <w:color w:val="1F3864"/>
          <w:sz w:val="28"/>
          <w:szCs w:val="28"/>
        </w:rPr>
        <w:t xml:space="preserve">16 · Forward View</w:t>
      </w:r>
    </w:p>
    <w:p>
      <w:pPr>
        <w:spacing w:after="80" w:before="0"/>
      </w:pPr>
      <w:r>
        <w:rPr>
          <w:rFonts w:ascii="Arial" w:cs="Arial" w:eastAsia="Arial" w:hAnsi="Arial"/>
          <w:b/>
          <w:bCs/>
          <w:i w:val="false"/>
          <w:iCs w:val="false"/>
          <w:color w:val="000000"/>
          <w:sz w:val="20"/>
          <w:szCs w:val="20"/>
        </w:rPr>
        <w:t xml:space="preserve">Expected direction over the next five sessions: </w:t>
      </w:r>
      <w:r>
        <w:rPr>
          <w:rFonts w:ascii="Arial" w:cs="Arial" w:eastAsia="Arial" w:hAnsi="Arial"/>
          <w:b w:val="false"/>
          <w:bCs w:val="false"/>
          <w:i w:val="false"/>
          <w:iCs w:val="false"/>
          <w:color w:val="000000"/>
          <w:sz w:val="20"/>
          <w:szCs w:val="20"/>
        </w:rPr>
        <w:t xml:space="preserve">mildly higher with a breakout bias, contingent on the Iran sign-off. Expected trading range 10,355–10,495 (indicative), with the daily pivot cluster around 10,409 as the fulcrum. Base case: a hold above 10,381 and a confirmed push through 10,437 opens 10,465–10,495. This view </w:t>
      </w:r>
      <w:r>
        <w:rPr>
          <w:rFonts w:ascii="Arial" w:cs="Arial" w:eastAsia="Arial" w:hAnsi="Arial"/>
          <w:b/>
          <w:bCs/>
          <w:i w:val="false"/>
          <w:iCs w:val="false"/>
          <w:color w:val="000000"/>
          <w:sz w:val="20"/>
          <w:szCs w:val="20"/>
        </w:rPr>
        <w:t xml:space="preserve">respects</w:t>
      </w:r>
      <w:r>
        <w:rPr>
          <w:rFonts w:ascii="Arial" w:cs="Arial" w:eastAsia="Arial" w:hAnsi="Arial"/>
          <w:b w:val="false"/>
          <w:bCs w:val="false"/>
          <w:i w:val="false"/>
          <w:iCs w:val="false"/>
          <w:color w:val="000000"/>
          <w:sz w:val="20"/>
          <w:szCs w:val="20"/>
        </w:rPr>
        <w:t xml:space="preserve"> the §9 Transitional-bullish regime. Base-case invalidation: a daily close back below the weekly pivot at ~10,386, and decisively below the 5-day swing low at 10,342, which would negate the constructive structure and shift the read to range-bound/soft.</w:t>
      </w:r>
    </w:p>
    <w:p>
      <w:pPr>
        <w:pStyle w:val="Heading1"/>
        <w:spacing w:after="120" w:before="240"/>
      </w:pPr>
      <w:r>
        <w:rPr>
          <w:rFonts w:ascii="Arial" w:cs="Arial" w:eastAsia="Arial" w:hAnsi="Arial"/>
          <w:b/>
          <w:bCs/>
          <w:color w:val="1F3864"/>
          <w:sz w:val="28"/>
          <w:szCs w:val="28"/>
        </w:rPr>
        <w:t xml:space="preserve">17 · Forecast</w:t>
      </w:r>
    </w:p>
    <w:p>
      <w:pPr>
        <w:spacing w:after="80" w:before="0"/>
      </w:pPr>
      <w:r>
        <w:rPr>
          <w:rFonts w:ascii="Arial" w:cs="Arial" w:eastAsia="Arial" w:hAnsi="Arial"/>
          <w:b/>
          <w:bCs/>
          <w:i w:val="false"/>
          <w:iCs w:val="false"/>
          <w:color w:val="1F3864"/>
          <w:sz w:val="20"/>
          <w:szCs w:val="20"/>
        </w:rPr>
        <w:t xml:space="preserve">The FTSE 100 carries a mildly bullish bias into early June, favouring a test of 10,437–10,465 provided the US–Iran memorandum is confirmed and the index holds above 10,381.</w:t>
      </w:r>
    </w:p>
    <w:p>
      <w:pPr>
        <w:pStyle w:val="Heading1"/>
        <w:spacing w:after="120" w:before="240"/>
      </w:pPr>
      <w:r>
        <w:rPr>
          <w:rFonts w:ascii="Arial" w:cs="Arial" w:eastAsia="Arial" w:hAnsi="Arial"/>
          <w:b/>
          <w:bCs/>
          <w:color w:val="1F3864"/>
          <w:sz w:val="28"/>
          <w:szCs w:val="28"/>
        </w:rPr>
        <w:t xml:space="preserve">18 · Final Analyst Judgement</w:t>
      </w:r>
    </w:p>
    <w:p>
      <w:pPr>
        <w:spacing w:after="80" w:before="0"/>
      </w:pPr>
      <w:r>
        <w:rPr>
          <w:rFonts w:ascii="Arial" w:cs="Arial" w:eastAsia="Arial" w:hAnsi="Arial"/>
          <w:b/>
          <w:bCs/>
          <w:i w:val="false"/>
          <w:iCs w:val="false"/>
          <w:color w:val="000000"/>
          <w:sz w:val="20"/>
          <w:szCs w:val="20"/>
        </w:rPr>
        <w:t xml:space="preserve">Consensus call: </w:t>
      </w:r>
      <w:r>
        <w:rPr>
          <w:rFonts w:ascii="Arial" w:cs="Arial" w:eastAsia="Arial" w:hAnsi="Arial"/>
          <w:b w:val="false"/>
          <w:bCs w:val="false"/>
          <w:i w:val="false"/>
          <w:iCs w:val="false"/>
          <w:color w:val="000000"/>
          <w:sz w:val="20"/>
          <w:szCs w:val="20"/>
        </w:rPr>
        <w:t xml:space="preserve">10,409 points, balanced-to-mildly-bullish tone, confidence </w:t>
      </w:r>
      <w:r>
        <w:rPr>
          <w:rFonts w:ascii="Arial" w:cs="Arial" w:eastAsia="Arial" w:hAnsi="Arial"/>
          <w:b/>
          <w:bCs/>
          <w:i w:val="false"/>
          <w:iCs w:val="false"/>
          <w:color w:val="B45309"/>
          <w:sz w:val="20"/>
          <w:szCs w:val="20"/>
        </w:rPr>
        <w:t xml:space="preserve">Low</w:t>
      </w:r>
      <w:r>
        <w:rPr>
          <w:rFonts w:ascii="Arial" w:cs="Arial" w:eastAsia="Arial" w:hAnsi="Arial"/>
          <w:b w:val="false"/>
          <w:bCs w:val="false"/>
          <w:i w:val="false"/>
          <w:iCs w:val="false"/>
          <w:color w:val="000000"/>
          <w:sz w:val="20"/>
          <w:szCs w:val="20"/>
        </w:rPr>
        <w:t xml:space="preserve"> (corroboration not achieved). Three most important reasons: (1) US–Iran de-escalation has compressed risk premia and lowered oil; (2) softer eurozone CPI and dovish ECB odds support regional valuations, with S&amp;P 500 and DAX confirming the risk tone; (3) the index holds just above its daily and weekly pivots, a constructive structure. Single watch item: the pending US sign-off on the Iran memorandum.</w:t>
      </w:r>
    </w:p>
    <w:p>
      <w:pPr>
        <w:pStyle w:val="Heading1"/>
        <w:spacing w:after="120" w:before="240"/>
      </w:pPr>
      <w:r>
        <w:rPr>
          <w:rFonts w:ascii="Arial" w:cs="Arial" w:eastAsia="Arial" w:hAnsi="Arial"/>
          <w:b/>
          <w:bCs/>
          <w:color w:val="1F3864"/>
          <w:sz w:val="28"/>
          <w:szCs w:val="28"/>
        </w:rPr>
        <w:t xml:space="preserve">19 · Source Discipline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Item</w:t>
            </w:r>
          </w:p>
        </w:tc>
        <w:tc>
          <w:tcPr>
            <w:tcW w:type="dxa" w:w="67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Status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Live vs indicative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ALL price data is INDICATIVE. No instrument achieved two-source corroboration within tolerance (±0.10 pts for equity indices).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Data gaps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Intraday H/L for all sessions reconstructed; 25-day range (10,180–10,612) is an indicative estimate; the 'Thu 29 May' seed row is a continuity artefact.</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Normalisation</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No FX/basis adjustment required (all GBP cash points); CFD-tracked feeds excluded per restrictions.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FTSE corroboration</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FAILED — provider gap ~25 pts (10,409 vs ~10,434) ≫ tolerance.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EURO STOXX 50 corroboration</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FAILED — cash vs CFD disagreement (6,050 vs ~6,065/6,040).</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Pivot corroboration</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8"/>
                <w:szCs w:val="18"/>
              </w:rPr>
              <w:t xml:space="preserve">ALL pivot timeframes SINGLE-SOURCE INDICATIVE — consumed by §21 suppression of the pivot trade.</w:t>
            </w:r>
          </w:p>
        </w:tc>
      </w:tr>
    </w:tbl>
    <w:p>
      <w:pPr>
        <w:pStyle w:val="Heading1"/>
        <w:spacing w:after="120" w:before="240"/>
      </w:pPr>
      <w:r>
        <w:rPr>
          <w:rFonts w:ascii="Arial" w:cs="Arial" w:eastAsia="Arial" w:hAnsi="Arial"/>
          <w:b/>
          <w:bCs/>
          <w:color w:val="1F3864"/>
          <w:sz w:val="28"/>
          <w:szCs w:val="28"/>
        </w:rPr>
        <w:t xml:space="preserve">20 · Agent Log</w:t>
      </w:r>
    </w:p>
    <w:p>
      <w:pPr>
        <w:spacing w:after="80" w:before="0"/>
      </w:pPr>
      <w:r>
        <w:rPr>
          <w:rFonts w:ascii="Arial" w:cs="Arial" w:eastAsia="Arial" w:hAnsi="Arial"/>
          <w:b/>
          <w:bCs/>
          <w:i w:val="false"/>
          <w:iCs w:val="false"/>
          <w:color w:val="000000"/>
          <w:sz w:val="20"/>
          <w:szCs w:val="20"/>
        </w:rPr>
        <w:t xml:space="preserve">Run mode: </w:t>
      </w:r>
      <w:r>
        <w:rPr>
          <w:rFonts w:ascii="Arial" w:cs="Arial" w:eastAsia="Arial" w:hAnsi="Arial"/>
          <w:b w:val="false"/>
          <w:bCs w:val="false"/>
          <w:i w:val="false"/>
          <w:iCs w:val="false"/>
          <w:color w:val="000000"/>
          <w:sz w:val="20"/>
          <w:szCs w:val="20"/>
        </w:rPr>
        <w:t xml:space="preserve">INDICATIVE (corroboration-halt overridden by explicit user instruction). Daily-open anchor overridden to the 01 June pre-open window per request.</w:t>
      </w:r>
    </w:p>
    <w:p>
      <w:pPr>
        <w:spacing w:after="80" w:before="0"/>
      </w:pPr>
      <w:r>
        <w:rPr>
          <w:rFonts w:ascii="Arial" w:cs="Arial" w:eastAsia="Arial" w:hAnsi="Arial"/>
          <w:b/>
          <w:bCs/>
          <w:i w:val="false"/>
          <w:iCs w:val="false"/>
          <w:color w:val="000000"/>
          <w:sz w:val="20"/>
          <w:szCs w:val="20"/>
        </w:rPr>
        <w:t xml:space="preserve">Sources attempted: </w:t>
      </w:r>
      <w:r>
        <w:rPr>
          <w:rFonts w:ascii="Arial" w:cs="Arial" w:eastAsia="Arial" w:hAnsi="Arial"/>
          <w:b w:val="false"/>
          <w:bCs w:val="false"/>
          <w:i w:val="false"/>
          <w:iCs w:val="false"/>
          <w:color w:val="000000"/>
          <w:sz w:val="20"/>
          <w:szCs w:val="20"/>
        </w:rPr>
        <w:t xml:space="preserve">approved free price endpoints (Stooq, Twelve Data, Investing.com, Barchart, etc.) were unreachable from the execution environment (network allowlist); public delayed-quote pages were read for directional anchors only. Outcome per instrument: FTSE — single-source/failed corroboration; EURO STOXX 50 — single-source/failed; counters (Dollar Index, S&amp;P 500, DAX) — single-source directional only.</w:t>
      </w:r>
    </w:p>
    <w:p>
      <w:pPr>
        <w:spacing w:after="80" w:before="0"/>
      </w:pPr>
      <w:r>
        <w:rPr>
          <w:rFonts w:ascii="Arial" w:cs="Arial" w:eastAsia="Arial" w:hAnsi="Arial"/>
          <w:b/>
          <w:bCs/>
          <w:i w:val="false"/>
          <w:iCs w:val="false"/>
          <w:color w:val="000000"/>
          <w:sz w:val="20"/>
          <w:szCs w:val="20"/>
        </w:rPr>
        <w:t xml:space="preserve">Validation method: </w:t>
      </w:r>
      <w:r>
        <w:rPr>
          <w:rFonts w:ascii="Arial" w:cs="Arial" w:eastAsia="Arial" w:hAnsi="Arial"/>
          <w:b w:val="false"/>
          <w:bCs w:val="false"/>
          <w:i w:val="false"/>
          <w:iCs w:val="false"/>
          <w:color w:val="000000"/>
          <w:sz w:val="20"/>
          <w:szCs w:val="20"/>
        </w:rPr>
        <w:t xml:space="preserve">cross-read of cash-quote pages; CFD feeds excluded. No pair cleared the ±0.10-pt equity-index tolerance, so no corroborated pair or delta can be recorded.</w:t>
      </w:r>
    </w:p>
    <w:p>
      <w:pPr>
        <w:spacing w:after="80" w:before="0"/>
      </w:pPr>
      <w:r>
        <w:rPr>
          <w:rFonts w:ascii="Arial" w:cs="Arial" w:eastAsia="Arial" w:hAnsi="Arial"/>
          <w:b/>
          <w:bCs/>
          <w:i w:val="false"/>
          <w:iCs w:val="false"/>
          <w:color w:val="000000"/>
          <w:sz w:val="20"/>
          <w:szCs w:val="20"/>
        </w:rPr>
        <w:t xml:space="preserve">Sentiment derivation: </w:t>
      </w:r>
      <w:r>
        <w:rPr>
          <w:rFonts w:ascii="Arial" w:cs="Arial" w:eastAsia="Arial" w:hAnsi="Arial"/>
          <w:b w:val="false"/>
          <w:bCs w:val="false"/>
          <w:i w:val="false"/>
          <w:iCs w:val="false"/>
          <w:color w:val="000000"/>
          <w:sz w:val="20"/>
          <w:szCs w:val="20"/>
        </w:rPr>
        <w:t xml:space="preserve">6 articles classified with derivation phrases; source-class-weighted tilt = +0.30 (Predominantly Bullish). Low-confidence not triggered (≥3 articles).</w:t>
      </w:r>
    </w:p>
    <w:p>
      <w:pPr>
        <w:spacing w:after="80" w:before="0"/>
      </w:pPr>
      <w:r>
        <w:rPr>
          <w:rFonts w:ascii="Arial" w:cs="Arial" w:eastAsia="Arial" w:hAnsi="Arial"/>
          <w:b/>
          <w:bCs/>
          <w:i w:val="false"/>
          <w:iCs w:val="false"/>
          <w:color w:val="000000"/>
          <w:sz w:val="20"/>
          <w:szCs w:val="20"/>
        </w:rPr>
        <w:t xml:space="preserve">Strategy trace: </w:t>
      </w:r>
      <w:r>
        <w:rPr>
          <w:rFonts w:ascii="Arial" w:cs="Arial" w:eastAsia="Arial" w:hAnsi="Arial"/>
          <w:b w:val="false"/>
          <w:bCs w:val="false"/>
          <w:i w:val="false"/>
          <w:iCs w:val="false"/>
          <w:color w:val="000000"/>
          <w:sz w:val="20"/>
          <w:szCs w:val="20"/>
        </w:rPr>
        <w:t xml:space="preserve">direction-score weights = DEFAULTS (v2.1 baseline, locked, session 1 of 20). Signal contributions — medium-term regime +0.20, cross-asset confirm +0.15, sentiment +0.045, Kaufman +0.045, short-term 0, VOLator 0 → score +0.44 → LONG (above 0.25 threshold). Regime label = TRANSITION (KER mild-positive, VOLator slope ≤0, range recently tested) → Trade 3 fork = 3C Momentum-Breakout; Trade 2 restricted to breakout side. Suppression: Trade 2 SUPPRESSED (all pivot tiers single-source indicative, §19). Backtest reconstructed over 5 indicative sessions with sentiment frozen per session.</w:t>
      </w:r>
    </w:p>
    <w:p>
      <w:pPr>
        <w:spacing w:after="80" w:before="0"/>
      </w:pPr>
      <w:r>
        <w:rPr>
          <w:rFonts w:ascii="Arial" w:cs="Arial" w:eastAsia="Arial" w:hAnsi="Arial"/>
          <w:b/>
          <w:bCs/>
          <w:i w:val="false"/>
          <w:iCs w:val="false"/>
          <w:color w:val="000000"/>
          <w:sz w:val="20"/>
          <w:szCs w:val="20"/>
        </w:rPr>
        <w:t xml:space="preserve">Anomalies: </w:t>
      </w:r>
      <w:r>
        <w:rPr>
          <w:rFonts w:ascii="Arial" w:cs="Arial" w:eastAsia="Arial" w:hAnsi="Arial"/>
          <w:b w:val="false"/>
          <w:bCs w:val="false"/>
          <w:i w:val="false"/>
          <w:iCs w:val="false"/>
          <w:color w:val="000000"/>
          <w:sz w:val="20"/>
          <w:szCs w:val="20"/>
        </w:rPr>
        <w:t xml:space="preserve">(1) corroboration gate not cleared for any instrument; (2) issue date 01 June is a Sunday with no traded session; (3) all charts suppressed. Timestamp: 31 May 2026 (Europe/London).</w:t>
      </w:r>
    </w:p>
    <w:p>
      <w:pPr>
        <w:pStyle w:val="Heading1"/>
        <w:spacing w:after="120" w:before="240"/>
      </w:pPr>
      <w:r>
        <w:rPr>
          <w:rFonts w:ascii="Arial" w:cs="Arial" w:eastAsia="Arial" w:hAnsi="Arial"/>
          <w:b/>
          <w:bCs/>
          <w:color w:val="AD1457"/>
          <w:sz w:val="28"/>
          <w:szCs w:val="28"/>
        </w:rPr>
        <w:t xml:space="preserve">21 · Strategy Recommendations</w:t>
      </w:r>
    </w:p>
    <w:p>
      <w:pPr>
        <w:pStyle w:val="Heading2"/>
        <w:spacing w:after="80" w:before="160"/>
      </w:pPr>
      <w:r>
        <w:rPr>
          <w:rFonts w:ascii="Arial" w:cs="Arial" w:eastAsia="Arial" w:hAnsi="Arial"/>
          <w:b/>
          <w:bCs/>
          <w:color w:val="AD1457"/>
          <w:sz w:val="23"/>
          <w:szCs w:val="23"/>
        </w:rPr>
        <w:t xml:space="preserve">21a · Directional conviction</w:t>
      </w:r>
    </w:p>
    <w:p>
      <w:pPr>
        <w:spacing w:after="80" w:before="0"/>
      </w:pPr>
      <w:r>
        <w:rPr>
          <w:rFonts w:ascii="Arial" w:cs="Arial" w:eastAsia="Arial" w:hAnsi="Arial"/>
          <w:b/>
          <w:bCs/>
          <w:i w:val="false"/>
          <w:iCs w:val="false"/>
          <w:color w:val="000000"/>
          <w:sz w:val="20"/>
          <w:szCs w:val="20"/>
        </w:rPr>
        <w:t xml:space="preserve">Direction: </w:t>
      </w:r>
      <w:r>
        <w:rPr>
          <w:rFonts w:ascii="Arial" w:cs="Arial" w:eastAsia="Arial" w:hAnsi="Arial"/>
          <w:b/>
          <w:bCs/>
          <w:i w:val="false"/>
          <w:iCs w:val="false"/>
          <w:color w:val="AD1457"/>
          <w:sz w:val="20"/>
          <w:szCs w:val="20"/>
        </w:rPr>
        <w:t xml:space="preserve">LONG, score +0.44</w:t>
      </w:r>
      <w:r>
        <w:rPr>
          <w:rFonts w:ascii="Arial" w:cs="Arial" w:eastAsia="Arial" w:hAnsi="Arial"/>
          <w:b w:val="false"/>
          <w:bCs w:val="false"/>
          <w:i w:val="false"/>
          <w:iCs w:val="false"/>
          <w:color w:val="000000"/>
          <w:sz w:val="20"/>
          <w:szCs w:val="20"/>
        </w:rPr>
        <w:t xml:space="preserve"> (above the 0.25 conviction threshold). Three highest-weighted contributing signals: medium-term regime (§9) +0.20, cross-asset confirmation (§10) +0.15, and sentiment tilt (§13b) +0.045. Weights basis: defaults (v2.1 baseline, locked). </w:t>
      </w:r>
      <w:r>
        <w:rPr>
          <w:rFonts w:ascii="Arial" w:cs="Arial" w:eastAsia="Arial" w:hAnsi="Arial"/>
          <w:b/>
          <w:bCs/>
          <w:i w:val="false"/>
          <w:iCs w:val="false"/>
          <w:color w:val="000000"/>
          <w:sz w:val="20"/>
          <w:szCs w:val="20"/>
        </w:rPr>
        <w:t xml:space="preserve">Conflict flag: </w:t>
      </w:r>
      <w:r>
        <w:rPr>
          <w:rFonts w:ascii="Arial" w:cs="Arial" w:eastAsia="Arial" w:hAnsi="Arial"/>
          <w:b w:val="false"/>
          <w:bCs w:val="false"/>
          <w:i w:val="false"/>
          <w:iCs w:val="false"/>
          <w:color w:val="000000"/>
          <w:sz w:val="20"/>
          <w:szCs w:val="20"/>
        </w:rPr>
        <w:t xml:space="preserve">the §17 Forecast leans the same direction (mildly bullish), so there is no conflict — but note the §10 Dollar-Index contradiction caps conviction at moderate. All levels below are INDICATIVE.</w:t>
      </w:r>
    </w:p>
    <w:p>
      <w:pPr>
        <w:pStyle w:val="Heading2"/>
        <w:spacing w:after="80" w:before="160"/>
      </w:pPr>
      <w:r>
        <w:rPr>
          <w:rFonts w:ascii="Arial" w:cs="Arial" w:eastAsia="Arial" w:hAnsi="Arial"/>
          <w:b/>
          <w:bCs/>
          <w:color w:val="AD1457"/>
          <w:sz w:val="23"/>
          <w:szCs w:val="23"/>
        </w:rPr>
        <w:t xml:space="preserve">21b · Trade cards</w:t>
      </w:r>
    </w:p>
    <w:p>
      <w:pPr>
        <w:spacing w:after="80" w:before="60"/>
      </w:pPr>
      <w:r>
        <w:rPr>
          <w:rFonts w:ascii="Arial" w:cs="Arial" w:eastAsia="Arial" w:hAnsi="Arial"/>
          <w:b/>
          <w:bCs/>
          <w:i w:val="false"/>
          <w:iCs w:val="false"/>
          <w:color w:val="1F3864"/>
          <w:sz w:val="20"/>
          <w:szCs w:val="20"/>
        </w:rPr>
        <w:t xml:space="preserve">Trade 1 — Daily Directional (LONG — Transitional-bullish 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Field</w:t>
            </w:r>
          </w:p>
        </w:tc>
        <w:tc>
          <w:tcPr>
            <w:tcW w:type="dxa" w:w="67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Detail (INDICATIVE)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Direction</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LONG — score +0.44, above threshold</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Entry</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Market at the 01 June pre-open anchor ≈ 10,409 pts (proxy = last close)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Stop loss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10,366 pts — 43 points below entry (anchor: daily S1 10,381 less 0.25×ATR buffer; tighter than the 5-day swing low)</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Risk (R)</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 43 points (1R)</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TP1 (Unit 1)</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10,453 pts — +1R (+43 pts)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TP2 (Unit 2)</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10,497 pts — +2R (+87 pts). On fill, Unit 3 stop → 10,418 (entry +0.2R)</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TP3 (Unit 3 — runner)</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Time-stop at session close OR +3×ATR cap ≈ 10,597 pts, whichever first</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Tranche mgmt</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3 equal units; U1 exits TP1; U2 exits TP2; on U2 fill U3 stop → entry +0.2R</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Confluences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Entry ≈ daily pivot (10,409) — pivot confluence; TP1 ≈ daily R1 (10,437) and 5-day swing high (10,464) zone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Thesis invalidation</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Daily close below the weekly pivot 10,386, decisively below 5-day swing low 10,342</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bCs/>
                <w:i w:val="false"/>
                <w:iCs w:val="false"/>
                <w:color w:val="000000"/>
                <w:sz w:val="16"/>
                <w:szCs w:val="16"/>
              </w:rPr>
              <w:t xml:space="preserve">Caveats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B45309"/>
                <w:sz w:val="16"/>
                <w:szCs w:val="16"/>
              </w:rPr>
              <w:t xml:space="preserve">INDICATIVE LEVELS — not executable; pivots single-source indicative (§19); holding period collides with the §13d Tier-1 Iran sign-off event</w:t>
            </w:r>
          </w:p>
        </w:tc>
      </w:tr>
    </w:tbl>
    <w:p>
      <w:pPr>
        <w:spacing w:after="80" w:before="80"/>
      </w:pPr>
      <w:r>
        <w:rPr>
          <w:rFonts w:ascii="Arial" w:cs="Arial" w:eastAsia="Arial" w:hAnsi="Arial"/>
          <w:b/>
          <w:bCs/>
          <w:i w:val="false"/>
          <w:iCs w:val="false"/>
          <w:color w:val="1F3864"/>
          <w:sz w:val="20"/>
          <w:szCs w:val="20"/>
        </w:rPr>
        <w:t xml:space="preserve">Trade 2 — Pivot (regime-aware)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Trade</w:t>
            </w:r>
          </w:p>
        </w:tc>
        <w:tc>
          <w:tcPr>
            <w:tcW w:type="dxa" w:w="67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Status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Trade 2 — Pivot</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B45309"/>
                <w:sz w:val="18"/>
                <w:szCs w:val="18"/>
              </w:rPr>
              <w:t xml:space="preserve">SUPPRESSED — all accessible pivot tiers (S1/S1.5/S2/R1/R1.5/R2) are SINGLE-SOURCE INDICATIVE per §19; level-based limit orders cannot be placed against indicative levels.</w:t>
            </w:r>
          </w:p>
        </w:tc>
      </w:tr>
    </w:tbl>
    <w:p>
      <w:pPr>
        <w:spacing w:after="80" w:before="80"/>
      </w:pPr>
      <w:r>
        <w:rPr>
          <w:rFonts w:ascii="Arial" w:cs="Arial" w:eastAsia="Arial" w:hAnsi="Arial"/>
          <w:b/>
          <w:bCs/>
          <w:i w:val="false"/>
          <w:iCs w:val="false"/>
          <w:color w:val="1F3864"/>
          <w:sz w:val="20"/>
          <w:szCs w:val="20"/>
        </w:rPr>
        <w:t xml:space="preserve">Trade 3 — Momentum-Breakout (3C — Transitional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Field</w:t>
            </w:r>
          </w:p>
        </w:tc>
        <w:tc>
          <w:tcPr>
            <w:tcW w:type="dxa" w:w="67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Detail (INDICATIVE)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Variant</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3C Momentum-Breakout (regime = TRANSITION)</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Range definition</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25-day range 10,180 – 10,612 pts (width 432), indicative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Direction trigger</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Upside — recent retests faded at the upper boundary; VOLator/cross-asset lean bullish</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Confirmed break</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Daily close above 10,628 pts (upper boundary +0.25×ATR). Not yet met — trade is conditional</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Entry</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On confirmed breakout close ≈ 10,628, or following-session open</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Stop loss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10,353 pts — range_low +0.40×width (generous post-fakeout stop, just below midpoint)</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TP1 (Unit 1)</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11,044 pts — measured move (broken high +1.0×width)</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TP2 (Unit 2)</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11,260 pts — 1.5×MM. On fill, Unit 3 stop → broken boundary 10,612</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TP3 (Unit 3 — runner)</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Discretionary trail beyond 1.5×MM, anchored to subsequent swing structure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Thesis invalidation</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6"/>
                <w:szCs w:val="16"/>
              </w:rPr>
              <w:t xml:space="preserve">Daily close back inside the range past the midpoint (~10,396)</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bCs/>
                <w:i w:val="false"/>
                <w:iCs w:val="false"/>
                <w:color w:val="000000"/>
                <w:sz w:val="16"/>
                <w:szCs w:val="16"/>
              </w:rPr>
              <w:t xml:space="preserve">Caveats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B45309"/>
                <w:sz w:val="16"/>
                <w:szCs w:val="16"/>
              </w:rPr>
              <w:t xml:space="preserve">INDICATIVE/CONDITIONAL — wide stop; break not yet confirmed; collides with §13d Iran event; size down accordingly</w:t>
            </w:r>
          </w:p>
        </w:tc>
      </w:tr>
    </w:tbl>
    <w:p>
      <w:pPr>
        <w:pStyle w:val="Heading2"/>
        <w:spacing w:after="80" w:before="160"/>
      </w:pPr>
      <w:r>
        <w:rPr>
          <w:rFonts w:ascii="Arial" w:cs="Arial" w:eastAsia="Arial" w:hAnsi="Arial"/>
          <w:b/>
          <w:bCs/>
          <w:color w:val="AD1457"/>
          <w:sz w:val="23"/>
          <w:szCs w:val="23"/>
        </w:rPr>
        <w:t xml:space="preserve">21c · 5-session no-leakage backtest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100"/>
        <w:gridCol w:w="1900"/>
        <w:gridCol w:w="1100"/>
        <w:gridCol w:w="1160"/>
      </w:tblGrid>
      <w:tr>
        <w:trPr>
          <w:tblHeader/>
        </w:trPr>
        <w:tc>
          <w:tcPr>
            <w:tcW w:type="dxa" w:w="15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Date (t−N)</w:t>
            </w:r>
          </w:p>
        </w:tc>
        <w:tc>
          <w:tcPr>
            <w:tcW w:type="dxa" w:w="13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Strategy</w:t>
            </w:r>
          </w:p>
        </w:tc>
        <w:tc>
          <w:tcPr>
            <w:tcW w:type="dxa" w:w="13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Direction</w:t>
            </w:r>
          </w:p>
        </w:tc>
        <w:tc>
          <w:tcPr>
            <w:tcW w:type="dxa" w:w="11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Triggered</w:t>
            </w:r>
          </w:p>
        </w:tc>
        <w:tc>
          <w:tcPr>
            <w:tcW w:type="dxa" w:w="19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Entry/Exit</w:t>
            </w:r>
          </w:p>
        </w:tc>
        <w:tc>
          <w:tcPr>
            <w:tcW w:type="dxa" w:w="11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Outcome</w:t>
            </w:r>
          </w:p>
        </w:tc>
        <w:tc>
          <w:tcPr>
            <w:tcW w:type="dxa" w:w="11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pPr>
              <w:spacing w:after="0"/>
            </w:pPr>
            <w:r>
              <w:rPr>
                <w:rFonts w:ascii="Arial" w:cs="Arial" w:eastAsia="Arial" w:hAnsi="Arial"/>
                <w:b/>
                <w:bCs/>
                <w:i w:val="false"/>
                <w:iCs w:val="false"/>
                <w:color w:val="000000"/>
                <w:sz w:val="18"/>
                <w:szCs w:val="18"/>
              </w:rPr>
              <w:t xml:space="preserve">Days</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Fri 22 (t−5)</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Trade 1</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LONG</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YES</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10,362 → 10,371</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+0.2R</w:t>
            </w:r>
          </w:p>
        </w:tc>
        <w:tc>
          <w:tcPr>
            <w:tcW w:type="dxa" w:w="1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1</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Fri 22 (t−5)</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Trade 3C</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NO</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no confirmed break</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w:t>
            </w:r>
          </w:p>
        </w:tc>
        <w:tc>
          <w:tcPr>
            <w:tcW w:type="dxa" w:w="1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Tue 27 (t−4)</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Trade 1</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LONG</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YES</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10,360 → +1R hit</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+1.0R</w:t>
            </w:r>
          </w:p>
        </w:tc>
        <w:tc>
          <w:tcPr>
            <w:tcW w:type="dxa" w:w="1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1</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Tue 27 (t−4)</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Trade 2</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SUPPRESSED</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indicative pivots</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w:t>
            </w:r>
          </w:p>
        </w:tc>
        <w:tc>
          <w:tcPr>
            <w:tcW w:type="dxa" w:w="1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Wed 28 (t−3)</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Trade 1</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LONG</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YES</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10,422 → +1R</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+1.0R</w:t>
            </w:r>
          </w:p>
        </w:tc>
        <w:tc>
          <w:tcPr>
            <w:tcW w:type="dxa" w:w="1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1</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Thu 29 (t−2)</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Trade 1</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LONG</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YES</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10,448 → SL</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−1.0R</w:t>
            </w:r>
          </w:p>
        </w:tc>
        <w:tc>
          <w:tcPr>
            <w:tcW w:type="dxa" w:w="1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1</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Fri 29 (t−1)</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Trade 1</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LONG</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YES</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10,426 → SL</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−1.0R</w:t>
            </w:r>
          </w:p>
        </w:tc>
        <w:tc>
          <w:tcPr>
            <w:tcW w:type="dxa" w:w="1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1</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Fri 29 (t−1)</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Trade 3C</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NO</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no confirmed break</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w:t>
            </w:r>
          </w:p>
        </w:tc>
        <w:tc>
          <w:tcPr>
            <w:tcW w:type="dxa" w:w="1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rFonts w:ascii="Arial" w:cs="Arial" w:eastAsia="Arial" w:hAnsi="Arial"/>
                <w:b w:val="false"/>
                <w:bCs w:val="false"/>
                <w:i w:val="false"/>
                <w:iCs w:val="false"/>
                <w:color w:val="000000"/>
                <w:sz w:val="15"/>
                <w:szCs w:val="15"/>
              </w:rPr>
              <w:t xml:space="preserve">—</w:t>
            </w:r>
          </w:p>
        </w:tc>
      </w:tr>
    </w:tbl>
    <w:p>
      <w:pPr>
        <w:pStyle w:val="Heading2"/>
        <w:spacing w:after="80" w:before="160"/>
      </w:pPr>
      <w:r>
        <w:rPr>
          <w:rFonts w:ascii="Arial" w:cs="Arial" w:eastAsia="Arial" w:hAnsi="Arial"/>
          <w:b/>
          <w:bCs/>
          <w:color w:val="AD1457"/>
          <w:sz w:val="23"/>
          <w:szCs w:val="23"/>
        </w:rPr>
        <w:t xml:space="preserve">21d · What is working</w:t>
      </w:r>
    </w:p>
    <w:p>
      <w:pPr>
        <w:spacing w:after="80" w:before="0"/>
      </w:pPr>
      <w:r>
        <w:rPr>
          <w:rFonts w:ascii="Arial" w:cs="Arial" w:eastAsia="Arial" w:hAnsi="Arial"/>
          <w:b w:val="false"/>
          <w:bCs w:val="false"/>
          <w:i w:val="false"/>
          <w:iCs w:val="false"/>
          <w:color w:val="000000"/>
          <w:sz w:val="20"/>
          <w:szCs w:val="20"/>
        </w:rPr>
        <w:t xml:space="preserve">Trade 1 over the last 5 sessions: triggered 5/5 times, mean R = +0.04, TP1/TP2/TP3 hit rates ≈ 40% / 0% / 0%. Trade 2: 0 triggers (suppressed — indicative pivots). Trade 3C: 0 triggers (no confirmed break in the window). Strongest performer: Trade 1 (only strategy with closed trades). Weakest: insufficient triggers to rank Trade 2 / 3C. </w:t>
      </w:r>
    </w:p>
    <w:p>
      <w:pPr>
        <w:spacing w:after="80" w:before="0"/>
      </w:pPr>
      <w:r>
        <w:rPr>
          <w:rFonts w:ascii="Arial" w:cs="Arial" w:eastAsia="Arial" w:hAnsi="Arial"/>
          <w:b w:val="false"/>
          <w:bCs w:val="false"/>
          <w:i/>
          <w:iCs/>
          <w:color w:val="000000"/>
          <w:sz w:val="16"/>
          <w:szCs w:val="16"/>
        </w:rPr>
        <w:t xml:space="preserve">Five-session windows are too small to support statistical claims. The backtest cannot model intraday tick-level fills, slippage, or commission. Treat as a directional sanity-check, not a strategy-validation framework.</w:t>
      </w:r>
    </w:p>
    <w:p>
      <w:pPr>
        <w:spacing w:after="40" w:before="0"/>
      </w:pPr>
    </w:p>
    <w:p>
      <w:pPr>
        <w:spacing w:after="80" w:before="0"/>
        <w:jc w:val="center"/>
      </w:pPr>
      <w:r>
        <w:rPr>
          <w:rFonts w:ascii="Arial" w:cs="Arial" w:eastAsia="Arial" w:hAnsi="Arial"/>
          <w:b w:val="false"/>
          <w:bCs w:val="false"/>
          <w:i/>
          <w:iCs/>
          <w:color w:val="7F7F7F"/>
          <w:sz w:val="16"/>
          <w:szCs w:val="16"/>
        </w:rPr>
        <w:t xml:space="preserve">End of report — all quantitative values indicative and uncorroborated.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7F7F7F"/>
        <w:sz w:val="15"/>
        <w:szCs w:val="15"/>
      </w:rPr>
      <w:t xml:space="preserve">FTSE 100 Daily Report │ 01 June 2026 │ Senior European Equity Strategist │ Page </w:t>
    </w:r>
    <w:r>
      <w:rPr>
        <w:rFonts w:ascii="Arial" w:cs="Arial" w:eastAsia="Arial" w:hAnsi="Arial"/>
        <w:color w:val="7F7F7F"/>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rFonts w:ascii="Arial" w:cs="Arial" w:eastAsia="Arial" w:hAnsi="Arial"/>
        <w:b w:val="false"/>
        <w:bCs w:val="false"/>
        <w:i w:val="false"/>
        <w:iCs w:val="false"/>
        <w:color w:val="7F7F7F"/>
        <w:sz w:val="15"/>
        <w:szCs w:val="15"/>
      </w:rPr>
      <w:t xml:space="preserve">FTSE 100 Daily Report  ·  Indicative  ·  01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2026-05-31T21:54:49.677Z</dcterms:created>
  <dcterms:modified xsi:type="dcterms:W3CDTF">2026-05-31T21:54:49.677Z</dcterms:modified>
</cp:coreProperties>
</file>

<file path=docProps/custom.xml><?xml version="1.0" encoding="utf-8"?>
<Properties xmlns="http://schemas.openxmlformats.org/officeDocument/2006/custom-properties" xmlns:vt="http://schemas.openxmlformats.org/officeDocument/2006/docPropsVTypes"/>
</file>