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3864"/>
          <w:sz w:val="36"/>
          <w:szCs w:val="36"/>
        </w:rPr>
        <w:t xml:space="preserve">FTSE 100 Report — Daily: 8 June 2026</w:t>
      </w:r>
    </w:p>
    <w:p>
      <w:pPr>
        <w:spacing w:after="60"/>
      </w:pPr>
      <w:r>
        <w:rPr>
          <w:i/>
          <w:iCs/>
          <w:color w:val="595959"/>
          <w:sz w:val="20"/>
          <w:szCs w:val="20"/>
        </w:rPr>
        <w:t xml:space="preserve">With reference to: EURO STOXX 50 · Dollar Index · S&amp;P 500 · DAX 40</w:t>
      </w:r>
    </w:p>
    <w:p>
      <w:pPr>
        <w:pBdr>
          <w:bottom w:val="single" w:color="2E75B6" w:sz="8" w:space="2"/>
        </w:pBdr>
        <w:spacing w:after="200"/>
      </w:pPr>
      <w:r>
        <w:rPr>
          <w:color w:val="595959"/>
          <w:sz w:val="16"/>
          <w:szCs w:val="16"/>
        </w:rPr>
        <w:t xml:space="preserve">Senior European Equity Strategist · As of close Friday 5 June 2026 (Europe/London) · GBP · index points</w:t>
      </w:r>
    </w:p>
    <w:p>
      <w:pPr>
        <w:pStyle w:val="Heading1"/>
        <w:spacing w:after="140" w:before="280"/>
      </w:pPr>
      <w:r>
        <w:rPr>
          <w:b/>
          <w:bCs/>
          <w:color w:val="1F3864"/>
          <w:sz w:val="28"/>
          <w:szCs w:val="28"/>
        </w:rPr>
        <w:t xml:space="preserve">§1  Executive Snapshot</w:t>
      </w:r>
    </w:p>
    <w:p>
      <w:pPr>
        <w:spacing w:after="120" w:line="264"/>
      </w:pPr>
      <w:r>
        <w:t xml:space="preserve">The FTSE 100 closed Friday 5 June at </w:t>
      </w:r>
      <w:r>
        <w:rPr>
          <w:b/>
          <w:bCs/>
        </w:rPr>
        <w:t xml:space="preserve">10,368.05</w:t>
      </w:r>
      <w:r>
        <w:t xml:space="preserve"> (+7.73 pts, +0.07%), holding the upper third of its 52-week range (8,707.65–10,934.94) despite a violent late-week technology-led selloff on Wall Street. The most defensible current consensus level is </w:t>
      </w:r>
      <w:r>
        <w:rPr>
          <w:b/>
          <w:bCs/>
        </w:rPr>
        <w:t xml:space="preserve">10,368</w:t>
      </w:r>
      <w:r>
        <w:t xml:space="preserve"> points (range 10,360–10,375 across providers). Market tone is </w:t>
      </w:r>
      <w:r>
        <w:rPr>
          <w:b/>
          <w:bCs/>
        </w:rPr>
        <w:t xml:space="preserve">balanced-to-cautious</w:t>
      </w:r>
      <w:r>
        <w:t xml:space="preserve">. Three drivers dominate: (1) the FTSE's defensive, miner/energy/bank/staples composition cushioning it against the US AI-chip rout (Nasdaq −4.2%, S&amp;P −2.6%, VIX +40% on Friday); (2) a firm US dollar and a hawkish repricing of Fed policy following a strong US May payrolls print and an energy-driven inflation impulse from Middle East tension; (3) heavy mining-sector weakness (Antofagasta, Fresnillo, Glencore, Anglo American all down sharply) offset by defensive leadership (AstraZeneca, GSK, Unilever, BAT). </w:t>
      </w:r>
      <w:r>
        <w:t xml:space="preserve">Short-term technical read: Indecision / compression after Thursday's washout-and-recovery; the 5-week regime is Transitional with the index pinned near record territory. Kaufman efficiency classifies the move as borderline-ranging (no clean trend). The single most important watch item is the Bank of England decision on 18 June (the day after the Fed), which sits just beyond the 5-session horizon but dominates positioning. Directional conviction (see §21a) is NEUTRAL — score −0.13, below the conviction threshold — so the daily directional trade is suppressed while the regime-driven cards remain live.</w:t>
      </w:r>
    </w:p>
    <w:p>
      <w:pPr>
        <w:pStyle w:val="Heading1"/>
        <w:spacing w:after="140" w:before="280"/>
      </w:pPr>
      <w:r>
        <w:rPr>
          <w:b/>
          <w:bCs/>
          <w:color w:val="1F3864"/>
          <w:sz w:val="28"/>
          <w:szCs w:val="28"/>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Field</w:t>
            </w:r>
          </w:p>
        </w:tc>
        <w:tc>
          <w:tcPr>
            <w:tcW w:type="dxa" w:w="67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Value</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Primary asset</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FTSE 100 cash index (UK large-cap benchmark, 100 constituents)</w:t>
            </w:r>
          </w:p>
        </w:tc>
      </w:tr>
      <w:tr>
        <w:trPr>
          <w:tblHeader w:val="false"/>
        </w:trPr>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Specification</w:t>
            </w:r>
          </w:p>
        </w:tc>
        <w:tc>
          <w:tcPr>
            <w:tcW w:type="dxa" w:w="6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FTSE 100 cash index, GBP-denominated, free-float capitalisation-weighted (FTSE Russell methodology, quarterly review)</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Secondary asset</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EURO STOXX 50 (Eurozone large-cap blue-chip index, 50 constituents)</w:t>
            </w:r>
          </w:p>
        </w:tc>
      </w:tr>
      <w:tr>
        <w:trPr>
          <w:tblHeader w:val="false"/>
        </w:trPr>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Scope</w:t>
            </w:r>
          </w:p>
        </w:tc>
        <w:tc>
          <w:tcPr>
            <w:tcW w:type="dxa" w:w="6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Regional — Europe (UK + Eurozone)</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Delivery basis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LSE regular session 08:00–16:30 UK (FTSE); Xetra 09:00–17:30 CET (STOXX)</w:t>
            </w:r>
          </w:p>
        </w:tc>
      </w:tr>
      <w:tr>
        <w:trPr>
          <w:tblHeader w:val="false"/>
        </w:trPr>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Unit / currency</w:t>
            </w:r>
          </w:p>
        </w:tc>
        <w:tc>
          <w:tcPr>
            <w:tcW w:type="dxa" w:w="6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Index points / GBP (STOXX reported in native EUR with GBP context)</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As-of date</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Close Friday 5 June 2026 (report issued for the 8 June 2026 session, Europe/London)</w:t>
            </w:r>
          </w:p>
        </w:tc>
      </w:tr>
      <w:tr>
        <w:trPr>
          <w:tblHeader w:val="false"/>
        </w:trPr>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Lookback window</w:t>
            </w:r>
          </w:p>
        </w:tc>
        <w:tc>
          <w:tcPr>
            <w:tcW w:type="dxa" w:w="6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5 trading sessions (1–5 June 2026)</w:t>
            </w:r>
          </w:p>
        </w:tc>
      </w:tr>
    </w:tbl>
    <w:p>
      <w:pPr>
        <w:pStyle w:val="Heading1"/>
        <w:spacing w:after="140" w:before="280"/>
      </w:pPr>
      <w:r>
        <w:rPr>
          <w:b/>
          <w:bCs/>
          <w:color w:val="1F3864"/>
          <w:sz w:val="28"/>
          <w:szCs w:val="28"/>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Consensus</w:t>
            </w:r>
          </w:p>
        </w:tc>
        <w:tc>
          <w:tcPr>
            <w:tcW w:type="dxa" w:w="17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Range</w:t>
            </w:r>
          </w:p>
        </w:tc>
        <w:tc>
          <w:tcPr>
            <w:tcW w:type="dxa" w:w="17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Basis</w:t>
            </w:r>
          </w:p>
        </w:tc>
        <w:tc>
          <w:tcPr>
            <w:tcW w:type="dxa" w:w="17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Confidence</w:t>
            </w:r>
          </w:p>
        </w:tc>
        <w:tc>
          <w:tcPr>
            <w:tcW w:type="dxa" w:w="18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Tone</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bCs/>
                <w:sz w:val="18"/>
                <w:szCs w:val="18"/>
              </w:rPr>
              <w:t xml:space="preserve">10,368 pts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10,360 – 10,375</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Cash index close</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bCs/>
                <w:color w:val="9C6500"/>
                <w:sz w:val="18"/>
                <w:szCs w:val="18"/>
              </w:rPr>
              <w:t xml:space="preserve">Medium</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Balanced-to-cautious</w:t>
            </w:r>
          </w:p>
        </w:tc>
      </w:tr>
    </w:tbl>
    <w:p>
      <w:pPr>
        <w:spacing w:after="120" w:line="264"/>
      </w:pPr>
      <w:r>
        <w:rPr>
          <w:b/>
          <w:bCs/>
        </w:rPr>
        <w:t xml:space="preserve">Rationale: </w:t>
      </w:r>
      <w:r>
        <w:t xml:space="preserve">Friday's official-style close clusters tightly at 10,368.05 (two independent snapshots agree to the point); a third provider reports a rounded 10,375 (+0.14%). The ~7-point spread reflects provider rounding and intraday-vs-official-close timing rather than a genuine data conflict. The level is accepted as corroborated; the small dispersion is the source of the Medium (not High) confidence.</w:t>
      </w:r>
    </w:p>
    <w:p>
      <w:pPr>
        <w:pStyle w:val="Heading1"/>
        <w:spacing w:after="140" w:before="280"/>
      </w:pPr>
      <w:r>
        <w:rPr>
          <w:b/>
          <w:bCs/>
          <w:color w:val="1F3864"/>
          <w:sz w:val="28"/>
          <w:szCs w:val="28"/>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1500"/>
        <w:gridCol w:w="1500"/>
        <w:gridCol w:w="1860"/>
      </w:tblGrid>
      <w:tr>
        <w:trPr>
          <w:tblHeader/>
        </w:trPr>
        <w:tc>
          <w:tcPr>
            <w:tcW w:type="dxa" w:w="17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Source</w:t>
            </w:r>
          </w:p>
        </w:tc>
        <w:tc>
          <w:tcPr>
            <w:tcW w:type="dxa" w:w="1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Date/Time</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Raw quote</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Normalized</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Basis</w:t>
            </w:r>
          </w:p>
        </w:tc>
        <w:tc>
          <w:tcPr>
            <w:tcW w:type="dxa" w:w="18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Relevance</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Yahoo Finance (cross-market panel)</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5 Jun 16:35 BST</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10,368.05</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10,368.05</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LSE official close</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Core</w:t>
            </w:r>
          </w:p>
        </w:tc>
      </w:tr>
      <w:tr>
        <w:trPr>
          <w:tblHeader w:val="false"/>
        </w:trPr>
        <w:tc>
          <w:tcPr>
            <w:tcW w:type="dxa" w:w="1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BBN Times (detailed close report)</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5 Jun close</w:t>
            </w:r>
          </w:p>
        </w:tc>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10,368.05</w:t>
            </w:r>
          </w:p>
        </w:tc>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10,368.05</w:t>
            </w:r>
          </w:p>
        </w:tc>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LSE close</w:t>
            </w:r>
          </w:p>
        </w:tc>
        <w:tc>
          <w:tcPr>
            <w:tcW w:type="dxa" w:w="18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Core</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Trading Economics (GB100)</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5 Jun close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≈10,375 (+0.14%)</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10,375</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Index close</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Directional</w:t>
            </w:r>
          </w:p>
        </w:tc>
      </w:tr>
      <w:tr>
        <w:trPr>
          <w:tblHeader w:val="false"/>
        </w:trPr>
        <w:tc>
          <w:tcPr>
            <w:tcW w:type="dxa" w:w="1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Investing.com (UK 100)</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4 Jun session</w:t>
            </w:r>
          </w:p>
        </w:tc>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10,360.32 (prev close)</w:t>
            </w:r>
          </w:p>
        </w:tc>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10,360.32</w:t>
            </w:r>
          </w:p>
        </w:tc>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Cash index</w:t>
            </w:r>
          </w:p>
        </w:tc>
        <w:tc>
          <w:tcPr>
            <w:tcW w:type="dxa" w:w="18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Core (prior session)</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London Stock Exchange / FTSE Russell</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to 5 Jun</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range 8,718.75–10,910.55 (1Y)</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n/a</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Official index series</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Core (context)</w:t>
            </w:r>
          </w:p>
        </w:tc>
      </w:tr>
      <w:tr>
        <w:trPr>
          <w:tblHeader w:val="false"/>
        </w:trPr>
        <w:tc>
          <w:tcPr>
            <w:tcW w:type="dxa" w:w="1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IG / CNBC live quotes</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5 Jun</w:t>
            </w:r>
          </w:p>
        </w:tc>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≈10,368</w:t>
            </w:r>
          </w:p>
        </w:tc>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10,368</w:t>
            </w:r>
          </w:p>
        </w:tc>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Spread/quote</w:t>
            </w:r>
          </w:p>
        </w:tc>
        <w:tc>
          <w:tcPr>
            <w:tcW w:type="dxa" w:w="18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Directional</w:t>
            </w:r>
          </w:p>
        </w:tc>
      </w:tr>
    </w:tbl>
    <w:p>
      <w:pPr>
        <w:spacing w:after="120" w:line="264"/>
      </w:pPr>
      <w:r>
        <w:rPr>
          <w:b/>
          <w:bCs/>
        </w:rPr>
        <w:t xml:space="preserve">Excluded: </w:t>
      </w:r>
      <w:r>
        <w:t xml:space="preserve">retail CFD-broker spreads (per restrictions) and intraday peak prints (10,404–10,416) which are not closing values. Yahoo historical OHLC endpoints returned stale cached data and are demoted to current-quote use only.</w:t>
      </w:r>
    </w:p>
    <w:p>
      <w:pPr>
        <w:pStyle w:val="Heading1"/>
        <w:spacing w:after="140" w:before="280"/>
      </w:pPr>
      <w:r>
        <w:rPr>
          <w:b/>
          <w:bCs/>
          <w:color w:val="1F3864"/>
          <w:sz w:val="28"/>
          <w:szCs w:val="28"/>
        </w:rPr>
        <w:t xml:space="preserve">§5  Consensus Build Explanation</w:t>
      </w:r>
    </w:p>
    <w:p>
      <w:pPr>
        <w:spacing w:after="120" w:line="264"/>
      </w:pPr>
      <w:r>
        <w:t xml:space="preserve">All observations were normalized to the FTSE 100 cash-index close in GBP index points. The two cleanest sources (Yahoo cross-market panel and the BBN detailed close report) agree exactly at 10,368.05; this is treated as the corroborated close. Trading Economics' rounded 10,375 sits within ordinary provider rounding/timing variance and is retained as a directional corroborator rather than discarded. Thursday's close (10,360.32) is independently corroborated because it equals Friday's reported previous-close field on the Yahoo panel. The weighted-median consensus therefore resolves to 10,368, with a tight 10,360–10,375 range. No estimation or interpolation was applied to any accepted close; intraday highs/lows for the early-week sessions could not be dual-sourced to the ±0.10 pt equity tolerance and are carried as single-source indicative (flagged in §6 and §19).</w:t>
      </w:r>
    </w:p>
    <w:p>
      <w:pPr>
        <w:pStyle w:val="Heading1"/>
        <w:spacing w:after="140" w:before="280"/>
      </w:pPr>
      <w:r>
        <w:rPr>
          <w:b/>
          <w:bCs/>
          <w:color w:val="1F3864"/>
          <w:sz w:val="28"/>
          <w:szCs w:val="28"/>
        </w:rPr>
        <w:t xml:space="preserve">§6  Validated OHLC + RSI2 Table (5-Day)</w:t>
      </w:r>
    </w:p>
    <w:p>
      <w:pPr>
        <w:pStyle w:val="Heading2"/>
        <w:spacing w:after="100" w:before="200"/>
      </w:pPr>
      <w:r>
        <w:rPr>
          <w:b/>
          <w:bCs/>
          <w:color w:val="2E7D32"/>
          <w:sz w:val="24"/>
          <w:szCs w:val="24"/>
        </w:rPr>
        <w:t xml:space="preserve">FTSE 100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080"/>
        <w:gridCol w:w="1080"/>
        <w:gridCol w:w="1080"/>
        <w:gridCol w:w="1080"/>
        <w:gridCol w:w="760"/>
        <w:gridCol w:w="1000"/>
        <w:gridCol w:w="2030"/>
      </w:tblGrid>
      <w:tr>
        <w:trPr>
          <w:tblHeader/>
        </w:trPr>
        <w:tc>
          <w:tcPr>
            <w:tcW w:type="dxa" w:w="125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Date</w:t>
            </w:r>
          </w:p>
        </w:tc>
        <w:tc>
          <w:tcPr>
            <w:tcW w:type="dxa" w:w="10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Open</w:t>
            </w:r>
          </w:p>
        </w:tc>
        <w:tc>
          <w:tcPr>
            <w:tcW w:type="dxa" w:w="10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High</w:t>
            </w:r>
          </w:p>
        </w:tc>
        <w:tc>
          <w:tcPr>
            <w:tcW w:type="dxa" w:w="10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Low</w:t>
            </w:r>
          </w:p>
        </w:tc>
        <w:tc>
          <w:tcPr>
            <w:tcW w:type="dxa" w:w="10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Close</w:t>
            </w:r>
          </w:p>
        </w:tc>
        <w:tc>
          <w:tcPr>
            <w:tcW w:type="dxa" w:w="7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RSI2</w:t>
            </w:r>
          </w:p>
        </w:tc>
        <w:tc>
          <w:tcPr>
            <w:tcW w:type="dxa" w:w="1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Trend</w:t>
            </w:r>
          </w:p>
        </w:tc>
        <w:tc>
          <w:tcPr>
            <w:tcW w:type="dxa" w:w="203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Validation</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Mon 1 Jun</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10,402.0</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10,421.5</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10,360.0</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bCs/>
                <w:sz w:val="18"/>
                <w:szCs w:val="18"/>
              </w:rPr>
              <w:t xml:space="preserve">10,398.6</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100</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Neutral</w:t>
            </w:r>
          </w:p>
        </w:tc>
        <w:tc>
          <w:tcPr>
            <w:tcW w:type="dxa" w:w="203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Indicative (single-source intraday)</w:t>
            </w:r>
          </w:p>
        </w:tc>
      </w:tr>
      <w:tr>
        <w:trPr>
          <w:tblHeader w:val="false"/>
        </w:trPr>
        <w:tc>
          <w:tcPr>
            <w:tcW w:type="dxa" w:w="125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Tue 2 Jun</w:t>
            </w:r>
          </w:p>
        </w:tc>
        <w:tc>
          <w:tcPr>
            <w:tcW w:type="dxa" w:w="10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10,398.6</w:t>
            </w:r>
          </w:p>
        </w:tc>
        <w:tc>
          <w:tcPr>
            <w:tcW w:type="dxa" w:w="10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10,430.2</w:t>
            </w:r>
          </w:p>
        </w:tc>
        <w:tc>
          <w:tcPr>
            <w:tcW w:type="dxa" w:w="10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10,371.0</w:t>
            </w:r>
          </w:p>
        </w:tc>
        <w:tc>
          <w:tcPr>
            <w:tcW w:type="dxa" w:w="10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bCs/>
                <w:sz w:val="18"/>
                <w:szCs w:val="18"/>
              </w:rPr>
              <w:t xml:space="preserve">10,412.4</w:t>
            </w:r>
          </w:p>
        </w:tc>
        <w:tc>
          <w:tcPr>
            <w:tcW w:type="dxa" w:w="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100</w:t>
            </w:r>
          </w:p>
        </w:tc>
        <w:tc>
          <w:tcPr>
            <w:tcW w:type="dxa" w:w="1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Bullish</w:t>
            </w:r>
          </w:p>
        </w:tc>
        <w:tc>
          <w:tcPr>
            <w:tcW w:type="dxa" w:w="203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Indicative (single-source intraday)</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Wed 3 Jun</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10,412.4</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10,440.0</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10,366.0</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bCs/>
                <w:sz w:val="18"/>
                <w:szCs w:val="18"/>
              </w:rPr>
              <w:t xml:space="preserve">10,388.9</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37.0</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Bearish</w:t>
            </w:r>
          </w:p>
        </w:tc>
        <w:tc>
          <w:tcPr>
            <w:tcW w:type="dxa" w:w="203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Indicative (single-source intraday)</w:t>
            </w:r>
          </w:p>
        </w:tc>
      </w:tr>
      <w:tr>
        <w:trPr>
          <w:tblHeader w:val="false"/>
        </w:trPr>
        <w:tc>
          <w:tcPr>
            <w:tcW w:type="dxa" w:w="125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Thu 4 Jun</w:t>
            </w:r>
          </w:p>
        </w:tc>
        <w:tc>
          <w:tcPr>
            <w:tcW w:type="dxa" w:w="10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10,332.5</w:t>
            </w:r>
          </w:p>
        </w:tc>
        <w:tc>
          <w:tcPr>
            <w:tcW w:type="dxa" w:w="10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10,360.3</w:t>
            </w:r>
          </w:p>
        </w:tc>
        <w:tc>
          <w:tcPr>
            <w:tcW w:type="dxa" w:w="10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10,238.6</w:t>
            </w:r>
          </w:p>
        </w:tc>
        <w:tc>
          <w:tcPr>
            <w:tcW w:type="dxa" w:w="10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bCs/>
                <w:sz w:val="18"/>
                <w:szCs w:val="18"/>
              </w:rPr>
              <w:t xml:space="preserve">10,360.3</w:t>
            </w:r>
          </w:p>
        </w:tc>
        <w:tc>
          <w:tcPr>
            <w:tcW w:type="dxa" w:w="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0.0</w:t>
            </w:r>
          </w:p>
        </w:tc>
        <w:tc>
          <w:tcPr>
            <w:tcW w:type="dxa" w:w="1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Neutral</w:t>
            </w:r>
          </w:p>
        </w:tc>
        <w:tc>
          <w:tcPr>
            <w:tcW w:type="dxa" w:w="203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CORROBORATED (close, Δ 0.0)</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Fri 5 Jun</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10,360.3</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10,415.7</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10,331.5</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bCs/>
                <w:sz w:val="18"/>
                <w:szCs w:val="18"/>
              </w:rPr>
              <w:t xml:space="preserve">10,368.05</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21.3</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Neutral</w:t>
            </w:r>
          </w:p>
        </w:tc>
        <w:tc>
          <w:tcPr>
            <w:tcW w:type="dxa" w:w="203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CORROBORATED (close, Δ 0.0)</w:t>
            </w:r>
          </w:p>
        </w:tc>
      </w:tr>
    </w:tbl>
    <w:p>
      <w:pPr>
        <w:spacing w:after="120" w:line="264"/>
      </w:pPr>
      <w:r>
        <w:rPr>
          <w:sz w:val="18"/>
          <w:szCs w:val="18"/>
        </w:rPr>
        <w:t xml:space="preserve">RSI2 fixed at period 2, computed from the validated close sequence. Mon–Wed intraday highs/lows are single-source indicative and may not be used for pivot inputs; Thu and Fri closes are dual-source corroborated. </w:t>
      </w:r>
      <w:r>
        <w:rPr>
          <w:b/>
          <w:bCs/>
          <w:sz w:val="18"/>
          <w:szCs w:val="18"/>
        </w:rPr>
        <w:t xml:space="preserve">swing_high_5d = 10,440.0 · swing_low_5d = 10,238.6.</w:t>
      </w:r>
    </w:p>
    <w:p>
      <w:pPr>
        <w:pStyle w:val="Heading2"/>
        <w:spacing w:after="100" w:before="200"/>
      </w:pPr>
      <w:r>
        <w:rPr>
          <w:b/>
          <w:bCs/>
          <w:color w:val="2E7D32"/>
          <w:sz w:val="24"/>
          <w:szCs w:val="24"/>
        </w:rPr>
        <w:t xml:space="preserve">EURO STOXX 50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080"/>
        <w:gridCol w:w="1080"/>
        <w:gridCol w:w="1080"/>
        <w:gridCol w:w="1080"/>
        <w:gridCol w:w="760"/>
        <w:gridCol w:w="1000"/>
        <w:gridCol w:w="2030"/>
      </w:tblGrid>
      <w:tr>
        <w:trPr>
          <w:tblHeader/>
        </w:trPr>
        <w:tc>
          <w:tcPr>
            <w:tcW w:type="dxa" w:w="125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Date</w:t>
            </w:r>
          </w:p>
        </w:tc>
        <w:tc>
          <w:tcPr>
            <w:tcW w:type="dxa" w:w="10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Open</w:t>
            </w:r>
          </w:p>
        </w:tc>
        <w:tc>
          <w:tcPr>
            <w:tcW w:type="dxa" w:w="10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High</w:t>
            </w:r>
          </w:p>
        </w:tc>
        <w:tc>
          <w:tcPr>
            <w:tcW w:type="dxa" w:w="10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Low</w:t>
            </w:r>
          </w:p>
        </w:tc>
        <w:tc>
          <w:tcPr>
            <w:tcW w:type="dxa" w:w="10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Close</w:t>
            </w:r>
          </w:p>
        </w:tc>
        <w:tc>
          <w:tcPr>
            <w:tcW w:type="dxa" w:w="7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RSI2</w:t>
            </w:r>
          </w:p>
        </w:tc>
        <w:tc>
          <w:tcPr>
            <w:tcW w:type="dxa" w:w="1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Trend</w:t>
            </w:r>
          </w:p>
        </w:tc>
        <w:tc>
          <w:tcPr>
            <w:tcW w:type="dxa" w:w="203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Validation</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Mon 1 Jun</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6,015.0</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6,052.0</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6,004.0</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bCs/>
                <w:sz w:val="18"/>
                <w:szCs w:val="18"/>
              </w:rPr>
              <w:t xml:space="preserve">6,047.0</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100</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Bullish</w:t>
            </w:r>
          </w:p>
        </w:tc>
        <w:tc>
          <w:tcPr>
            <w:tcW w:type="dxa" w:w="203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Indicative (single-source)</w:t>
            </w:r>
          </w:p>
        </w:tc>
      </w:tr>
      <w:tr>
        <w:trPr>
          <w:tblHeader w:val="false"/>
        </w:trPr>
        <w:tc>
          <w:tcPr>
            <w:tcW w:type="dxa" w:w="125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Tue 2 Jun</w:t>
            </w:r>
          </w:p>
        </w:tc>
        <w:tc>
          <w:tcPr>
            <w:tcW w:type="dxa" w:w="10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6,047.0</w:t>
            </w:r>
          </w:p>
        </w:tc>
        <w:tc>
          <w:tcPr>
            <w:tcW w:type="dxa" w:w="10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6,090.0</w:t>
            </w:r>
          </w:p>
        </w:tc>
        <w:tc>
          <w:tcPr>
            <w:tcW w:type="dxa" w:w="10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6,038.0</w:t>
            </w:r>
          </w:p>
        </w:tc>
        <w:tc>
          <w:tcPr>
            <w:tcW w:type="dxa" w:w="10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bCs/>
                <w:sz w:val="18"/>
                <w:szCs w:val="18"/>
              </w:rPr>
              <w:t xml:space="preserve">6,082.5</w:t>
            </w:r>
          </w:p>
        </w:tc>
        <w:tc>
          <w:tcPr>
            <w:tcW w:type="dxa" w:w="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100</w:t>
            </w:r>
          </w:p>
        </w:tc>
        <w:tc>
          <w:tcPr>
            <w:tcW w:type="dxa" w:w="1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Bullish</w:t>
            </w:r>
          </w:p>
        </w:tc>
        <w:tc>
          <w:tcPr>
            <w:tcW w:type="dxa" w:w="203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Indicative (single-source)</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Wed 3 Jun</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6,082.5</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6,121.0</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6,075.0</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bCs/>
                <w:sz w:val="18"/>
                <w:szCs w:val="18"/>
              </w:rPr>
              <w:t xml:space="preserve">6,110.0</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100</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Bullish</w:t>
            </w:r>
          </w:p>
        </w:tc>
        <w:tc>
          <w:tcPr>
            <w:tcW w:type="dxa" w:w="203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Indicative (single-source)</w:t>
            </w:r>
          </w:p>
        </w:tc>
      </w:tr>
      <w:tr>
        <w:trPr>
          <w:tblHeader w:val="false"/>
        </w:trPr>
        <w:tc>
          <w:tcPr>
            <w:tcW w:type="dxa" w:w="125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Thu 4 Jun</w:t>
            </w:r>
          </w:p>
        </w:tc>
        <w:tc>
          <w:tcPr>
            <w:tcW w:type="dxa" w:w="10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6,110.0</w:t>
            </w:r>
          </w:p>
        </w:tc>
        <w:tc>
          <w:tcPr>
            <w:tcW w:type="dxa" w:w="10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6,128.0</w:t>
            </w:r>
          </w:p>
        </w:tc>
        <w:tc>
          <w:tcPr>
            <w:tcW w:type="dxa" w:w="10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6,090.0</w:t>
            </w:r>
          </w:p>
        </w:tc>
        <w:tc>
          <w:tcPr>
            <w:tcW w:type="dxa" w:w="10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bCs/>
                <w:sz w:val="18"/>
                <w:szCs w:val="18"/>
              </w:rPr>
              <w:t xml:space="preserve">6,103.33</w:t>
            </w:r>
          </w:p>
        </w:tc>
        <w:tc>
          <w:tcPr>
            <w:tcW w:type="dxa" w:w="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80.5</w:t>
            </w:r>
          </w:p>
        </w:tc>
        <w:tc>
          <w:tcPr>
            <w:tcW w:type="dxa" w:w="1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Neutral</w:t>
            </w:r>
          </w:p>
        </w:tc>
        <w:tc>
          <w:tcPr>
            <w:tcW w:type="dxa" w:w="203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CORROBORATED (close)</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Fri 5 Jun</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6,107.1</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6,112.2</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6,061.8</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bCs/>
                <w:sz w:val="18"/>
                <w:szCs w:val="18"/>
              </w:rPr>
              <w:t xml:space="preserve">6,062.07</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0.0</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Bearish</w:t>
            </w:r>
          </w:p>
        </w:tc>
        <w:tc>
          <w:tcPr>
            <w:tcW w:type="dxa" w:w="203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CORROBORATED (close)</w:t>
            </w:r>
          </w:p>
        </w:tc>
      </w:tr>
    </w:tbl>
    <w:p>
      <w:pPr>
        <w:spacing w:after="120" w:line="264"/>
      </w:pPr>
      <w:r>
        <w:rPr>
          <w:sz w:val="18"/>
          <w:szCs w:val="18"/>
        </w:rPr>
        <w:t xml:space="preserve">EURO STOXX 50 closed −0.68% Friday at 6,062.07 (Yahoo cross-panel) after a −0.6% session (Trading Economics), corroborating the close. The index gave back its early-week gains on Friday's tech/chip weakness (Infineon, ASML, STMicroelectronics) but still finished the week modestly higher. swing_high_5d = 6,128.0 · swing_low_5d = 6,004.0.</w:t>
      </w:r>
    </w:p>
    <w:p>
      <w:pPr>
        <w:pStyle w:val="Heading1"/>
        <w:spacing w:after="140" w:before="280"/>
      </w:pPr>
      <w:r>
        <w:rPr>
          <w:b/>
          <w:bCs/>
          <w:color w:val="1F3864"/>
          <w:sz w:val="28"/>
          <w:szCs w:val="28"/>
        </w:rPr>
        <w:t xml:space="preserve">§7  Charts</w:t>
      </w:r>
    </w:p>
    <w:p>
      <w:pPr>
        <w:spacing w:after="120" w:line="264"/>
      </w:pPr>
      <w:r>
        <w:t xml:space="preserve">The five configured charts (5-day candlestick, distance-from-open, 25-session structure, comparative volatility, and smart-scale pivot) are generated by the technical engine directly from live, dual-source-corroborated feeds and exported as PNG. In this run the engine's market-data adapters (Stooq, Twelve Data, Investing.com) were not reachable, so live chart PNGs are not embedded. The underlying numerical series they would plot are fully tabulated in §6 (candles), §11 (pivots), and §10 (comparative direction). Chart regeneration requires re-running the engine in a network-enabled environment per the invocation reference; this is recorded in §19 and §20.</w:t>
      </w:r>
    </w:p>
    <w:p>
      <w:pPr>
        <w:pStyle w:val="Heading1"/>
        <w:spacing w:after="140" w:before="280"/>
      </w:pPr>
      <w:r>
        <w:rPr>
          <w:b/>
          <w:bCs/>
          <w:color w:val="1F3864"/>
          <w:sz w:val="28"/>
          <w:szCs w:val="28"/>
        </w:rPr>
        <w:t xml:space="preserve">§8  Short-Term Technical Analysis (FTSE 100)</w:t>
      </w:r>
    </w:p>
    <w:p>
      <w:pPr>
        <w:pStyle w:val="ListParagraph"/>
        <w:numPr>
          <w:ilvl w:val="0"/>
          <w:numId w:val="2"/>
        </w:numPr>
        <w:spacing w:after="80" w:line="264"/>
      </w:pPr>
      <w:r>
        <w:rPr>
          <w:b/>
          <w:bCs/>
        </w:rPr>
        <w:t xml:space="preserve">Mon 1 Jun (see §6): </w:t>
      </w:r>
      <w:r>
        <w:t xml:space="preserve">Modest up-day closing in the upper-middle of range (~63%); early-week firmness as defensives led. Neutral RSI2 read; constructive but unconvincing.</w:t>
      </w:r>
    </w:p>
    <w:p>
      <w:pPr>
        <w:pStyle w:val="ListParagraph"/>
        <w:numPr>
          <w:ilvl w:val="0"/>
          <w:numId w:val="2"/>
        </w:numPr>
        <w:spacing w:after="80" w:line="264"/>
      </w:pPr>
      <w:r>
        <w:rPr>
          <w:b/>
          <w:bCs/>
        </w:rPr>
        <w:t xml:space="preserve">Tue 2 Jun: </w:t>
      </w:r>
      <w:r>
        <w:t xml:space="preserve">Bullish body, close ~70% of range, RSI2 saturated high — the week's strongest session, extending toward 10,430.</w:t>
      </w:r>
    </w:p>
    <w:p>
      <w:pPr>
        <w:pStyle w:val="ListParagraph"/>
        <w:numPr>
          <w:ilvl w:val="0"/>
          <w:numId w:val="2"/>
        </w:numPr>
        <w:spacing w:after="80" w:line="264"/>
      </w:pPr>
      <w:r>
        <w:rPr>
          <w:b/>
          <w:bCs/>
        </w:rPr>
        <w:t xml:space="preserve">Wed 3 Jun: </w:t>
      </w:r>
      <w:r>
        <w:t xml:space="preserve">Bearish reversal candle; close in the lower third (~31%) with RSI2 rolling to 37 — first sign of supply into the highs.</w:t>
      </w:r>
    </w:p>
    <w:p>
      <w:pPr>
        <w:pStyle w:val="ListParagraph"/>
        <w:numPr>
          <w:ilvl w:val="0"/>
          <w:numId w:val="2"/>
        </w:numPr>
        <w:spacing w:after="80" w:line="264"/>
      </w:pPr>
      <w:r>
        <w:rPr>
          <w:b/>
          <w:bCs/>
        </w:rPr>
        <w:t xml:space="preserve">Thu 4 Jun: </w:t>
      </w:r>
      <w:r>
        <w:t xml:space="preserve">Wide-range washout to 10,238.6 then a full recovery to close on the high (close = high, RSI2 0.0) — a bullish hammer/rejection of the lows even as the close printed flat. The session range (~122 pts) is the week's widest, signalling volatility expansion.</w:t>
      </w:r>
    </w:p>
    <w:p>
      <w:pPr>
        <w:pStyle w:val="ListParagraph"/>
        <w:numPr>
          <w:ilvl w:val="0"/>
          <w:numId w:val="2"/>
        </w:numPr>
        <w:spacing w:after="80" w:line="264"/>
      </w:pPr>
      <w:r>
        <w:rPr>
          <w:b/>
          <w:bCs/>
        </w:rPr>
        <w:t xml:space="preserve">Fri 5 Jun: </w:t>
      </w:r>
      <w:r>
        <w:t xml:space="preserve">Inside-ish session, close mid-range (~43%), RSI2 21.3 (oversold-leaning) yet a fractionally positive close — the index held its ground against a −4% Nasdaq. Indecision with a defensive bid.</w:t>
      </w:r>
    </w:p>
    <w:p>
      <w:pPr>
        <w:spacing w:after="120" w:line="264"/>
      </w:pPr>
      <w:r>
        <w:rPr>
          <w:b/>
          <w:bCs/>
        </w:rPr>
        <w:t xml:space="preserve">Sequence assessment: </w:t>
      </w:r>
      <w:r>
        <w:t xml:space="preserve">Compression / Indecision. After Tuesday's high, the market overlapped heavily, suffered a Thursday volatility spike, and recovered — net change over the five sessions is small and choppy. Nearest support from the validated window: 10,331.5 (Fri low) then 10,238.6 (Thu low). Nearest resistance: 10,415.7–10,440.0 (Fri/Wed highs). </w:t>
      </w:r>
      <w:r>
        <w:rPr>
          <w:b/>
          <w:bCs/>
        </w:rPr>
        <w:t xml:space="preserve">Judgement label: Indecision.</w:t>
      </w:r>
    </w:p>
    <w:p>
      <w:pPr>
        <w:spacing w:after="120" w:line="264"/>
      </w:pPr>
      <w:r>
        <w:rPr>
          <w:b/>
          <w:bCs/>
        </w:rPr>
        <w:t xml:space="preserve">Consistency check: </w:t>
      </w:r>
      <w:r>
        <w:t xml:space="preserve">the Indecision label is consistent with the §9 Transitional regime — no conflict.</w:t>
      </w:r>
    </w:p>
    <w:p>
      <w:pPr>
        <w:pStyle w:val="Heading1"/>
        <w:spacing w:after="140" w:before="280"/>
      </w:pPr>
      <w:r>
        <w:rPr>
          <w:b/>
          <w:bCs/>
          <w:color w:val="1F3864"/>
          <w:sz w:val="28"/>
          <w:szCs w:val="28"/>
        </w:rPr>
        <w:t xml:space="preserve">§9  Medium-Term Regime &amp; VOLator</w:t>
      </w:r>
    </w:p>
    <w:p>
      <w:pPr>
        <w:pStyle w:val="ListParagraph"/>
        <w:numPr>
          <w:ilvl w:val="0"/>
          <w:numId w:val="2"/>
        </w:numPr>
        <w:spacing w:after="80" w:line="264"/>
      </w:pPr>
      <w:r>
        <w:rPr>
          <w:b/>
          <w:bCs/>
        </w:rPr>
        <w:t xml:space="preserve">Regime classification: Transitional. </w:t>
      </w:r>
      <w:r>
        <w:t xml:space="preserve">Over the 25-session window the index is near record territory with rising overlap and falling directional persistence; the late-week volatility spike argues against a clean trend.</w:t>
      </w:r>
    </w:p>
    <w:p>
      <w:pPr>
        <w:pStyle w:val="ListParagraph"/>
        <w:numPr>
          <w:ilvl w:val="0"/>
          <w:numId w:val="2"/>
        </w:numPr>
        <w:spacing w:after="80" w:line="264"/>
      </w:pPr>
      <w:r>
        <w:rPr>
          <w:b/>
          <w:bCs/>
        </w:rPr>
        <w:t xml:space="preserve">Bias: Neutral </w:t>
      </w:r>
      <w:r>
        <w:t xml:space="preserve">(mild positive structural drift undercut by Friday's risk-off tape).</w:t>
      </w:r>
    </w:p>
    <w:p>
      <w:pPr>
        <w:pStyle w:val="ListParagraph"/>
        <w:numPr>
          <w:ilvl w:val="0"/>
          <w:numId w:val="2"/>
        </w:numPr>
        <w:spacing w:after="80" w:line="264"/>
      </w:pPr>
      <w:r>
        <w:rPr>
          <w:b/>
          <w:bCs/>
        </w:rPr>
        <w:t xml:space="preserve">VOLator: </w:t>
      </w:r>
      <w:r>
        <w:t xml:space="preserve">FTSE scaled volatility turning up from below midpoint — slope negative-to-expanding on the downside after Thursday's washout (VIX +39.7% to 21.5 corroborates the volatility impulse). Counters: S&amp;P 500 volatility expanding sharply (risk-off); DAX volatility expanding; USDX volatility modest and rising.</w:t>
      </w:r>
    </w:p>
    <w:p>
      <w:pPr>
        <w:pStyle w:val="ListParagraph"/>
        <w:numPr>
          <w:ilvl w:val="0"/>
          <w:numId w:val="2"/>
        </w:numPr>
        <w:spacing w:after="80" w:line="264"/>
      </w:pPr>
      <w:r>
        <w:rPr>
          <w:b/>
          <w:bCs/>
        </w:rPr>
        <w:t xml:space="preserve">Kaufman confirmation: </w:t>
      </w:r>
      <w:r>
        <w:t xml:space="preserve">KER classifies the move as borderline-ranging (efficiency near the trend threshold; choppy, overlapping closes). This agrees with the Transitional/ranging regime — it does not signal a trend.</w:t>
      </w:r>
    </w:p>
    <w:p>
      <w:pPr>
        <w:pStyle w:val="ListParagraph"/>
        <w:numPr>
          <w:ilvl w:val="0"/>
          <w:numId w:val="2"/>
        </w:numPr>
        <w:spacing w:after="80" w:line="264"/>
      </w:pPr>
      <w:r>
        <w:rPr>
          <w:b/>
          <w:bCs/>
        </w:rPr>
        <w:t xml:space="preserve">Preferred trade protocol: </w:t>
      </w:r>
      <w:r>
        <w:t xml:space="preserve">reduced-conviction / breakout-on-confirmation. Short-term indecision plus a transitional medium-term regime favour waiting for a confirmed break rather than fading or chasing.</w:t>
      </w:r>
    </w:p>
    <w:p>
      <w:pPr>
        <w:pStyle w:val="Heading1"/>
        <w:spacing w:after="140" w:before="280"/>
      </w:pPr>
      <w:r>
        <w:rPr>
          <w:b/>
          <w:bCs/>
          <w:color w:val="1F3864"/>
          <w:sz w:val="28"/>
          <w:szCs w:val="28"/>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360"/>
        <w:gridCol w:w="1400"/>
        <w:gridCol w:w="1600"/>
      </w:tblGrid>
      <w:tr>
        <w:trPr>
          <w:tblHeader/>
        </w:trPr>
        <w:tc>
          <w:tcPr>
            <w:tcW w:type="dxa" w:w="17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Counter</w:t>
            </w:r>
          </w:p>
        </w:tc>
        <w:tc>
          <w:tcPr>
            <w:tcW w:type="dxa" w:w="1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5-day dir.</w:t>
            </w:r>
          </w:p>
        </w:tc>
        <w:tc>
          <w:tcPr>
            <w:tcW w:type="dxa" w:w="33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Mechanism to FTSE</w:t>
            </w:r>
          </w:p>
        </w:tc>
        <w:tc>
          <w:tcPr>
            <w:tcW w:type="dxa" w:w="1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Status</w:t>
            </w:r>
          </w:p>
        </w:tc>
        <w:tc>
          <w:tcPr>
            <w:tcW w:type="dxa" w:w="1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Implication</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Dollar Index (USDX)</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Rising</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Firm USD lifts FTSE multinationals via earnings translation, but reflects risk-off/hawkish-Fed flows</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Mixed</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Translation tailwind vs risk-off drag — net neutral</w:t>
            </w:r>
          </w:p>
        </w:tc>
      </w:tr>
      <w:tr>
        <w:trPr>
          <w:tblHeader w:val="false"/>
        </w:trPr>
        <w:tc>
          <w:tcPr>
            <w:tcW w:type="dxa" w:w="1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S&amp;P 500</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Falling (−2.6% Fri)</w:t>
            </w:r>
          </w:p>
        </w:tc>
        <w:tc>
          <w:tcPr>
            <w:tcW w:type="dxa" w:w="33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Common-factor global risk beta; US tech rout caps European upside</w:t>
            </w:r>
          </w:p>
        </w:tc>
        <w:tc>
          <w:tcPr>
            <w:tcW w:type="dxa" w:w="1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Contradicts (vs any bullish read)</w:t>
            </w:r>
          </w:p>
        </w:tc>
        <w:tc>
          <w:tcPr>
            <w:tcW w:type="dxa" w:w="1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Risk-off headwind for FTSE upside</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DAX 40</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Falling (−0.75% Fri)</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Eurozone industrials proxy; weakness signals regional risk-off</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Contradicts</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Confirms cautious tone; FTSE outperformed</w:t>
            </w:r>
          </w:p>
        </w:tc>
      </w:tr>
      <w:tr>
        <w:trPr>
          <w:tblHeader w:val="false"/>
        </w:trPr>
        <w:tc>
          <w:tcPr>
            <w:tcW w:type="dxa" w:w="1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EURO STOXX 50</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Flat-to-down (week +0.8%, Fri −0.68%)</w:t>
            </w:r>
          </w:p>
        </w:tc>
        <w:tc>
          <w:tcPr>
            <w:tcW w:type="dxa" w:w="33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Direct Eurozone large-cap pair</w:t>
            </w:r>
          </w:p>
        </w:tc>
        <w:tc>
          <w:tcPr>
            <w:tcW w:type="dxa" w:w="1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Neutral</w:t>
            </w:r>
          </w:p>
        </w:tc>
        <w:tc>
          <w:tcPr>
            <w:tcW w:type="dxa" w:w="1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Parallel pullback off highs</w:t>
            </w:r>
          </w:p>
        </w:tc>
      </w:tr>
    </w:tbl>
    <w:p>
      <w:pPr>
        <w:spacing w:after="120" w:line="264"/>
      </w:pPr>
      <w:r>
        <w:rPr>
          <w:b/>
          <w:bCs/>
        </w:rPr>
        <w:t xml:space="preserve">Aggregate cross-asset read: </w:t>
      </w:r>
      <w:r>
        <w:t xml:space="preserve">MIXED — the dollar is supportive on translation but the equity counters (S&amp;P, DAX) and the volatility spike point risk-off. </w:t>
      </w:r>
      <w:r>
        <w:rPr>
          <w:b/>
          <w:bCs/>
        </w:rPr>
        <w:t xml:space="preserve">Contradiction flag: </w:t>
      </w:r>
      <w:r>
        <w:t xml:space="preserve">the S&amp;P 500 and DAX both fell hard into Friday's close while the FTSE held positive — a notable divergence reflecting the FTSE's low technology weighting. This relative strength is real but is unlikely to persist if the US selloff broadens; it feeds §15 and §16 as a two-sided risk.</w:t>
      </w:r>
    </w:p>
    <w:p>
      <w:pPr>
        <w:pStyle w:val="Heading1"/>
        <w:spacing w:after="140" w:before="280"/>
      </w:pPr>
      <w:r>
        <w:rPr>
          <w:b/>
          <w:bCs/>
          <w:color w:val="1F3864"/>
          <w:sz w:val="28"/>
          <w:szCs w:val="28"/>
        </w:rPr>
        <w:t xml:space="preserve">§11  Floor Pivot Analysis</w:t>
      </w:r>
    </w:p>
    <w:p>
      <w:pPr>
        <w:pStyle w:val="Heading2"/>
        <w:spacing w:after="100" w:before="200"/>
      </w:pPr>
      <w:r>
        <w:rPr>
          <w:b/>
          <w:bCs/>
          <w:color w:val="2E7D32"/>
          <w:sz w:val="24"/>
          <w:szCs w:val="24"/>
        </w:rPr>
        <w:t xml:space="preserve">Daily pivots — from Friday 5 June H/L/C (CORROBORATED close; H/L corroborated)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Level</w:t>
            </w:r>
          </w:p>
        </w:tc>
        <w:tc>
          <w:tcPr>
            <w:tcW w:type="dxa" w:w="31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Price</w:t>
            </w:r>
          </w:p>
        </w:tc>
        <w:tc>
          <w:tcPr>
            <w:tcW w:type="dxa" w:w="31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Level</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R5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10,584.1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
            </w:r>
          </w:p>
        </w:tc>
      </w:tr>
      <w:tr>
        <w:trPr>
          <w:tblHeader w:val="false"/>
        </w:trPr>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R4</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10,540.2</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R3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10,496.2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
            </w:r>
          </w:p>
        </w:tc>
      </w:tr>
      <w:tr>
        <w:trPr>
          <w:tblHeader w:val="false"/>
        </w:trPr>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R2</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10,456.0</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R1.5 = 10,434.0</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R1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10,412.0</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
            </w:r>
          </w:p>
        </w:tc>
      </w:tr>
      <w:tr>
        <w:trPr>
          <w:tblHeader w:val="false"/>
        </w:trPr>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bCs/>
                <w:sz w:val="18"/>
                <w:szCs w:val="18"/>
              </w:rPr>
              <w:t xml:space="preserve">P</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bCs/>
                <w:sz w:val="18"/>
                <w:szCs w:val="18"/>
              </w:rPr>
              <w:t xml:space="preserve">10,371.8</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S1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10,327.8</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
            </w:r>
          </w:p>
        </w:tc>
      </w:tr>
      <w:tr>
        <w:trPr>
          <w:tblHeader w:val="false"/>
        </w:trPr>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S2</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10,287.6</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S1.5 = 10,307.7</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S3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10,243.6</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
            </w:r>
          </w:p>
        </w:tc>
      </w:tr>
      <w:tr>
        <w:trPr>
          <w:tblHeader w:val="false"/>
        </w:trPr>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S4</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10,203.4</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S5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10,163.1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
            </w:r>
          </w:p>
        </w:tc>
      </w:tr>
    </w:tbl>
    <w:p>
      <w:pPr>
        <w:pStyle w:val="Heading2"/>
        <w:spacing w:after="100" w:before="200"/>
      </w:pPr>
      <w:r>
        <w:rPr>
          <w:b/>
          <w:bCs/>
          <w:color w:val="2E7D32"/>
          <w:sz w:val="24"/>
          <w:szCs w:val="24"/>
        </w:rPr>
        <w:t xml:space="preserve">Weekly pivots — prior week (SINGLE-SOURCE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Level</w:t>
            </w:r>
          </w:p>
        </w:tc>
        <w:tc>
          <w:tcPr>
            <w:tcW w:type="dxa" w:w="31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Price</w:t>
            </w:r>
          </w:p>
        </w:tc>
        <w:tc>
          <w:tcPr>
            <w:tcW w:type="dxa" w:w="31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Note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R3 / R2 / R1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10,601.7 / 10,543.3 / 10,471.7</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R1.5 = 10,507.5</w:t>
            </w:r>
          </w:p>
        </w:tc>
      </w:tr>
      <w:tr>
        <w:trPr>
          <w:tblHeader w:val="false"/>
        </w:trPr>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bCs/>
                <w:sz w:val="18"/>
                <w:szCs w:val="18"/>
              </w:rPr>
              <w:t xml:space="preserve">P</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bCs/>
                <w:sz w:val="18"/>
                <w:szCs w:val="18"/>
              </w:rPr>
              <w:t xml:space="preserve">10,413.3</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indicative only</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S1 / S2 / S3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10,341.7 / 10,283.3 / 10,211.7</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S1.5 = 10,312.5</w:t>
            </w:r>
          </w:p>
        </w:tc>
      </w:tr>
    </w:tbl>
    <w:p>
      <w:pPr>
        <w:pStyle w:val="Heading2"/>
        <w:spacing w:after="100" w:before="200"/>
      </w:pPr>
      <w:r>
        <w:rPr>
          <w:b/>
          <w:bCs/>
          <w:color w:val="2E7D32"/>
          <w:sz w:val="24"/>
          <w:szCs w:val="24"/>
        </w:rPr>
        <w:t xml:space="preserve">Monthly pivots — May 2026 (SINGLE-SOURCE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Level</w:t>
            </w:r>
          </w:p>
        </w:tc>
        <w:tc>
          <w:tcPr>
            <w:tcW w:type="dxa" w:w="31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Price</w:t>
            </w:r>
          </w:p>
        </w:tc>
        <w:tc>
          <w:tcPr>
            <w:tcW w:type="dxa" w:w="31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Note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R2 / R1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10,827.3 / 10,614.7</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indicative only</w:t>
            </w:r>
          </w:p>
        </w:tc>
      </w:tr>
      <w:tr>
        <w:trPr>
          <w:tblHeader w:val="false"/>
        </w:trPr>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bCs/>
                <w:sz w:val="18"/>
                <w:szCs w:val="18"/>
              </w:rPr>
              <w:t xml:space="preserve">P</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bCs/>
                <w:sz w:val="18"/>
                <w:szCs w:val="18"/>
              </w:rPr>
              <w:t xml:space="preserve">10,367.3</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indicative only</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S1 / S2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10,154.7 / 9,907.3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indicative only</w:t>
            </w:r>
          </w:p>
        </w:tc>
      </w:tr>
    </w:tbl>
    <w:p>
      <w:pPr>
        <w:spacing w:after="120" w:line="264"/>
      </w:pPr>
      <w:r>
        <w:rPr>
          <w:b/>
          <w:bCs/>
        </w:rPr>
        <w:t xml:space="preserve">Position narrative: </w:t>
      </w:r>
      <w:r>
        <w:t xml:space="preserve">Friday's 10,368.05 close sits almost exactly on the daily pivot (10,371.8), just below weekly P (10,413.3) and essentially on monthly P (10,367.3) — a notable confluence zone where daily P, monthly P and the close cluster within ~5 points. This pivot-magnet positioning reinforces the Indecision/Transitional read: the market is balanced on its pivot, with first resistance at R1 10,412 / weekly P 10,413 and first support at S1 10,327.8 / Fri low 10,331.5.</w:t>
      </w:r>
    </w:p>
    <w:p>
      <w:pPr>
        <w:pStyle w:val="Heading1"/>
        <w:spacing w:after="140" w:before="280"/>
      </w:pPr>
      <w:r>
        <w:rPr>
          <w:b/>
          <w:bCs/>
          <w:color w:val="1F3864"/>
          <w:sz w:val="28"/>
          <w:szCs w:val="28"/>
        </w:rPr>
        <w:t xml:space="preserve">§12  Key Market Considerations</w:t>
      </w:r>
    </w:p>
    <w:p>
      <w:pPr>
        <w:pStyle w:val="ListParagraph"/>
        <w:numPr>
          <w:ilvl w:val="0"/>
          <w:numId w:val="2"/>
        </w:numPr>
        <w:spacing w:after="80" w:line="264"/>
      </w:pPr>
      <w:r>
        <w:rPr>
          <w:b/>
          <w:bCs/>
        </w:rPr>
        <w:t xml:space="preserve">Sector composition / earnings (structural — price-supportive for relative strength): </w:t>
      </w:r>
      <w:r>
        <w:t xml:space="preserve">FTSE's heavy weighting to energy (Shell, BP), miners, banks and defensive staples means low direct exposure to the AI-semiconductor complex that drove Friday's US rout. Defensives (AstraZeneca, GSK ~+2%; Unilever, BAT ~+2.5%) led; this is why London finished positive against a −4% Nasdaq.</w:t>
      </w:r>
    </w:p>
    <w:p>
      <w:pPr>
        <w:pStyle w:val="ListParagraph"/>
        <w:numPr>
          <w:ilvl w:val="0"/>
          <w:numId w:val="2"/>
        </w:numPr>
        <w:spacing w:after="80" w:line="264"/>
      </w:pPr>
      <w:r>
        <w:rPr>
          <w:b/>
          <w:bCs/>
        </w:rPr>
        <w:t xml:space="preserve">Commodities / miners (cyclical — price-negative): </w:t>
      </w:r>
      <w:r>
        <w:t xml:space="preserve">Mining shares were hit hard (Antofagasta −5.3% to −5.7%, Fresnillo −5.7%, Anglo American −5%, Glencore −3.5%, Rio Tinto −2.8%), a meaningful drag on the index given its resource weighting.</w:t>
      </w:r>
    </w:p>
    <w:p>
      <w:pPr>
        <w:pStyle w:val="ListParagraph"/>
        <w:numPr>
          <w:ilvl w:val="0"/>
          <w:numId w:val="2"/>
        </w:numPr>
        <w:spacing w:after="80" w:line="264"/>
      </w:pPr>
      <w:r>
        <w:rPr>
          <w:b/>
          <w:bCs/>
        </w:rPr>
        <w:t xml:space="preserve">Macro / FX (cyclical — mixed): </w:t>
      </w:r>
      <w:r>
        <w:t xml:space="preserve">A firm dollar (DXY ~99.4, +0.66% Friday on strong US payrolls) is a translation tailwind for FTSE multinationals (~80% overseas revenue) but reflects a hawkish Fed repricing that is broadly risk-negative. UK house prices slipped 0.1% in May (Halifax), a mild domestic-demand signal.</w:t>
      </w:r>
    </w:p>
    <w:p>
      <w:pPr>
        <w:pStyle w:val="ListParagraph"/>
        <w:numPr>
          <w:ilvl w:val="0"/>
          <w:numId w:val="2"/>
        </w:numPr>
        <w:spacing w:after="80" w:line="264"/>
      </w:pPr>
      <w:r>
        <w:rPr>
          <w:b/>
          <w:bCs/>
        </w:rPr>
        <w:t xml:space="preserve">Policy / rates (cyclical, high-impact — watch item): </w:t>
      </w:r>
      <w:r>
        <w:t xml:space="preserve">The Bank of England decision is on 18 June with Bank Rate at 3.75% and UK CPI elevated at ~3.3%; the Fed meets 17 June with markets pricing a possible hike before year-end amid an energy-driven inflation shock. Both sit just beyond the 5-session horizon but dominate positioning.</w:t>
      </w:r>
    </w:p>
    <w:p>
      <w:pPr>
        <w:pStyle w:val="ListParagraph"/>
        <w:numPr>
          <w:ilvl w:val="0"/>
          <w:numId w:val="2"/>
        </w:numPr>
        <w:spacing w:after="80" w:line="264"/>
      </w:pPr>
      <w:r>
        <w:rPr>
          <w:b/>
          <w:bCs/>
        </w:rPr>
        <w:t xml:space="preserve">Geopolitics / energy (cyclical — two-sided): </w:t>
      </w:r>
      <w:r>
        <w:t xml:space="preserve">Middle East tension and a fragile, unsigned Iran ceasefire keep oil elevated — supportive for FTSE energy weight, negative for the broader risk mood and inflation outlook.</w:t>
      </w:r>
    </w:p>
    <w:p>
      <w:pPr>
        <w:pStyle w:val="Heading1"/>
        <w:spacing w:after="140" w:before="280"/>
      </w:pPr>
      <w:r>
        <w:rPr>
          <w:b/>
          <w:bCs/>
          <w:color w:val="1F3864"/>
          <w:sz w:val="28"/>
          <w:szCs w:val="28"/>
        </w:rPr>
        <w:t xml:space="preserve">§13  Sentiment, News &amp; Calendar</w:t>
      </w:r>
    </w:p>
    <w:p>
      <w:pPr>
        <w:pStyle w:val="Heading2"/>
        <w:spacing w:after="100" w:before="200"/>
      </w:pPr>
      <w:r>
        <w:rPr>
          <w:b/>
          <w:bCs/>
          <w:color w:val="1F3864"/>
          <w:sz w:val="24"/>
          <w:szCs w:val="24"/>
        </w:rPr>
        <w:t xml:space="preserve">§13a  Per-Article Sentiment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100"/>
        <w:gridCol w:w="1500"/>
        <w:gridCol w:w="3860"/>
      </w:tblGrid>
      <w:tr>
        <w:trPr>
          <w:tblHeader/>
        </w:trPr>
        <w:tc>
          <w:tcPr>
            <w:tcW w:type="dxa" w:w="17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Source</w:t>
            </w:r>
          </w:p>
        </w:tc>
        <w:tc>
          <w:tcPr>
            <w:tcW w:type="dxa" w:w="1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Class</w:t>
            </w:r>
          </w:p>
        </w:tc>
        <w:tc>
          <w:tcPr>
            <w:tcW w:type="dxa" w:w="11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Date</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Sentiment</w:t>
            </w:r>
          </w:p>
        </w:tc>
        <w:tc>
          <w:tcPr>
            <w:tcW w:type="dxa" w:w="38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Derivation quote (≤15 words)</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hyperlink w:history="1" r:id="rIdnewawppsclvhnxryx5u2n">
              <w:r>
                <w:rPr>
                  <w:rStyle w:val="Hyperlink"/>
                  <w:color w:val="0563C1"/>
                  <w:sz w:val="16"/>
                  <w:szCs w:val="16"/>
                </w:rPr>
                <w:t xml:space="preserve">BBN Times</w:t>
              </w:r>
            </w:hyperlink>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Media</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5 Jun</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Bullish</w:t>
            </w:r>
          </w:p>
        </w:tc>
        <w:tc>
          <w:tcPr>
            <w:tcW w:type="dxa" w:w="3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“London’s ability to hold its ground … a powerful demonstration”</w:t>
            </w:r>
          </w:p>
        </w:tc>
      </w:tr>
      <w:tr>
        <w:trPr>
          <w:tblHeader w:val="false"/>
        </w:trPr>
        <w:tc>
          <w:tcPr>
            <w:tcW w:type="dxa" w:w="1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hyperlink w:history="1" r:id="rIdn6vg5w1pa13-3atu8dlo2">
              <w:r>
                <w:rPr>
                  <w:rStyle w:val="Hyperlink"/>
                  <w:color w:val="0563C1"/>
                  <w:sz w:val="16"/>
                  <w:szCs w:val="16"/>
                </w:rPr>
                <w:t xml:space="preserve">Trading Economics</w:t>
              </w:r>
            </w:hyperlink>
          </w:p>
        </w:tc>
        <w:tc>
          <w:tcPr>
            <w:tcW w:type="dxa" w:w="1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Trade Press</w:t>
            </w:r>
          </w:p>
        </w:tc>
        <w:tc>
          <w:tcPr>
            <w:tcW w:type="dxa" w:w="11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5 Jun</w:t>
            </w:r>
          </w:p>
        </w:tc>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Neutral</w:t>
            </w:r>
          </w:p>
        </w:tc>
        <w:tc>
          <w:tcPr>
            <w:tcW w:type="dxa" w:w="38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“FTSE 100 gained 15 points … down 0.3% for the week”</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hyperlink w:history="1" r:id="rIdlhnwhq3pach5l2ngad1vo">
              <w:r>
                <w:rPr>
                  <w:rStyle w:val="Hyperlink"/>
                  <w:color w:val="0563C1"/>
                  <w:sz w:val="16"/>
                  <w:szCs w:val="16"/>
                </w:rPr>
                <w:t xml:space="preserve">Sunday Guardian</w:t>
              </w:r>
            </w:hyperlink>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Media</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5 Jun</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Bearish</w:t>
            </w:r>
          </w:p>
        </w:tc>
        <w:tc>
          <w:tcPr>
            <w:tcW w:type="dxa" w:w="3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“risk-averse mood … geopolitical uncertainties, elevated energy prices”</w:t>
            </w:r>
          </w:p>
        </w:tc>
      </w:tr>
      <w:tr>
        <w:trPr>
          <w:tblHeader w:val="false"/>
        </w:trPr>
        <w:tc>
          <w:tcPr>
            <w:tcW w:type="dxa" w:w="1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hyperlink w:history="1" r:id="rIdnk-draikznyqfcbhf9f6l">
              <w:r>
                <w:rPr>
                  <w:rStyle w:val="Hyperlink"/>
                  <w:color w:val="0563C1"/>
                  <w:sz w:val="16"/>
                  <w:szCs w:val="16"/>
                </w:rPr>
                <w:t xml:space="preserve">Cambridge Currencies</w:t>
              </w:r>
            </w:hyperlink>
          </w:p>
        </w:tc>
        <w:tc>
          <w:tcPr>
            <w:tcW w:type="dxa" w:w="1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Institutional</w:t>
            </w:r>
          </w:p>
        </w:tc>
        <w:tc>
          <w:tcPr>
            <w:tcW w:type="dxa" w:w="11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≈30 May</w:t>
            </w:r>
          </w:p>
        </w:tc>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Bearish</w:t>
            </w:r>
          </w:p>
        </w:tc>
        <w:tc>
          <w:tcPr>
            <w:tcW w:type="dxa" w:w="38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“investors price in possibility of a Fed rate hike”</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hyperlink w:history="1" r:id="rId1hkrcpvqdx683ewnfyysv">
              <w:r>
                <w:rPr>
                  <w:rStyle w:val="Hyperlink"/>
                  <w:color w:val="0563C1"/>
                  <w:sz w:val="16"/>
                  <w:szCs w:val="16"/>
                </w:rPr>
                <w:t xml:space="preserve">CNBC / TE (US rout)</w:t>
              </w:r>
            </w:hyperlink>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Media</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5 Jun</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Bearish</w:t>
            </w:r>
          </w:p>
        </w:tc>
        <w:tc>
          <w:tcPr>
            <w:tcW w:type="dxa" w:w="3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“global selloff in semiconductor stocks … Broadcom”</w:t>
            </w:r>
          </w:p>
        </w:tc>
      </w:tr>
      <w:tr>
        <w:trPr>
          <w:tblHeader w:val="false"/>
        </w:trPr>
        <w:tc>
          <w:tcPr>
            <w:tcW w:type="dxa" w:w="1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hyperlink w:history="1" r:id="rIdm4n3nnt7zjqeyepzdduxu">
              <w:r>
                <w:rPr>
                  <w:rStyle w:val="Hyperlink"/>
                  <w:color w:val="0563C1"/>
                  <w:sz w:val="16"/>
                  <w:szCs w:val="16"/>
                </w:rPr>
                <w:t xml:space="preserve">AJ Bell / Alliance</w:t>
              </w:r>
            </w:hyperlink>
          </w:p>
        </w:tc>
        <w:tc>
          <w:tcPr>
            <w:tcW w:type="dxa" w:w="1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Trade Press</w:t>
            </w:r>
          </w:p>
        </w:tc>
        <w:tc>
          <w:tcPr>
            <w:tcW w:type="dxa" w:w="11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recent</w:t>
            </w:r>
          </w:p>
        </w:tc>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Bullish</w:t>
            </w:r>
          </w:p>
        </w:tc>
        <w:tc>
          <w:tcPr>
            <w:tcW w:type="dxa" w:w="38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“valuations remain attractive … discount to the US”</w:t>
            </w:r>
          </w:p>
        </w:tc>
      </w:tr>
    </w:tbl>
    <w:p>
      <w:pPr>
        <w:pStyle w:val="Heading2"/>
        <w:spacing w:after="100" w:before="200"/>
      </w:pPr>
      <w:r>
        <w:rPr>
          <w:b/>
          <w:bCs/>
          <w:color w:val="1F3864"/>
          <w:sz w:val="24"/>
          <w:szCs w:val="24"/>
        </w:rPr>
        <w:t xml:space="preserve">§13b  Aggregate Sentiment Summary</w:t>
      </w:r>
    </w:p>
    <w:p>
      <w:pPr>
        <w:spacing w:after="120" w:line="264"/>
      </w:pPr>
      <w:r>
        <w:t xml:space="preserve">Counts: 2 Bullish (1 trade press, 1 media), 3 Bearish (1 institutional, 2 media), 1 Neutral (trade press) = </w:t>
      </w:r>
      <w:r>
        <w:rPr>
          <w:b/>
          <w:bCs/>
        </w:rPr>
        <w:t xml:space="preserve">Mixed / lean-Bearish. Numeric tilt = −0.21</w:t>
      </w:r>
      <w:r>
        <w:t xml:space="preserve"> (source-class-weighted mean). The single institutional source (Cambridge Currencies) is bearish on hawkish-Fed/risk grounds and carries full weight. </w:t>
      </w:r>
      <w:r>
        <w:rPr>
          <w:b/>
          <w:bCs/>
        </w:rPr>
        <w:t xml:space="preserve">Divergence flag: </w:t>
      </w:r>
      <w:r>
        <w:t xml:space="preserve">sentiment leans mildly bearish while Friday's FTSE price action was fractionally positive — the divergence reflects the FTSE's defensive insulation; in the current Transitional regime, price action (holding the pivot) is the more reliable near-term signal. Six articles → not low-confidence.</w:t>
      </w:r>
    </w:p>
    <w:p>
      <w:pPr>
        <w:pStyle w:val="Heading2"/>
        <w:spacing w:after="100" w:before="200"/>
      </w:pPr>
      <w:r>
        <w:rPr>
          <w:b/>
          <w:bCs/>
          <w:color w:val="1F3864"/>
          <w:sz w:val="24"/>
          <w:szCs w:val="24"/>
        </w:rPr>
        <w:t xml:space="preserve">§13c  News Calendar — Previous Period (1–5 June)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600"/>
        <w:gridCol w:w="1000"/>
        <w:gridCol w:w="1860"/>
      </w:tblGrid>
      <w:tr>
        <w:trPr>
          <w:tblHeader/>
        </w:trPr>
        <w:tc>
          <w:tcPr>
            <w:tcW w:type="dxa" w:w="1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Date</w:t>
            </w:r>
          </w:p>
        </w:tc>
        <w:tc>
          <w:tcPr>
            <w:tcW w:type="dxa" w:w="2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Event</w:t>
            </w:r>
          </w:p>
        </w:tc>
        <w:tc>
          <w:tcPr>
            <w:tcW w:type="dxa" w:w="2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Context</w:t>
            </w:r>
          </w:p>
        </w:tc>
        <w:tc>
          <w:tcPr>
            <w:tcW w:type="dxa" w:w="1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Impact</w:t>
            </w:r>
          </w:p>
        </w:tc>
        <w:tc>
          <w:tcPr>
            <w:tcW w:type="dxa" w:w="18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Implication for FTSE</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Thu 4 Jun</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Global risk wobble / oil swings</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Iran-ceasefire headlines, energy volatility</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Med</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Wide FTSE washout to 10,238 then recovery</w:t>
            </w:r>
          </w:p>
        </w:tc>
      </w:tr>
      <w:tr>
        <w:trPr>
          <w:tblHeader w:val="false"/>
        </w:trPr>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Fri 5 Jun</w:t>
            </w:r>
          </w:p>
        </w:tc>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US May payrolls (strong)</w:t>
            </w:r>
          </w:p>
        </w:tc>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Reinforced Fed-hike-before-year-end pricing</w:t>
            </w:r>
          </w:p>
        </w:tc>
        <w:tc>
          <w:tcPr>
            <w:tcW w:type="dxa" w:w="1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High</w:t>
            </w:r>
          </w:p>
        </w:tc>
        <w:tc>
          <w:tcPr>
            <w:tcW w:type="dxa" w:w="18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Firm USD; US tech rout (Nasdaq −4.2%)</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Fri 5 Jun</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Broadcom AI-chip outlook</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Disappointing guidance</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High</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Global semis selloff; FTSE largely insulated</w:t>
            </w:r>
          </w:p>
        </w:tc>
      </w:tr>
      <w:tr>
        <w:trPr>
          <w:tblHeader w:val="false"/>
        </w:trPr>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Fri 5 Jun</w:t>
            </w:r>
          </w:p>
        </w:tc>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UK Halifax house prices</w:t>
            </w:r>
          </w:p>
        </w:tc>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−0.1% in May</w:t>
            </w:r>
          </w:p>
        </w:tc>
        <w:tc>
          <w:tcPr>
            <w:tcW w:type="dxa" w:w="1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Low</w:t>
            </w:r>
          </w:p>
        </w:tc>
        <w:tc>
          <w:tcPr>
            <w:tcW w:type="dxa" w:w="18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Mild domestic-demand softness</w:t>
            </w:r>
          </w:p>
        </w:tc>
      </w:tr>
    </w:tbl>
    <w:p>
      <w:pPr>
        <w:pStyle w:val="Heading2"/>
        <w:spacing w:after="100" w:before="200"/>
      </w:pPr>
      <w:r>
        <w:rPr>
          <w:b/>
          <w:bCs/>
          <w:color w:val="1F3864"/>
          <w:sz w:val="24"/>
          <w:szCs w:val="24"/>
        </w:rPr>
        <w:t xml:space="preserve">§13d  News Calendar — Upcoming Period (8–12 June)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600"/>
        <w:gridCol w:w="1000"/>
        <w:gridCol w:w="1860"/>
      </w:tblGrid>
      <w:tr>
        <w:trPr>
          <w:tblHeader/>
        </w:trPr>
        <w:tc>
          <w:tcPr>
            <w:tcW w:type="dxa" w:w="1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Date</w:t>
            </w:r>
          </w:p>
        </w:tc>
        <w:tc>
          <w:tcPr>
            <w:tcW w:type="dxa" w:w="2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Event</w:t>
            </w:r>
          </w:p>
        </w:tc>
        <w:tc>
          <w:tcPr>
            <w:tcW w:type="dxa" w:w="2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Context</w:t>
            </w:r>
          </w:p>
        </w:tc>
        <w:tc>
          <w:tcPr>
            <w:tcW w:type="dxa" w:w="1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Impact</w:t>
            </w:r>
          </w:p>
        </w:tc>
        <w:tc>
          <w:tcPr>
            <w:tcW w:type="dxa" w:w="18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Implication for FTSE</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Mon–Fri</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US tech-selloff follow-through</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Does Friday's rout broaden or stabilise?</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High</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Beat (stabilise) → relief bid; broaden → FTSE relative-strength tested</w:t>
            </w:r>
          </w:p>
        </w:tc>
      </w:tr>
      <w:tr>
        <w:trPr>
          <w:tblHeader w:val="false"/>
        </w:trPr>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Wk</w:t>
            </w:r>
          </w:p>
        </w:tc>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Oil / Middle East headlines</w:t>
            </w:r>
          </w:p>
        </w:tc>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Fragile unsigned Iran ceasefire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Med</w:t>
            </w:r>
          </w:p>
        </w:tc>
        <w:tc>
          <w:tcPr>
            <w:tcW w:type="dxa" w:w="18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Higher oil supports energy weight, hurts mood</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bCs/>
                <w:sz w:val="18"/>
                <w:szCs w:val="18"/>
              </w:rPr>
              <w:t xml:space="preserve">Tue–Wed</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bCs/>
                <w:sz w:val="18"/>
                <w:szCs w:val="18"/>
              </w:rPr>
              <w:t xml:space="preserve">UK labour-market / activity data</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bCs/>
                <w:sz w:val="18"/>
                <w:szCs w:val="18"/>
              </w:rPr>
              <w:t xml:space="preserve">Pre-BoE read on wages &amp; growth</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bCs/>
                <w:sz w:val="18"/>
                <w:szCs w:val="18"/>
              </w:rPr>
              <w:t xml:space="preserve">Med-High</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bCs/>
                <w:sz w:val="18"/>
                <w:szCs w:val="18"/>
              </w:rPr>
              <w:t xml:space="preserve">Hot wages → hawkish BoE risk → GBP up, FTSE multinationals pressured</w:t>
            </w:r>
          </w:p>
        </w:tc>
      </w:tr>
      <w:tr>
        <w:trPr>
          <w:tblHeader w:val="false"/>
        </w:trPr>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17–18 Jun*</w:t>
            </w:r>
          </w:p>
        </w:tc>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Fed (17th) &amp; BoE (18th) decisions</w:t>
            </w:r>
          </w:p>
        </w:tc>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Fed may hike; BoE hold at 3.75% expected</w:t>
            </w:r>
          </w:p>
        </w:tc>
        <w:tc>
          <w:tcPr>
            <w:tcW w:type="dxa" w:w="1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Very High</w:t>
            </w:r>
          </w:p>
        </w:tc>
        <w:tc>
          <w:tcPr>
            <w:tcW w:type="dxa" w:w="18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*Just beyond horizon — dominant positioning driver</w:t>
            </w:r>
          </w:p>
        </w:tc>
      </w:tr>
    </w:tbl>
    <w:p>
      <w:pPr>
        <w:spacing w:after="120" w:line="264"/>
      </w:pPr>
      <w:r>
        <w:rPr>
          <w:sz w:val="18"/>
          <w:szCs w:val="18"/>
        </w:rPr>
        <w:t xml:space="preserve">Highest-impact item within the horizon is the US tech-selloff follow-through; the dominant event overall is the 17–18 June central-bank double-header, which falls just outside the 5-session window but anchors all forward risk.</w:t>
      </w:r>
    </w:p>
    <w:p>
      <w:pPr>
        <w:pStyle w:val="Heading1"/>
        <w:spacing w:after="140" w:before="280"/>
      </w:pPr>
      <w:r>
        <w:rPr>
          <w:b/>
          <w:bCs/>
          <w:color w:val="1F3864"/>
          <w:sz w:val="28"/>
          <w:szCs w:val="28"/>
        </w:rPr>
        <w:t xml:space="preserve">§14  Macro Context</w:t>
      </w:r>
    </w:p>
    <w:p>
      <w:pPr>
        <w:pStyle w:val="ListParagraph"/>
        <w:numPr>
          <w:ilvl w:val="0"/>
          <w:numId w:val="2"/>
        </w:numPr>
        <w:spacing w:after="80" w:line="264"/>
      </w:pPr>
      <w:r>
        <w:rPr>
          <w:b/>
          <w:bCs/>
        </w:rPr>
        <w:t xml:space="preserve">Rates &amp; monetary policy: </w:t>
      </w:r>
      <w:r>
        <w:t xml:space="preserve">Fed expected to consider a hike before year-end on an energy-driven inflation impulse; BoE at 3.75% with CPI ~3.3% leaning to a hold on 18 June. Cross-references the S&amp;P 500 read (§10) — hawkish repricing drove Friday's US equity selloff.</w:t>
      </w:r>
    </w:p>
    <w:p>
      <w:pPr>
        <w:pStyle w:val="ListParagraph"/>
        <w:numPr>
          <w:ilvl w:val="0"/>
          <w:numId w:val="2"/>
        </w:numPr>
        <w:spacing w:after="80" w:line="264"/>
      </w:pPr>
      <w:r>
        <w:rPr>
          <w:b/>
          <w:bCs/>
        </w:rPr>
        <w:t xml:space="preserve">Inflation: </w:t>
      </w:r>
      <w:r>
        <w:t xml:space="preserve">US CPI ~3.8%, UK CPI ~3.3%, both elevated and energy-sensitive — price-negative for equity multiples but supportive of FTSE's energy constituents.</w:t>
      </w:r>
    </w:p>
    <w:p>
      <w:pPr>
        <w:pStyle w:val="ListParagraph"/>
        <w:numPr>
          <w:ilvl w:val="0"/>
          <w:numId w:val="2"/>
        </w:numPr>
        <w:spacing w:after="80" w:line="264"/>
      </w:pPr>
      <w:r>
        <w:rPr>
          <w:b/>
          <w:bCs/>
        </w:rPr>
        <w:t xml:space="preserve">Liquidity &amp; FX: </w:t>
      </w:r>
      <w:r>
        <w:t xml:space="preserve">USDX rising (~99.4) per §10 — translation tailwind for FTSE multinationals but a symptom of risk-off/safe-haven demand. Net mechanism for FTSE: mildly supportive on earnings translation, cautionary on flows.</w:t>
      </w:r>
    </w:p>
    <w:p>
      <w:pPr>
        <w:pStyle w:val="ListParagraph"/>
        <w:numPr>
          <w:ilvl w:val="0"/>
          <w:numId w:val="2"/>
        </w:numPr>
        <w:spacing w:after="80" w:line="264"/>
      </w:pPr>
      <w:r>
        <w:rPr>
          <w:b/>
          <w:bCs/>
        </w:rPr>
        <w:t xml:space="preserve">Positioning / volatility: </w:t>
      </w:r>
      <w:r>
        <w:t xml:space="preserve">VIX spiked +39.7% to 21.5 on Friday — the clearest signal of the week, flagging a volatility regime shift. Watch item: the 17–18 June central-bank decisions (§13d) could sharply re-rate both rates and FX; a hawkish surprise is the key downside risk for FTSE.</w:t>
      </w:r>
    </w:p>
    <w:p>
      <w:pPr>
        <w:pStyle w:val="Heading1"/>
        <w:spacing w:after="140" w:before="280"/>
      </w:pPr>
      <w:r>
        <w:rPr>
          <w:b/>
          <w:bCs/>
          <w:color w:val="1F3864"/>
          <w:sz w:val="28"/>
          <w:szCs w:val="28"/>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Upside risks</w:t>
            </w:r>
          </w:p>
        </w:tc>
        <w:tc>
          <w:tcPr>
            <w:tcW w:type="dxa" w:w="46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Downside risks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US tech selloff stabilises → global relief bid; FTSE defensive leadership extends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US rout broadens beyond semis → FTSE relative strength erodes</w:t>
            </w:r>
          </w:p>
        </w:tc>
      </w:tr>
      <w:tr>
        <w:trPr>
          <w:tblHeader w:val="false"/>
        </w:trPr>
        <w:tc>
          <w:tcPr>
            <w:tcW w:type="dxa" w:w="46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Firm USD lifts ~80%-overseas FTSE earnings translation</w:t>
            </w:r>
          </w:p>
        </w:tc>
        <w:tc>
          <w:tcPr>
            <w:tcW w:type="dxa" w:w="46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Hawkish Fed/BoE repricing (17–18 Jun) compresses equity multiples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Elevated oil supports heavy energy weighting (Shell, BP)</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Further mining-sector weakness on growth/China fears</w:t>
            </w:r>
          </w:p>
        </w:tc>
      </w:tr>
      <w:tr>
        <w:trPr>
          <w:tblHeader w:val="false"/>
        </w:trPr>
        <w:tc>
          <w:tcPr>
            <w:tcW w:type="dxa" w:w="46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Close holding daily + monthly pivot confluence (10,368–10,372) signals balance, not breakdown</w:t>
            </w:r>
          </w:p>
        </w:tc>
        <w:tc>
          <w:tcPr>
            <w:tcW w:type="dxa" w:w="46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Volatility regime shift (VIX +40%) precedes wider risk-off</w:t>
            </w:r>
          </w:p>
        </w:tc>
      </w:tr>
    </w:tbl>
    <w:p>
      <w:pPr>
        <w:spacing w:after="120" w:line="264"/>
      </w:pPr>
      <w:r>
        <w:rPr>
          <w:b/>
          <w:bCs/>
        </w:rPr>
        <w:t xml:space="preserve">Balance cross-reference: </w:t>
      </w:r>
      <w:r>
        <w:t xml:space="preserve">the index sits on its daily/monthly pivot confluence (§11) inside a Transitional regime (§9); the dominant §13d event (17–18 June central banks) sits just beyond the horizon, keeping the near-term balance two-sided with a mild risk-off tilt.</w:t>
      </w:r>
    </w:p>
    <w:p>
      <w:pPr>
        <w:pStyle w:val="Heading1"/>
        <w:spacing w:after="140" w:before="280"/>
      </w:pPr>
      <w:r>
        <w:rPr>
          <w:b/>
          <w:bCs/>
          <w:color w:val="1F3864"/>
          <w:sz w:val="28"/>
          <w:szCs w:val="28"/>
        </w:rPr>
        <w:t xml:space="preserve">§16  Forward View</w:t>
      </w:r>
    </w:p>
    <w:p>
      <w:pPr>
        <w:spacing w:after="120" w:line="264"/>
      </w:pPr>
      <w:r>
        <w:rPr>
          <w:b/>
          <w:bCs/>
        </w:rPr>
        <w:t xml:space="preserve">Expected direction over the next five sessions: </w:t>
      </w:r>
      <w:r>
        <w:t xml:space="preserve">range-bound with a mild downside tilt, pending the central-bank double-header. Expected trading range 10,240–10,470 (Thursday's low to the weekly R1 zone). The base case is consolidation around the 10,330–10,415 pivot band: a defensive bid into dips, capped upside while the US risk picture is unresolved. </w:t>
      </w:r>
      <w:r>
        <w:rPr>
          <w:b/>
          <w:bCs/>
        </w:rPr>
        <w:t xml:space="preserve">This view respects the §9 Transitional regime — it does not assert a trend. Base-case invalidation: </w:t>
      </w:r>
      <w:r>
        <w:t xml:space="preserve">a daily close above weekly R1 (≈10,472) reopens the record-high test (bullish break); a daily close below the Thursday low (10,238.6) confirms a deeper risk-off leg toward monthly S1 (≈10,155).</w:t>
      </w:r>
    </w:p>
    <w:p>
      <w:pPr>
        <w:pStyle w:val="Heading1"/>
        <w:spacing w:after="140" w:before="280"/>
      </w:pPr>
      <w:r>
        <w:rPr>
          <w:b/>
          <w:bCs/>
          <w:color w:val="1F3864"/>
          <w:sz w:val="28"/>
          <w:szCs w:val="28"/>
        </w:rPr>
        <w:t xml:space="preserve">§17  Forecast</w:t>
      </w:r>
    </w:p>
    <w:p>
      <w:pPr>
        <w:spacing w:after="120" w:line="264"/>
      </w:pPr>
      <w:r>
        <w:rPr>
          <w:b/>
          <w:bCs/>
          <w:i/>
          <w:iCs/>
        </w:rPr>
        <w:t xml:space="preserve">The FTSE 100 most likely consolidates in a 10,330–10,415 band around its pivot confluence with a mild downside skew, as defensive insulation offsets a risk-off cross-asset tape into the 17–18 June central-bank decisions.</w:t>
      </w:r>
    </w:p>
    <w:p>
      <w:pPr>
        <w:pStyle w:val="Heading1"/>
        <w:spacing w:after="140" w:before="280"/>
      </w:pPr>
      <w:r>
        <w:rPr>
          <w:b/>
          <w:bCs/>
          <w:color w:val="1F3864"/>
          <w:sz w:val="28"/>
          <w:szCs w:val="28"/>
        </w:rPr>
        <w:t xml:space="preserve">§18  Final Analyst Judgement</w:t>
      </w:r>
    </w:p>
    <w:p>
      <w:pPr>
        <w:spacing w:after="120" w:line="264"/>
      </w:pPr>
      <w:r>
        <w:rPr>
          <w:b/>
          <w:bCs/>
        </w:rPr>
        <w:t xml:space="preserve">Consensus price call: </w:t>
      </w:r>
      <w:r>
        <w:t xml:space="preserve">10,368 points (range 10,360–10,375), confidence Medium, tone balanced-to-cautious. </w:t>
      </w:r>
    </w:p>
    <w:p>
      <w:pPr>
        <w:pStyle w:val="ListParagraph"/>
        <w:numPr>
          <w:ilvl w:val="0"/>
          <w:numId w:val="2"/>
        </w:numPr>
        <w:spacing w:after="80" w:line="264"/>
      </w:pPr>
      <w:r>
        <w:t xml:space="preserve">Defensive sector composition is insulating the FTSE from the US AI-semiconductor rout — the week's defining relative-strength story.</w:t>
      </w:r>
    </w:p>
    <w:p>
      <w:pPr>
        <w:pStyle w:val="ListParagraph"/>
        <w:numPr>
          <w:ilvl w:val="0"/>
          <w:numId w:val="2"/>
        </w:numPr>
        <w:spacing w:after="80" w:line="264"/>
      </w:pPr>
      <w:r>
        <w:t xml:space="preserve">The index is balanced on a daily/monthly pivot confluence inside a Transitional, volatility-expanding regime — no directional conviction.</w:t>
      </w:r>
    </w:p>
    <w:p>
      <w:pPr>
        <w:pStyle w:val="ListParagraph"/>
        <w:numPr>
          <w:ilvl w:val="0"/>
          <w:numId w:val="2"/>
        </w:numPr>
        <w:spacing w:after="80" w:line="264"/>
      </w:pPr>
      <w:r>
        <w:t xml:space="preserve">A hawkish Fed/BoE repricing and a firm dollar dominate the macro backdrop and the forward risk.</w:t>
      </w:r>
    </w:p>
    <w:p>
      <w:pPr>
        <w:spacing w:after="120" w:line="264"/>
      </w:pPr>
      <w:r>
        <w:rPr>
          <w:b/>
          <w:bCs/>
        </w:rPr>
        <w:t xml:space="preserve">Single watch item: </w:t>
      </w:r>
      <w:r>
        <w:t xml:space="preserve">the 17–18 June Fed and Bank of England decisions (just beyond the horizon) — the dominant catalyst for the next leg.</w:t>
      </w:r>
    </w:p>
    <w:p>
      <w:pPr>
        <w:pStyle w:val="Heading1"/>
        <w:spacing w:after="140" w:before="280"/>
      </w:pPr>
      <w:r>
        <w:rPr>
          <w:b/>
          <w:bCs/>
          <w:color w:val="1F3864"/>
          <w:sz w:val="28"/>
          <w:szCs w:val="28"/>
        </w:rPr>
        <w:t xml:space="preserve">§19  Source Discipline Note</w:t>
      </w:r>
    </w:p>
    <w:p>
      <w:pPr>
        <w:pStyle w:val="ListParagraph"/>
        <w:numPr>
          <w:ilvl w:val="0"/>
          <w:numId w:val="2"/>
        </w:numPr>
        <w:spacing w:after="80" w:line="264"/>
      </w:pPr>
      <w:r>
        <w:rPr>
          <w:b/>
          <w:bCs/>
        </w:rPr>
        <w:t xml:space="preserve">Live vs indicative: </w:t>
      </w:r>
      <w:r>
        <w:t xml:space="preserve">Friday 5 June and Thursday 4 June FTSE closes are CORROBORATED (Yahoo cross-panel × BBN; Thu close = Fri previous-close field, Δ 0.0). EURO STOXX 50 Friday close CORROBORATED (Yahoo × Trading Economics direction). Monday–Wednesday intraday highs/lows are SINGLE-SOURCE INDICATIVE.</w:t>
      </w:r>
    </w:p>
    <w:p>
      <w:pPr>
        <w:pStyle w:val="ListParagraph"/>
        <w:numPr>
          <w:ilvl w:val="0"/>
          <w:numId w:val="2"/>
        </w:numPr>
        <w:spacing w:after="80" w:line="264"/>
      </w:pPr>
      <w:r>
        <w:rPr>
          <w:b/>
          <w:bCs/>
        </w:rPr>
        <w:t xml:space="preserve">Pivot corroboration: </w:t>
      </w:r>
      <w:r>
        <w:t xml:space="preserve">DAILY pivots derive from Friday's corroborated H/L/C and are usable. WEEKLY and MONTHLY pivots derive from single-source prior-period H/L/C and carry the SINGLE-SOURCE INDICATIVE flag — propagated to §21 (Trade 2 logic).</w:t>
      </w:r>
    </w:p>
    <w:p>
      <w:pPr>
        <w:pStyle w:val="ListParagraph"/>
        <w:numPr>
          <w:ilvl w:val="0"/>
          <w:numId w:val="2"/>
        </w:numPr>
        <w:spacing w:after="80" w:line="264"/>
      </w:pPr>
      <w:r>
        <w:rPr>
          <w:b/>
          <w:bCs/>
        </w:rPr>
        <w:t xml:space="preserve">Data gaps: </w:t>
      </w:r>
      <w:r>
        <w:t xml:space="preserve">the technical engine's market-data adapters were not reachable in this run, so chart PNGs were not engine-generated and full ATR(14)/KER were estimated from the available ~2-week range and the 5-session sequence rather than a complete 14/13-session corroborated series. These are flagged as indicative inputs, not definitive levels.</w:t>
      </w:r>
    </w:p>
    <w:p>
      <w:pPr>
        <w:pStyle w:val="ListParagraph"/>
        <w:numPr>
          <w:ilvl w:val="0"/>
          <w:numId w:val="2"/>
        </w:numPr>
        <w:spacing w:after="80" w:line="264"/>
      </w:pPr>
      <w:r>
        <w:rPr>
          <w:b/>
          <w:bCs/>
        </w:rPr>
        <w:t xml:space="preserve">Per user instruction: </w:t>
      </w:r>
      <w:r>
        <w:t xml:space="preserve">strategy recommendations are produced and not suppressed despite incomplete corroboration on some early-week intraday fields; affected cards carry the indicative qualifier.</w:t>
      </w:r>
    </w:p>
    <w:p>
      <w:pPr>
        <w:pStyle w:val="Heading1"/>
        <w:spacing w:after="140" w:before="280"/>
      </w:pPr>
      <w:r>
        <w:rPr>
          <w:b/>
          <w:bCs/>
          <w:color w:val="1F3864"/>
          <w:sz w:val="28"/>
          <w:szCs w:val="28"/>
        </w:rPr>
        <w:t xml:space="preserve">§20  Agent Log</w:t>
      </w:r>
    </w:p>
    <w:p>
      <w:pPr>
        <w:pStyle w:val="ListParagraph"/>
        <w:numPr>
          <w:ilvl w:val="0"/>
          <w:numId w:val="2"/>
        </w:numPr>
        <w:spacing w:after="80" w:line="264"/>
      </w:pPr>
      <w:r>
        <w:t xml:space="preserve">Sources attempted: Yahoo Finance (current quote OK; historical OHLC stale/demoted), BBN Times, Trading Economics, Investing.com, London Stock Exchange/FTSE Russell, IG, CNBC, Cambridge Currencies, FXStreet, EUbusiness/ECB calendars.</w:t>
      </w:r>
    </w:p>
    <w:p>
      <w:pPr>
        <w:pStyle w:val="ListParagraph"/>
        <w:numPr>
          <w:ilvl w:val="0"/>
          <w:numId w:val="2"/>
        </w:numPr>
        <w:spacing w:after="80" w:line="264"/>
      </w:pPr>
      <w:r>
        <w:t xml:space="preserve">Validation method: weighted-median consensus; two-source corroboration on closes (equity tolerance ±0.10 pt). FTSE Fri close 10,368.05 corroborated (Δ 0.0); Thu close corroborated via previous-close cross-check.</w:t>
      </w:r>
    </w:p>
    <w:p>
      <w:pPr>
        <w:pStyle w:val="ListParagraph"/>
        <w:numPr>
          <w:ilvl w:val="0"/>
          <w:numId w:val="2"/>
        </w:numPr>
        <w:spacing w:after="80" w:line="264"/>
      </w:pPr>
      <w:r>
        <w:t xml:space="preserve">Sentiment derivation: 6 FTSE articles classified with ≤15-word derivation quotes; source-class-weighted tilt = −0.21 (Mixed/lean-Bearish); passed through to the strategy surface.</w:t>
      </w:r>
    </w:p>
    <w:p>
      <w:pPr>
        <w:pStyle w:val="ListParagraph"/>
        <w:numPr>
          <w:ilvl w:val="0"/>
          <w:numId w:val="2"/>
        </w:numPr>
        <w:spacing w:after="80" w:line="264"/>
      </w:pPr>
      <w:r>
        <w:t xml:space="preserve">Daily-open anchor override: the configured 07:00 UK anchor was overridden for this run; Trade 1 entry timing is set to the 8 June session open (per request). Recorded here per the override-flagging rule.</w:t>
      </w:r>
    </w:p>
    <w:p>
      <w:pPr>
        <w:pStyle w:val="ListParagraph"/>
        <w:numPr>
          <w:ilvl w:val="0"/>
          <w:numId w:val="2"/>
        </w:numPr>
        <w:spacing w:after="80" w:line="264"/>
      </w:pPr>
      <w:r>
        <w:t xml:space="preserve">Direction-score weights: DEFAULTS (v2.1 baseline, weights locked — forward-test session, no tuning applied). Score = −0.13 → NEUTRAL → Trade 1 suppressed.</w:t>
      </w:r>
    </w:p>
    <w:p>
      <w:pPr>
        <w:pStyle w:val="ListParagraph"/>
        <w:numPr>
          <w:ilvl w:val="0"/>
          <w:numId w:val="2"/>
        </w:numPr>
        <w:spacing w:after="80" w:line="264"/>
      </w:pPr>
      <w:r>
        <w:t xml:space="preserve">Regime label: TRANSITION (Indecision short-term + Transitional medium-term + borderline KER + downside-expanding VOLator). Trade 3 fork → 3C (Momentum-Breakout). Cross-asset = MIXED.</w:t>
      </w:r>
    </w:p>
    <w:p>
      <w:pPr>
        <w:pStyle w:val="ListParagraph"/>
        <w:numPr>
          <w:ilvl w:val="0"/>
          <w:numId w:val="2"/>
        </w:numPr>
        <w:spacing w:after="80" w:line="264"/>
      </w:pPr>
      <w:r>
        <w:t xml:space="preserve">Backtest reconstruction: 5 sessions (1–5 Jun) replayed at each t−1 close; sentiment frozen at t−1; pivots/regime recomputed without forward leakage. Anomaly: Thursday volatility spike widened ATR mid-series — basis-consistency noted.</w:t>
      </w:r>
    </w:p>
    <w:p>
      <w:pPr>
        <w:pStyle w:val="ListParagraph"/>
        <w:numPr>
          <w:ilvl w:val="0"/>
          <w:numId w:val="2"/>
        </w:numPr>
        <w:spacing w:after="80" w:line="264"/>
      </w:pPr>
      <w:r>
        <w:t xml:space="preserve">Run timestamp: 7 June 2026 (Europe/London). Forecast reasoning: §9 integration note + §13b tilt → consolidation, mild downside skew.</w:t>
      </w:r>
    </w:p>
    <w:p>
      <w:pPr>
        <w:pStyle w:val="Heading1"/>
        <w:spacing w:after="140" w:before="280"/>
      </w:pPr>
      <w:r>
        <w:rPr>
          <w:b/>
          <w:bCs/>
          <w:color w:val="1F3864"/>
          <w:sz w:val="28"/>
          <w:szCs w:val="28"/>
        </w:rPr>
        <w:t xml:space="preserve">§21  Strategy Recommendations</w:t>
      </w:r>
    </w:p>
    <w:p>
      <w:pPr>
        <w:pStyle w:val="Heading2"/>
        <w:spacing w:after="100" w:before="200"/>
      </w:pPr>
      <w:r>
        <w:rPr>
          <w:b/>
          <w:bCs/>
          <w:color w:val="B0306B"/>
          <w:sz w:val="24"/>
          <w:szCs w:val="24"/>
        </w:rPr>
        <w:t xml:space="preserve">§21a  Directional Conviction</w:t>
      </w:r>
    </w:p>
    <w:p>
      <w:pPr>
        <w:spacing w:after="120" w:line="264"/>
      </w:pPr>
      <w:r>
        <w:rPr>
          <w:b/>
          <w:bCs/>
        </w:rPr>
        <w:t xml:space="preserve">Direction: NEUTRAL. Score: −0.13</w:t>
      </w:r>
      <w:r>
        <w:t xml:space="preserve"> (signed, [−1,+1]; conviction threshold 0.25 not met). The three most influential contributing signals were the downside-expanding volatility regime (−0.05), cross-asset confirmation leaning risk-off (−0.045, MIXED→contradict), and the mildly bearish sentiment tilt (−0.03); short-term technical bias, medium-term regime and Kaufman all scored neutral (0.00). </w:t>
      </w:r>
      <w:r>
        <w:rPr>
          <w:b/>
          <w:bCs/>
        </w:rPr>
        <w:t xml:space="preserve">Conflict flag: </w:t>
      </w:r>
      <w:r>
        <w:t xml:space="preserve">the §17 forecast leans mildly to the downside, broadly consistent with the negative score; no material conflict. Weights basis: defaults. Because the score is NEUTRAL, the daily directional trade (Trade 1) is suppressed; the regime-driven Trade 2 and Trade 3 still produce.</w:t>
      </w:r>
    </w:p>
    <w:p>
      <w:pPr>
        <w:pStyle w:val="Heading2"/>
        <w:spacing w:after="100" w:before="200"/>
      </w:pPr>
      <w:r>
        <w:rPr>
          <w:b/>
          <w:bCs/>
          <w:color w:val="B0306B"/>
          <w:sz w:val="24"/>
          <w:szCs w:val="24"/>
        </w:rPr>
        <w:t xml:space="preserve">§21b  Trade Cards</w:t>
      </w:r>
    </w:p>
    <w:p>
      <w:pPr>
        <w:spacing w:after="120" w:line="264"/>
      </w:pPr>
      <w:r>
        <w:rPr>
          <w:b/>
          <w:bCs/>
          <w:color w:val="B0306B"/>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Field</w:t>
            </w:r>
          </w:p>
        </w:tc>
        <w:tc>
          <w:tcPr>
            <w:tcW w:type="dxa" w:w="63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Value</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bCs/>
                <w:sz w:val="18"/>
                <w:szCs w:val="18"/>
              </w:rPr>
              <w:t xml:space="preserve">Status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bCs/>
                <w:sz w:val="18"/>
                <w:szCs w:val="18"/>
              </w:rPr>
              <w:t xml:space="preserve">SUPPRESSED — direction score |0.13| below the 0.25 conviction threshold (NEUTRAL).</w:t>
            </w:r>
          </w:p>
        </w:tc>
      </w:tr>
    </w:tbl>
    <w:p>
      <w:pPr>
        <w:spacing w:after="120" w:line="264"/>
      </w:pPr>
      <w:r>
        <w:rPr>
          <w:b/>
          <w:bCs/>
          <w:color w:val="B0306B"/>
        </w:rPr>
        <w:t xml:space="preserve">Trade 2 — Pivot (TRANSITION regime: breakout-side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F4E1EB" w:val="clear"/>
            <w:tcMar>
              <w:top w:type="dxa" w:w="60"/>
              <w:left w:type="dxa" w:w="110"/>
              <w:bottom w:type="dxa" w:w="60"/>
              <w:right w:type="dxa" w:w="110"/>
            </w:tcMar>
          </w:tcPr>
          <w:p>
            <w:pPr>
              <w:spacing w:after="0" w:line="240"/>
              <w:jc w:val="left"/>
            </w:pPr>
            <w:r>
              <w:rPr>
                <w:b/>
                <w:bCs/>
                <w:sz w:val="18"/>
                <w:szCs w:val="18"/>
              </w:rPr>
              <w:t xml:space="preserve">Field</w:t>
            </w:r>
          </w:p>
        </w:tc>
        <w:tc>
          <w:tcPr>
            <w:tcW w:type="dxa" w:w="6960"/>
            <w:tcBorders>
              <w:top w:val="single" w:color="BBBBBB" w:sz="1"/>
              <w:left w:val="single" w:color="BBBBBB" w:sz="1"/>
              <w:bottom w:val="single" w:color="BBBBBB" w:sz="1"/>
              <w:right w:val="single" w:color="BBBBBB" w:sz="1"/>
            </w:tcBorders>
            <w:shd w:fill="F4E1EB" w:val="clear"/>
            <w:tcMar>
              <w:top w:type="dxa" w:w="60"/>
              <w:left w:type="dxa" w:w="110"/>
              <w:bottom w:type="dxa" w:w="60"/>
              <w:right w:type="dxa" w:w="110"/>
            </w:tcMar>
          </w:tcPr>
          <w:p>
            <w:pPr>
              <w:spacing w:after="0" w:line="240"/>
              <w:jc w:val="left"/>
            </w:pPr>
            <w:r>
              <w:rPr>
                <w:b/>
                <w:bCs/>
                <w:sz w:val="18"/>
                <w:szCs w:val="18"/>
              </w:rPr>
              <w:t xml:space="preserve">Value</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Trade type</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Trade 2 — Pivot, regime-aware (TRANSITION → breakout side only, aligned with Trade 3C upside trigger)</w:t>
            </w:r>
          </w:p>
        </w:tc>
      </w:tr>
      <w:tr>
        <w:trPr>
          <w:tblHeader w:val="false"/>
        </w:trPr>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Direction</w:t>
            </w:r>
          </w:p>
        </w:tc>
        <w:tc>
          <w:tcPr>
            <w:tcW w:type="dxa" w:w="69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LONG — breakout side (TRANSITION; counter-side limit suppressed to avoid front-running 3C)</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Entry</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Buy stop at 10,420 (10% of the way P→R1 above pivot; ≈ daily R1 10,412 / weekly P 10,413 zone), on a confirmed break</w:t>
            </w:r>
          </w:p>
        </w:tc>
      </w:tr>
      <w:tr>
        <w:trPr>
          <w:tblHeader w:val="false"/>
        </w:trPr>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Stop loss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10,326 — 94 pts below entry (just below daily S1 10,327.8 / Fri low 10,331.5, minus buffer)</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Risk (R)</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94 pts (≈ 1.2 × ATR estimate)</w:t>
            </w:r>
          </w:p>
        </w:tc>
      </w:tr>
      <w:tr>
        <w:trPr>
          <w:tblHeader w:val="false"/>
        </w:trPr>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TP1 (Unit 1)</w:t>
            </w:r>
          </w:p>
        </w:tc>
        <w:tc>
          <w:tcPr>
            <w:tcW w:type="dxa" w:w="69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R1.5 ≈ 10,434 (+14 pts, ~0.15R) — shallow first scale (note: tight vs R; structural)</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TP2 (Unit 2)</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R2 ≈ 10,456 (+36 pts). On fill, Unit 3 SL → entry + 0.2R (10,439)</w:t>
            </w:r>
          </w:p>
        </w:tc>
      </w:tr>
      <w:tr>
        <w:trPr>
          <w:tblHeader w:val="false"/>
        </w:trPr>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TP3 (Unit 3 — runner)</w:t>
            </w:r>
          </w:p>
        </w:tc>
        <w:tc>
          <w:tcPr>
            <w:tcW w:type="dxa" w:w="69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R2 / weekly R1 10,472 zone; daily close back through P 10,371.8 = exit</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Tranche mgmt</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3 equal units; U1→TP1, U2→TP2; on U2 fill U3 SL→entry+0.2R</w:t>
            </w:r>
          </w:p>
        </w:tc>
      </w:tr>
      <w:tr>
        <w:trPr>
          <w:tblHeader w:val="false"/>
        </w:trPr>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Confluences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Entry: daily R1 10,412 + weekly P 10,413 (strong confluence). SL: daily S1 + Fri low (strong confluence)</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Thesis invalidation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Daily close back below daily P 10,371.8 (negates the breakout)</w:t>
            </w:r>
          </w:p>
        </w:tc>
      </w:tr>
      <w:tr>
        <w:trPr>
          <w:tblHeader w:val="false"/>
        </w:trPr>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bCs/>
                <w:sz w:val="18"/>
                <w:szCs w:val="18"/>
              </w:rPr>
              <w:t xml:space="preserve">Caveats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bCs/>
                <w:sz w:val="18"/>
                <w:szCs w:val="18"/>
              </w:rPr>
              <w:t xml:space="preserve">Weekly pivots single-source indicative; TP1 tight relative to R — structural scale only; holding period approaches but does not overlap the 17–18 Jun central-bank events; breakout requires confirmed close above the level.</w:t>
            </w:r>
          </w:p>
        </w:tc>
      </w:tr>
    </w:tbl>
    <w:p>
      <w:pPr>
        <w:spacing w:after="120" w:line="264"/>
      </w:pPr>
      <w:r>
        <w:rPr>
          <w:b/>
          <w:bCs/>
          <w:color w:val="B0306B"/>
        </w:rPr>
        <w:t xml:space="preserve">Trade 3C — Momentum-Breakout (TRANSITION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F4E1EB" w:val="clear"/>
            <w:tcMar>
              <w:top w:type="dxa" w:w="60"/>
              <w:left w:type="dxa" w:w="110"/>
              <w:bottom w:type="dxa" w:w="60"/>
              <w:right w:type="dxa" w:w="110"/>
            </w:tcMar>
          </w:tcPr>
          <w:p>
            <w:pPr>
              <w:spacing w:after="0" w:line="240"/>
              <w:jc w:val="left"/>
            </w:pPr>
            <w:r>
              <w:rPr>
                <w:b/>
                <w:bCs/>
                <w:sz w:val="18"/>
                <w:szCs w:val="18"/>
              </w:rPr>
              <w:t xml:space="preserve">Field</w:t>
            </w:r>
          </w:p>
        </w:tc>
        <w:tc>
          <w:tcPr>
            <w:tcW w:type="dxa" w:w="6960"/>
            <w:tcBorders>
              <w:top w:val="single" w:color="BBBBBB" w:sz="1"/>
              <w:left w:val="single" w:color="BBBBBB" w:sz="1"/>
              <w:bottom w:val="single" w:color="BBBBBB" w:sz="1"/>
              <w:right w:val="single" w:color="BBBBBB" w:sz="1"/>
            </w:tcBorders>
            <w:shd w:fill="F4E1EB" w:val="clear"/>
            <w:tcMar>
              <w:top w:type="dxa" w:w="60"/>
              <w:left w:type="dxa" w:w="110"/>
              <w:bottom w:type="dxa" w:w="60"/>
              <w:right w:type="dxa" w:w="110"/>
            </w:tcMar>
          </w:tcPr>
          <w:p>
            <w:pPr>
              <w:spacing w:after="0" w:line="240"/>
              <w:jc w:val="left"/>
            </w:pPr>
            <w:r>
              <w:rPr>
                <w:b/>
                <w:bCs/>
                <w:sz w:val="18"/>
                <w:szCs w:val="18"/>
              </w:rPr>
              <w:t xml:space="preserve">Value</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Trade type</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Trade 3 — Momentum-Breakout (3C); regime_label = TRANSITION</w:t>
            </w:r>
          </w:p>
        </w:tc>
      </w:tr>
      <w:tr>
        <w:trPr>
          <w:tblHeader w:val="false"/>
        </w:trPr>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Range definition</w:t>
            </w:r>
          </w:p>
        </w:tc>
        <w:tc>
          <w:tcPr>
            <w:tcW w:type="dxa" w:w="69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25-session range bounded by swing_high_25d ≈ 10,935 (record zone) and swing_low_25d ≈ 10,120 (May indicative); near-term operative band 10,238–10,440 (5-day)</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Direction trigger</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Upside — recent retests failed at the highs; requires volatility/cross-asset confirmation. (Downside mirror is the live alternative given Friday's risk-off tape.)</w:t>
            </w:r>
          </w:p>
        </w:tc>
      </w:tr>
      <w:tr>
        <w:trPr>
          <w:tblHeader w:val="false"/>
        </w:trPr>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Confirmed break</w:t>
            </w:r>
          </w:p>
        </w:tc>
        <w:tc>
          <w:tcPr>
            <w:tcW w:type="dxa" w:w="69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Daily close beyond the boundary by ≥ 0.25 × ATR (~20 pts). Upside: close &gt; 10,460; Downside: close &lt; 10,218. Not yet eligible — awaiting the confirming close.</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Entry</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On confirmed breakout close (or following-session open). Upside e.g. ≈10,465; downside e.g. ≈10,215</w:t>
            </w:r>
          </w:p>
        </w:tc>
      </w:tr>
      <w:tr>
        <w:trPr>
          <w:tblHeader w:val="false"/>
        </w:trPr>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Stop loss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Inside range past midpoint — upside break: ~10,340 (range_low+0.40×width of the operative band); downside break: ~10,360</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Position structure</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3 equal units</w:t>
            </w:r>
          </w:p>
        </w:tc>
      </w:tr>
      <w:tr>
        <w:trPr>
          <w:tblHeader w:val="false"/>
        </w:trPr>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TP1 (Unit 1)</w:t>
            </w:r>
          </w:p>
        </w:tc>
        <w:tc>
          <w:tcPr>
            <w:tcW w:type="dxa" w:w="69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Measured move = broken boundary + 1.0 × band width (~202 pts): upside ≈10,642; downside ≈10,036</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TP2 (Unit 2)</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1.5 × measured move: upside ≈10,743; downside ≈9,935. On fill, U3 SL → broken boundary</w:t>
            </w:r>
          </w:p>
        </w:tc>
      </w:tr>
      <w:tr>
        <w:trPr>
          <w:tblHeader w:val="false"/>
        </w:trPr>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TP3 (Unit 3 — runner)</w:t>
            </w:r>
          </w:p>
        </w:tc>
        <w:tc>
          <w:tcPr>
            <w:tcW w:type="dxa" w:w="69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Discretionary trail beyond 1.5× MM, anchored to subsequent swing structure</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Thesis invalidation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Daily close back inside the range past midpoint (~10,339)</w:t>
            </w:r>
          </w:p>
        </w:tc>
      </w:tr>
      <w:tr>
        <w:trPr>
          <w:tblHeader w:val="false"/>
        </w:trPr>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bCs/>
                <w:sz w:val="18"/>
                <w:szCs w:val="18"/>
              </w:rPr>
              <w:t xml:space="preserve">Caveats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bCs/>
                <w:sz w:val="18"/>
                <w:szCs w:val="18"/>
              </w:rPr>
              <w:t xml:space="preserve">Not yet triggered (no confirmed break); 25-day boundaries single-source indicative; measured-move targets would carry the holding period into the 17–18 Jun central-bank window — flag a Tier-1 event collision if filled late in the week.</w:t>
            </w:r>
          </w:p>
        </w:tc>
      </w:tr>
    </w:tbl>
    <w:p>
      <w:pPr>
        <w:pStyle w:val="Heading2"/>
        <w:spacing w:after="100" w:before="200"/>
      </w:pPr>
      <w:r>
        <w:rPr>
          <w:b/>
          <w:bCs/>
          <w:color w:val="B0306B"/>
          <w:sz w:val="24"/>
          <w:szCs w:val="24"/>
        </w:rPr>
        <w:t xml:space="preserve">§21c  5-Session No-Leakage Backtest (1–5 June)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300"/>
        <w:gridCol w:w="1300"/>
        <w:gridCol w:w="1700"/>
        <w:gridCol w:w="1200"/>
        <w:gridCol w:w="1160"/>
      </w:tblGrid>
      <w:tr>
        <w:trPr>
          <w:tblHeader/>
        </w:trPr>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Date (t)</w:t>
            </w:r>
          </w:p>
        </w:tc>
        <w:tc>
          <w:tcPr>
            <w:tcW w:type="dxa" w:w="1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Strategy</w:t>
            </w:r>
          </w:p>
        </w:tc>
        <w:tc>
          <w:tcPr>
            <w:tcW w:type="dxa" w:w="1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Direction</w:t>
            </w:r>
          </w:p>
        </w:tc>
        <w:tc>
          <w:tcPr>
            <w:tcW w:type="dxa" w:w="1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Triggered</w:t>
            </w:r>
          </w:p>
        </w:tc>
        <w:tc>
          <w:tcPr>
            <w:tcW w:type="dxa" w:w="17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Entry/Exit</w:t>
            </w:r>
          </w:p>
        </w:tc>
        <w:tc>
          <w:tcPr>
            <w:tcW w:type="dxa" w:w="1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Outcome (R)</w:t>
            </w:r>
          </w:p>
        </w:tc>
        <w:tc>
          <w:tcPr>
            <w:tcW w:type="dxa" w:w="11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line="240"/>
              <w:jc w:val="left"/>
            </w:pPr>
            <w:r>
              <w:rPr>
                <w:b/>
                <w:bCs/>
                <w:sz w:val="18"/>
                <w:szCs w:val="18"/>
              </w:rPr>
              <w:t xml:space="preserve">Days</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Mon 1 Jun</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SUPPRESSED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w:t>
            </w:r>
          </w:p>
        </w:tc>
        <w:tc>
          <w:tcPr>
            <w:tcW w:type="dxa" w:w="1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w:t>
            </w:r>
          </w:p>
        </w:tc>
      </w:tr>
      <w:tr>
        <w:trPr>
          <w:tblHeader w:val="false"/>
        </w:trPr>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Mon 1 Jun</w:t>
            </w:r>
          </w:p>
        </w:tc>
        <w:tc>
          <w:tcPr>
            <w:tcW w:type="dxa" w:w="1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Trade 2</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LONG (brk)</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YES</w:t>
            </w:r>
          </w:p>
        </w:tc>
        <w:tc>
          <w:tcPr>
            <w:tcW w:type="dxa" w:w="1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10,405 / 10,421</w:t>
            </w:r>
          </w:p>
        </w:tc>
        <w:tc>
          <w:tcPr>
            <w:tcW w:type="dxa" w:w="1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+0.4R</w:t>
            </w:r>
          </w:p>
        </w:tc>
        <w:tc>
          <w:tcPr>
            <w:tcW w:type="dxa" w:w="11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Mon 1 Jun</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Trade 3C</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LONG</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NO</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no confirmed break</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w:t>
            </w:r>
          </w:p>
        </w:tc>
        <w:tc>
          <w:tcPr>
            <w:tcW w:type="dxa" w:w="1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w:t>
            </w:r>
          </w:p>
        </w:tc>
      </w:tr>
      <w:tr>
        <w:trPr>
          <w:tblHeader w:val="false"/>
        </w:trPr>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Tue 2 Jun</w:t>
            </w:r>
          </w:p>
        </w:tc>
        <w:tc>
          <w:tcPr>
            <w:tcW w:type="dxa" w:w="1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Trade 1</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LONG</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YES</w:t>
            </w:r>
          </w:p>
        </w:tc>
        <w:tc>
          <w:tcPr>
            <w:tcW w:type="dxa" w:w="1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10,398 / +1R 10,430</w:t>
            </w:r>
          </w:p>
        </w:tc>
        <w:tc>
          <w:tcPr>
            <w:tcW w:type="dxa" w:w="1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+0.7R (avg)</w:t>
            </w:r>
          </w:p>
        </w:tc>
        <w:tc>
          <w:tcPr>
            <w:tcW w:type="dxa" w:w="11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Tue 2 Jun</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Trade 2</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LONG (brk)</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10,415 / 10,430</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+0.5R</w:t>
            </w:r>
          </w:p>
        </w:tc>
        <w:tc>
          <w:tcPr>
            <w:tcW w:type="dxa" w:w="1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1</w:t>
            </w:r>
          </w:p>
        </w:tc>
      </w:tr>
      <w:tr>
        <w:trPr>
          <w:tblHeader w:val="false"/>
        </w:trPr>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Wed 3 Jun</w:t>
            </w:r>
          </w:p>
        </w:tc>
        <w:tc>
          <w:tcPr>
            <w:tcW w:type="dxa" w:w="1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Trade 1</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SUPPRESSED</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w:t>
            </w:r>
          </w:p>
        </w:tc>
        <w:tc>
          <w:tcPr>
            <w:tcW w:type="dxa" w:w="1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w:t>
            </w:r>
          </w:p>
        </w:tc>
        <w:tc>
          <w:tcPr>
            <w:tcW w:type="dxa" w:w="1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w:t>
            </w:r>
          </w:p>
        </w:tc>
        <w:tc>
          <w:tcPr>
            <w:tcW w:type="dxa" w:w="11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Wed 3 Jun</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Trade 3C</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SHORT</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NO</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no confirmed break</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w:t>
            </w:r>
          </w:p>
        </w:tc>
        <w:tc>
          <w:tcPr>
            <w:tcW w:type="dxa" w:w="1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w:t>
            </w:r>
          </w:p>
        </w:tc>
      </w:tr>
      <w:tr>
        <w:trPr>
          <w:tblHeader w:val="false"/>
        </w:trPr>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Thu 4 Jun</w:t>
            </w:r>
          </w:p>
        </w:tc>
        <w:tc>
          <w:tcPr>
            <w:tcW w:type="dxa" w:w="1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Trade 2</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LONG (brk)</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YES</w:t>
            </w:r>
          </w:p>
        </w:tc>
        <w:tc>
          <w:tcPr>
            <w:tcW w:type="dxa" w:w="1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10,360 / SL 10,300</w:t>
            </w:r>
          </w:p>
        </w:tc>
        <w:tc>
          <w:tcPr>
            <w:tcW w:type="dxa" w:w="1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−1.0R</w:t>
            </w:r>
          </w:p>
        </w:tc>
        <w:tc>
          <w:tcPr>
            <w:tcW w:type="dxa" w:w="11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1</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Thu 4 Jun</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Trade 3C</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SHORT</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NO</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intrabar washout, no close-break</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w:t>
            </w:r>
          </w:p>
        </w:tc>
        <w:tc>
          <w:tcPr>
            <w:tcW w:type="dxa" w:w="1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w:t>
            </w:r>
          </w:p>
        </w:tc>
      </w:tr>
      <w:tr>
        <w:trPr>
          <w:tblHeader w:val="false"/>
        </w:trPr>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Fri 5 Jun</w:t>
            </w:r>
          </w:p>
        </w:tc>
        <w:tc>
          <w:tcPr>
            <w:tcW w:type="dxa" w:w="1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Trade 1</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SUPPRESSED</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w:t>
            </w:r>
          </w:p>
        </w:tc>
        <w:tc>
          <w:tcPr>
            <w:tcW w:type="dxa" w:w="1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w:t>
            </w:r>
          </w:p>
        </w:tc>
        <w:tc>
          <w:tcPr>
            <w:tcW w:type="dxa" w:w="1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w:t>
            </w:r>
          </w:p>
        </w:tc>
        <w:tc>
          <w:tcPr>
            <w:tcW w:type="dxa" w:w="11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Fri 5 Jun</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Trade 2</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LONG (brk)</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NO</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no confirmed break above R1</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w:t>
            </w:r>
          </w:p>
        </w:tc>
        <w:tc>
          <w:tcPr>
            <w:tcW w:type="dxa" w:w="1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jc w:val="left"/>
            </w:pPr>
            <w:r>
              <w:rPr>
                <w:b w:val="false"/>
                <w:bCs w:val="false"/>
                <w:sz w:val="18"/>
                <w:szCs w:val="18"/>
              </w:rPr>
              <w:t xml:space="preserve">—</w:t>
            </w:r>
          </w:p>
        </w:tc>
      </w:tr>
      <w:tr>
        <w:trPr>
          <w:tblHeader w:val="false"/>
        </w:trPr>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Fri 5 Jun</w:t>
            </w:r>
          </w:p>
        </w:tc>
        <w:tc>
          <w:tcPr>
            <w:tcW w:type="dxa" w:w="1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Trade 3C</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LONG</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OPEN</w:t>
            </w:r>
          </w:p>
        </w:tc>
        <w:tc>
          <w:tcPr>
            <w:tcW w:type="dxa" w:w="1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awaiting confirmed break</w:t>
            </w:r>
          </w:p>
        </w:tc>
        <w:tc>
          <w:tcPr>
            <w:tcW w:type="dxa" w:w="1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OPEN @ 0.0R</w:t>
            </w:r>
          </w:p>
        </w:tc>
        <w:tc>
          <w:tcPr>
            <w:tcW w:type="dxa" w:w="11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pPr>
              <w:spacing w:after="0" w:line="240"/>
              <w:jc w:val="left"/>
            </w:pPr>
            <w:r>
              <w:rPr>
                <w:b w:val="false"/>
                <w:bCs w:val="false"/>
                <w:sz w:val="18"/>
                <w:szCs w:val="18"/>
              </w:rPr>
              <w:t xml:space="preserve">5+ (open)</w:t>
            </w:r>
          </w:p>
        </w:tc>
      </w:tr>
    </w:tbl>
    <w:p>
      <w:pPr>
        <w:pStyle w:val="Heading2"/>
        <w:spacing w:after="100" w:before="200"/>
      </w:pPr>
      <w:r>
        <w:rPr>
          <w:b/>
          <w:bCs/>
          <w:color w:val="B0306B"/>
          <w:sz w:val="24"/>
          <w:szCs w:val="24"/>
        </w:rPr>
        <w:t xml:space="preserve">§21d  'What Is Working' Aggregate</w:t>
      </w:r>
    </w:p>
    <w:p>
      <w:pPr>
        <w:spacing w:after="120" w:line="264"/>
      </w:pPr>
      <w:r>
        <w:t xml:space="preserve">Trade 1 over the last 5 sessions: triggered 1/5 times (suppressed on 3 NEUTRAL days), mean R = +0.70, hit rates TP1/TP2/TP3 = 100%/50%/0%. Trade 2 over the last 5 sessions: triggered 3/5 times, mean R = −0.03, hit rates TP1/TP2/TP3 = 67%/33%/0%. Trade 3C over the last 5 sessions: triggered 0/5 (no confirmed breaks; 1 open), insufficient triggers to rank. Strongest performer: Trade 1 (mean R +0.70, closed positions only). Weakest performer: Trade 2 (mean R −0.03), dragged by Thursday's washout stop-out.</w:t>
      </w:r>
    </w:p>
    <w:p>
      <w:pPr>
        <w:spacing w:after="120" w:line="264"/>
      </w:pPr>
      <w:r>
        <w:rPr>
          <w:i/>
          <w:iCs/>
        </w:rPr>
        <w:t xml:space="preserve">Five-session windows are too small to support statistical claims. The backtest cannot model intraday tick-level fills, slippage, or commission. Treat as a directional sanity-check, not a strategy-validation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FTSE 100 Daily Report │ As of 5 June 2026 close │ Senior European Equity Strategist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FTSE 100 Daily Report  ·  8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ewawppsclvhnxryx5u2n" Type="http://schemas.openxmlformats.org/officeDocument/2006/relationships/hyperlink" Target="https://www.bbntimes.com/financial/ftse-100-today-london-s-index-edges-up-0-07-to-10-368-as-uk-market-defies-wall-street-s-brutal-tech-selloff" TargetMode="External"/><Relationship Id="rIdn6vg5w1pa13-3atu8dlo2" Type="http://schemas.openxmlformats.org/officeDocument/2006/relationships/hyperlink" Target="https://tradingeconomics.com/united-kingdom/stock-market" TargetMode="External"/><Relationship Id="rIdlhnwhq3pach5l2ngad1vo" Type="http://schemas.openxmlformats.org/officeDocument/2006/relationships/hyperlink" Target="https://sundayguardianlive.com/business" TargetMode="External"/><Relationship Id="rIdnk-draikznyqfcbhf9f6l" Type="http://schemas.openxmlformats.org/officeDocument/2006/relationships/hyperlink" Target="https://cambridgecurrencies.com/usd-forecast-2026/" TargetMode="External"/><Relationship Id="rId1hkrcpvqdx683ewnfyysv" Type="http://schemas.openxmlformats.org/officeDocument/2006/relationships/hyperlink" Target="https://www.cnbc.com/quotes/.FTSE" TargetMode="External"/><Relationship Id="rIdm4n3nnt7zjqeyepzdduxu" Type="http://schemas.openxmlformats.org/officeDocument/2006/relationships/hyperlink" Target="https://in.marketscreener.com/news/ftse-100-tops-10-000"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2026-06-07T22:02:11.792Z</dcterms:created>
  <dcterms:modified xsi:type="dcterms:W3CDTF">2026-06-07T22:02:11.792Z</dcterms:modified>
</cp:coreProperties>
</file>

<file path=docProps/custom.xml><?xml version="1.0" encoding="utf-8"?>
<Properties xmlns="http://schemas.openxmlformats.org/officeDocument/2006/custom-properties" xmlns:vt="http://schemas.openxmlformats.org/officeDocument/2006/docPropsVTypes"/>
</file>