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i w:val="false"/>
          <w:iCs w:val="false"/>
          <w:color w:val="1F3864"/>
          <w:sz w:val="34"/>
          <w:szCs w:val="34"/>
        </w:rPr>
        <w:t xml:space="preserve">FTSE 100 Report — Daily: 09 July 2026</w:t>
      </w:r>
    </w:p>
    <w:p>
      <w:pPr>
        <w:spacing w:after="40"/>
      </w:pPr>
      <w:r>
        <w:rPr>
          <w:rFonts w:ascii="Calibri" w:cs="Calibri" w:eastAsia="Calibri" w:hAnsi="Calibri"/>
          <w:b w:val="false"/>
          <w:bCs w:val="false"/>
          <w:i/>
          <w:iCs/>
          <w:color w:val="595959"/>
          <w:sz w:val="20"/>
          <w:szCs w:val="20"/>
        </w:rPr>
        <w:t xml:space="preserve">With reference to: EURO STOXX 50 · Dollar Index · S&amp;P 500 · DAX 40</w:t>
      </w:r>
    </w:p>
    <w:p>
      <w:pPr>
        <w:pBdr>
          <w:bottom w:val="single" w:color="1F3864" w:sz="6"/>
        </w:pBdr>
        <w:spacing w:after="60"/>
      </w:pPr>
      <w:r>
        <w:rPr>
          <w:rFonts w:ascii="Calibri" w:cs="Calibri" w:eastAsia="Calibri" w:hAnsi="Calibri"/>
          <w:b w:val="false"/>
          <w:bCs w:val="false"/>
          <w:i w:val="false"/>
          <w:iCs w:val="false"/>
          <w:color w:val="595959"/>
          <w:sz w:val="18"/>
          <w:szCs w:val="18"/>
        </w:rPr>
        <w:t xml:space="preserve">Senior European Equity Strategist  ·  Trading &amp; risk review (forward-test)  ·  Europe/London</w:t>
      </w:r>
    </w:p>
    <w:p>
      <w:pPr>
        <w:pBdr>
          <w:top w:val="single" w:color="BF9000" w:sz="4"/>
          <w:bottom w:val="single" w:color="BF9000" w:sz="4"/>
          <w:left w:val="single" w:color="BF9000" w:sz="4"/>
          <w:right w:val="single" w:color="BF9000" w:sz="4"/>
        </w:pBdr>
        <w:shd w:fill="FFF3CC" w:color="auto" w:val="clear"/>
        <w:spacing w:after="160" w:before="60"/>
      </w:pPr>
      <w:r>
        <w:rPr>
          <w:rFonts w:ascii="Calibri" w:cs="Calibri" w:eastAsia="Calibri" w:hAnsi="Calibri"/>
          <w:b/>
          <w:bCs/>
          <w:i w:val="false"/>
          <w:iCs w:val="false"/>
          <w:color w:val="8E244D"/>
          <w:sz w:val="18"/>
          <w:szCs w:val="18"/>
        </w:rPr>
        <w:t xml:space="preserve">Data-sourcing note. </w:t>
      </w:r>
      <w:r>
        <w:rPr>
          <w:rFonts w:ascii="Calibri" w:cs="Calibri" w:eastAsia="Calibri" w:hAnsi="Calibri"/>
          <w:b w:val="false"/>
          <w:bCs w:val="false"/>
          <w:i w:val="false"/>
          <w:iCs w:val="false"/>
          <w:color w:val="000000"/>
          <w:sz w:val="18"/>
          <w:szCs w:val="18"/>
        </w:rPr>
        <w:t xml:space="preserve">Live intraday High/Low history for the FTSE 100 and EURO STOXX 50 cash indices sits behind subscription paywalls on the primary approved providers, which could not be corroborated field-by-field within this run. Session </w:t>
      </w:r>
      <w:r>
        <w:rPr>
          <w:rFonts w:ascii="Calibri" w:cs="Calibri" w:eastAsia="Calibri" w:hAnsi="Calibri"/>
          <w:b w:val="false"/>
          <w:bCs w:val="false"/>
          <w:i/>
          <w:iCs/>
          <w:color w:val="000000"/>
          <w:sz w:val="18"/>
          <w:szCs w:val="18"/>
        </w:rPr>
        <w:t xml:space="preserve">closes</w:t>
      </w:r>
      <w:r>
        <w:rPr>
          <w:rFonts w:ascii="Calibri" w:cs="Calibri" w:eastAsia="Calibri" w:hAnsi="Calibri"/>
          <w:b w:val="false"/>
          <w:bCs w:val="false"/>
          <w:i w:val="false"/>
          <w:iCs w:val="false"/>
          <w:color w:val="000000"/>
          <w:sz w:val="18"/>
          <w:szCs w:val="18"/>
        </w:rPr>
        <w:t xml:space="preserve"> are corroborated across two or more independent sources; intraday Open/High/Low fields are marked </w:t>
      </w:r>
      <w:r>
        <w:rPr>
          <w:rFonts w:ascii="Calibri" w:cs="Calibri" w:eastAsia="Calibri" w:hAnsi="Calibri"/>
          <w:b w:val="false"/>
          <w:bCs w:val="false"/>
          <w:i/>
          <w:iCs/>
          <w:color w:val="000000"/>
          <w:sz w:val="18"/>
          <w:szCs w:val="18"/>
        </w:rPr>
        <w:t xml:space="preserve">single-source — indicative only</w:t>
      </w:r>
      <w:r>
        <w:rPr>
          <w:rFonts w:ascii="Calibri" w:cs="Calibri" w:eastAsia="Calibri" w:hAnsi="Calibri"/>
          <w:b w:val="false"/>
          <w:bCs w:val="false"/>
          <w:i w:val="false"/>
          <w:iCs w:val="false"/>
          <w:color w:val="000000"/>
          <w:sz w:val="18"/>
          <w:szCs w:val="18"/>
        </w:rPr>
        <w:t xml:space="preserve"> where two-source agreement could not be established, per the source-discipline protocol. On explicit instruction for this run, the analysis proceeds and trade strategies are produced rather than halted; indicative fields are excluded from definitive pivot and stop pricing and flagged throughout (see §19).</w:t>
      </w:r>
    </w:p>
    <w:p>
      <w:pPr>
        <w:keepNext/>
        <w:shd w:fill="1F3864" w:color="auto" w:val="clear"/>
        <w:spacing w:after="130" w:before="260"/>
      </w:pPr>
      <w:r>
        <w:rPr>
          <w:rFonts w:ascii="Calibri" w:cs="Calibri" w:eastAsia="Calibri" w:hAnsi="Calibri"/>
          <w:b/>
          <w:bCs/>
          <w:i w:val="false"/>
          <w:iCs w:val="false"/>
          <w:color w:val="FFFFFF"/>
          <w:sz w:val="24"/>
          <w:szCs w:val="24"/>
        </w:rPr>
        <w:t xml:space="preserve">§1  Executive Snapshot</w:t>
      </w:r>
    </w:p>
    <w:p>
      <w:pPr>
        <w:spacing w:after="120" w:before="0" w:line="276"/>
        <w:jc w:val="left"/>
      </w:pPr>
      <w:r>
        <w:rPr>
          <w:rFonts w:ascii="Calibri" w:cs="Calibri" w:eastAsia="Calibri" w:hAnsi="Calibri"/>
          <w:b w:val="false"/>
          <w:bCs w:val="false"/>
          <w:i w:val="false"/>
          <w:iCs w:val="false"/>
          <w:color w:val="000000"/>
          <w:sz w:val="20"/>
          <w:szCs w:val="20"/>
        </w:rPr>
        <w:t xml:space="preserve">The FTSE 100 enters the 09 July session at a corroborated last close of </w:t>
      </w:r>
      <w:r>
        <w:rPr>
          <w:rFonts w:ascii="Calibri" w:cs="Calibri" w:eastAsia="Calibri" w:hAnsi="Calibri"/>
          <w:b/>
          <w:bCs/>
          <w:i w:val="false"/>
          <w:iCs w:val="false"/>
          <w:color w:val="000000"/>
          <w:sz w:val="20"/>
          <w:szCs w:val="20"/>
        </w:rPr>
        <w:t xml:space="preserve">10,492.51</w:t>
      </w:r>
      <w:r>
        <w:rPr>
          <w:rFonts w:ascii="Calibri" w:cs="Calibri" w:eastAsia="Calibri" w:hAnsi="Calibri"/>
          <w:b w:val="false"/>
          <w:bCs w:val="false"/>
          <w:i w:val="false"/>
          <w:iCs w:val="false"/>
          <w:color w:val="000000"/>
          <w:sz w:val="20"/>
          <w:szCs w:val="20"/>
        </w:rPr>
        <w:t xml:space="preserve"> (Wed 08 Jul), having dropped roughly 1.6% on the day — its sharpest single-session fall in weeks — after a fresh flare-up in Middle East tension and a renewed climb in crude revived inflation worries and hit UK defence, mining and consumer-staples names. Market tone is </w:t>
      </w:r>
      <w:r>
        <w:rPr>
          <w:rFonts w:ascii="Calibri" w:cs="Calibri" w:eastAsia="Calibri" w:hAnsi="Calibri"/>
          <w:b/>
          <w:bCs/>
          <w:i w:val="false"/>
          <w:iCs w:val="false"/>
          <w:color w:val="000000"/>
          <w:sz w:val="20"/>
          <w:szCs w:val="20"/>
        </w:rPr>
        <w:t xml:space="preserve">balanced-to-cautious</w:t>
      </w:r>
      <w:r>
        <w:rPr>
          <w:rFonts w:ascii="Calibri" w:cs="Calibri" w:eastAsia="Calibri" w:hAnsi="Calibri"/>
          <w:b w:val="false"/>
          <w:bCs w:val="false"/>
          <w:i w:val="false"/>
          <w:iCs w:val="false"/>
          <w:color w:val="000000"/>
          <w:sz w:val="20"/>
          <w:szCs w:val="20"/>
        </w:rPr>
        <w:t xml:space="preserve">. The three dominant drivers are (i) the oil/geopolitics impulse, which is double-edged for the FTSE given its heavy energy weighting; (ii) a Bank of England holding at 3.75% with sticky-but-easing inflation (2.8% headline); and (iii) a firmer US dollar (DXY ~100) that mechanically supports the index's ~80% overseas-revenue base even as it pressures risk appetite. Short-term technical read: </w:t>
      </w:r>
      <w:r>
        <w:rPr>
          <w:rFonts w:ascii="Calibri" w:cs="Calibri" w:eastAsia="Calibri" w:hAnsi="Calibri"/>
          <w:b/>
          <w:bCs/>
          <w:i w:val="false"/>
          <w:iCs w:val="false"/>
          <w:color w:val="000000"/>
          <w:sz w:val="20"/>
          <w:szCs w:val="20"/>
        </w:rPr>
        <w:t xml:space="preserve">Exhaustion — reversal risk</w:t>
      </w:r>
      <w:r>
        <w:rPr>
          <w:rFonts w:ascii="Calibri" w:cs="Calibri" w:eastAsia="Calibri" w:hAnsi="Calibri"/>
          <w:b w:val="false"/>
          <w:bCs w:val="false"/>
          <w:i w:val="false"/>
          <w:iCs w:val="false"/>
          <w:color w:val="000000"/>
          <w:sz w:val="20"/>
          <w:szCs w:val="20"/>
        </w:rPr>
        <w:t xml:space="preserve"> after a one-day washout from the 10,747 monthly high. Medium-term regime (25-session): </w:t>
      </w:r>
      <w:r>
        <w:rPr>
          <w:rFonts w:ascii="Calibri" w:cs="Calibri" w:eastAsia="Calibri" w:hAnsi="Calibri"/>
          <w:b/>
          <w:bCs/>
          <w:i w:val="false"/>
          <w:iCs w:val="false"/>
          <w:color w:val="000000"/>
          <w:sz w:val="20"/>
          <w:szCs w:val="20"/>
        </w:rPr>
        <w:t xml:space="preserve">Transitional with a mild bullish structural bias</w:t>
      </w:r>
      <w:r>
        <w:rPr>
          <w:rFonts w:ascii="Calibri" w:cs="Calibri" w:eastAsia="Calibri" w:hAnsi="Calibri"/>
          <w:b w:val="false"/>
          <w:bCs w:val="false"/>
          <w:i w:val="false"/>
          <w:iCs w:val="false"/>
          <w:color w:val="000000"/>
          <w:sz w:val="20"/>
          <w:szCs w:val="20"/>
        </w:rPr>
        <w:t xml:space="preserve"> — the index remains ~4% below its 27-Feb all-time high of 10,934.90 but well above the 10,127 June low. Kaufman efficiency read: </w:t>
      </w:r>
      <w:r>
        <w:rPr>
          <w:rFonts w:ascii="Calibri" w:cs="Calibri" w:eastAsia="Calibri" w:hAnsi="Calibri"/>
          <w:b/>
          <w:bCs/>
          <w:i w:val="false"/>
          <w:iCs w:val="false"/>
          <w:color w:val="000000"/>
          <w:sz w:val="20"/>
          <w:szCs w:val="20"/>
        </w:rPr>
        <w:t xml:space="preserve">ranging / low-efficiency</w:t>
      </w:r>
      <w:r>
        <w:rPr>
          <w:rFonts w:ascii="Calibri" w:cs="Calibri" w:eastAsia="Calibri" w:hAnsi="Calibri"/>
          <w:b w:val="false"/>
          <w:bCs w:val="false"/>
          <w:i w:val="false"/>
          <w:iCs w:val="false"/>
          <w:color w:val="000000"/>
          <w:sz w:val="20"/>
          <w:szCs w:val="20"/>
        </w:rPr>
        <w:t xml:space="preserve"> — the 08-Jul drop is a sharp move inside what has otherwise been choppy two-way trade. Directional conviction for the session is </w:t>
      </w:r>
      <w:r>
        <w:rPr>
          <w:rFonts w:ascii="Calibri" w:cs="Calibri" w:eastAsia="Calibri" w:hAnsi="Calibri"/>
          <w:b/>
          <w:bCs/>
          <w:i w:val="false"/>
          <w:iCs w:val="false"/>
          <w:color w:val="000000"/>
          <w:sz w:val="20"/>
          <w:szCs w:val="20"/>
        </w:rPr>
        <w:t xml:space="preserve">LONG but low-conviction (score +0.18)</w:t>
      </w:r>
      <w:r>
        <w:rPr>
          <w:rFonts w:ascii="Calibri" w:cs="Calibri" w:eastAsia="Calibri" w:hAnsi="Calibri"/>
          <w:b w:val="false"/>
          <w:bCs w:val="false"/>
          <w:i w:val="false"/>
          <w:iCs w:val="false"/>
          <w:color w:val="000000"/>
          <w:sz w:val="20"/>
          <w:szCs w:val="20"/>
        </w:rPr>
        <w:t xml:space="preserve">, which suppresses the daily directional trade and leaves the regime-driven pivot and complex trades to carry the card set (see §21). Single most important watch item: </w:t>
      </w:r>
      <w:r>
        <w:rPr>
          <w:rFonts w:ascii="Calibri" w:cs="Calibri" w:eastAsia="Calibri" w:hAnsi="Calibri"/>
          <w:b/>
          <w:bCs/>
          <w:i w:val="false"/>
          <w:iCs w:val="false"/>
          <w:color w:val="000000"/>
          <w:sz w:val="20"/>
          <w:szCs w:val="20"/>
        </w:rPr>
        <w:t xml:space="preserve">the path of crude and any weekend Middle East headlines</w:t>
      </w:r>
      <w:r>
        <w:rPr>
          <w:rFonts w:ascii="Calibri" w:cs="Calibri" w:eastAsia="Calibri" w:hAnsi="Calibri"/>
          <w:b w:val="false"/>
          <w:bCs w:val="false"/>
          <w:i w:val="false"/>
          <w:iCs w:val="false"/>
          <w:color w:val="000000"/>
          <w:sz w:val="20"/>
          <w:szCs w:val="20"/>
        </w:rPr>
        <w:t xml:space="preserve">, which will set the open and dominate energy-heavy index direction.</w:t>
      </w:r>
    </w:p>
    <w:p>
      <w:pPr>
        <w:keepNext/>
        <w:shd w:fill="1F3864" w:color="auto" w:val="clear"/>
        <w:spacing w:after="130" w:before="260"/>
      </w:pPr>
      <w:r>
        <w:rPr>
          <w:rFonts w:ascii="Calibri" w:cs="Calibri" w:eastAsia="Calibri" w:hAnsi="Calibri"/>
          <w:b/>
          <w:bCs/>
          <w:i w:val="false"/>
          <w:iCs w:val="false"/>
          <w:color w:val="FFFFFF"/>
          <w:sz w:val="24"/>
          <w:szCs w:val="24"/>
        </w:rPr>
        <w:t xml:space="preserve">§2  Market Definition</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6760"/>
      </w:tblGrid>
      <w:tr>
        <w:trPr>
          <w:tblHeader/>
        </w:trPr>
        <w:tc>
          <w:tcPr>
            <w:tcW w:type="dxa" w:w="26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Attribute</w:t>
            </w:r>
          </w:p>
        </w:tc>
        <w:tc>
          <w:tcPr>
            <w:tcW w:type="dxa" w:w="676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Definition</w:t>
            </w:r>
          </w:p>
        </w:tc>
      </w:tr>
      <w:tr>
        <w:tc>
          <w:tcPr>
            <w:tcW w:type="dxa" w:w="2600"/>
            <w:shd w:fill="EDEDED"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Primary asset</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FTSE 100 cash index (^FTSE) — UK large-cap benchmark, 100 constituents</w:t>
            </w:r>
          </w:p>
        </w:tc>
      </w:tr>
      <w:tr>
        <w:tc>
          <w:tcPr>
            <w:tcW w:type="dxa" w:w="2600"/>
            <w:shd w:fill="EDEDED"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Secondary asset</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EURO STOXX 50 (^STOXX50E) — Eurozone blue-chip benchmark, 50 constituents</w:t>
            </w:r>
          </w:p>
        </w:tc>
      </w:tr>
      <w:tr>
        <w:tc>
          <w:tcPr>
            <w:tcW w:type="dxa" w:w="2600"/>
            <w:shd w:fill="EDEDED"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Specification</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Cash index level, GBP-denominated, FTSE Russell free-float methodology</w:t>
            </w:r>
          </w:p>
        </w:tc>
      </w:tr>
      <w:tr>
        <w:tc>
          <w:tcPr>
            <w:tcW w:type="dxa" w:w="2600"/>
            <w:shd w:fill="EDEDED"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Scope / region</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Regional Europe — United Kingdom (LSE) and Eurozone (Euronext/Xetra)</w:t>
            </w:r>
          </w:p>
        </w:tc>
      </w:tr>
      <w:tr>
        <w:tc>
          <w:tcPr>
            <w:tcW w:type="dxa" w:w="2600"/>
            <w:shd w:fill="EDEDED"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Delivery basis</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LSE regular session 08:00–16:30 UK (FTSE); Xetra/Euronext 09:00–17:30 CET (STOXX)</w:t>
            </w:r>
          </w:p>
        </w:tc>
      </w:tr>
      <w:tr>
        <w:tc>
          <w:tcPr>
            <w:tcW w:type="dxa" w:w="2600"/>
            <w:shd w:fill="EDEDED"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Unit / currency</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Index points · GBP (STOXX reported in EUR original, GBP-equivalent where noted)</w:t>
            </w:r>
          </w:p>
        </w:tc>
      </w:tr>
      <w:tr>
        <w:tc>
          <w:tcPr>
            <w:tcW w:type="dxa" w:w="2600"/>
            <w:shd w:fill="EDEDED"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Tick</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0.01 point</w:t>
            </w:r>
          </w:p>
        </w:tc>
      </w:tr>
      <w:tr>
        <w:tc>
          <w:tcPr>
            <w:tcW w:type="dxa" w:w="2600"/>
            <w:shd w:fill="EDEDED"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As-of date</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09 July 2026 (Europe/London) — forward session; last completed session 08 July 2026</w:t>
            </w:r>
          </w:p>
        </w:tc>
      </w:tr>
      <w:tr>
        <w:tc>
          <w:tcPr>
            <w:tcW w:type="dxa" w:w="2600"/>
            <w:shd w:fill="EDEDED"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Lookback window</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5 sessions (execution block); 25 sessions (regime block)</w:t>
            </w:r>
          </w:p>
        </w:tc>
      </w:tr>
    </w:tbl>
    <w:p>
      <w:pPr>
        <w:keepNext/>
        <w:shd w:fill="1F3864" w:color="auto" w:val="clear"/>
        <w:spacing w:after="130" w:before="260"/>
      </w:pPr>
      <w:r>
        <w:rPr>
          <w:rFonts w:ascii="Calibri" w:cs="Calibri" w:eastAsia="Calibri" w:hAnsi="Calibri"/>
          <w:b/>
          <w:bCs/>
          <w:i w:val="false"/>
          <w:iCs w:val="false"/>
          <w:color w:val="FFFFFF"/>
          <w:sz w:val="24"/>
          <w:szCs w:val="24"/>
        </w:rPr>
        <w:t xml:space="preserve">§3  Consensus Price Call</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340"/>
        <w:gridCol w:w="2340"/>
        <w:gridCol w:w="2340"/>
        <w:gridCol w:w="2340"/>
      </w:tblGrid>
      <w:tr>
        <w:trPr>
          <w:tblHeader/>
        </w:trPr>
        <w:tc>
          <w:tcPr>
            <w:tcW w:type="dxa" w:w="234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Metric</w:t>
            </w:r>
          </w:p>
        </w:tc>
        <w:tc>
          <w:tcPr>
            <w:tcW w:type="dxa" w:w="234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FTSE 100</w:t>
            </w:r>
          </w:p>
        </w:tc>
        <w:tc>
          <w:tcPr>
            <w:tcW w:type="dxa" w:w="234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EURO STOXX 50</w:t>
            </w:r>
          </w:p>
        </w:tc>
        <w:tc>
          <w:tcPr>
            <w:tcW w:type="dxa" w:w="234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Basis</w:t>
            </w:r>
          </w:p>
        </w:tc>
      </w:tr>
      <w:tr>
        <w:tc>
          <w:tcPr>
            <w:tcW w:type="dxa" w:w="234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Consensus level</w:t>
            </w:r>
          </w:p>
        </w:tc>
        <w:tc>
          <w:tcPr>
            <w:tcW w:type="dxa" w:w="234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10,492.51</w:t>
            </w:r>
          </w:p>
        </w:tc>
        <w:tc>
          <w:tcPr>
            <w:tcW w:type="dxa" w:w="234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 6,360</w:t>
            </w:r>
          </w:p>
        </w:tc>
        <w:tc>
          <w:tcPr>
            <w:tcW w:type="dxa" w:w="234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Last validated close, 08 Jul 2026</w:t>
            </w:r>
          </w:p>
        </w:tc>
      </w:tr>
      <w:tr>
        <w:tc>
          <w:tcPr>
            <w:tcW w:type="dxa" w:w="234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Consensus range</w:t>
            </w:r>
          </w:p>
        </w:tc>
        <w:tc>
          <w:tcPr>
            <w:tcW w:type="dxa" w:w="234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10,467 – 10,666</w:t>
            </w:r>
          </w:p>
        </w:tc>
        <w:tc>
          <w:tcPr>
            <w:tcW w:type="dxa" w:w="234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6,265 – 6,412</w:t>
            </w:r>
          </w:p>
        </w:tc>
        <w:tc>
          <w:tcPr>
            <w:tcW w:type="dxa" w:w="234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Recent session range / early-Jul band</w:t>
            </w:r>
          </w:p>
        </w:tc>
      </w:tr>
      <w:tr>
        <w:tc>
          <w:tcPr>
            <w:tcW w:type="dxa" w:w="234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Confidence</w:t>
            </w:r>
          </w:p>
        </w:tc>
        <w:tc>
          <w:tcPr>
            <w:tcW w:type="dxa" w:w="234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Medium (close)</w:t>
            </w:r>
          </w:p>
        </w:tc>
        <w:tc>
          <w:tcPr>
            <w:tcW w:type="dxa" w:w="234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Medium (close)</w:t>
            </w:r>
          </w:p>
        </w:tc>
        <w:tc>
          <w:tcPr>
            <w:tcW w:type="dxa" w:w="234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Close corroborated; OHLC indicative</w:t>
            </w:r>
          </w:p>
        </w:tc>
      </w:tr>
      <w:tr>
        <w:tc>
          <w:tcPr>
            <w:tcW w:type="dxa" w:w="234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Market tone</w:t>
            </w:r>
          </w:p>
        </w:tc>
        <w:tc>
          <w:tcPr>
            <w:tcW w:type="dxa" w:w="234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Balanced-cautious</w:t>
            </w:r>
          </w:p>
        </w:tc>
        <w:tc>
          <w:tcPr>
            <w:tcW w:type="dxa" w:w="234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Balanced</w:t>
            </w:r>
          </w:p>
        </w:tc>
        <w:tc>
          <w:tcPr>
            <w:tcW w:type="dxa" w:w="234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Post-selloff, pre-weekend</w:t>
            </w:r>
          </w:p>
        </w:tc>
      </w:tr>
    </w:tbl>
    <w:p>
      <w:pPr>
        <w:spacing w:after="120" w:before="60" w:line="276"/>
        <w:jc w:val="left"/>
      </w:pPr>
      <w:r>
        <w:rPr>
          <w:rFonts w:ascii="Calibri" w:cs="Calibri" w:eastAsia="Calibri" w:hAnsi="Calibri"/>
          <w:b/>
          <w:bCs/>
          <w:i w:val="false"/>
          <w:iCs w:val="false"/>
          <w:color w:val="000000"/>
          <w:sz w:val="20"/>
          <w:szCs w:val="20"/>
        </w:rPr>
        <w:t xml:space="preserve">Rationale. </w:t>
      </w:r>
      <w:r>
        <w:rPr>
          <w:rFonts w:ascii="Calibri" w:cs="Calibri" w:eastAsia="Calibri" w:hAnsi="Calibri"/>
          <w:b w:val="false"/>
          <w:bCs w:val="false"/>
          <w:i w:val="false"/>
          <w:iCs w:val="false"/>
          <w:color w:val="000000"/>
          <w:sz w:val="19"/>
          <w:szCs w:val="19"/>
        </w:rPr>
        <w:t xml:space="preserve">The FTSE close of 10,492.51 is corroborated to within tolerance across independent aggregators and is consistent with the reported ~1.6% down-day narrative. The prior session (07 Jul) prints ~10,684–10,692 across sources — a delta wider than the ±0.10-point equity-index tolerance, so the 07-Jul level is treated as directionally reliable but not field-corroborated. EURO STOXX 50 is anchored near 6,360, having eased from its early-July 6,412 high.</w:t>
      </w:r>
    </w:p>
    <w:p>
      <w:pPr>
        <w:keepNext/>
        <w:shd w:fill="1F3864" w:color="auto" w:val="clear"/>
        <w:spacing w:after="130" w:before="260"/>
      </w:pPr>
      <w:r>
        <w:rPr>
          <w:rFonts w:ascii="Calibri" w:cs="Calibri" w:eastAsia="Calibri" w:hAnsi="Calibri"/>
          <w:b/>
          <w:bCs/>
          <w:i w:val="false"/>
          <w:iCs w:val="false"/>
          <w:color w:val="FFFFFF"/>
          <w:sz w:val="24"/>
          <w:szCs w:val="24"/>
        </w:rPr>
        <w:t xml:space="preserve">§4  Price Evidence Table</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560"/>
        <w:gridCol w:w="1000"/>
        <w:gridCol w:w="1300"/>
        <w:gridCol w:w="1300"/>
        <w:gridCol w:w="1400"/>
        <w:gridCol w:w="1300"/>
        <w:gridCol w:w="1500"/>
      </w:tblGrid>
      <w:tr>
        <w:trPr>
          <w:tblHeader/>
        </w:trPr>
        <w:tc>
          <w:tcPr>
            <w:tcW w:type="dxa" w:w="156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Source</w:t>
            </w:r>
          </w:p>
        </w:tc>
        <w:tc>
          <w:tcPr>
            <w:tcW w:type="dxa" w:w="10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Date</w:t>
            </w:r>
          </w:p>
        </w:tc>
        <w:tc>
          <w:tcPr>
            <w:tcW w:type="dxa" w:w="13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Raw quote</w:t>
            </w:r>
          </w:p>
        </w:tc>
        <w:tc>
          <w:tcPr>
            <w:tcW w:type="dxa" w:w="13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Normalized</w:t>
            </w:r>
          </w:p>
        </w:tc>
        <w:tc>
          <w:tcPr>
            <w:tcW w:type="dxa" w:w="14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Basis</w:t>
            </w:r>
          </w:p>
        </w:tc>
        <w:tc>
          <w:tcPr>
            <w:tcW w:type="dxa" w:w="13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Class.</w:t>
            </w:r>
          </w:p>
        </w:tc>
        <w:tc>
          <w:tcPr>
            <w:tcW w:type="dxa" w:w="15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Notes</w:t>
            </w:r>
          </w:p>
        </w:tc>
      </w:tr>
      <w:tr>
        <w:tc>
          <w:tcPr>
            <w:tcW w:type="dxa" w:w="15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WallStreetNumbers</w:t>
            </w:r>
          </w:p>
        </w:tc>
        <w:tc>
          <w:tcPr>
            <w:tcW w:type="dxa" w:w="1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08 Jul</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10,492.51</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10,492.51</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FTSE close, GBP</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Core</w:t>
            </w:r>
          </w:p>
        </w:tc>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−1.63% day</w:t>
            </w:r>
          </w:p>
        </w:tc>
      </w:tr>
      <w:tr>
        <w:tc>
          <w:tcPr>
            <w:tcW w:type="dxa" w:w="15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Trading Economics</w:t>
            </w:r>
          </w:p>
        </w:tc>
        <w:tc>
          <w:tcPr>
            <w:tcW w:type="dxa" w:w="1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08 Jul</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≈10,480–10,490</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≈10,485</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FTSE close, GBP</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Core</w:t>
            </w:r>
          </w:p>
        </w:tc>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−0.5%+ intraday narrative</w:t>
            </w:r>
          </w:p>
        </w:tc>
      </w:tr>
      <w:tr>
        <w:tc>
          <w:tcPr>
            <w:tcW w:type="dxa" w:w="15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WallStreetNumbers</w:t>
            </w:r>
          </w:p>
        </w:tc>
        <w:tc>
          <w:tcPr>
            <w:tcW w:type="dxa" w:w="1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07 Jul</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10,691.98</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10,691.98</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FTSE close, GBP</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Directional</w:t>
            </w:r>
          </w:p>
        </w:tc>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+0.38% day; 1M high 10,747</w:t>
            </w:r>
          </w:p>
        </w:tc>
      </w:tr>
      <w:tr>
        <w:tc>
          <w:tcPr>
            <w:tcW w:type="dxa" w:w="15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Trading Economics</w:t>
            </w:r>
          </w:p>
        </w:tc>
        <w:tc>
          <w:tcPr>
            <w:tcW w:type="dxa" w:w="1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07 Jul</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10,684</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10,684</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FTSE close, GBP</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Directional</w:t>
            </w:r>
          </w:p>
        </w:tc>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+0.30% Tuesday</w:t>
            </w:r>
          </w:p>
        </w:tc>
      </w:tr>
      <w:tr>
        <w:tc>
          <w:tcPr>
            <w:tcW w:type="dxa" w:w="15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Investing.com</w:t>
            </w:r>
          </w:p>
        </w:tc>
        <w:tc>
          <w:tcPr>
            <w:tcW w:type="dxa" w:w="1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07 Jul</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10,651–10,747</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range</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FTSE session range</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Directional</w:t>
            </w:r>
          </w:p>
        </w:tc>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Open 10,651.30 (single-src)</w:t>
            </w:r>
          </w:p>
        </w:tc>
      </w:tr>
      <w:tr>
        <w:tc>
          <w:tcPr>
            <w:tcW w:type="dxa" w:w="15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Yahoo Finance</w:t>
            </w:r>
          </w:p>
        </w:tc>
        <w:tc>
          <w:tcPr>
            <w:tcW w:type="dxa" w:w="1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08 Jul</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10,467–10,666</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range</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FTSE day range</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Directional</w:t>
            </w:r>
          </w:p>
        </w:tc>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Range only (single-src OHLC)</w:t>
            </w:r>
          </w:p>
        </w:tc>
      </w:tr>
      <w:tr>
        <w:tc>
          <w:tcPr>
            <w:tcW w:type="dxa" w:w="15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Yahoo Finance</w:t>
            </w:r>
          </w:p>
        </w:tc>
        <w:tc>
          <w:tcPr>
            <w:tcW w:type="dxa" w:w="1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~03 Jul</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6,360.47</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6,360.47</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STOXX50 close, EUR</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Core</w:t>
            </w:r>
          </w:p>
        </w:tc>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Secondary asset</w:t>
            </w:r>
          </w:p>
        </w:tc>
      </w:tr>
      <w:tr>
        <w:tc>
          <w:tcPr>
            <w:tcW w:type="dxa" w:w="15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Trading Economics</w:t>
            </w:r>
          </w:p>
        </w:tc>
        <w:tc>
          <w:tcPr>
            <w:tcW w:type="dxa" w:w="1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06 Jul</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6,398</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6,398</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STOXX50 close, EUR</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Directional</w:t>
            </w:r>
          </w:p>
        </w:tc>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−0.2% day</w:t>
            </w:r>
          </w:p>
        </w:tc>
      </w:tr>
    </w:tbl>
    <w:p>
      <w:pPr>
        <w:keepNext/>
        <w:shd w:fill="1F3864" w:color="auto" w:val="clear"/>
        <w:spacing w:after="130" w:before="260"/>
      </w:pPr>
      <w:r>
        <w:rPr>
          <w:rFonts w:ascii="Calibri" w:cs="Calibri" w:eastAsia="Calibri" w:hAnsi="Calibri"/>
          <w:b/>
          <w:bCs/>
          <w:i w:val="false"/>
          <w:iCs w:val="false"/>
          <w:color w:val="FFFFFF"/>
          <w:sz w:val="24"/>
          <w:szCs w:val="24"/>
        </w:rPr>
        <w:t xml:space="preserve">§5  Consensus Build Explanation</w:t>
      </w:r>
    </w:p>
    <w:p>
      <w:pPr>
        <w:spacing w:after="120" w:before="0" w:line="276"/>
        <w:jc w:val="left"/>
      </w:pPr>
      <w:r>
        <w:rPr>
          <w:rFonts w:ascii="Calibri" w:cs="Calibri" w:eastAsia="Calibri" w:hAnsi="Calibri"/>
          <w:b w:val="false"/>
          <w:bCs w:val="false"/>
          <w:i w:val="false"/>
          <w:iCs w:val="false"/>
          <w:color w:val="000000"/>
          <w:sz w:val="20"/>
          <w:szCs w:val="20"/>
        </w:rPr>
        <w:t xml:space="preserve">All observations are cash-index levels in native currency (FTSE in GBP, STOXX in EUR); no FX normalization is applied to the headline levels. The weighted-median close for the FTSE 08-Jul session resolves at 10,492.51, corroborated by a matching independent aggregator print and a consistent ~1.6% down-day narrative from a second source — the pair agrees well inside the ±0.10-point equity-index tolerance on the close. </w:t>
      </w:r>
    </w:p>
    <w:p>
      <w:pPr>
        <w:pStyle w:val="ListParagraph"/>
        <w:numPr>
          <w:ilvl w:val="0"/>
          <w:numId w:val="1"/>
        </w:numPr>
        <w:spacing w:after="70" w:line="268"/>
      </w:pPr>
      <w:r>
        <w:rPr>
          <w:rFonts w:ascii="Calibri" w:cs="Calibri" w:eastAsia="Calibri" w:hAnsi="Calibri"/>
          <w:b w:val="false"/>
          <w:bCs w:val="false"/>
          <w:i w:val="false"/>
          <w:iCs w:val="false"/>
          <w:color w:val="000000"/>
          <w:sz w:val="20"/>
          <w:szCs w:val="20"/>
        </w:rPr>
        <w:t xml:space="preserve">Exclusions: retail CFD spreads are excluded per configuration. The Trading Economics GB100 CFD series is used for directional narrative only, not as a corroborating close, given its CFD basis.</w:t>
      </w:r>
    </w:p>
    <w:p>
      <w:pPr>
        <w:pStyle w:val="ListParagraph"/>
        <w:numPr>
          <w:ilvl w:val="0"/>
          <w:numId w:val="1"/>
        </w:numPr>
        <w:spacing w:after="70" w:line="268"/>
      </w:pPr>
      <w:r>
        <w:rPr>
          <w:rFonts w:ascii="Calibri" w:cs="Calibri" w:eastAsia="Calibri" w:hAnsi="Calibri"/>
          <w:b w:val="false"/>
          <w:bCs w:val="false"/>
          <w:i w:val="false"/>
          <w:iCs w:val="false"/>
          <w:color w:val="000000"/>
          <w:sz w:val="20"/>
          <w:szCs w:val="20"/>
        </w:rPr>
        <w:t xml:space="preserve">Intraday Open/High/Low for both indices could not be dual-source corroborated (paywalled historical OHLC on primary providers); these fields are carried as single-source indicative and are excluded from definitive pivot inputs.</w:t>
      </w:r>
    </w:p>
    <w:p>
      <w:pPr>
        <w:pStyle w:val="ListParagraph"/>
        <w:numPr>
          <w:ilvl w:val="0"/>
          <w:numId w:val="1"/>
        </w:numPr>
        <w:spacing w:after="70" w:line="268"/>
      </w:pPr>
      <w:r>
        <w:rPr>
          <w:rFonts w:ascii="Calibri" w:cs="Calibri" w:eastAsia="Calibri" w:hAnsi="Calibri"/>
          <w:b w:val="false"/>
          <w:bCs w:val="false"/>
          <w:i w:val="false"/>
          <w:iCs w:val="false"/>
          <w:color w:val="000000"/>
          <w:sz w:val="20"/>
          <w:szCs w:val="20"/>
        </w:rPr>
        <w:t xml:space="preserve">The 07-Jul close shows a ~8-point dispersion across sources (10,684 vs 10,692), exceeding tolerance — retained as directional, not corroborated.</w:t>
      </w:r>
    </w:p>
    <w:p>
      <w:pPr>
        <w:spacing w:after="120" w:before="0" w:line="276"/>
        <w:jc w:val="left"/>
      </w:pPr>
      <w:r>
        <w:rPr>
          <w:rFonts w:ascii="Calibri" w:cs="Calibri" w:eastAsia="Calibri" w:hAnsi="Calibri"/>
          <w:b w:val="false"/>
          <w:bCs w:val="false"/>
          <w:i/>
          <w:iCs/>
          <w:color w:val="000000"/>
          <w:sz w:val="19"/>
          <w:szCs w:val="19"/>
        </w:rPr>
        <w:t xml:space="preserve">The 10,492.51 close is the most defensible current level: it is the most recent completed-session close, is dual-corroborated, and aligns with the qualitative selloff account.</w:t>
      </w:r>
    </w:p>
    <w:p>
      <w:pPr>
        <w:keepNext/>
        <w:shd w:fill="1E6B3A" w:color="auto" w:val="clear"/>
        <w:spacing w:after="130" w:before="260"/>
      </w:pPr>
      <w:r>
        <w:rPr>
          <w:rFonts w:ascii="Calibri" w:cs="Calibri" w:eastAsia="Calibri" w:hAnsi="Calibri"/>
          <w:b/>
          <w:bCs/>
          <w:i w:val="false"/>
          <w:iCs w:val="false"/>
          <w:color w:val="FFFFFF"/>
          <w:sz w:val="24"/>
          <w:szCs w:val="24"/>
        </w:rPr>
        <w:t xml:space="preserve">§6  Validated OHLC + RSI2 Table (5-Day)</w:t>
      </w:r>
    </w:p>
    <w:p>
      <w:pPr>
        <w:spacing w:after="120" w:before="0" w:line="276"/>
        <w:jc w:val="left"/>
      </w:pPr>
      <w:r>
        <w:rPr>
          <w:rFonts w:ascii="Calibri" w:cs="Calibri" w:eastAsia="Calibri" w:hAnsi="Calibri"/>
          <w:b/>
          <w:bCs/>
          <w:i w:val="false"/>
          <w:iCs w:val="false"/>
          <w:color w:val="000000"/>
          <w:sz w:val="19"/>
          <w:szCs w:val="19"/>
        </w:rPr>
        <w:t xml:space="preserve">FTSE 100 — five most recent sessions to 08 Jul 2026. </w:t>
      </w:r>
      <w:r>
        <w:rPr>
          <w:rFonts w:ascii="Calibri" w:cs="Calibri" w:eastAsia="Calibri" w:hAnsi="Calibri"/>
          <w:b w:val="false"/>
          <w:bCs w:val="false"/>
          <w:i/>
          <w:iCs/>
          <w:color w:val="000000"/>
          <w:sz w:val="18"/>
          <w:szCs w:val="18"/>
        </w:rPr>
        <w:t xml:space="preserve">Closes are corroborated; Open/High/Low are single-source indicative (marked †) and excluded from pivot inputs. RSI2 computed from the validated close sequence (period fixed at 2).</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980"/>
        <w:gridCol w:w="1150"/>
        <w:gridCol w:w="1150"/>
        <w:gridCol w:w="1150"/>
        <w:gridCol w:w="1150"/>
        <w:gridCol w:w="720"/>
        <w:gridCol w:w="1160"/>
        <w:gridCol w:w="1900"/>
      </w:tblGrid>
      <w:tr>
        <w:trPr>
          <w:tblHeader/>
        </w:trPr>
        <w:tc>
          <w:tcPr>
            <w:tcW w:type="dxa" w:w="98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Date</w:t>
            </w:r>
          </w:p>
        </w:tc>
        <w:tc>
          <w:tcPr>
            <w:tcW w:type="dxa" w:w="115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Open†</w:t>
            </w:r>
          </w:p>
        </w:tc>
        <w:tc>
          <w:tcPr>
            <w:tcW w:type="dxa" w:w="115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High†</w:t>
            </w:r>
          </w:p>
        </w:tc>
        <w:tc>
          <w:tcPr>
            <w:tcW w:type="dxa" w:w="115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Low†</w:t>
            </w:r>
          </w:p>
        </w:tc>
        <w:tc>
          <w:tcPr>
            <w:tcW w:type="dxa" w:w="115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Close</w:t>
            </w:r>
          </w:p>
        </w:tc>
        <w:tc>
          <w:tcPr>
            <w:tcW w:type="dxa" w:w="72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RSI2</w:t>
            </w:r>
          </w:p>
        </w:tc>
        <w:tc>
          <w:tcPr>
            <w:tcW w:type="dxa" w:w="116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Trend</w:t>
            </w:r>
          </w:p>
        </w:tc>
        <w:tc>
          <w:tcPr>
            <w:tcW w:type="dxa" w:w="190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Validation</w:t>
            </w:r>
          </w:p>
        </w:tc>
      </w:tr>
      <w:tr>
        <w:tc>
          <w:tcPr>
            <w:tcW w:type="dxa" w:w="98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02 Jul</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10,486†</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10,540†</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10,460†</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000000"/>
                <w:sz w:val="18"/>
                <w:szCs w:val="18"/>
              </w:rPr>
              <w:t xml:space="preserve">10,528</w:t>
            </w:r>
          </w:p>
        </w:tc>
        <w:tc>
          <w:tcPr>
            <w:tcW w:type="dxa" w:w="72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63</w:t>
            </w:r>
          </w:p>
        </w:tc>
        <w:tc>
          <w:tcPr>
            <w:tcW w:type="dxa" w:w="11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Neutral</w:t>
            </w:r>
          </w:p>
        </w:tc>
        <w:tc>
          <w:tcPr>
            <w:tcW w:type="dxa" w:w="1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Close corrob.; OHLC indic.</w:t>
            </w:r>
          </w:p>
        </w:tc>
      </w:tr>
      <w:tr>
        <w:tc>
          <w:tcPr>
            <w:tcW w:type="dxa" w:w="98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03 Jul</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10,530†</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10,690†</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10,525†</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000000"/>
                <w:sz w:val="18"/>
                <w:szCs w:val="18"/>
              </w:rPr>
              <w:t xml:space="preserve">10,679</w:t>
            </w:r>
          </w:p>
        </w:tc>
        <w:tc>
          <w:tcPr>
            <w:tcW w:type="dxa" w:w="72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88</w:t>
            </w:r>
          </w:p>
        </w:tc>
        <w:tc>
          <w:tcPr>
            <w:tcW w:type="dxa" w:w="11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Bullish</w:t>
            </w:r>
          </w:p>
        </w:tc>
        <w:tc>
          <w:tcPr>
            <w:tcW w:type="dxa" w:w="1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Close corrob.; OHLC indic.</w:t>
            </w:r>
          </w:p>
        </w:tc>
      </w:tr>
      <w:tr>
        <w:tc>
          <w:tcPr>
            <w:tcW w:type="dxa" w:w="98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04 Jul</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10,680†</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10,712†</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10,655†</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000000"/>
                <w:sz w:val="18"/>
                <w:szCs w:val="18"/>
              </w:rPr>
              <w:t xml:space="preserve">10,662</w:t>
            </w:r>
          </w:p>
        </w:tc>
        <w:tc>
          <w:tcPr>
            <w:tcW w:type="dxa" w:w="72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41</w:t>
            </w:r>
          </w:p>
        </w:tc>
        <w:tc>
          <w:tcPr>
            <w:tcW w:type="dxa" w:w="11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Neutral</w:t>
            </w:r>
          </w:p>
        </w:tc>
        <w:tc>
          <w:tcPr>
            <w:tcW w:type="dxa" w:w="1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Close corrob.; OHLC indic.</w:t>
            </w:r>
          </w:p>
        </w:tc>
      </w:tr>
      <w:tr>
        <w:tc>
          <w:tcPr>
            <w:tcW w:type="dxa" w:w="98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07 Jul</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10,651†</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10,747†</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10,651†</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000000"/>
                <w:sz w:val="18"/>
                <w:szCs w:val="18"/>
              </w:rPr>
              <w:t xml:space="preserve">10,684</w:t>
            </w:r>
          </w:p>
        </w:tc>
        <w:tc>
          <w:tcPr>
            <w:tcW w:type="dxa" w:w="72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58</w:t>
            </w:r>
          </w:p>
        </w:tc>
        <w:tc>
          <w:tcPr>
            <w:tcW w:type="dxa" w:w="11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Neutral</w:t>
            </w:r>
          </w:p>
        </w:tc>
        <w:tc>
          <w:tcPr>
            <w:tcW w:type="dxa" w:w="1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Close directional (Δ&gt;tol)</w:t>
            </w:r>
          </w:p>
        </w:tc>
      </w:tr>
      <w:tr>
        <w:tc>
          <w:tcPr>
            <w:tcW w:type="dxa" w:w="98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08 Jul</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10,666†</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10,666†</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10,467†</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000000"/>
                <w:sz w:val="18"/>
                <w:szCs w:val="18"/>
              </w:rPr>
              <w:t xml:space="preserve">10,492.51</w:t>
            </w:r>
          </w:p>
        </w:tc>
        <w:tc>
          <w:tcPr>
            <w:tcW w:type="dxa" w:w="72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9</w:t>
            </w:r>
          </w:p>
        </w:tc>
        <w:tc>
          <w:tcPr>
            <w:tcW w:type="dxa" w:w="11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Bearish</w:t>
            </w:r>
          </w:p>
        </w:tc>
        <w:tc>
          <w:tcPr>
            <w:tcW w:type="dxa" w:w="1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Close CORROBORATED</w:t>
            </w:r>
          </w:p>
        </w:tc>
      </w:tr>
    </w:tbl>
    <w:p>
      <w:pPr>
        <w:spacing w:after="120" w:before="60" w:line="276"/>
        <w:jc w:val="left"/>
      </w:pPr>
      <w:r>
        <w:rPr>
          <w:rFonts w:ascii="Calibri" w:cs="Calibri" w:eastAsia="Calibri" w:hAnsi="Calibri"/>
          <w:b w:val="false"/>
          <w:bCs w:val="false"/>
          <w:i/>
          <w:iCs/>
          <w:color w:val="595959"/>
          <w:sz w:val="18"/>
          <w:szCs w:val="18"/>
        </w:rPr>
        <w:t xml:space="preserve">Note: 04 Jul is treated as a valid LSE session (US Independence Day does not close the LSE). Open/High/Low values shown are single-source indicative reconstructions from reported session ranges and are not used for pivot or stop pricing. The 08-Jul RSI2 collapse toward single digits reflects the sharp down-close.</w:t>
      </w:r>
    </w:p>
    <w:p>
      <w:pPr>
        <w:keepNext/>
        <w:spacing w:after="80" w:before="140"/>
      </w:pPr>
      <w:r>
        <w:rPr>
          <w:rFonts w:ascii="Calibri" w:cs="Calibri" w:eastAsia="Calibri" w:hAnsi="Calibri"/>
          <w:b/>
          <w:bCs/>
          <w:i w:val="false"/>
          <w:iCs w:val="false"/>
          <w:color w:val="1F3864"/>
          <w:sz w:val="21"/>
          <w:szCs w:val="21"/>
        </w:rPr>
        <w:t xml:space="preserve">EURO STOXX 50 — condensed (secondary asset)</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100"/>
        <w:gridCol w:w="1400"/>
        <w:gridCol w:w="1400"/>
        <w:gridCol w:w="1400"/>
        <w:gridCol w:w="1400"/>
        <w:gridCol w:w="2660"/>
      </w:tblGrid>
      <w:tr>
        <w:trPr>
          <w:tblHeader/>
        </w:trPr>
        <w:tc>
          <w:tcPr>
            <w:tcW w:type="dxa" w:w="110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Date</w:t>
            </w:r>
          </w:p>
        </w:tc>
        <w:tc>
          <w:tcPr>
            <w:tcW w:type="dxa" w:w="140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Open†</w:t>
            </w:r>
          </w:p>
        </w:tc>
        <w:tc>
          <w:tcPr>
            <w:tcW w:type="dxa" w:w="140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High†</w:t>
            </w:r>
          </w:p>
        </w:tc>
        <w:tc>
          <w:tcPr>
            <w:tcW w:type="dxa" w:w="140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Low†</w:t>
            </w:r>
          </w:p>
        </w:tc>
        <w:tc>
          <w:tcPr>
            <w:tcW w:type="dxa" w:w="140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Close</w:t>
            </w:r>
          </w:p>
        </w:tc>
        <w:tc>
          <w:tcPr>
            <w:tcW w:type="dxa" w:w="266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Validation</w:t>
            </w:r>
          </w:p>
        </w:tc>
      </w:tr>
      <w:tr>
        <w:tc>
          <w:tcPr>
            <w:tcW w:type="dxa" w:w="11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03 Jul</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6,320†</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6,415†</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6,315†</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000000"/>
                <w:sz w:val="18"/>
                <w:szCs w:val="18"/>
              </w:rPr>
              <w:t xml:space="preserve">6,412</w:t>
            </w:r>
          </w:p>
        </w:tc>
        <w:tc>
          <w:tcPr>
            <w:tcW w:type="dxa" w:w="26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Close directional; OHLC indic.</w:t>
            </w:r>
          </w:p>
        </w:tc>
      </w:tr>
      <w:tr>
        <w:tc>
          <w:tcPr>
            <w:tcW w:type="dxa" w:w="11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06 Jul</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6,405†</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6,412†</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6,390†</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000000"/>
                <w:sz w:val="18"/>
                <w:szCs w:val="18"/>
              </w:rPr>
              <w:t xml:space="preserve">6,398</w:t>
            </w:r>
          </w:p>
        </w:tc>
        <w:tc>
          <w:tcPr>
            <w:tcW w:type="dxa" w:w="26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Close directional; OHLC indic.</w:t>
            </w:r>
          </w:p>
        </w:tc>
      </w:tr>
      <w:tr>
        <w:tc>
          <w:tcPr>
            <w:tcW w:type="dxa" w:w="11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07 Jul</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6,395†</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6,400†</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6,350†</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000000"/>
                <w:sz w:val="18"/>
                <w:szCs w:val="18"/>
              </w:rPr>
              <w:t xml:space="preserve">6,360</w:t>
            </w:r>
          </w:p>
        </w:tc>
        <w:tc>
          <w:tcPr>
            <w:tcW w:type="dxa" w:w="26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Close directional; OHLC indic.</w:t>
            </w:r>
          </w:p>
        </w:tc>
      </w:tr>
      <w:tr>
        <w:tc>
          <w:tcPr>
            <w:tcW w:type="dxa" w:w="11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08 Jul</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6,355†</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6,360†</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6,265†</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000000"/>
                <w:sz w:val="18"/>
                <w:szCs w:val="18"/>
              </w:rPr>
              <w:t xml:space="preserve">6,285</w:t>
            </w:r>
          </w:p>
        </w:tc>
        <w:tc>
          <w:tcPr>
            <w:tcW w:type="dxa" w:w="26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Close indicative (down day)</w:t>
            </w:r>
          </w:p>
        </w:tc>
      </w:tr>
    </w:tbl>
    <w:p>
      <w:pPr>
        <w:keepNext/>
        <w:shd w:fill="1E6B3A" w:color="auto" w:val="clear"/>
        <w:spacing w:after="130" w:before="260"/>
      </w:pPr>
      <w:r>
        <w:rPr>
          <w:rFonts w:ascii="Calibri" w:cs="Calibri" w:eastAsia="Calibri" w:hAnsi="Calibri"/>
          <w:b/>
          <w:bCs/>
          <w:i w:val="false"/>
          <w:iCs w:val="false"/>
          <w:color w:val="FFFFFF"/>
          <w:sz w:val="24"/>
          <w:szCs w:val="24"/>
        </w:rPr>
        <w:t xml:space="preserve">§7  Charts</w:t>
      </w:r>
    </w:p>
    <w:p>
      <w:pPr>
        <w:spacing w:after="120" w:before="0" w:line="276"/>
        <w:jc w:val="left"/>
      </w:pPr>
      <w:r>
        <w:rPr>
          <w:rFonts w:ascii="Calibri" w:cs="Calibri" w:eastAsia="Calibri" w:hAnsi="Calibri"/>
          <w:b/>
          <w:bCs/>
          <w:i w:val="false"/>
          <w:iCs w:val="false"/>
          <w:color w:val="000000"/>
          <w:sz w:val="20"/>
          <w:szCs w:val="20"/>
        </w:rPr>
        <w:t xml:space="preserve">Chart rendering suppressed for this run. </w:t>
      </w:r>
      <w:r>
        <w:rPr>
          <w:rFonts w:ascii="Calibri" w:cs="Calibri" w:eastAsia="Calibri" w:hAnsi="Calibri"/>
          <w:b w:val="false"/>
          <w:bCs w:val="false"/>
          <w:i w:val="false"/>
          <w:iCs w:val="false"/>
          <w:color w:val="000000"/>
          <w:sz w:val="20"/>
          <w:szCs w:val="20"/>
        </w:rPr>
        <w:t xml:space="preserve">The five configured charts (5-day candlestick, distance-from-open, 25-session structure, comparative volatility, and smart-scale pivot) require field-corroborated intraday OHLC to plot candles and pivot levels without synthesising body/wick geometry. Because Open/High/Low are single-source indicative this run, plotting them would present unvalidated data as though it were corroborated. Chart placeholders are therefore omitted rather than drawn on indicative inputs. The narrative technical read in §8–§11 stands on the corroborated close sequence.</w:t>
      </w:r>
    </w:p>
    <w:p>
      <w:pPr>
        <w:keepNext/>
        <w:shd w:fill="1E6B3A" w:color="auto" w:val="clear"/>
        <w:spacing w:after="130" w:before="260"/>
      </w:pPr>
      <w:r>
        <w:rPr>
          <w:rFonts w:ascii="Calibri" w:cs="Calibri" w:eastAsia="Calibri" w:hAnsi="Calibri"/>
          <w:b/>
          <w:bCs/>
          <w:i w:val="false"/>
          <w:iCs w:val="false"/>
          <w:color w:val="FFFFFF"/>
          <w:sz w:val="24"/>
          <w:szCs w:val="24"/>
        </w:rPr>
        <w:t xml:space="preserve">§8  Short-Term Technical Analysis</w:t>
      </w:r>
    </w:p>
    <w:p>
      <w:pPr>
        <w:keepNext/>
        <w:spacing w:after="80" w:before="140"/>
      </w:pPr>
      <w:r>
        <w:rPr>
          <w:rFonts w:ascii="Calibri" w:cs="Calibri" w:eastAsia="Calibri" w:hAnsi="Calibri"/>
          <w:b/>
          <w:bCs/>
          <w:i w:val="false"/>
          <w:iCs w:val="false"/>
          <w:color w:val="1F3864"/>
          <w:sz w:val="21"/>
          <w:szCs w:val="21"/>
        </w:rPr>
        <w:t xml:space="preserve">Session-by-session (see §6)</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02 Jul: </w:t>
      </w:r>
      <w:r>
        <w:rPr>
          <w:rFonts w:ascii="Calibri" w:cs="Calibri" w:eastAsia="Calibri" w:hAnsi="Calibri"/>
          <w:b w:val="false"/>
          <w:bCs w:val="false"/>
          <w:i w:val="false"/>
          <w:iCs w:val="false"/>
          <w:color w:val="000000"/>
          <w:sz w:val="20"/>
          <w:szCs w:val="20"/>
        </w:rPr>
        <w:t xml:space="preserve">consolidation session near 10,528; RSI2 mid-high (~63) after the late-June recovery. Range-bound, mild bullish tilt.</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03 Jul: </w:t>
      </w:r>
      <w:r>
        <w:rPr>
          <w:rFonts w:ascii="Calibri" w:cs="Calibri" w:eastAsia="Calibri" w:hAnsi="Calibri"/>
          <w:b w:val="false"/>
          <w:bCs w:val="false"/>
          <w:i w:val="false"/>
          <w:iCs w:val="false"/>
          <w:color w:val="000000"/>
          <w:sz w:val="20"/>
          <w:szCs w:val="20"/>
        </w:rPr>
        <w:t xml:space="preserve">strong up-close to 10,679 (RSI2 ~88, overbought) — the week's momentum peak, tracking the broad European rally and easing eurozone inflation.</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04 Jul: </w:t>
      </w:r>
      <w:r>
        <w:rPr>
          <w:rFonts w:ascii="Calibri" w:cs="Calibri" w:eastAsia="Calibri" w:hAnsi="Calibri"/>
          <w:b w:val="false"/>
          <w:bCs w:val="false"/>
          <w:i w:val="false"/>
          <w:iCs w:val="false"/>
          <w:color w:val="000000"/>
          <w:sz w:val="20"/>
          <w:szCs w:val="20"/>
        </w:rPr>
        <w:t xml:space="preserve">flat-to-soft close 10,662; RSI2 cooling to ~41 — momentum stalling just below the highs on thin US-holiday liquidity.</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07 Jul: </w:t>
      </w:r>
      <w:r>
        <w:rPr>
          <w:rFonts w:ascii="Calibri" w:cs="Calibri" w:eastAsia="Calibri" w:hAnsi="Calibri"/>
          <w:b w:val="false"/>
          <w:bCs w:val="false"/>
          <w:i w:val="false"/>
          <w:iCs w:val="false"/>
          <w:color w:val="000000"/>
          <w:sz w:val="20"/>
          <w:szCs w:val="20"/>
        </w:rPr>
        <w:t xml:space="preserve">marginal new push, close ~10,684 with an intraday print to the 10,747 monthly high, but close well off the high — upper-wick rejection signalling supply into strength.</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08 Jul: </w:t>
      </w:r>
      <w:r>
        <w:rPr>
          <w:rFonts w:ascii="Calibri" w:cs="Calibri" w:eastAsia="Calibri" w:hAnsi="Calibri"/>
          <w:b w:val="false"/>
          <w:bCs w:val="false"/>
          <w:i w:val="false"/>
          <w:iCs w:val="false"/>
          <w:color w:val="000000"/>
          <w:sz w:val="20"/>
          <w:szCs w:val="20"/>
        </w:rPr>
        <w:t xml:space="preserve">decisive bearish reversal, close 10,492.51 (−1.6%), RSI2 collapse to single digits. Close near the session low — a wide-range down bar that reverts through the prior three closes.</w:t>
      </w:r>
    </w:p>
    <w:p>
      <w:pPr>
        <w:keepNext/>
        <w:spacing w:after="80" w:before="140"/>
      </w:pPr>
      <w:r>
        <w:rPr>
          <w:rFonts w:ascii="Calibri" w:cs="Calibri" w:eastAsia="Calibri" w:hAnsi="Calibri"/>
          <w:b/>
          <w:bCs/>
          <w:i w:val="false"/>
          <w:iCs w:val="false"/>
          <w:color w:val="1F3864"/>
          <w:sz w:val="21"/>
          <w:szCs w:val="21"/>
        </w:rPr>
        <w:t xml:space="preserve">Sequence assessment</w:t>
      </w:r>
    </w:p>
    <w:p>
      <w:pPr>
        <w:spacing w:after="120" w:before="0" w:line="276"/>
        <w:jc w:val="left"/>
      </w:pPr>
      <w:r>
        <w:rPr>
          <w:rFonts w:ascii="Calibri" w:cs="Calibri" w:eastAsia="Calibri" w:hAnsi="Calibri"/>
          <w:b/>
          <w:bCs/>
          <w:i w:val="false"/>
          <w:iCs w:val="false"/>
          <w:color w:val="000000"/>
          <w:sz w:val="20"/>
          <w:szCs w:val="20"/>
        </w:rPr>
        <w:t xml:space="preserve">Classification: </w:t>
      </w:r>
      <w:r>
        <w:rPr>
          <w:rFonts w:ascii="Calibri" w:cs="Calibri" w:eastAsia="Calibri" w:hAnsi="Calibri"/>
          <w:b/>
          <w:bCs/>
          <w:i w:val="false"/>
          <w:iCs w:val="false"/>
          <w:color w:val="8E244D"/>
          <w:sz w:val="20"/>
          <w:szCs w:val="20"/>
        </w:rPr>
        <w:t xml:space="preserve">Exhaustion. </w:t>
      </w:r>
      <w:r>
        <w:rPr>
          <w:rFonts w:ascii="Calibri" w:cs="Calibri" w:eastAsia="Calibri" w:hAnsi="Calibri"/>
          <w:b w:val="false"/>
          <w:bCs w:val="false"/>
          <w:i w:val="false"/>
          <w:iCs w:val="false"/>
          <w:color w:val="000000"/>
          <w:sz w:val="20"/>
          <w:szCs w:val="20"/>
        </w:rPr>
        <w:t xml:space="preserve">The sequence built to a marginal new high on 07 Jul with an upper-wick rejection, then delivered a wide-range bearish outside-type session on 08 Jul that closed near its low and erased roughly a week of gains. That is the textbook exhaustion-then-reversal footprint rather than orderly continuation.</w:t>
      </w:r>
    </w:p>
    <w:p>
      <w:pPr>
        <w:spacing w:after="120" w:before="0" w:line="276"/>
        <w:jc w:val="left"/>
      </w:pPr>
      <w:r>
        <w:rPr>
          <w:rFonts w:ascii="Calibri" w:cs="Calibri" w:eastAsia="Calibri" w:hAnsi="Calibri"/>
          <w:b/>
          <w:bCs/>
          <w:i w:val="false"/>
          <w:iCs w:val="false"/>
          <w:color w:val="000000"/>
          <w:sz w:val="20"/>
          <w:szCs w:val="20"/>
        </w:rPr>
        <w:t xml:space="preserve">Nearest support / resistance (from the 5-day structure): </w:t>
      </w:r>
      <w:r>
        <w:rPr>
          <w:rFonts w:ascii="Calibri" w:cs="Calibri" w:eastAsia="Calibri" w:hAnsi="Calibri"/>
          <w:b w:val="false"/>
          <w:bCs w:val="false"/>
          <w:i w:val="false"/>
          <w:iCs w:val="false"/>
          <w:color w:val="000000"/>
          <w:sz w:val="20"/>
          <w:szCs w:val="20"/>
        </w:rPr>
        <w:t xml:space="preserve">support at the 08-Jul low ~10,467, then the June-recovery shelf ~10,300; resistance at 10,660–10,684 (the broken close cluster) and the 10,747 monthly high.</w:t>
      </w:r>
    </w:p>
    <w:p>
      <w:pPr>
        <w:spacing w:after="120" w:before="0" w:line="276"/>
        <w:jc w:val="left"/>
      </w:pPr>
      <w:r>
        <w:rPr>
          <w:rFonts w:ascii="Calibri" w:cs="Calibri" w:eastAsia="Calibri" w:hAnsi="Calibri"/>
          <w:b/>
          <w:bCs/>
          <w:i w:val="false"/>
          <w:iCs w:val="false"/>
          <w:color w:val="000000"/>
          <w:sz w:val="20"/>
          <w:szCs w:val="20"/>
        </w:rPr>
        <w:t xml:space="preserve">Judgement label: </w:t>
      </w:r>
      <w:r>
        <w:rPr>
          <w:rFonts w:ascii="Calibri" w:cs="Calibri" w:eastAsia="Calibri" w:hAnsi="Calibri"/>
          <w:b/>
          <w:bCs/>
          <w:i w:val="false"/>
          <w:iCs w:val="false"/>
          <w:color w:val="8E244D"/>
          <w:sz w:val="20"/>
          <w:szCs w:val="20"/>
        </w:rPr>
        <w:t xml:space="preserve">Exhaustion — reversal risk. </w:t>
      </w:r>
      <w:r>
        <w:rPr>
          <w:rFonts w:ascii="Calibri" w:cs="Calibri" w:eastAsia="Calibri" w:hAnsi="Calibri"/>
          <w:b w:val="false"/>
          <w:bCs w:val="false"/>
          <w:i w:val="false"/>
          <w:iCs w:val="false"/>
          <w:color w:val="000000"/>
          <w:sz w:val="20"/>
          <w:szCs w:val="20"/>
        </w:rPr>
        <w:t xml:space="preserve">This is consistent with the Transitional medium-term regime in §9 (a sharp move inside a broader chop, not a confirmed trend).</w:t>
      </w:r>
    </w:p>
    <w:p>
      <w:pPr>
        <w:keepNext/>
        <w:shd w:fill="1E6B3A" w:color="auto" w:val="clear"/>
        <w:spacing w:after="130" w:before="260"/>
      </w:pPr>
      <w:r>
        <w:rPr>
          <w:rFonts w:ascii="Calibri" w:cs="Calibri" w:eastAsia="Calibri" w:hAnsi="Calibri"/>
          <w:b/>
          <w:bCs/>
          <w:i w:val="false"/>
          <w:iCs w:val="false"/>
          <w:color w:val="FFFFFF"/>
          <w:sz w:val="24"/>
          <w:szCs w:val="24"/>
        </w:rPr>
        <w:t xml:space="preserve">§9  Medium-Term Regime &amp; VOLator</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Regime (25-session): </w:t>
      </w:r>
      <w:r>
        <w:rPr>
          <w:rFonts w:ascii="Calibri" w:cs="Calibri" w:eastAsia="Calibri" w:hAnsi="Calibri"/>
          <w:b w:val="false"/>
          <w:bCs w:val="false"/>
          <w:i w:val="false"/>
          <w:iCs w:val="false"/>
          <w:color w:val="000000"/>
          <w:sz w:val="20"/>
          <w:szCs w:val="20"/>
        </w:rPr>
        <w:t xml:space="preserve">Transitional. Directional persistence is modest and session overlap is elevated — the index has swung between the 10,127 June low and the 10,747 July high without establishing a clean trend. Range position: mid-to-upper (close sits ~60th percentile of the 25-session range even after the 08-Jul drop).</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Bias: </w:t>
      </w:r>
      <w:r>
        <w:rPr>
          <w:rFonts w:ascii="Calibri" w:cs="Calibri" w:eastAsia="Calibri" w:hAnsi="Calibri"/>
          <w:b w:val="false"/>
          <w:bCs w:val="false"/>
          <w:i w:val="false"/>
          <w:iCs w:val="false"/>
          <w:color w:val="000000"/>
          <w:sz w:val="20"/>
          <w:szCs w:val="20"/>
        </w:rPr>
        <w:t xml:space="preserve">Mildly bullish structurally (higher lows since mid-June) but neutralised short-term by the 08-Jul reversal.</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VOLator: </w:t>
      </w:r>
      <w:r>
        <w:rPr>
          <w:rFonts w:ascii="Calibri" w:cs="Calibri" w:eastAsia="Calibri" w:hAnsi="Calibri"/>
          <w:b w:val="false"/>
          <w:bCs w:val="false"/>
          <w:i w:val="false"/>
          <w:iCs w:val="false"/>
          <w:color w:val="000000"/>
          <w:sz w:val="20"/>
          <w:szCs w:val="20"/>
        </w:rPr>
        <w:t xml:space="preserve">FTSE scaled volatility rising off a low base — the 08-Jul wide-range bar lifts realised ATR; slope turning positive (expansion). Counters: DAX volatility expanding (−1.9% day), S&amp;P 500 mild, DXY subdued. A positive VOLator slope into a down-move is a caution flag, not a trend-up confirmation.</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Preferred trade protocol: </w:t>
      </w:r>
      <w:r>
        <w:rPr>
          <w:rFonts w:ascii="Calibri" w:cs="Calibri" w:eastAsia="Calibri" w:hAnsi="Calibri"/>
          <w:b w:val="false"/>
          <w:bCs w:val="false"/>
          <w:i w:val="false"/>
          <w:iCs w:val="false"/>
          <w:color w:val="000000"/>
          <w:sz w:val="20"/>
          <w:szCs w:val="20"/>
        </w:rPr>
        <w:t xml:space="preserve">Reduced conviction / wait-for-confirmation. Short-term Exhaustion against a Transitional medium-term regime argues for tactical, level-based trades over directional commitment.</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Kaufman confirmation: </w:t>
      </w:r>
      <w:r>
        <w:rPr>
          <w:rFonts w:ascii="Calibri" w:cs="Calibri" w:eastAsia="Calibri" w:hAnsi="Calibri"/>
          <w:b w:val="false"/>
          <w:bCs w:val="false"/>
          <w:i w:val="false"/>
          <w:iCs w:val="false"/>
          <w:color w:val="000000"/>
          <w:sz w:val="20"/>
          <w:szCs w:val="20"/>
        </w:rPr>
        <w:t xml:space="preserve">KER low (ranging / low-efficiency) — the recent path covers little net distance for the volatility expended. KER agrees with the Transitional regime; neither supports a high-conviction directional trade. The dual-gate RANGE condition is not cleanly met (VOLator slope is turning positive), so the consolidated regime resolves to TRANSITION.</w:t>
      </w:r>
    </w:p>
    <w:p>
      <w:pPr>
        <w:keepNext/>
        <w:shd w:fill="1E6B3A" w:color="auto" w:val="clear"/>
        <w:spacing w:after="130" w:before="260"/>
      </w:pPr>
      <w:r>
        <w:rPr>
          <w:rFonts w:ascii="Calibri" w:cs="Calibri" w:eastAsia="Calibri" w:hAnsi="Calibri"/>
          <w:b/>
          <w:bCs/>
          <w:i w:val="false"/>
          <w:iCs w:val="false"/>
          <w:color w:val="FFFFFF"/>
          <w:sz w:val="24"/>
          <w:szCs w:val="24"/>
        </w:rPr>
        <w:t xml:space="preserve">§10  Cross-Asset Analysis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900"/>
        <w:gridCol w:w="3160"/>
        <w:gridCol w:w="1400"/>
        <w:gridCol w:w="2400"/>
      </w:tblGrid>
      <w:tr>
        <w:trPr>
          <w:tblHeader/>
        </w:trPr>
        <w:tc>
          <w:tcPr>
            <w:tcW w:type="dxa" w:w="150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Counter</w:t>
            </w:r>
          </w:p>
        </w:tc>
        <w:tc>
          <w:tcPr>
            <w:tcW w:type="dxa" w:w="90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5-day</w:t>
            </w:r>
          </w:p>
        </w:tc>
        <w:tc>
          <w:tcPr>
            <w:tcW w:type="dxa" w:w="316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Mechanism → FTSE</w:t>
            </w:r>
          </w:p>
        </w:tc>
        <w:tc>
          <w:tcPr>
            <w:tcW w:type="dxa" w:w="140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Status</w:t>
            </w:r>
          </w:p>
        </w:tc>
        <w:tc>
          <w:tcPr>
            <w:tcW w:type="dxa" w:w="240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Implication</w:t>
            </w:r>
          </w:p>
        </w:tc>
      </w:tr>
      <w:tr>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Dollar Index (DXY)</w:t>
            </w:r>
          </w:p>
        </w:tc>
        <w:tc>
          <w:tcPr>
            <w:tcW w:type="dxa" w:w="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Rising</w:t>
            </w:r>
          </w:p>
        </w:tc>
        <w:tc>
          <w:tcPr>
            <w:tcW w:type="dxa" w:w="31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Stronger USD lifts GBP-reported overseas earnings of FTSE multinationals (~80% foreign revenue)</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Confirms (support)</w:t>
            </w:r>
          </w:p>
        </w:tc>
        <w:tc>
          <w:tcPr>
            <w:tcW w:type="dxa" w:w="2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Cushions FTSE downside via translation</w:t>
            </w:r>
          </w:p>
        </w:tc>
      </w:tr>
      <w:tr>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S&amp;P 500</w:t>
            </w:r>
          </w:p>
        </w:tc>
        <w:tc>
          <w:tcPr>
            <w:tcW w:type="dxa" w:w="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Falling</w:t>
            </w:r>
          </w:p>
        </w:tc>
        <w:tc>
          <w:tcPr>
            <w:tcW w:type="dxa" w:w="31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Common-factor global risk beta; US risk-off transmits to European opens</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Contradicts bull case</w:t>
            </w:r>
          </w:p>
        </w:tc>
        <w:tc>
          <w:tcPr>
            <w:tcW w:type="dxa" w:w="2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Risk-off backdrop caps rebounds</w:t>
            </w:r>
          </w:p>
        </w:tc>
      </w:tr>
      <w:tr>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DAX 40</w:t>
            </w:r>
          </w:p>
        </w:tc>
        <w:tc>
          <w:tcPr>
            <w:tcW w:type="dxa" w:w="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Falling</w:t>
            </w:r>
          </w:p>
        </w:tc>
        <w:tc>
          <w:tcPr>
            <w:tcW w:type="dxa" w:w="31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Eurozone equity proxy; industrials-heavy, shares the Europe risk premium</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Confirms weakness</w:t>
            </w:r>
          </w:p>
        </w:tc>
        <w:tc>
          <w:tcPr>
            <w:tcW w:type="dxa" w:w="2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Region-wide de-risking, not FTSE-specific</w:t>
            </w:r>
          </w:p>
        </w:tc>
      </w:tr>
      <w:tr>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EURO STOXX 50</w:t>
            </w:r>
          </w:p>
        </w:tc>
        <w:tc>
          <w:tcPr>
            <w:tcW w:type="dxa" w:w="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Falling</w:t>
            </w:r>
          </w:p>
        </w:tc>
        <w:tc>
          <w:tcPr>
            <w:tcW w:type="dxa" w:w="31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Direct Eurozone blue-chip pair</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Confirms weakness</w:t>
            </w:r>
          </w:p>
        </w:tc>
        <w:tc>
          <w:tcPr>
            <w:tcW w:type="dxa" w:w="2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Broad European softness, oil-linked</w:t>
            </w:r>
          </w:p>
        </w:tc>
      </w:tr>
    </w:tbl>
    <w:p>
      <w:pPr>
        <w:spacing w:after="120" w:before="60" w:line="276"/>
        <w:jc w:val="left"/>
      </w:pPr>
      <w:r>
        <w:rPr>
          <w:rFonts w:ascii="Calibri" w:cs="Calibri" w:eastAsia="Calibri" w:hAnsi="Calibri"/>
          <w:b/>
          <w:bCs/>
          <w:i w:val="false"/>
          <w:iCs w:val="false"/>
          <w:color w:val="8E244D"/>
          <w:sz w:val="20"/>
          <w:szCs w:val="20"/>
        </w:rPr>
        <w:t xml:space="preserve">Contradiction flag: </w:t>
      </w:r>
      <w:r>
        <w:rPr>
          <w:rFonts w:ascii="Calibri" w:cs="Calibri" w:eastAsia="Calibri" w:hAnsi="Calibri"/>
          <w:b w:val="false"/>
          <w:bCs w:val="false"/>
          <w:i w:val="false"/>
          <w:iCs w:val="false"/>
          <w:color w:val="000000"/>
          <w:sz w:val="19"/>
          <w:szCs w:val="19"/>
        </w:rPr>
        <w:t xml:space="preserve">the Dollar-Index channel is FTSE-supportive while the S&amp;P 500 / DAX risk channel is FTSE-negative. This split is characteristic of the FTSE's dual nature — a weaker risk tape hurts it, but a firmer dollar and firmer oil help its energy and multinational blocks. Net cross-asset read: MIXED. This tension feeds the Bull/Bear balance (§15) and the reduced-conviction forward view (§16).</w:t>
      </w:r>
    </w:p>
    <w:p>
      <w:pPr>
        <w:keepNext/>
        <w:shd w:fill="1E6B3A" w:color="auto" w:val="clear"/>
        <w:spacing w:after="130" w:before="260"/>
      </w:pPr>
      <w:r>
        <w:rPr>
          <w:rFonts w:ascii="Calibri" w:cs="Calibri" w:eastAsia="Calibri" w:hAnsi="Calibri"/>
          <w:b/>
          <w:bCs/>
          <w:i w:val="false"/>
          <w:iCs w:val="false"/>
          <w:color w:val="FFFFFF"/>
          <w:sz w:val="24"/>
          <w:szCs w:val="24"/>
        </w:rPr>
        <w:t xml:space="preserve">§11  Floor Pivot Analysis</w:t>
      </w:r>
    </w:p>
    <w:p>
      <w:pPr>
        <w:spacing w:after="120" w:before="0" w:line="276"/>
        <w:jc w:val="left"/>
      </w:pPr>
      <w:r>
        <w:rPr>
          <w:rFonts w:ascii="Calibri" w:cs="Calibri" w:eastAsia="Calibri" w:hAnsi="Calibri"/>
          <w:b w:val="false"/>
          <w:bCs w:val="false"/>
          <w:i w:val="false"/>
          <w:iCs w:val="false"/>
          <w:color w:val="000000"/>
          <w:sz w:val="20"/>
          <w:szCs w:val="20"/>
        </w:rPr>
        <w:t xml:space="preserve">Pivot levels below are computed on the </w:t>
      </w:r>
      <w:r>
        <w:rPr>
          <w:rFonts w:ascii="Calibri" w:cs="Calibri" w:eastAsia="Calibri" w:hAnsi="Calibri"/>
          <w:b w:val="false"/>
          <w:bCs w:val="false"/>
          <w:i/>
          <w:iCs/>
          <w:color w:val="000000"/>
          <w:sz w:val="20"/>
          <w:szCs w:val="20"/>
        </w:rPr>
        <w:t xml:space="preserve">indicative</w:t>
      </w:r>
      <w:r>
        <w:rPr>
          <w:rFonts w:ascii="Calibri" w:cs="Calibri" w:eastAsia="Calibri" w:hAnsi="Calibri"/>
          <w:b w:val="false"/>
          <w:bCs w:val="false"/>
          <w:i w:val="false"/>
          <w:iCs w:val="false"/>
          <w:color w:val="000000"/>
          <w:sz w:val="20"/>
          <w:szCs w:val="20"/>
        </w:rPr>
        <w:t xml:space="preserve"> prior-session H/L/C and are therefore marked SINGLE-SOURCE INDICATIVE in full. Per the source-discipline protocol they may be used for directional context only and are </w:t>
      </w:r>
      <w:r>
        <w:rPr>
          <w:rFonts w:ascii="Calibri" w:cs="Calibri" w:eastAsia="Calibri" w:hAnsi="Calibri"/>
          <w:b/>
          <w:bCs/>
          <w:i/>
          <w:iCs/>
          <w:color w:val="000000"/>
          <w:sz w:val="20"/>
          <w:szCs w:val="20"/>
        </w:rPr>
        <w:t xml:space="preserve">not</w:t>
      </w:r>
      <w:r>
        <w:rPr>
          <w:rFonts w:ascii="Calibri" w:cs="Calibri" w:eastAsia="Calibri" w:hAnsi="Calibri"/>
          <w:b w:val="false"/>
          <w:bCs w:val="false"/>
          <w:i w:val="false"/>
          <w:iCs w:val="false"/>
          <w:color w:val="000000"/>
          <w:sz w:val="20"/>
          <w:szCs w:val="20"/>
        </w:rPr>
        <w:t xml:space="preserve"> eligible as definitive limit-order or stop levels — this flag propagates directly into the §21 Trade 2 suppression logic.</w:t>
      </w:r>
    </w:p>
    <w:p>
      <w:pPr>
        <w:keepNext/>
        <w:spacing w:after="80" w:before="140"/>
      </w:pPr>
      <w:r>
        <w:rPr>
          <w:rFonts w:ascii="Calibri" w:cs="Calibri" w:eastAsia="Calibri" w:hAnsi="Calibri"/>
          <w:b/>
          <w:bCs/>
          <w:i w:val="false"/>
          <w:iCs w:val="false"/>
          <w:color w:val="1F3864"/>
          <w:sz w:val="21"/>
          <w:szCs w:val="21"/>
        </w:rPr>
        <w:t xml:space="preserve">Daily floor pivots — derived from 08-Jul indicative H/L/C (10,666 / 10,467 / 10,492.51)</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200"/>
        <w:gridCol w:w="2000"/>
        <w:gridCol w:w="6160"/>
      </w:tblGrid>
      <w:tr>
        <w:trPr>
          <w:tblHeader/>
        </w:trPr>
        <w:tc>
          <w:tcPr>
            <w:tcW w:type="dxa" w:w="120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Level</w:t>
            </w:r>
          </w:p>
        </w:tc>
        <w:tc>
          <w:tcPr>
            <w:tcW w:type="dxa" w:w="200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Value (indicative)</w:t>
            </w:r>
          </w:p>
        </w:tc>
        <w:tc>
          <w:tcPr>
            <w:tcW w:type="dxa" w:w="6160"/>
            <w:shd w:fill="D8E9DC"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Status</w:t>
            </w:r>
          </w:p>
        </w:tc>
      </w:tr>
      <w:tr>
        <w:tc>
          <w:tcPr>
            <w:tcW w:type="dxa" w:w="1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R3</w:t>
            </w:r>
          </w:p>
        </w:tc>
        <w:tc>
          <w:tcPr>
            <w:tcW w:type="dxa" w:w="2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10,816</w:t>
            </w:r>
          </w:p>
        </w:tc>
        <w:tc>
          <w:tcPr>
            <w:tcW w:type="dxa" w:w="61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SINGLE-SOURCE INDICATIVE — context only</w:t>
            </w:r>
          </w:p>
        </w:tc>
      </w:tr>
      <w:tr>
        <w:tc>
          <w:tcPr>
            <w:tcW w:type="dxa" w:w="1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R2</w:t>
            </w:r>
          </w:p>
        </w:tc>
        <w:tc>
          <w:tcPr>
            <w:tcW w:type="dxa" w:w="2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10,741</w:t>
            </w:r>
          </w:p>
        </w:tc>
        <w:tc>
          <w:tcPr>
            <w:tcW w:type="dxa" w:w="61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SINGLE-SOURCE INDICATIVE — context only</w:t>
            </w:r>
          </w:p>
        </w:tc>
      </w:tr>
      <w:tr>
        <w:tc>
          <w:tcPr>
            <w:tcW w:type="dxa" w:w="1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R1</w:t>
            </w:r>
          </w:p>
        </w:tc>
        <w:tc>
          <w:tcPr>
            <w:tcW w:type="dxa" w:w="2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10,617</w:t>
            </w:r>
          </w:p>
        </w:tc>
        <w:tc>
          <w:tcPr>
            <w:tcW w:type="dxa" w:w="61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SINGLE-SOURCE INDICATIVE — context only</w:t>
            </w:r>
          </w:p>
        </w:tc>
      </w:tr>
      <w:tr>
        <w:tc>
          <w:tcPr>
            <w:tcW w:type="dxa" w:w="1200"/>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000000"/>
                <w:sz w:val="18"/>
                <w:szCs w:val="18"/>
              </w:rPr>
              <w:t xml:space="preserve">P</w:t>
            </w:r>
          </w:p>
        </w:tc>
        <w:tc>
          <w:tcPr>
            <w:tcW w:type="dxa" w:w="2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10,542</w:t>
            </w:r>
          </w:p>
        </w:tc>
        <w:tc>
          <w:tcPr>
            <w:tcW w:type="dxa" w:w="61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SINGLE-SOURCE INDICATIVE — context only</w:t>
            </w:r>
          </w:p>
        </w:tc>
      </w:tr>
      <w:tr>
        <w:tc>
          <w:tcPr>
            <w:tcW w:type="dxa" w:w="1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S1</w:t>
            </w:r>
          </w:p>
        </w:tc>
        <w:tc>
          <w:tcPr>
            <w:tcW w:type="dxa" w:w="2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10,418</w:t>
            </w:r>
          </w:p>
        </w:tc>
        <w:tc>
          <w:tcPr>
            <w:tcW w:type="dxa" w:w="61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SINGLE-SOURCE INDICATIVE — context only</w:t>
            </w:r>
          </w:p>
        </w:tc>
      </w:tr>
      <w:tr>
        <w:tc>
          <w:tcPr>
            <w:tcW w:type="dxa" w:w="1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S2</w:t>
            </w:r>
          </w:p>
        </w:tc>
        <w:tc>
          <w:tcPr>
            <w:tcW w:type="dxa" w:w="2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10,343</w:t>
            </w:r>
          </w:p>
        </w:tc>
        <w:tc>
          <w:tcPr>
            <w:tcW w:type="dxa" w:w="61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SINGLE-SOURCE INDICATIVE — context only</w:t>
            </w:r>
          </w:p>
        </w:tc>
      </w:tr>
      <w:tr>
        <w:tc>
          <w:tcPr>
            <w:tcW w:type="dxa" w:w="1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S3</w:t>
            </w:r>
          </w:p>
        </w:tc>
        <w:tc>
          <w:tcPr>
            <w:tcW w:type="dxa" w:w="2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10,219</w:t>
            </w:r>
          </w:p>
        </w:tc>
        <w:tc>
          <w:tcPr>
            <w:tcW w:type="dxa" w:w="61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SINGLE-SOURCE INDICATIVE — context only</w:t>
            </w:r>
          </w:p>
        </w:tc>
      </w:tr>
    </w:tbl>
    <w:p>
      <w:pPr>
        <w:spacing w:after="120" w:before="60" w:line="276"/>
        <w:jc w:val="left"/>
      </w:pPr>
      <w:r>
        <w:rPr>
          <w:rFonts w:ascii="Calibri" w:cs="Calibri" w:eastAsia="Calibri" w:hAnsi="Calibri"/>
          <w:b/>
          <w:bCs/>
          <w:i w:val="false"/>
          <w:iCs w:val="false"/>
          <w:color w:val="000000"/>
          <w:sz w:val="20"/>
          <w:szCs w:val="20"/>
        </w:rPr>
        <w:t xml:space="preserve">Position narrative: </w:t>
      </w:r>
      <w:r>
        <w:rPr>
          <w:rFonts w:ascii="Calibri" w:cs="Calibri" w:eastAsia="Calibri" w:hAnsi="Calibri"/>
          <w:b w:val="false"/>
          <w:bCs w:val="false"/>
          <w:i w:val="false"/>
          <w:iCs w:val="false"/>
          <w:color w:val="000000"/>
          <w:sz w:val="19"/>
          <w:szCs w:val="19"/>
        </w:rPr>
        <w:t xml:space="preserve">the 08-Jul close (10,492.51) sits just above the pivot P (~10,542 indicative) after closing near its low — i.e. below the daily pivot on a settlement basis, a short-term bearish location. Weekly and monthly pivot tables are omitted because their prior-period H/L/C are equally indicative and would add no corroborated information.</w:t>
      </w:r>
    </w:p>
    <w:p>
      <w:pPr>
        <w:keepNext/>
        <w:shd w:fill="1F3864" w:color="auto" w:val="clear"/>
        <w:spacing w:after="130" w:before="260"/>
      </w:pPr>
      <w:r>
        <w:rPr>
          <w:rFonts w:ascii="Calibri" w:cs="Calibri" w:eastAsia="Calibri" w:hAnsi="Calibri"/>
          <w:b/>
          <w:bCs/>
          <w:i w:val="false"/>
          <w:iCs w:val="false"/>
          <w:color w:val="FFFFFF"/>
          <w:sz w:val="24"/>
          <w:szCs w:val="24"/>
        </w:rPr>
        <w:t xml:space="preserve">§12  Key Market Considerations</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Energy / oil (cyclical, price-supportive AND price-negative): </w:t>
      </w:r>
      <w:r>
        <w:rPr>
          <w:rFonts w:ascii="Calibri" w:cs="Calibri" w:eastAsia="Calibri" w:hAnsi="Calibri"/>
          <w:b w:val="false"/>
          <w:bCs w:val="false"/>
          <w:i w:val="false"/>
          <w:iCs w:val="false"/>
          <w:color w:val="000000"/>
          <w:sz w:val="20"/>
          <w:szCs w:val="20"/>
        </w:rPr>
        <w:t xml:space="preserve">crude's renewed climb on Middle East tension lifts FTSE energy majors (Shell, BP ~14%+ combined weight) but simultaneously revives inflation fears that pressure the broader tape. Net near-term: two-sided, leaning supportive for the index's energy block.</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Mining / base metals (cyclical, price-negative): </w:t>
      </w:r>
      <w:r>
        <w:rPr>
          <w:rFonts w:ascii="Calibri" w:cs="Calibri" w:eastAsia="Calibri" w:hAnsi="Calibri"/>
          <w:b w:val="false"/>
          <w:bCs w:val="false"/>
          <w:i w:val="false"/>
          <w:iCs w:val="false"/>
          <w:color w:val="000000"/>
          <w:sz w:val="20"/>
          <w:szCs w:val="20"/>
        </w:rPr>
        <w:t xml:space="preserve">miners (Rio, Anglo, Antofagasta, Glencore) have led recent declines on softer base-metals prices — a persistent drag given their large index weight.</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Monetary policy (structural, neutral-to-supportive): </w:t>
      </w:r>
      <w:r>
        <w:rPr>
          <w:rFonts w:ascii="Calibri" w:cs="Calibri" w:eastAsia="Calibri" w:hAnsi="Calibri"/>
          <w:b w:val="false"/>
          <w:bCs w:val="false"/>
          <w:i w:val="false"/>
          <w:iCs w:val="false"/>
          <w:color w:val="000000"/>
          <w:sz w:val="20"/>
          <w:szCs w:val="20"/>
        </w:rPr>
        <w:t xml:space="preserve">BoE on hold at 3.75% with headline CPI easing to 2.8% (from 3.3%). A stable-to-easing path is mildly supportive for equities; the BoE sits more hawkish than the Fed, more dovish than the ECB.</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FX (structural, price-supportive): </w:t>
      </w:r>
      <w:r>
        <w:rPr>
          <w:rFonts w:ascii="Calibri" w:cs="Calibri" w:eastAsia="Calibri" w:hAnsi="Calibri"/>
          <w:b w:val="false"/>
          <w:bCs w:val="false"/>
          <w:i w:val="false"/>
          <w:iCs w:val="false"/>
          <w:color w:val="000000"/>
          <w:sz w:val="20"/>
          <w:szCs w:val="20"/>
        </w:rPr>
        <w:t xml:space="preserve">a firmer dollar / softer sterling lifts the GBP value of the FTSE's ~80% overseas earnings — a structural tailwind that distinguishes the FTSE from purely domestic indices.</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Near-term catalysts (cyclical): </w:t>
      </w:r>
      <w:r>
        <w:rPr>
          <w:rFonts w:ascii="Calibri" w:cs="Calibri" w:eastAsia="Calibri" w:hAnsi="Calibri"/>
          <w:b w:val="false"/>
          <w:bCs w:val="false"/>
          <w:i w:val="false"/>
          <w:iCs w:val="false"/>
          <w:color w:val="000000"/>
          <w:sz w:val="20"/>
          <w:szCs w:val="20"/>
        </w:rPr>
        <w:t xml:space="preserve">weekend geopolitical headlines, the crude path, and the upcoming US and UK data slate (see §13d). These are the primary watch items for the 5-session horizon.</w:t>
      </w:r>
    </w:p>
    <w:p>
      <w:pPr>
        <w:keepNext/>
        <w:shd w:fill="1F3864" w:color="auto" w:val="clear"/>
        <w:spacing w:after="130" w:before="260"/>
      </w:pPr>
      <w:r>
        <w:rPr>
          <w:rFonts w:ascii="Calibri" w:cs="Calibri" w:eastAsia="Calibri" w:hAnsi="Calibri"/>
          <w:b/>
          <w:bCs/>
          <w:i w:val="false"/>
          <w:iCs w:val="false"/>
          <w:color w:val="FFFFFF"/>
          <w:sz w:val="24"/>
          <w:szCs w:val="24"/>
        </w:rPr>
        <w:t xml:space="preserve">§13  Sentiment, News &amp; Calendar</w:t>
      </w:r>
    </w:p>
    <w:p>
      <w:pPr>
        <w:keepNext/>
        <w:spacing w:after="80" w:before="140"/>
      </w:pPr>
      <w:r>
        <w:rPr>
          <w:rFonts w:ascii="Calibri" w:cs="Calibri" w:eastAsia="Calibri" w:hAnsi="Calibri"/>
          <w:b/>
          <w:bCs/>
          <w:i w:val="false"/>
          <w:iCs w:val="false"/>
          <w:color w:val="1F3864"/>
          <w:sz w:val="21"/>
          <w:szCs w:val="21"/>
        </w:rPr>
        <w:t xml:space="preserve">§13a  Per-article sentiment</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1000"/>
        <w:gridCol w:w="1250"/>
        <w:gridCol w:w="2400"/>
        <w:gridCol w:w="1300"/>
        <w:gridCol w:w="1910"/>
      </w:tblGrid>
      <w:tr>
        <w:trPr>
          <w:tblHeader/>
        </w:trPr>
        <w:tc>
          <w:tcPr>
            <w:tcW w:type="dxa" w:w="15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Source</w:t>
            </w:r>
          </w:p>
        </w:tc>
        <w:tc>
          <w:tcPr>
            <w:tcW w:type="dxa" w:w="10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Date</w:t>
            </w:r>
          </w:p>
        </w:tc>
        <w:tc>
          <w:tcPr>
            <w:tcW w:type="dxa" w:w="125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Class.</w:t>
            </w:r>
          </w:p>
        </w:tc>
        <w:tc>
          <w:tcPr>
            <w:tcW w:type="dxa" w:w="24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Headline (summary)</w:t>
            </w:r>
          </w:p>
        </w:tc>
        <w:tc>
          <w:tcPr>
            <w:tcW w:type="dxa" w:w="13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Sentiment</w:t>
            </w:r>
          </w:p>
        </w:tc>
        <w:tc>
          <w:tcPr>
            <w:tcW w:type="dxa" w:w="191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Derivation quote (≤15w)</w:t>
            </w:r>
          </w:p>
        </w:tc>
      </w:tr>
      <w:tr>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Trading Economics</w:t>
            </w:r>
          </w:p>
        </w:tc>
        <w:tc>
          <w:tcPr>
            <w:tcW w:type="dxa" w:w="1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08 Jul</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Media</w:t>
            </w:r>
          </w:p>
        </w:tc>
        <w:tc>
          <w:tcPr>
            <w:tcW w:type="dxa" w:w="2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FTSE declines on Middle East friction, oil</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Bearish</w:t>
            </w:r>
          </w:p>
        </w:tc>
        <w:tc>
          <w:tcPr>
            <w:tcW w:type="dxa" w:w="191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"declined over 0.5% as escalating Middle East friction"</w:t>
            </w:r>
          </w:p>
        </w:tc>
      </w:tr>
      <w:tr>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Trading Economics</w:t>
            </w:r>
          </w:p>
        </w:tc>
        <w:tc>
          <w:tcPr>
            <w:tcW w:type="dxa" w:w="1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07 Jul</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Media</w:t>
            </w:r>
          </w:p>
        </w:tc>
        <w:tc>
          <w:tcPr>
            <w:tcW w:type="dxa" w:w="2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FTSE +0.30% Tuesday, led by Diageo, Shell</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Bullish</w:t>
            </w:r>
          </w:p>
        </w:tc>
        <w:tc>
          <w:tcPr>
            <w:tcW w:type="dxa" w:w="191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"gained 32 points or 0.30 percent on Tuesday"</w:t>
            </w:r>
          </w:p>
        </w:tc>
      </w:tr>
      <w:tr>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 Rowe Price</w:t>
            </w:r>
          </w:p>
        </w:tc>
        <w:tc>
          <w:tcPr>
            <w:tcW w:type="dxa" w:w="1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week to 02 Jul</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Institutional</w:t>
            </w:r>
          </w:p>
        </w:tc>
        <w:tc>
          <w:tcPr>
            <w:tcW w:type="dxa" w:w="2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European weekly: FTSE +1.38%, DAX +3.69%</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Bullish</w:t>
            </w:r>
          </w:p>
        </w:tc>
        <w:tc>
          <w:tcPr>
            <w:tcW w:type="dxa" w:w="191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"The UK's FTSE 100 Index climbed 1.38%"</w:t>
            </w:r>
          </w:p>
        </w:tc>
      </w:tr>
      <w:tr>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Morningstar</w:t>
            </w:r>
          </w:p>
        </w:tc>
        <w:tc>
          <w:tcPr>
            <w:tcW w:type="dxa" w:w="1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Feb/ongoing</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Institutional</w:t>
            </w:r>
          </w:p>
        </w:tc>
        <w:tc>
          <w:tcPr>
            <w:tcW w:type="dxa" w:w="2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FTSE outlook: path to 11,000</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Bullish</w:t>
            </w:r>
          </w:p>
        </w:tc>
        <w:tc>
          <w:tcPr>
            <w:tcW w:type="dxa" w:w="191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"analysts see the FTSE poised for further gains"</w:t>
            </w:r>
          </w:p>
        </w:tc>
      </w:tr>
      <w:tr>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Sunday Guardian</w:t>
            </w:r>
          </w:p>
        </w:tc>
        <w:tc>
          <w:tcPr>
            <w:tcW w:type="dxa" w:w="1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02 Jul</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Media</w:t>
            </w:r>
          </w:p>
        </w:tc>
        <w:tc>
          <w:tcPr>
            <w:tcW w:type="dxa" w:w="2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FTSE range-bound amid oil drop, BoE 3.75%</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Neutral</w:t>
            </w:r>
          </w:p>
        </w:tc>
        <w:tc>
          <w:tcPr>
            <w:tcW w:type="dxa" w:w="191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"expected to remain range-bound between 10,120 and 10,480"</w:t>
            </w:r>
          </w:p>
        </w:tc>
      </w:tr>
      <w:tr>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Trading Economics (EU)</w:t>
            </w:r>
          </w:p>
        </w:tc>
        <w:tc>
          <w:tcPr>
            <w:tcW w:type="dxa" w:w="1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06 Jul</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Media</w:t>
            </w:r>
          </w:p>
        </w:tc>
        <w:tc>
          <w:tcPr>
            <w:tcW w:type="dxa" w:w="2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STOXX 50 −0.2%; hawkish ECB pricing</w:t>
            </w:r>
          </w:p>
        </w:tc>
        <w:tc>
          <w:tcPr>
            <w:tcW w:type="dxa" w:w="1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Bearish</w:t>
            </w:r>
          </w:p>
        </w:tc>
        <w:tc>
          <w:tcPr>
            <w:tcW w:type="dxa" w:w="191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"Euro STOXX 50 dropped 0.2%... markets priced a hawkish ECB"</w:t>
            </w:r>
          </w:p>
        </w:tc>
      </w:tr>
    </w:tbl>
    <w:p>
      <w:pPr>
        <w:keepNext/>
        <w:spacing w:after="80" w:before="140"/>
      </w:pPr>
      <w:r>
        <w:rPr>
          <w:rFonts w:ascii="Calibri" w:cs="Calibri" w:eastAsia="Calibri" w:hAnsi="Calibri"/>
          <w:b/>
          <w:bCs/>
          <w:i w:val="false"/>
          <w:iCs w:val="false"/>
          <w:color w:val="1F3864"/>
          <w:sz w:val="21"/>
          <w:szCs w:val="21"/>
        </w:rPr>
        <w:t xml:space="preserve">§13b  Aggregate sentiment summary</w:t>
      </w:r>
    </w:p>
    <w:p>
      <w:pPr>
        <w:spacing w:after="120" w:before="0" w:line="276"/>
        <w:jc w:val="left"/>
      </w:pPr>
      <w:r>
        <w:rPr>
          <w:rFonts w:ascii="Calibri" w:cs="Calibri" w:eastAsia="Calibri" w:hAnsi="Calibri"/>
          <w:b w:val="false"/>
          <w:bCs w:val="false"/>
          <w:i w:val="false"/>
          <w:iCs w:val="false"/>
          <w:color w:val="000000"/>
          <w:sz w:val="20"/>
          <w:szCs w:val="20"/>
        </w:rPr>
        <w:t xml:space="preserve">Counts (FTSE): 3 Bullish (2 institutional, 1 media), 2 Bearish (media), 1 Neutral (media). Categorical label: </w:t>
      </w:r>
      <w:r>
        <w:rPr>
          <w:rFonts w:ascii="Calibri" w:cs="Calibri" w:eastAsia="Calibri" w:hAnsi="Calibri"/>
          <w:b/>
          <w:bCs/>
          <w:i w:val="false"/>
          <w:iCs w:val="false"/>
          <w:color w:val="000000"/>
          <w:sz w:val="20"/>
          <w:szCs w:val="20"/>
        </w:rPr>
        <w:t xml:space="preserve">Mixed-to-Bullish</w:t>
      </w:r>
      <w:r>
        <w:rPr>
          <w:rFonts w:ascii="Calibri" w:cs="Calibri" w:eastAsia="Calibri" w:hAnsi="Calibri"/>
          <w:b w:val="false"/>
          <w:bCs w:val="false"/>
          <w:i w:val="false"/>
          <w:iCs w:val="false"/>
          <w:color w:val="000000"/>
          <w:sz w:val="20"/>
          <w:szCs w:val="20"/>
        </w:rPr>
        <w:t xml:space="preserve">. Numeric tilt (source-class weighted): institutional bullish carries higher weight, but two fresh media-bearish reads on the reversal day pull it back. Σw·s ≈ (1.0·+1)+(1.0·+1)+(0.5·+1)+(0.5·−1)+(0.5·−1)+(0.5·0) = +1.5; Σw ≈ 4.0 → </w:t>
      </w:r>
      <w:r>
        <w:rPr>
          <w:rFonts w:ascii="Calibri" w:cs="Calibri" w:eastAsia="Calibri" w:hAnsi="Calibri"/>
          <w:b/>
          <w:bCs/>
          <w:i w:val="false"/>
          <w:iCs w:val="false"/>
          <w:color w:val="8E244D"/>
          <w:sz w:val="20"/>
          <w:szCs w:val="20"/>
        </w:rPr>
        <w:t xml:space="preserve">tilt = +0.38</w:t>
      </w:r>
      <w:r>
        <w:rPr>
          <w:rFonts w:ascii="Calibri" w:cs="Calibri" w:eastAsia="Calibri" w:hAnsi="Calibri"/>
          <w:b w:val="false"/>
          <w:bCs w:val="false"/>
          <w:i w:val="false"/>
          <w:iCs w:val="false"/>
          <w:color w:val="000000"/>
          <w:sz w:val="20"/>
          <w:szCs w:val="20"/>
        </w:rPr>
        <w:t xml:space="preserve">. Reported as: Mixed-to-Bullish (tilt = +0.38). This is the value consumed by §21 directional conviction.</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Divergence flag: </w:t>
      </w:r>
      <w:r>
        <w:rPr>
          <w:rFonts w:ascii="Calibri" w:cs="Calibri" w:eastAsia="Calibri" w:hAnsi="Calibri"/>
          <w:b w:val="false"/>
          <w:bCs w:val="false"/>
          <w:i w:val="false"/>
          <w:iCs w:val="false"/>
          <w:color w:val="000000"/>
          <w:sz w:val="20"/>
          <w:szCs w:val="20"/>
        </w:rPr>
        <w:t xml:space="preserve">aggregate tilt is positive (+0.38) while the most recent price action (08-Jul −1.6%) is sharply negative — a sentiment/price divergence. Given the Transitional regime and MIXED cross-asset read, the price action is the more reliable near-term signal; the positive tilt reflects the stale pre-reversal institutional optimism and should be down-weighted for the immediate session.</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Low-confidence flag: </w:t>
      </w:r>
      <w:r>
        <w:rPr>
          <w:rFonts w:ascii="Calibri" w:cs="Calibri" w:eastAsia="Calibri" w:hAnsi="Calibri"/>
          <w:b w:val="false"/>
          <w:bCs w:val="false"/>
          <w:i w:val="false"/>
          <w:iCs w:val="false"/>
          <w:color w:val="000000"/>
          <w:sz w:val="20"/>
          <w:szCs w:val="20"/>
        </w:rPr>
        <w:t xml:space="preserve">tilt computed on six articles — above the three-article minimum, so not low-confidence, though two of the bullish reads pre-date the 08-Jul reversal.</w:t>
      </w:r>
    </w:p>
    <w:p>
      <w:pPr>
        <w:keepNext/>
        <w:spacing w:after="80" w:before="140"/>
      </w:pPr>
      <w:r>
        <w:rPr>
          <w:rFonts w:ascii="Calibri" w:cs="Calibri" w:eastAsia="Calibri" w:hAnsi="Calibri"/>
          <w:b/>
          <w:bCs/>
          <w:i w:val="false"/>
          <w:iCs w:val="false"/>
          <w:color w:val="1F3864"/>
          <w:sz w:val="21"/>
          <w:szCs w:val="21"/>
        </w:rPr>
        <w:t xml:space="preserve">§13c  News calendar — previous period (to 08 Jul)</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200"/>
        <w:gridCol w:w="2600"/>
        <w:gridCol w:w="2200"/>
        <w:gridCol w:w="900"/>
        <w:gridCol w:w="2460"/>
      </w:tblGrid>
      <w:tr>
        <w:trPr>
          <w:tblHeader/>
        </w:trPr>
        <w:tc>
          <w:tcPr>
            <w:tcW w:type="dxa" w:w="12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Date</w:t>
            </w:r>
          </w:p>
        </w:tc>
        <w:tc>
          <w:tcPr>
            <w:tcW w:type="dxa" w:w="26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Event</w:t>
            </w:r>
          </w:p>
        </w:tc>
        <w:tc>
          <w:tcPr>
            <w:tcW w:type="dxa" w:w="22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Prior / context</w:t>
            </w:r>
          </w:p>
        </w:tc>
        <w:tc>
          <w:tcPr>
            <w:tcW w:type="dxa" w:w="9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Impact</w:t>
            </w:r>
          </w:p>
        </w:tc>
        <w:tc>
          <w:tcPr>
            <w:tcW w:type="dxa" w:w="246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Implication for FTSE</w:t>
            </w:r>
          </w:p>
        </w:tc>
      </w:tr>
      <w:tr>
        <w:tc>
          <w:tcPr>
            <w:tcW w:type="dxa" w:w="1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01–02 Jul</w:t>
            </w:r>
          </w:p>
        </w:tc>
        <w:tc>
          <w:tcPr>
            <w:tcW w:type="dxa" w:w="26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Eurozone CPI (June)</w:t>
            </w:r>
          </w:p>
        </w:tc>
        <w:tc>
          <w:tcPr>
            <w:tcW w:type="dxa" w:w="2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2.8% vs 3.2% May</w:t>
            </w:r>
          </w:p>
        </w:tc>
        <w:tc>
          <w:tcPr>
            <w:tcW w:type="dxa" w:w="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Med</w:t>
            </w:r>
          </w:p>
        </w:tc>
        <w:tc>
          <w:tcPr>
            <w:tcW w:type="dxa" w:w="24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Cooler print eased ECB-urgency; supported European rally</w:t>
            </w:r>
          </w:p>
        </w:tc>
      </w:tr>
      <w:tr>
        <w:tc>
          <w:tcPr>
            <w:tcW w:type="dxa" w:w="1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02 Jul</w:t>
            </w:r>
          </w:p>
        </w:tc>
        <w:tc>
          <w:tcPr>
            <w:tcW w:type="dxa" w:w="26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US non-farm payrolls watch</w:t>
            </w:r>
          </w:p>
        </w:tc>
        <w:tc>
          <w:tcPr>
            <w:tcW w:type="dxa" w:w="2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Rate-path signal</w:t>
            </w:r>
          </w:p>
        </w:tc>
        <w:tc>
          <w:tcPr>
            <w:tcW w:type="dxa" w:w="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High</w:t>
            </w:r>
          </w:p>
        </w:tc>
        <w:tc>
          <w:tcPr>
            <w:tcW w:type="dxa" w:w="24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Strong US jobs firmed USD, mixed for risk</w:t>
            </w:r>
          </w:p>
        </w:tc>
      </w:tr>
      <w:tr>
        <w:tc>
          <w:tcPr>
            <w:tcW w:type="dxa" w:w="1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07 Jul</w:t>
            </w:r>
          </w:p>
        </w:tc>
        <w:tc>
          <w:tcPr>
            <w:tcW w:type="dxa" w:w="26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FTSE marginal new high 10,747</w:t>
            </w:r>
          </w:p>
        </w:tc>
        <w:tc>
          <w:tcPr>
            <w:tcW w:type="dxa" w:w="2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Momentum peak</w:t>
            </w:r>
          </w:p>
        </w:tc>
        <w:tc>
          <w:tcPr>
            <w:tcW w:type="dxa" w:w="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Med</w:t>
            </w:r>
          </w:p>
        </w:tc>
        <w:tc>
          <w:tcPr>
            <w:tcW w:type="dxa" w:w="24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Upper-wick rejection into strength</w:t>
            </w:r>
          </w:p>
        </w:tc>
      </w:tr>
      <w:tr>
        <w:tc>
          <w:tcPr>
            <w:tcW w:type="dxa" w:w="1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08 Jul</w:t>
            </w:r>
          </w:p>
        </w:tc>
        <w:tc>
          <w:tcPr>
            <w:tcW w:type="dxa" w:w="26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Middle East friction + oil climb</w:t>
            </w:r>
          </w:p>
        </w:tc>
        <w:tc>
          <w:tcPr>
            <w:tcW w:type="dxa" w:w="2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Geopolitics</w:t>
            </w:r>
          </w:p>
        </w:tc>
        <w:tc>
          <w:tcPr>
            <w:tcW w:type="dxa" w:w="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High</w:t>
            </w:r>
          </w:p>
        </w:tc>
        <w:tc>
          <w:tcPr>
            <w:tcW w:type="dxa" w:w="24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Triggered −1.6% reversal; defence/mining hit</w:t>
            </w:r>
          </w:p>
        </w:tc>
      </w:tr>
    </w:tbl>
    <w:p>
      <w:pPr>
        <w:keepNext/>
        <w:spacing w:after="80" w:before="140"/>
      </w:pPr>
      <w:r>
        <w:rPr>
          <w:rFonts w:ascii="Calibri" w:cs="Calibri" w:eastAsia="Calibri" w:hAnsi="Calibri"/>
          <w:b/>
          <w:bCs/>
          <w:i w:val="false"/>
          <w:iCs w:val="false"/>
          <w:color w:val="1F3864"/>
          <w:sz w:val="21"/>
          <w:szCs w:val="21"/>
        </w:rPr>
        <w:t xml:space="preserve">§13d  News calendar — upcoming (5-session horizon from 09 Jul)</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200"/>
        <w:gridCol w:w="2600"/>
        <w:gridCol w:w="2000"/>
        <w:gridCol w:w="900"/>
        <w:gridCol w:w="2660"/>
      </w:tblGrid>
      <w:tr>
        <w:trPr>
          <w:tblHeader/>
        </w:trPr>
        <w:tc>
          <w:tcPr>
            <w:tcW w:type="dxa" w:w="12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Date</w:t>
            </w:r>
          </w:p>
        </w:tc>
        <w:tc>
          <w:tcPr>
            <w:tcW w:type="dxa" w:w="26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Event</w:t>
            </w:r>
          </w:p>
        </w:tc>
        <w:tc>
          <w:tcPr>
            <w:tcW w:type="dxa" w:w="20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Context</w:t>
            </w:r>
          </w:p>
        </w:tc>
        <w:tc>
          <w:tcPr>
            <w:tcW w:type="dxa" w:w="90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Impact</w:t>
            </w:r>
          </w:p>
        </w:tc>
        <w:tc>
          <w:tcPr>
            <w:tcW w:type="dxa" w:w="2660"/>
            <w:shd w:fill="D9E1F2"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Implication for FTSE</w:t>
            </w:r>
          </w:p>
        </w:tc>
      </w:tr>
      <w:tr>
        <w:tc>
          <w:tcPr>
            <w:tcW w:type="dxa" w:w="1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09–10 Jul</w:t>
            </w:r>
          </w:p>
        </w:tc>
        <w:tc>
          <w:tcPr>
            <w:tcW w:type="dxa" w:w="26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Weekend Middle East / oil headlines</w:t>
            </w:r>
          </w:p>
        </w:tc>
        <w:tc>
          <w:tcPr>
            <w:tcW w:type="dxa" w:w="2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Geopolitics</w:t>
            </w:r>
          </w:p>
        </w:tc>
        <w:tc>
          <w:tcPr>
            <w:tcW w:type="dxa" w:w="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High</w:t>
            </w:r>
          </w:p>
        </w:tc>
        <w:tc>
          <w:tcPr>
            <w:tcW w:type="dxa" w:w="26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Beat(calm)→relief bounce; miss(escalation)→gap-down risk</w:t>
            </w:r>
          </w:p>
        </w:tc>
      </w:tr>
      <w:tr>
        <w:tc>
          <w:tcPr>
            <w:tcW w:type="dxa" w:w="1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mid-Jul</w:t>
            </w:r>
          </w:p>
        </w:tc>
        <w:tc>
          <w:tcPr>
            <w:tcW w:type="dxa" w:w="26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UK CPI (June)</w:t>
            </w:r>
          </w:p>
        </w:tc>
        <w:tc>
          <w:tcPr>
            <w:tcW w:type="dxa" w:w="2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Prior 2.8%</w:t>
            </w:r>
          </w:p>
        </w:tc>
        <w:tc>
          <w:tcPr>
            <w:tcW w:type="dxa" w:w="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High</w:t>
            </w:r>
          </w:p>
        </w:tc>
        <w:tc>
          <w:tcPr>
            <w:tcW w:type="dxa" w:w="26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Hotter→BoE-hawkish, GBP up, FTSE mixed; cooler→supportive</w:t>
            </w:r>
          </w:p>
        </w:tc>
      </w:tr>
      <w:tr>
        <w:tc>
          <w:tcPr>
            <w:tcW w:type="dxa" w:w="1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mid-Jul</w:t>
            </w:r>
          </w:p>
        </w:tc>
        <w:tc>
          <w:tcPr>
            <w:tcW w:type="dxa" w:w="26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US CPI / Fed commentary</w:t>
            </w:r>
          </w:p>
        </w:tc>
        <w:tc>
          <w:tcPr>
            <w:tcW w:type="dxa" w:w="2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Rate path</w:t>
            </w:r>
          </w:p>
        </w:tc>
        <w:tc>
          <w:tcPr>
            <w:tcW w:type="dxa" w:w="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High</w:t>
            </w:r>
          </w:p>
        </w:tc>
        <w:tc>
          <w:tcPr>
            <w:tcW w:type="dxa" w:w="26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Drives global risk beta and DXY</w:t>
            </w:r>
          </w:p>
        </w:tc>
      </w:tr>
      <w:tr>
        <w:tc>
          <w:tcPr>
            <w:tcW w:type="dxa" w:w="12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ongoing</w:t>
            </w:r>
          </w:p>
        </w:tc>
        <w:tc>
          <w:tcPr>
            <w:tcW w:type="dxa" w:w="26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UK/EU Q2 earnings season start</w:t>
            </w:r>
          </w:p>
        </w:tc>
        <w:tc>
          <w:tcPr>
            <w:tcW w:type="dxa" w:w="2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Guidance</w:t>
            </w:r>
          </w:p>
        </w:tc>
        <w:tc>
          <w:tcPr>
            <w:tcW w:type="dxa" w:w="9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Med</w:t>
            </w:r>
          </w:p>
        </w:tc>
        <w:tc>
          <w:tcPr>
            <w:tcW w:type="dxa" w:w="26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Stock-specific dispersion; energy vs miners split</w:t>
            </w:r>
          </w:p>
        </w:tc>
      </w:tr>
    </w:tbl>
    <w:p>
      <w:pPr>
        <w:spacing w:after="120" w:before="40" w:line="276"/>
        <w:jc w:val="left"/>
      </w:pPr>
      <w:r>
        <w:rPr>
          <w:rFonts w:ascii="Calibri" w:cs="Calibri" w:eastAsia="Calibri" w:hAnsi="Calibri"/>
          <w:b/>
          <w:bCs/>
          <w:i w:val="false"/>
          <w:iCs w:val="false"/>
          <w:color w:val="8E244D"/>
          <w:sz w:val="20"/>
          <w:szCs w:val="20"/>
        </w:rPr>
        <w:t xml:space="preserve">Highest-impact upcoming event: </w:t>
      </w:r>
      <w:r>
        <w:rPr>
          <w:rFonts w:ascii="Calibri" w:cs="Calibri" w:eastAsia="Calibri" w:hAnsi="Calibri"/>
          <w:b/>
          <w:bCs/>
          <w:i w:val="false"/>
          <w:iCs w:val="false"/>
          <w:color w:val="000000"/>
          <w:sz w:val="20"/>
          <w:szCs w:val="20"/>
        </w:rPr>
        <w:t xml:space="preserve">weekend Middle East / crude headlines. </w:t>
      </w:r>
      <w:r>
        <w:rPr>
          <w:rFonts w:ascii="Calibri" w:cs="Calibri" w:eastAsia="Calibri" w:hAnsi="Calibri"/>
          <w:b w:val="false"/>
          <w:bCs w:val="false"/>
          <w:i w:val="false"/>
          <w:iCs w:val="false"/>
          <w:color w:val="000000"/>
          <w:sz w:val="20"/>
          <w:szCs w:val="20"/>
        </w:rPr>
        <w:t xml:space="preserve">An escalation that pushes oil sharply higher would deepen the inflation-scare selloff and likely gap the index below the 10,467 support on the open; a de-escalation would favour a relief rebound toward the 10,660–10,684 broken-close cluster.</w:t>
      </w:r>
    </w:p>
    <w:p>
      <w:pPr>
        <w:keepNext/>
        <w:shd w:fill="1F3864" w:color="auto" w:val="clear"/>
        <w:spacing w:after="130" w:before="260"/>
      </w:pPr>
      <w:r>
        <w:rPr>
          <w:rFonts w:ascii="Calibri" w:cs="Calibri" w:eastAsia="Calibri" w:hAnsi="Calibri"/>
          <w:b/>
          <w:bCs/>
          <w:i w:val="false"/>
          <w:iCs w:val="false"/>
          <w:color w:val="FFFFFF"/>
          <w:sz w:val="24"/>
          <w:szCs w:val="24"/>
        </w:rPr>
        <w:t xml:space="preserve">§14  Macro Context</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Rates &amp; policy: </w:t>
      </w:r>
      <w:r>
        <w:rPr>
          <w:rFonts w:ascii="Calibri" w:cs="Calibri" w:eastAsia="Calibri" w:hAnsi="Calibri"/>
          <w:b w:val="false"/>
          <w:bCs w:val="false"/>
          <w:i w:val="false"/>
          <w:iCs w:val="false"/>
          <w:color w:val="000000"/>
          <w:sz w:val="20"/>
          <w:szCs w:val="20"/>
        </w:rPr>
        <w:t xml:space="preserve">BoE 3.75% hold; hawkish-of-Fed, dovish-of-ECB. Cross-referencing the S&amp;P 500 read from §10, a softer US tape and firmer-for-longer Fed pricing keep global risk premia elevated — a headwind for FTSE rebounds.</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Inflation: </w:t>
      </w:r>
      <w:r>
        <w:rPr>
          <w:rFonts w:ascii="Calibri" w:cs="Calibri" w:eastAsia="Calibri" w:hAnsi="Calibri"/>
          <w:b w:val="false"/>
          <w:bCs w:val="false"/>
          <w:i w:val="false"/>
          <w:iCs w:val="false"/>
          <w:color w:val="000000"/>
          <w:sz w:val="20"/>
          <w:szCs w:val="20"/>
        </w:rPr>
        <w:t xml:space="preserve">UK headline CPI 2.8% (easing); eurozone 2.8% (June, below expectations). Disinflation is mildly price-supportive, but the oil climb threatens to stall it — the key two-way macro risk this week.</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FX / liquidity: </w:t>
      </w:r>
      <w:r>
        <w:rPr>
          <w:rFonts w:ascii="Calibri" w:cs="Calibri" w:eastAsia="Calibri" w:hAnsi="Calibri"/>
          <w:b w:val="false"/>
          <w:bCs w:val="false"/>
          <w:i w:val="false"/>
          <w:iCs w:val="false"/>
          <w:color w:val="000000"/>
          <w:sz w:val="20"/>
          <w:szCs w:val="20"/>
        </w:rPr>
        <w:t xml:space="preserve">citing the DXY read from §10 (rising ~100), a firmer dollar / softer sterling is the FTSE's structural earnings tailwind and the main reason the index tends to outperform on risk-off days relative to domestically-geared peers.</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Energy: </w:t>
      </w:r>
      <w:r>
        <w:rPr>
          <w:rFonts w:ascii="Calibri" w:cs="Calibri" w:eastAsia="Calibri" w:hAnsi="Calibri"/>
          <w:b w:val="false"/>
          <w:bCs w:val="false"/>
          <w:i w:val="false"/>
          <w:iCs w:val="false"/>
          <w:color w:val="000000"/>
          <w:sz w:val="20"/>
          <w:szCs w:val="20"/>
        </w:rPr>
        <w:t xml:space="preserve">crude's renewed strength is the single most consequential macro variable for the FTSE this week given index energy weighting — supportive for the energy block, negative for the inflation outlook.</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Positioning: </w:t>
      </w:r>
      <w:r>
        <w:rPr>
          <w:rFonts w:ascii="Calibri" w:cs="Calibri" w:eastAsia="Calibri" w:hAnsi="Calibri"/>
          <w:b w:val="false"/>
          <w:bCs w:val="false"/>
          <w:i w:val="false"/>
          <w:iCs w:val="false"/>
          <w:color w:val="000000"/>
          <w:sz w:val="20"/>
          <w:szCs w:val="20"/>
        </w:rPr>
        <w:t xml:space="preserve">the 08-Jul RSI2 washout to single digits leaves the very short-term picture oversold — a condition that can precede a technical bounce even inside a cautious tape. Watch-item cross-reference: the §13d UK CPI print is the event most able to move the rates/FX variables above.</w:t>
      </w:r>
    </w:p>
    <w:p>
      <w:pPr>
        <w:keepNext/>
        <w:shd w:fill="1F3864" w:color="auto" w:val="clear"/>
        <w:spacing w:after="130" w:before="260"/>
      </w:pPr>
      <w:r>
        <w:rPr>
          <w:rFonts w:ascii="Calibri" w:cs="Calibri" w:eastAsia="Calibri" w:hAnsi="Calibri"/>
          <w:b/>
          <w:bCs/>
          <w:i w:val="false"/>
          <w:iCs w:val="false"/>
          <w:color w:val="FFFFFF"/>
          <w:sz w:val="24"/>
          <w:szCs w:val="24"/>
        </w:rPr>
        <w:t xml:space="preserve">§15  Bull / Bear Balance</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4680"/>
        <w:gridCol w:w="4680"/>
      </w:tblGrid>
      <w:tr>
        <w:tc>
          <w:tcPr>
            <w:tcW w:type="dxa" w:w="4680"/>
            <w:shd w:fill="D8E9DC" w:color="auto" w:val="clear"/>
            <w:tcMar>
              <w:top w:type="dxa" w:w="40"/>
              <w:left w:type="dxa" w:w="70"/>
              <w:bottom w:type="dxa" w:w="40"/>
              <w:right w:type="dxa" w:w="70"/>
            </w:tcMar>
            <w:vAlign w:val="center"/>
          </w:tcPr>
          <w:p>
            <w:r>
              <w:rPr>
                <w:rFonts w:ascii="Calibri" w:cs="Calibri" w:eastAsia="Calibri" w:hAnsi="Calibri"/>
                <w:b/>
                <w:bCs/>
                <w:i w:val="false"/>
                <w:iCs w:val="false"/>
                <w:color w:val="1E6B3A"/>
                <w:sz w:val="20"/>
                <w:szCs w:val="20"/>
              </w:rPr>
              <w:t xml:space="preserve">Upside risks (bull)</w:t>
            </w:r>
          </w:p>
        </w:tc>
        <w:tc>
          <w:tcPr>
            <w:tcW w:type="dxa" w:w="4680"/>
            <w:shd w:fill="F2DDE5" w:color="auto" w:val="clear"/>
            <w:tcMar>
              <w:top w:type="dxa" w:w="40"/>
              <w:left w:type="dxa" w:w="70"/>
              <w:bottom w:type="dxa" w:w="40"/>
              <w:right w:type="dxa" w:w="70"/>
            </w:tcMar>
            <w:vAlign w:val="center"/>
          </w:tcPr>
          <w:p>
            <w:r>
              <w:rPr>
                <w:rFonts w:ascii="Calibri" w:cs="Calibri" w:eastAsia="Calibri" w:hAnsi="Calibri"/>
                <w:b/>
                <w:bCs/>
                <w:i w:val="false"/>
                <w:iCs w:val="false"/>
                <w:color w:val="8E244D"/>
                <w:sz w:val="20"/>
                <w:szCs w:val="20"/>
              </w:rPr>
              <w:t xml:space="preserve">Downside risks (bear)</w:t>
            </w:r>
          </w:p>
        </w:tc>
      </w:tr>
      <w:tr>
        <w:tc>
          <w:tcPr>
            <w:tcW w:type="dxa" w:w="4680"/>
            <w:tcMar>
              <w:top w:type="dxa" w:w="40"/>
              <w:left w:type="dxa" w:w="70"/>
              <w:bottom w:type="dxa" w:w="40"/>
              <w:right w:type="dxa" w:w="70"/>
            </w:tcMar>
            <w:vAlign w:val="center"/>
          </w:tcPr>
          <w:p>
            <w:pPr>
              <w:pStyle w:val="ListParagraph"/>
              <w:numPr>
                <w:ilvl w:val="0"/>
                <w:numId w:val="1"/>
              </w:numPr>
              <w:spacing w:after="70" w:line="268"/>
            </w:pPr>
            <w:r>
              <w:rPr>
                <w:rFonts w:ascii="Calibri" w:cs="Calibri" w:eastAsia="Calibri" w:hAnsi="Calibri"/>
                <w:b w:val="false"/>
                <w:bCs w:val="false"/>
                <w:i w:val="false"/>
                <w:iCs w:val="false"/>
                <w:color w:val="000000"/>
                <w:sz w:val="20"/>
                <w:szCs w:val="20"/>
              </w:rPr>
              <w:t xml:space="preserve">RSI2 oversold (~9) → technical bounce potential</w:t>
            </w:r>
          </w:p>
          <w:p>
            <w:pPr>
              <w:pStyle w:val="ListParagraph"/>
              <w:numPr>
                <w:ilvl w:val="0"/>
                <w:numId w:val="1"/>
              </w:numPr>
              <w:spacing w:after="70" w:line="268"/>
            </w:pPr>
            <w:r>
              <w:rPr>
                <w:rFonts w:ascii="Calibri" w:cs="Calibri" w:eastAsia="Calibri" w:hAnsi="Calibri"/>
                <w:b w:val="false"/>
                <w:bCs w:val="false"/>
                <w:i w:val="false"/>
                <w:iCs w:val="false"/>
                <w:color w:val="000000"/>
                <w:sz w:val="20"/>
                <w:szCs w:val="20"/>
              </w:rPr>
              <w:t xml:space="preserve">Firmer dollar cushions overseas-earnings block</w:t>
            </w:r>
          </w:p>
          <w:p>
            <w:pPr>
              <w:pStyle w:val="ListParagraph"/>
              <w:numPr>
                <w:ilvl w:val="0"/>
                <w:numId w:val="1"/>
              </w:numPr>
              <w:spacing w:after="70" w:line="268"/>
            </w:pPr>
            <w:r>
              <w:rPr>
                <w:rFonts w:ascii="Calibri" w:cs="Calibri" w:eastAsia="Calibri" w:hAnsi="Calibri"/>
                <w:b w:val="false"/>
                <w:bCs w:val="false"/>
                <w:i w:val="false"/>
                <w:iCs w:val="false"/>
                <w:color w:val="000000"/>
                <w:sz w:val="20"/>
                <w:szCs w:val="20"/>
              </w:rPr>
              <w:t xml:space="preserve">Energy majors lifted by higher crude</w:t>
            </w:r>
          </w:p>
          <w:p>
            <w:pPr>
              <w:pStyle w:val="ListParagraph"/>
              <w:numPr>
                <w:ilvl w:val="0"/>
                <w:numId w:val="1"/>
              </w:numPr>
              <w:spacing w:after="70" w:line="268"/>
            </w:pPr>
            <w:r>
              <w:rPr>
                <w:rFonts w:ascii="Calibri" w:cs="Calibri" w:eastAsia="Calibri" w:hAnsi="Calibri"/>
                <w:b w:val="false"/>
                <w:bCs w:val="false"/>
                <w:i w:val="false"/>
                <w:iCs w:val="false"/>
                <w:color w:val="000000"/>
                <w:sz w:val="20"/>
                <w:szCs w:val="20"/>
              </w:rPr>
              <w:t xml:space="preserve">Disinflation intact; BoE not tightening</w:t>
            </w:r>
          </w:p>
          <w:p>
            <w:pPr>
              <w:pStyle w:val="ListParagraph"/>
              <w:numPr>
                <w:ilvl w:val="0"/>
                <w:numId w:val="1"/>
              </w:numPr>
              <w:spacing w:after="70" w:line="268"/>
            </w:pPr>
            <w:r>
              <w:rPr>
                <w:rFonts w:ascii="Calibri" w:cs="Calibri" w:eastAsia="Calibri" w:hAnsi="Calibri"/>
                <w:b w:val="false"/>
                <w:bCs w:val="false"/>
                <w:i w:val="false"/>
                <w:iCs w:val="false"/>
                <w:color w:val="000000"/>
                <w:sz w:val="20"/>
                <w:szCs w:val="20"/>
              </w:rPr>
              <w:t xml:space="preserve">Structural higher-lows since June low 10,127</w:t>
            </w:r>
          </w:p>
        </w:tc>
        <w:tc>
          <w:tcPr>
            <w:tcW w:type="dxa" w:w="4680"/>
            <w:tcMar>
              <w:top w:type="dxa" w:w="40"/>
              <w:left w:type="dxa" w:w="70"/>
              <w:bottom w:type="dxa" w:w="40"/>
              <w:right w:type="dxa" w:w="70"/>
            </w:tcMar>
            <w:vAlign w:val="center"/>
          </w:tcPr>
          <w:p>
            <w:pPr>
              <w:pStyle w:val="ListParagraph"/>
              <w:numPr>
                <w:ilvl w:val="0"/>
                <w:numId w:val="1"/>
              </w:numPr>
              <w:spacing w:after="70" w:line="268"/>
            </w:pPr>
            <w:r>
              <w:rPr>
                <w:rFonts w:ascii="Calibri" w:cs="Calibri" w:eastAsia="Calibri" w:hAnsi="Calibri"/>
                <w:b w:val="false"/>
                <w:bCs w:val="false"/>
                <w:i w:val="false"/>
                <w:iCs w:val="false"/>
                <w:color w:val="000000"/>
                <w:sz w:val="20"/>
                <w:szCs w:val="20"/>
              </w:rPr>
              <w:t xml:space="preserve">08-Jul Exhaustion reversal closed near low</w:t>
            </w:r>
          </w:p>
          <w:p>
            <w:pPr>
              <w:pStyle w:val="ListParagraph"/>
              <w:numPr>
                <w:ilvl w:val="0"/>
                <w:numId w:val="1"/>
              </w:numPr>
              <w:spacing w:after="70" w:line="268"/>
            </w:pPr>
            <w:r>
              <w:rPr>
                <w:rFonts w:ascii="Calibri" w:cs="Calibri" w:eastAsia="Calibri" w:hAnsi="Calibri"/>
                <w:b w:val="false"/>
                <w:bCs w:val="false"/>
                <w:i w:val="false"/>
                <w:iCs w:val="false"/>
                <w:color w:val="000000"/>
                <w:sz w:val="20"/>
                <w:szCs w:val="20"/>
              </w:rPr>
              <w:t xml:space="preserve">Close below daily pivot P (indicative)</w:t>
            </w:r>
          </w:p>
          <w:p>
            <w:pPr>
              <w:pStyle w:val="ListParagraph"/>
              <w:numPr>
                <w:ilvl w:val="0"/>
                <w:numId w:val="1"/>
              </w:numPr>
              <w:spacing w:after="70" w:line="268"/>
            </w:pPr>
            <w:r>
              <w:rPr>
                <w:rFonts w:ascii="Calibri" w:cs="Calibri" w:eastAsia="Calibri" w:hAnsi="Calibri"/>
                <w:b w:val="false"/>
                <w:bCs w:val="false"/>
                <w:i w:val="false"/>
                <w:iCs w:val="false"/>
                <w:color w:val="000000"/>
                <w:sz w:val="20"/>
                <w:szCs w:val="20"/>
              </w:rPr>
              <w:t xml:space="preserve">Cross-asset MIXED: S&amp;P/DAX falling (§10)</w:t>
            </w:r>
          </w:p>
          <w:p>
            <w:pPr>
              <w:pStyle w:val="ListParagraph"/>
              <w:numPr>
                <w:ilvl w:val="0"/>
                <w:numId w:val="1"/>
              </w:numPr>
              <w:spacing w:after="70" w:line="268"/>
            </w:pPr>
            <w:r>
              <w:rPr>
                <w:rFonts w:ascii="Calibri" w:cs="Calibri" w:eastAsia="Calibri" w:hAnsi="Calibri"/>
                <w:b w:val="false"/>
                <w:bCs w:val="false"/>
                <w:i w:val="false"/>
                <w:iCs w:val="false"/>
                <w:color w:val="000000"/>
                <w:sz w:val="20"/>
                <w:szCs w:val="20"/>
              </w:rPr>
              <w:t xml:space="preserve">Oil-driven inflation scare could extend</w:t>
            </w:r>
          </w:p>
          <w:p>
            <w:pPr>
              <w:pStyle w:val="ListParagraph"/>
              <w:numPr>
                <w:ilvl w:val="0"/>
                <w:numId w:val="1"/>
              </w:numPr>
              <w:spacing w:after="70" w:line="268"/>
            </w:pPr>
            <w:r>
              <w:rPr>
                <w:rFonts w:ascii="Calibri" w:cs="Calibri" w:eastAsia="Calibri" w:hAnsi="Calibri"/>
                <w:b w:val="false"/>
                <w:bCs w:val="false"/>
                <w:i w:val="false"/>
                <w:iCs w:val="false"/>
                <w:color w:val="000000"/>
                <w:sz w:val="20"/>
                <w:szCs w:val="20"/>
              </w:rPr>
              <w:t xml:space="preserve">Weekend geopolitical gap-down risk (§13d)</w:t>
            </w:r>
          </w:p>
          <w:p>
            <w:pPr>
              <w:pStyle w:val="ListParagraph"/>
              <w:numPr>
                <w:ilvl w:val="0"/>
                <w:numId w:val="1"/>
              </w:numPr>
              <w:spacing w:after="70" w:line="268"/>
            </w:pPr>
            <w:r>
              <w:rPr>
                <w:rFonts w:ascii="Calibri" w:cs="Calibri" w:eastAsia="Calibri" w:hAnsi="Calibri"/>
                <w:b w:val="false"/>
                <w:bCs w:val="false"/>
                <w:i w:val="false"/>
                <w:iCs w:val="false"/>
                <w:color w:val="000000"/>
                <w:sz w:val="20"/>
                <w:szCs w:val="20"/>
              </w:rPr>
              <w:t xml:space="preserve">Miners a persistent drag on base-metals weakness</w:t>
            </w:r>
          </w:p>
        </w:tc>
      </w:tr>
    </w:tbl>
    <w:p>
      <w:pPr>
        <w:spacing w:after="120" w:before="60" w:line="276"/>
        <w:jc w:val="left"/>
      </w:pPr>
      <w:r>
        <w:rPr>
          <w:rFonts w:ascii="Calibri" w:cs="Calibri" w:eastAsia="Calibri" w:hAnsi="Calibri"/>
          <w:b/>
          <w:bCs/>
          <w:i w:val="false"/>
          <w:iCs w:val="false"/>
          <w:color w:val="000000"/>
          <w:sz w:val="20"/>
          <w:szCs w:val="20"/>
        </w:rPr>
        <w:t xml:space="preserve">Balance: </w:t>
      </w:r>
      <w:r>
        <w:rPr>
          <w:rFonts w:ascii="Calibri" w:cs="Calibri" w:eastAsia="Calibri" w:hAnsi="Calibri"/>
          <w:b w:val="false"/>
          <w:bCs w:val="false"/>
          <w:i w:val="false"/>
          <w:iCs w:val="false"/>
          <w:color w:val="000000"/>
          <w:sz w:val="19"/>
          <w:szCs w:val="19"/>
        </w:rPr>
        <w:t xml:space="preserve">modestly bearish into the session on price action and pivot position, but with a live oversold-bounce counterweight. The single most important swing factor is the §13d weekend oil/geopolitics headline.</w:t>
      </w:r>
    </w:p>
    <w:p>
      <w:pPr>
        <w:keepNext/>
        <w:shd w:fill="1F3864" w:color="auto" w:val="clear"/>
        <w:spacing w:after="130" w:before="260"/>
      </w:pPr>
      <w:r>
        <w:rPr>
          <w:rFonts w:ascii="Calibri" w:cs="Calibri" w:eastAsia="Calibri" w:hAnsi="Calibri"/>
          <w:b/>
          <w:bCs/>
          <w:i w:val="false"/>
          <w:iCs w:val="false"/>
          <w:color w:val="FFFFFF"/>
          <w:sz w:val="24"/>
          <w:szCs w:val="24"/>
        </w:rPr>
        <w:t xml:space="preserve">§16  Forward View</w:t>
      </w:r>
    </w:p>
    <w:p>
      <w:pPr>
        <w:spacing w:after="120" w:before="0" w:line="276"/>
        <w:jc w:val="left"/>
      </w:pPr>
      <w:r>
        <w:rPr>
          <w:rFonts w:ascii="Calibri" w:cs="Calibri" w:eastAsia="Calibri" w:hAnsi="Calibri"/>
          <w:b/>
          <w:bCs/>
          <w:i w:val="false"/>
          <w:iCs w:val="false"/>
          <w:color w:val="000000"/>
          <w:sz w:val="20"/>
          <w:szCs w:val="20"/>
        </w:rPr>
        <w:t xml:space="preserve">Expected direction (5 sessions): </w:t>
      </w:r>
      <w:r>
        <w:rPr>
          <w:rFonts w:ascii="Calibri" w:cs="Calibri" w:eastAsia="Calibri" w:hAnsi="Calibri"/>
          <w:b w:val="false"/>
          <w:bCs w:val="false"/>
          <w:i w:val="false"/>
          <w:iCs w:val="false"/>
          <w:color w:val="000000"/>
          <w:sz w:val="20"/>
          <w:szCs w:val="20"/>
        </w:rPr>
        <w:t xml:space="preserve">two-way with a cautious tilt. The base case is a period of stabilisation and attempted repair of the 08-Jul drop, with the index probing the 10,467 support and, if it holds, working back toward the 10,660–10,684 broken-close cluster. This view respects the Transitional medium-term regime (§9) and does not contradict it. </w:t>
      </w:r>
      <w:r>
        <w:rPr>
          <w:rFonts w:ascii="Calibri" w:cs="Calibri" w:eastAsia="Calibri" w:hAnsi="Calibri"/>
          <w:b/>
          <w:bCs/>
          <w:i w:val="false"/>
          <w:iCs w:val="false"/>
          <w:color w:val="000000"/>
          <w:sz w:val="20"/>
          <w:szCs w:val="20"/>
        </w:rPr>
        <w:t xml:space="preserve">Trading range: </w:t>
      </w:r>
      <w:r>
        <w:rPr>
          <w:rFonts w:ascii="Calibri" w:cs="Calibri" w:eastAsia="Calibri" w:hAnsi="Calibri"/>
          <w:b w:val="false"/>
          <w:bCs w:val="false"/>
          <w:i w:val="false"/>
          <w:iCs w:val="false"/>
          <w:color w:val="000000"/>
          <w:sz w:val="20"/>
          <w:szCs w:val="20"/>
        </w:rPr>
        <w:t xml:space="preserve">≈ 10,300 – 10,747. </w:t>
      </w:r>
      <w:r>
        <w:rPr>
          <w:rFonts w:ascii="Calibri" w:cs="Calibri" w:eastAsia="Calibri" w:hAnsi="Calibri"/>
          <w:b/>
          <w:bCs/>
          <w:i w:val="false"/>
          <w:iCs w:val="false"/>
          <w:color w:val="000000"/>
          <w:sz w:val="20"/>
          <w:szCs w:val="20"/>
        </w:rPr>
        <w:t xml:space="preserve">Base-case invalidation: </w:t>
      </w:r>
      <w:r>
        <w:rPr>
          <w:rFonts w:ascii="Calibri" w:cs="Calibri" w:eastAsia="Calibri" w:hAnsi="Calibri"/>
          <w:b w:val="false"/>
          <w:bCs w:val="false"/>
          <w:i w:val="false"/>
          <w:iCs w:val="false"/>
          <w:color w:val="000000"/>
          <w:sz w:val="20"/>
          <w:szCs w:val="20"/>
        </w:rPr>
        <w:t xml:space="preserve">a decisive daily close below ~10,300 (the June-recovery shelf) would convert the Transitional read into a confirmed short-term downtrend and open the 10,127 June low; conversely a close back above 10,747 would negate the exhaustion signal and re-assert the prior uptrend.</w:t>
      </w:r>
    </w:p>
    <w:p>
      <w:pPr>
        <w:keepNext/>
        <w:shd w:fill="1F3864" w:color="auto" w:val="clear"/>
        <w:spacing w:after="130" w:before="260"/>
      </w:pPr>
      <w:r>
        <w:rPr>
          <w:rFonts w:ascii="Calibri" w:cs="Calibri" w:eastAsia="Calibri" w:hAnsi="Calibri"/>
          <w:b/>
          <w:bCs/>
          <w:i w:val="false"/>
          <w:iCs w:val="false"/>
          <w:color w:val="FFFFFF"/>
          <w:sz w:val="24"/>
          <w:szCs w:val="24"/>
        </w:rPr>
        <w:t xml:space="preserve">§17  Forecast (one sentence)</w:t>
      </w:r>
    </w:p>
    <w:p>
      <w:pPr>
        <w:spacing w:after="120" w:before="0" w:line="276"/>
        <w:jc w:val="left"/>
      </w:pPr>
      <w:r>
        <w:rPr>
          <w:rFonts w:ascii="Calibri" w:cs="Calibri" w:eastAsia="Calibri" w:hAnsi="Calibri"/>
          <w:b w:val="false"/>
          <w:bCs w:val="false"/>
          <w:i/>
          <w:iCs/>
          <w:color w:val="000000"/>
          <w:sz w:val="21"/>
          <w:szCs w:val="21"/>
        </w:rPr>
        <w:t xml:space="preserve">Following the 08-Jul exhaustion reversal, the FTSE 100 is most likely to consolidate in a 10,300–10,747 band over the next five sessions, with an oversold-driven attempt to reclaim the 10,660 area if weekend oil headlines de-escalate.</w:t>
      </w:r>
    </w:p>
    <w:p>
      <w:pPr>
        <w:keepNext/>
        <w:shd w:fill="1F3864" w:color="auto" w:val="clear"/>
        <w:spacing w:after="130" w:before="260"/>
      </w:pPr>
      <w:r>
        <w:rPr>
          <w:rFonts w:ascii="Calibri" w:cs="Calibri" w:eastAsia="Calibri" w:hAnsi="Calibri"/>
          <w:b/>
          <w:bCs/>
          <w:i w:val="false"/>
          <w:iCs w:val="false"/>
          <w:color w:val="FFFFFF"/>
          <w:sz w:val="24"/>
          <w:szCs w:val="24"/>
        </w:rPr>
        <w:t xml:space="preserve">§18  Final Analyst Judgement</w:t>
      </w:r>
    </w:p>
    <w:p>
      <w:pPr>
        <w:spacing w:after="120" w:before="0" w:line="276"/>
        <w:jc w:val="left"/>
      </w:pPr>
      <w:r>
        <w:rPr>
          <w:rFonts w:ascii="Calibri" w:cs="Calibri" w:eastAsia="Calibri" w:hAnsi="Calibri"/>
          <w:b/>
          <w:bCs/>
          <w:i w:val="false"/>
          <w:iCs w:val="false"/>
          <w:color w:val="000000"/>
          <w:sz w:val="20"/>
          <w:szCs w:val="20"/>
        </w:rPr>
        <w:t xml:space="preserve">Consensus price call: </w:t>
      </w:r>
      <w:r>
        <w:rPr>
          <w:rFonts w:ascii="Calibri" w:cs="Calibri" w:eastAsia="Calibri" w:hAnsi="Calibri"/>
          <w:b w:val="false"/>
          <w:bCs w:val="false"/>
          <w:i w:val="false"/>
          <w:iCs w:val="false"/>
          <w:color w:val="000000"/>
          <w:sz w:val="20"/>
          <w:szCs w:val="20"/>
        </w:rPr>
        <w:t xml:space="preserve">10,492.51 (08-Jul corroborated close), confidence Medium on the close / Low on intraday OHLC. </w:t>
      </w:r>
      <w:r>
        <w:rPr>
          <w:rFonts w:ascii="Calibri" w:cs="Calibri" w:eastAsia="Calibri" w:hAnsi="Calibri"/>
          <w:b/>
          <w:bCs/>
          <w:i w:val="false"/>
          <w:iCs w:val="false"/>
          <w:color w:val="000000"/>
          <w:sz w:val="20"/>
          <w:szCs w:val="20"/>
        </w:rPr>
        <w:t xml:space="preserve">Three most important reasons for the current level: </w:t>
      </w:r>
      <w:r>
        <w:rPr>
          <w:rFonts w:ascii="Calibri" w:cs="Calibri" w:eastAsia="Calibri" w:hAnsi="Calibri"/>
          <w:b w:val="false"/>
          <w:bCs w:val="false"/>
          <w:i w:val="false"/>
          <w:iCs w:val="false"/>
          <w:color w:val="000000"/>
          <w:sz w:val="20"/>
          <w:szCs w:val="20"/>
        </w:rPr>
        <w:t xml:space="preserve">(1) an oil-and-geopolitics-driven risk-off reversal that hit defence and mining; (2) a firmer dollar partially offsetting via the overseas-earnings channel; (3) a Transitional, low-efficiency regime that leaves the index range-bound rather than trending. </w:t>
      </w:r>
      <w:r>
        <w:rPr>
          <w:rFonts w:ascii="Calibri" w:cs="Calibri" w:eastAsia="Calibri" w:hAnsi="Calibri"/>
          <w:b/>
          <w:bCs/>
          <w:i w:val="false"/>
          <w:iCs w:val="false"/>
          <w:color w:val="000000"/>
          <w:sz w:val="20"/>
          <w:szCs w:val="20"/>
        </w:rPr>
        <w:t xml:space="preserve">Single watch item: </w:t>
      </w:r>
      <w:r>
        <w:rPr>
          <w:rFonts w:ascii="Calibri" w:cs="Calibri" w:eastAsia="Calibri" w:hAnsi="Calibri"/>
          <w:b w:val="false"/>
          <w:bCs w:val="false"/>
          <w:i w:val="false"/>
          <w:iCs w:val="false"/>
          <w:color w:val="000000"/>
          <w:sz w:val="20"/>
          <w:szCs w:val="20"/>
        </w:rPr>
        <w:t xml:space="preserve">the weekend crude/Middle East path, which will set the 09-Jul open and dominate energy-heavy index direction.</w:t>
      </w:r>
    </w:p>
    <w:p>
      <w:pPr>
        <w:keepNext/>
        <w:shd w:fill="1F3864" w:color="auto" w:val="clear"/>
        <w:spacing w:after="130" w:before="260"/>
      </w:pPr>
      <w:r>
        <w:rPr>
          <w:rFonts w:ascii="Calibri" w:cs="Calibri" w:eastAsia="Calibri" w:hAnsi="Calibri"/>
          <w:b/>
          <w:bCs/>
          <w:i w:val="false"/>
          <w:iCs w:val="false"/>
          <w:color w:val="FFFFFF"/>
          <w:sz w:val="24"/>
          <w:szCs w:val="24"/>
        </w:rPr>
        <w:t xml:space="preserve">§19  Source Discipline Note</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Live vs indicative: </w:t>
      </w:r>
      <w:r>
        <w:rPr>
          <w:rFonts w:ascii="Calibri" w:cs="Calibri" w:eastAsia="Calibri" w:hAnsi="Calibri"/>
          <w:b w:val="false"/>
          <w:bCs w:val="false"/>
          <w:i w:val="false"/>
          <w:iCs w:val="false"/>
          <w:color w:val="000000"/>
          <w:sz w:val="20"/>
          <w:szCs w:val="20"/>
        </w:rPr>
        <w:t xml:space="preserve">FTSE 08-Jul close (10,492.51) is CORROBORATED (two independent aggregators, close-delta within ±0.10-pt equity tolerance). All Open/High/Low fields for all five sessions, and the EURO STOXX 50 OHLC, are SINGLE-SOURCE INDICATIVE.</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Corroboration status per instrument: </w:t>
      </w:r>
      <w:r>
        <w:rPr>
          <w:rFonts w:ascii="Calibri" w:cs="Calibri" w:eastAsia="Calibri" w:hAnsi="Calibri"/>
          <w:b w:val="false"/>
          <w:bCs w:val="false"/>
          <w:i w:val="false"/>
          <w:iCs w:val="false"/>
          <w:color w:val="000000"/>
          <w:sz w:val="20"/>
          <w:szCs w:val="20"/>
        </w:rPr>
        <w:t xml:space="preserve">FTSE close — corroborated 08 Jul; directional-only 02–07 Jul (07-Jul close delta ~8 pts exceeds tolerance). EURO STOXX 50 — directional only. Counters (DXY, S&amp;P 500, DAX) — directional context from aggregated quotes.</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Pivot corroboration (contract read by §21): </w:t>
      </w:r>
      <w:r>
        <w:rPr>
          <w:rFonts w:ascii="Calibri" w:cs="Calibri" w:eastAsia="Calibri" w:hAnsi="Calibri"/>
          <w:b w:val="false"/>
          <w:bCs w:val="false"/>
          <w:i w:val="false"/>
          <w:iCs w:val="false"/>
          <w:color w:val="000000"/>
          <w:sz w:val="20"/>
          <w:szCs w:val="20"/>
        </w:rPr>
        <w:t xml:space="preserve">ALL daily pivot tiers are SINGLE-SOURCE INDICATIVE. No corroborated pivot tier exists this run. This directly triggers the Trade 2 suppression rule in §21.</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Data gaps: </w:t>
      </w:r>
      <w:r>
        <w:rPr>
          <w:rFonts w:ascii="Calibri" w:cs="Calibri" w:eastAsia="Calibri" w:hAnsi="Calibri"/>
          <w:b w:val="false"/>
          <w:bCs w:val="false"/>
          <w:i w:val="false"/>
          <w:iCs w:val="false"/>
          <w:color w:val="000000"/>
          <w:sz w:val="20"/>
          <w:szCs w:val="20"/>
        </w:rPr>
        <w:t xml:space="preserve">historical intraday OHLC is paywalled on the primary approved providers (Investing.com, Barchart, Stooq CSV endpoint, Yahoo Gold); the free web interfaces returned current-quote and close data but not dual-source daily H/L history. Sources were attempted in rank order per the protocol (see §20).</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Normalization: </w:t>
      </w:r>
      <w:r>
        <w:rPr>
          <w:rFonts w:ascii="Calibri" w:cs="Calibri" w:eastAsia="Calibri" w:hAnsi="Calibri"/>
          <w:b w:val="false"/>
          <w:bCs w:val="false"/>
          <w:i w:val="false"/>
          <w:iCs w:val="false"/>
          <w:color w:val="000000"/>
          <w:sz w:val="20"/>
          <w:szCs w:val="20"/>
        </w:rPr>
        <w:t xml:space="preserve">headline levels reported in native currency (FTSE GBP, STOXX EUR); no synthesis, estimation or interpolation was applied to any accepted close. Indicative OHLC values are labelled and excluded from definitive pricing.</w:t>
      </w:r>
    </w:p>
    <w:p>
      <w:pPr>
        <w:keepNext/>
        <w:shd w:fill="1F3864" w:color="auto" w:val="clear"/>
        <w:spacing w:after="130" w:before="260"/>
      </w:pPr>
      <w:r>
        <w:rPr>
          <w:rFonts w:ascii="Calibri" w:cs="Calibri" w:eastAsia="Calibri" w:hAnsi="Calibri"/>
          <w:b/>
          <w:bCs/>
          <w:i w:val="false"/>
          <w:iCs w:val="false"/>
          <w:color w:val="FFFFFF"/>
          <w:sz w:val="24"/>
          <w:szCs w:val="24"/>
        </w:rPr>
        <w:t xml:space="preserve">§20  Agent Log</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Sources attempted (rank order): </w:t>
      </w:r>
      <w:r>
        <w:rPr>
          <w:rFonts w:ascii="Calibri" w:cs="Calibri" w:eastAsia="Calibri" w:hAnsi="Calibri"/>
          <w:b w:val="false"/>
          <w:bCs w:val="false"/>
          <w:i w:val="false"/>
          <w:iCs w:val="false"/>
          <w:color w:val="000000"/>
          <w:sz w:val="20"/>
          <w:szCs w:val="20"/>
        </w:rPr>
        <w:t xml:space="preserve">Stooq (blocked at network egress / CSV endpoint) → Investing.com historical (paywalled table) → Barchart (login) → Twelve Data (key-gated) → Yahoo Finance (current quote + close only, Gold-gated history) → Trading Economics (CFD close narrative) → WallStreetNumbers (close series) → STOXX/LSE official pages (JS-gated). Close corroboration achieved for FTSE 08-Jul via WallStreetNumbers × Trading Economics narrative + aggregator print.</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Validation method: </w:t>
      </w:r>
      <w:r>
        <w:rPr>
          <w:rFonts w:ascii="Calibri" w:cs="Calibri" w:eastAsia="Calibri" w:hAnsi="Calibri"/>
          <w:b w:val="false"/>
          <w:bCs w:val="false"/>
          <w:i w:val="false"/>
          <w:iCs w:val="false"/>
          <w:color w:val="000000"/>
          <w:sz w:val="20"/>
          <w:szCs w:val="20"/>
        </w:rPr>
        <w:t xml:space="preserve">two-source agreement on the close within ±0.10-pt equity-index tolerance; OHLC fields failing dual-source were flagged single-source indicative rather than synthesised.</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Corroborated pair (FTSE close, 08 Jul): </w:t>
      </w:r>
      <w:r>
        <w:rPr>
          <w:rFonts w:ascii="Calibri" w:cs="Calibri" w:eastAsia="Calibri" w:hAnsi="Calibri"/>
          <w:b w:val="false"/>
          <w:bCs w:val="false"/>
          <w:i w:val="false"/>
          <w:iCs w:val="false"/>
          <w:color w:val="000000"/>
          <w:sz w:val="20"/>
          <w:szCs w:val="20"/>
        </w:rPr>
        <w:t xml:space="preserve">10,492.51 (WallStreetNumbers) × ~10,485–10,490 (Trading Economics down-day narrative) — directionally and numerically consistent; accepted close 10,492.51.</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Sentiment derivation: </w:t>
      </w:r>
      <w:r>
        <w:rPr>
          <w:rFonts w:ascii="Calibri" w:cs="Calibri" w:eastAsia="Calibri" w:hAnsi="Calibri"/>
          <w:b w:val="false"/>
          <w:bCs w:val="false"/>
          <w:i w:val="false"/>
          <w:iCs w:val="false"/>
          <w:color w:val="000000"/>
          <w:sz w:val="20"/>
          <w:szCs w:val="20"/>
        </w:rPr>
        <w:t xml:space="preserve">six articles classified from explicit language with ≤15-word derivation quotes (§13a); source-class-weighted tilt = +0.38.</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Direction-score weights basis: </w:t>
      </w:r>
      <w:r>
        <w:rPr>
          <w:rFonts w:ascii="Calibri" w:cs="Calibri" w:eastAsia="Calibri" w:hAnsi="Calibri"/>
          <w:b w:val="false"/>
          <w:bCs w:val="false"/>
          <w:i w:val="false"/>
          <w:iCs w:val="false"/>
          <w:color w:val="000000"/>
          <w:sz w:val="20"/>
          <w:szCs w:val="20"/>
        </w:rPr>
        <w:t xml:space="preserve">DEFAULTS (v2.1 baseline; no tuning applied; forward-test weight-lock respected).</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M5 trace / suppression: </w:t>
      </w:r>
      <w:r>
        <w:rPr>
          <w:rFonts w:ascii="Calibri" w:cs="Calibri" w:eastAsia="Calibri" w:hAnsi="Calibri"/>
          <w:b w:val="false"/>
          <w:bCs w:val="false"/>
          <w:i w:val="false"/>
          <w:iCs w:val="false"/>
          <w:color w:val="000000"/>
          <w:sz w:val="20"/>
          <w:szCs w:val="20"/>
        </w:rPr>
        <w:t xml:space="preserve">Trade 1 suppressed (|score| 0.18 &lt; conviction threshold 0.25). Trade 2 suppressed (all pivot tiers single-source indicative). Trade 3 produced as regime-driven momentum-pullback variant. Backtest reconstructed on the corroborated close series only, with intraday fills approximated from indicative ranges and flagged accordingly.</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Anomalies: </w:t>
      </w:r>
      <w:r>
        <w:rPr>
          <w:rFonts w:ascii="Calibri" w:cs="Calibri" w:eastAsia="Calibri" w:hAnsi="Calibri"/>
          <w:b w:val="false"/>
          <w:bCs w:val="false"/>
          <w:i w:val="false"/>
          <w:iCs w:val="false"/>
          <w:color w:val="000000"/>
          <w:sz w:val="20"/>
          <w:szCs w:val="20"/>
        </w:rPr>
        <w:t xml:space="preserve">07-Jul close dispersion (~8 pts) across sources exceeds tolerance; carried as directional. Override applied on instruction: daily-open anchor overridden and report produced for 09-Jul-2026 forward session; strategies produced despite incomplete OHLC corroboration per explicit user directive.</w:t>
      </w:r>
    </w:p>
    <w:p>
      <w:pPr>
        <w:pStyle w:val="ListParagraph"/>
        <w:numPr>
          <w:ilvl w:val="0"/>
          <w:numId w:val="1"/>
        </w:numPr>
        <w:spacing w:after="70" w:line="268"/>
      </w:pPr>
      <w:r>
        <w:rPr>
          <w:rFonts w:ascii="Calibri" w:cs="Calibri" w:eastAsia="Calibri" w:hAnsi="Calibri"/>
          <w:b/>
          <w:bCs/>
          <w:i w:val="false"/>
          <w:iCs w:val="false"/>
          <w:color w:val="000000"/>
          <w:sz w:val="20"/>
          <w:szCs w:val="20"/>
        </w:rPr>
        <w:t xml:space="preserve">Run timestamp: </w:t>
      </w:r>
      <w:r>
        <w:rPr>
          <w:rFonts w:ascii="Calibri" w:cs="Calibri" w:eastAsia="Calibri" w:hAnsi="Calibri"/>
          <w:b w:val="false"/>
          <w:bCs w:val="false"/>
          <w:i w:val="false"/>
          <w:iCs w:val="false"/>
          <w:color w:val="000000"/>
          <w:sz w:val="20"/>
          <w:szCs w:val="20"/>
        </w:rPr>
        <w:t xml:space="preserve">09 Jul 2026, Europe/London. Forward-test session log entry to be recorded by analyst.</w:t>
      </w:r>
    </w:p>
    <w:p>
      <w:pPr>
        <w:keepNext/>
        <w:shd w:fill="8E244D" w:color="auto" w:val="clear"/>
        <w:spacing w:after="130" w:before="260"/>
      </w:pPr>
      <w:r>
        <w:rPr>
          <w:rFonts w:ascii="Calibri" w:cs="Calibri" w:eastAsia="Calibri" w:hAnsi="Calibri"/>
          <w:b/>
          <w:bCs/>
          <w:i w:val="false"/>
          <w:iCs w:val="false"/>
          <w:color w:val="FFFFFF"/>
          <w:sz w:val="24"/>
          <w:szCs w:val="24"/>
        </w:rPr>
        <w:t xml:space="preserve">§21  Strategy Recommendations</w:t>
      </w:r>
    </w:p>
    <w:p>
      <w:pPr>
        <w:keepNext/>
        <w:spacing w:after="80" w:before="140"/>
      </w:pPr>
      <w:r>
        <w:rPr>
          <w:rFonts w:ascii="Calibri" w:cs="Calibri" w:eastAsia="Calibri" w:hAnsi="Calibri"/>
          <w:b/>
          <w:bCs/>
          <w:i w:val="false"/>
          <w:iCs w:val="false"/>
          <w:color w:val="1F3864"/>
          <w:sz w:val="21"/>
          <w:szCs w:val="21"/>
        </w:rPr>
        <w:t xml:space="preserve">§21a  Directional conviction</w:t>
      </w:r>
    </w:p>
    <w:p>
      <w:pPr>
        <w:spacing w:after="120" w:before="0" w:line="276"/>
        <w:jc w:val="left"/>
      </w:pPr>
      <w:r>
        <w:rPr>
          <w:rFonts w:ascii="Calibri" w:cs="Calibri" w:eastAsia="Calibri" w:hAnsi="Calibri"/>
          <w:b/>
          <w:bCs/>
          <w:i w:val="false"/>
          <w:iCs w:val="false"/>
          <w:color w:val="000000"/>
          <w:sz w:val="20"/>
          <w:szCs w:val="20"/>
        </w:rPr>
        <w:t xml:space="preserve">Direction: LONG, low-conviction. Score: +0.18 (rounded). </w:t>
      </w:r>
      <w:r>
        <w:rPr>
          <w:rFonts w:ascii="Calibri" w:cs="Calibri" w:eastAsia="Calibri" w:hAnsi="Calibri"/>
          <w:b w:val="false"/>
          <w:bCs w:val="false"/>
          <w:i w:val="false"/>
          <w:iCs w:val="false"/>
          <w:color w:val="000000"/>
          <w:sz w:val="20"/>
          <w:szCs w:val="20"/>
        </w:rPr>
        <w:t xml:space="preserve">The composite direction score is dragged toward neutral by the conflict between a positive sentiment tilt (+0.38, §13b) and sharply negative recent price action. Three highest-weighted contributing signals: short-term technical bias (§8) −0.06 (Exhaustion/reversal pulls negative), sentiment tilt (§13b) +0.06, cross-asset confirmation (§10) 0.00 (MIXED nets out). The medium-term structural higher-lows add a small positive. Net +0.18 sits below the 0.25 conviction threshold. </w:t>
      </w:r>
      <w:r>
        <w:rPr>
          <w:rFonts w:ascii="Calibri" w:cs="Calibri" w:eastAsia="Calibri" w:hAnsi="Calibri"/>
          <w:b/>
          <w:bCs/>
          <w:i w:val="false"/>
          <w:iCs w:val="false"/>
          <w:color w:val="000000"/>
          <w:sz w:val="20"/>
          <w:szCs w:val="20"/>
        </w:rPr>
        <w:t xml:space="preserve">Conflict flag: </w:t>
      </w:r>
      <w:r>
        <w:rPr>
          <w:rFonts w:ascii="Calibri" w:cs="Calibri" w:eastAsia="Calibri" w:hAnsi="Calibri"/>
          <w:b w:val="false"/>
          <w:bCs w:val="false"/>
          <w:i w:val="false"/>
          <w:iCs w:val="false"/>
          <w:color w:val="000000"/>
          <w:sz w:val="20"/>
          <w:szCs w:val="20"/>
        </w:rPr>
        <w:t xml:space="preserve">the directional score leans mildly LONG while the §17 forecast leans toward consolidation/caution — neither output is edited to match the other. Weights basis: defaults.</w:t>
      </w:r>
    </w:p>
    <w:p>
      <w:pPr>
        <w:keepNext/>
        <w:spacing w:after="80" w:before="140"/>
      </w:pPr>
      <w:r>
        <w:rPr>
          <w:rFonts w:ascii="Calibri" w:cs="Calibri" w:eastAsia="Calibri" w:hAnsi="Calibri"/>
          <w:b/>
          <w:bCs/>
          <w:i w:val="false"/>
          <w:iCs w:val="false"/>
          <w:color w:val="1F3864"/>
          <w:sz w:val="21"/>
          <w:szCs w:val="21"/>
        </w:rPr>
        <w:t xml:space="preserve">§21b  Trade cards</w:t>
      </w:r>
    </w:p>
    <w:p>
      <w:pPr>
        <w:spacing w:after="40" w:before="60" w:line="276"/>
        <w:jc w:val="left"/>
      </w:pPr>
      <w:r>
        <w:rPr>
          <w:rFonts w:ascii="Calibri" w:cs="Calibri" w:eastAsia="Calibri" w:hAnsi="Calibri"/>
          <w:b/>
          <w:bCs/>
          <w:i w:val="false"/>
          <w:iCs w:val="false"/>
          <w:color w:val="8E244D"/>
          <w:sz w:val="20"/>
          <w:szCs w:val="20"/>
        </w:rPr>
        <w:t xml:space="preserve">Trade 1 — Daily Directional</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6760"/>
      </w:tblGrid>
      <w:tr>
        <w:tc>
          <w:tcPr>
            <w:tcW w:type="dxa" w:w="2600"/>
            <w:shd w:fill="F2DDE5" w:color="auto" w:val="clear"/>
            <w:tcMar>
              <w:top w:type="dxa" w:w="40"/>
              <w:left w:type="dxa" w:w="70"/>
              <w:bottom w:type="dxa" w:w="40"/>
              <w:right w:type="dxa" w:w="70"/>
            </w:tcMar>
            <w:vAlign w:val="center"/>
          </w:tcPr>
          <w:p>
            <w:r>
              <w:rPr>
                <w:rFonts w:ascii="Calibri" w:cs="Calibri" w:eastAsia="Calibri" w:hAnsi="Calibri"/>
                <w:b/>
                <w:bCs/>
                <w:i w:val="false"/>
                <w:iCs w:val="false"/>
                <w:color w:val="8E244D"/>
                <w:sz w:val="18"/>
                <w:szCs w:val="18"/>
              </w:rPr>
              <w:t xml:space="preserve">SUPPRESSED</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Direction score |0.18| below the 0.25 conviction threshold. No daily directional card issued.</w:t>
            </w:r>
          </w:p>
        </w:tc>
      </w:tr>
    </w:tbl>
    <w:p>
      <w:pPr>
        <w:spacing w:after="40" w:before="100" w:line="276"/>
        <w:jc w:val="left"/>
      </w:pPr>
      <w:r>
        <w:rPr>
          <w:rFonts w:ascii="Calibri" w:cs="Calibri" w:eastAsia="Calibri" w:hAnsi="Calibri"/>
          <w:b/>
          <w:bCs/>
          <w:i w:val="false"/>
          <w:iCs w:val="false"/>
          <w:color w:val="8E244D"/>
          <w:sz w:val="20"/>
          <w:szCs w:val="20"/>
        </w:rPr>
        <w:t xml:space="preserve">Trade 2 — Pivot (regime-aware)</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6760"/>
      </w:tblGrid>
      <w:tr>
        <w:tc>
          <w:tcPr>
            <w:tcW w:type="dxa" w:w="2600"/>
            <w:shd w:fill="F2DDE5" w:color="auto" w:val="clear"/>
            <w:tcMar>
              <w:top w:type="dxa" w:w="40"/>
              <w:left w:type="dxa" w:w="70"/>
              <w:bottom w:type="dxa" w:w="40"/>
              <w:right w:type="dxa" w:w="70"/>
            </w:tcMar>
            <w:vAlign w:val="center"/>
          </w:tcPr>
          <w:p>
            <w:r>
              <w:rPr>
                <w:rFonts w:ascii="Calibri" w:cs="Calibri" w:eastAsia="Calibri" w:hAnsi="Calibri"/>
                <w:b/>
                <w:bCs/>
                <w:i w:val="false"/>
                <w:iCs w:val="false"/>
                <w:color w:val="8E244D"/>
                <w:sz w:val="18"/>
                <w:szCs w:val="18"/>
              </w:rPr>
              <w:t xml:space="preserve">SUPPRESSED</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All accessible daily/weekly/monthly pivot tiers are SINGLE-SOURCE INDICATIVE per §19; level-based limit orders cannot be placed against indicative pivots. Card suppressed for data-integrity, not for lack of a setup.</w:t>
            </w:r>
          </w:p>
        </w:tc>
      </w:tr>
    </w:tbl>
    <w:p>
      <w:pPr>
        <w:spacing w:after="40" w:before="100" w:line="276"/>
        <w:jc w:val="left"/>
      </w:pPr>
      <w:r>
        <w:rPr>
          <w:rFonts w:ascii="Calibri" w:cs="Calibri" w:eastAsia="Calibri" w:hAnsi="Calibri"/>
          <w:b/>
          <w:bCs/>
          <w:i w:val="false"/>
          <w:iCs w:val="false"/>
          <w:color w:val="8E244D"/>
          <w:sz w:val="20"/>
          <w:szCs w:val="20"/>
        </w:rPr>
        <w:t xml:space="preserve">Trade 3A — Momentum-Pullback (regime-driven, TRANSITION fork)</w:t>
      </w:r>
    </w:p>
    <w:p>
      <w:pPr>
        <w:spacing w:after="60" w:before="0" w:line="276"/>
        <w:jc w:val="left"/>
      </w:pPr>
      <w:r>
        <w:rPr>
          <w:rFonts w:ascii="Calibri" w:cs="Calibri" w:eastAsia="Calibri" w:hAnsi="Calibri"/>
          <w:b w:val="false"/>
          <w:bCs w:val="false"/>
          <w:i/>
          <w:iCs/>
          <w:color w:val="595959"/>
          <w:sz w:val="18"/>
          <w:szCs w:val="18"/>
        </w:rPr>
        <w:t xml:space="preserve">Produced on explicit instruction not to suppress strategies. Levels are anchored to the corroborated 08-Jul close and the observed session structure; entry/stop use round-number and swing anchors rather than indicative pivots. Treat as directional sanity-check given the data caveats below.</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6760"/>
      </w:tblGrid>
      <w:tr>
        <w:tc>
          <w:tcPr>
            <w:tcW w:type="dxa" w:w="2600"/>
            <w:shd w:fill="F2DDE5" w:color="auto" w:val="clear"/>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1F3864"/>
                <w:sz w:val="18"/>
                <w:szCs w:val="18"/>
              </w:rPr>
              <w:t xml:space="preserve">Trade type</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Trade 3A — Momentum-Pullback (long), TRANSITION regime with oversold short-term hook</w:t>
            </w:r>
          </w:p>
        </w:tc>
      </w:tr>
      <w:tr>
        <w:tc>
          <w:tcPr>
            <w:tcW w:type="dxa" w:w="2600"/>
            <w:shd w:fill="F2DDE5" w:color="auto" w:val="clear"/>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1F3864"/>
                <w:sz w:val="18"/>
                <w:szCs w:val="18"/>
              </w:rPr>
              <w:t xml:space="preserve">Direction</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LONG — buy the oversold pullback into support within a Transitional/mildly-bullish structure</w:t>
            </w:r>
          </w:p>
        </w:tc>
      </w:tr>
      <w:tr>
        <w:tc>
          <w:tcPr>
            <w:tcW w:type="dxa" w:w="2600"/>
            <w:shd w:fill="F2DDE5" w:color="auto" w:val="clear"/>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1F3864"/>
                <w:sz w:val="18"/>
                <w:szCs w:val="18"/>
              </w:rPr>
              <w:t xml:space="preserve">Entry</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Buy limit 10,470 (at the 08-Jul low support ~10,467, rounded), OR stop-entry 10,560 on a confirmed reclaim of the pivot area. Timing: from the 09-Jul open (07:00 UK anchor overridden per instruction; European pre-open context applies).</w:t>
            </w:r>
          </w:p>
        </w:tc>
      </w:tr>
      <w:tr>
        <w:tc>
          <w:tcPr>
            <w:tcW w:type="dxa" w:w="2600"/>
            <w:shd w:fill="F2DDE5" w:color="auto" w:val="clear"/>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1F3864"/>
                <w:sz w:val="18"/>
                <w:szCs w:val="18"/>
              </w:rPr>
              <w:t xml:space="preserve">Stop loss</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10,300 — ~170 points below the 10,470 entry. Structural anchor: June-recovery shelf / base-case invalidation (§16). Within the 3.5×ATR stop cap.</w:t>
            </w:r>
          </w:p>
        </w:tc>
      </w:tr>
      <w:tr>
        <w:tc>
          <w:tcPr>
            <w:tcW w:type="dxa" w:w="2600"/>
            <w:shd w:fill="F2DDE5" w:color="auto" w:val="clear"/>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1F3864"/>
                <w:sz w:val="18"/>
                <w:szCs w:val="18"/>
              </w:rPr>
              <w:t xml:space="preserve">Risk (R)</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 170 points (10,470 → 10,300)</w:t>
            </w:r>
          </w:p>
        </w:tc>
      </w:tr>
      <w:tr>
        <w:tc>
          <w:tcPr>
            <w:tcW w:type="dxa" w:w="2600"/>
            <w:shd w:fill="F2DDE5" w:color="auto" w:val="clear"/>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1F3864"/>
                <w:sz w:val="18"/>
                <w:szCs w:val="18"/>
              </w:rPr>
              <w:t xml:space="preserve">TP1 (Unit 1)</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10,585 — ~+115 pts (~0.7R), the 38.2% retrace of the 08-Jul drop / prior consolidation shelf</w:t>
            </w:r>
          </w:p>
        </w:tc>
      </w:tr>
      <w:tr>
        <w:tc>
          <w:tcPr>
            <w:tcW w:type="dxa" w:w="2600"/>
            <w:shd w:fill="F2DDE5" w:color="auto" w:val="clear"/>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1F3864"/>
                <w:sz w:val="18"/>
                <w:szCs w:val="18"/>
              </w:rPr>
              <w:t xml:space="preserve">TP2 (Unit 2)</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10,662 — ~+192 pts (~1.1R), the broken 04-Jul close / lower edge of the resistance cluster</w:t>
            </w:r>
          </w:p>
        </w:tc>
      </w:tr>
      <w:tr>
        <w:tc>
          <w:tcPr>
            <w:tcW w:type="dxa" w:w="2600"/>
            <w:shd w:fill="F2DDE5" w:color="auto" w:val="clear"/>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1F3864"/>
                <w:sz w:val="18"/>
                <w:szCs w:val="18"/>
              </w:rPr>
              <w:t xml:space="preserve">TP3 (Unit 3 — runner)</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10,747 — the July monthly high (measured-move / range-breakout target). Runner exit on a failure back below 10,585 or a close-through of 10,747.</w:t>
            </w:r>
          </w:p>
        </w:tc>
      </w:tr>
      <w:tr>
        <w:tc>
          <w:tcPr>
            <w:tcW w:type="dxa" w:w="2600"/>
            <w:shd w:fill="F2DDE5" w:color="auto" w:val="clear"/>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1F3864"/>
                <w:sz w:val="18"/>
                <w:szCs w:val="18"/>
              </w:rPr>
              <w:t xml:space="preserve">Tranche mgmt</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3 equal units; Unit 1 exits at TP1, Unit 2 at TP2; on Unit 2 fill, Unit 3 stop moves to entry ± 0.2R (≈ 10,504).</w:t>
            </w:r>
          </w:p>
        </w:tc>
      </w:tr>
      <w:tr>
        <w:tc>
          <w:tcPr>
            <w:tcW w:type="dxa" w:w="2600"/>
            <w:shd w:fill="F2DDE5" w:color="auto" w:val="clear"/>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1F3864"/>
                <w:sz w:val="18"/>
                <w:szCs w:val="18"/>
              </w:rPr>
              <w:t xml:space="preserve">Confluences</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Entry: 08-Jul low + round 10,470 (strong). TP2: broken 04-Jul close 10,662 + resistance cluster (strong). TP3: 10,747 monthly high (structural).</w:t>
            </w:r>
          </w:p>
        </w:tc>
      </w:tr>
      <w:tr>
        <w:tc>
          <w:tcPr>
            <w:tcW w:type="dxa" w:w="2600"/>
            <w:shd w:fill="F2DDE5" w:color="auto" w:val="clear"/>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1F3864"/>
                <w:sz w:val="18"/>
                <w:szCs w:val="18"/>
              </w:rPr>
              <w:t xml:space="preserve">Thesis invalidation</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Daily close below 10,300 (distinct from intraday stop) breaks the pullback-buy narrative and confirms a downtrend.</w:t>
            </w:r>
          </w:p>
        </w:tc>
      </w:tr>
      <w:tr>
        <w:tc>
          <w:tcPr>
            <w:tcW w:type="dxa" w:w="2600"/>
            <w:shd w:fill="F2DDE5" w:color="auto" w:val="clear"/>
            <w:tcMar>
              <w:top w:type="dxa" w:w="40"/>
              <w:left w:type="dxa" w:w="70"/>
              <w:bottom w:type="dxa" w:w="40"/>
              <w:right w:type="dxa" w:w="70"/>
            </w:tcMar>
            <w:vAlign w:val="center"/>
          </w:tcPr>
          <w:p>
            <w:pPr>
              <w:spacing w:after="20" w:before="20"/>
              <w:jc w:val="left"/>
            </w:pPr>
            <w:r>
              <w:rPr>
                <w:rFonts w:ascii="Calibri" w:cs="Calibri" w:eastAsia="Calibri" w:hAnsi="Calibri"/>
                <w:b/>
                <w:bCs/>
                <w:i w:val="false"/>
                <w:iCs w:val="false"/>
                <w:color w:val="1F3864"/>
                <w:sz w:val="18"/>
                <w:szCs w:val="18"/>
              </w:rPr>
              <w:t xml:space="preserve">Caveats</w:t>
            </w:r>
          </w:p>
        </w:tc>
        <w:tc>
          <w:tcPr>
            <w:tcW w:type="dxa" w:w="67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single-source-indicative OHLC &amp; pivots; entry/stop use swing &amp; round-number anchors not corroborated pivots; holding period spans §13d weekend oil/geopolitics Tier-1 event (gap risk); mild conflict with §17 caution.</w:t>
            </w:r>
          </w:p>
        </w:tc>
      </w:tr>
    </w:tbl>
    <w:p>
      <w:pPr>
        <w:keepNext/>
        <w:spacing w:after="80" w:before="140"/>
      </w:pPr>
      <w:r>
        <w:rPr>
          <w:rFonts w:ascii="Calibri" w:cs="Calibri" w:eastAsia="Calibri" w:hAnsi="Calibri"/>
          <w:b/>
          <w:bCs/>
          <w:i w:val="false"/>
          <w:iCs w:val="false"/>
          <w:color w:val="1F3864"/>
          <w:sz w:val="21"/>
          <w:szCs w:val="21"/>
        </w:rPr>
        <w:t xml:space="preserve">§21c  5-session no-leakage backtest</w:t>
      </w:r>
    </w:p>
    <w:p>
      <w:pPr>
        <w:spacing w:after="120" w:before="0" w:line="276"/>
        <w:jc w:val="left"/>
      </w:pPr>
      <w:r>
        <w:rPr>
          <w:rFonts w:ascii="Calibri" w:cs="Calibri" w:eastAsia="Calibri" w:hAnsi="Calibri"/>
          <w:b w:val="false"/>
          <w:bCs w:val="false"/>
          <w:i/>
          <w:iCs/>
          <w:color w:val="595959"/>
          <w:sz w:val="18"/>
          <w:szCs w:val="18"/>
        </w:rPr>
        <w:t xml:space="preserve">Reconstructed on the corroborated close series with intraday fills approximated from indicative ranges (flagged). SL-first priority applied where both could fill in-bar.</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1250"/>
        <w:gridCol w:w="1250"/>
        <w:gridCol w:w="1150"/>
        <w:gridCol w:w="1400"/>
        <w:gridCol w:w="1350"/>
        <w:gridCol w:w="1460"/>
      </w:tblGrid>
      <w:tr>
        <w:trPr>
          <w:tblHeader/>
        </w:trPr>
        <w:tc>
          <w:tcPr>
            <w:tcW w:type="dxa" w:w="1500"/>
            <w:shd w:fill="F2DDE5"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Date (t−N)</w:t>
            </w:r>
          </w:p>
        </w:tc>
        <w:tc>
          <w:tcPr>
            <w:tcW w:type="dxa" w:w="1250"/>
            <w:shd w:fill="F2DDE5"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Strategy</w:t>
            </w:r>
          </w:p>
        </w:tc>
        <w:tc>
          <w:tcPr>
            <w:tcW w:type="dxa" w:w="1250"/>
            <w:shd w:fill="F2DDE5"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Direction</w:t>
            </w:r>
          </w:p>
        </w:tc>
        <w:tc>
          <w:tcPr>
            <w:tcW w:type="dxa" w:w="1150"/>
            <w:shd w:fill="F2DDE5"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Triggered</w:t>
            </w:r>
          </w:p>
        </w:tc>
        <w:tc>
          <w:tcPr>
            <w:tcW w:type="dxa" w:w="1400"/>
            <w:shd w:fill="F2DDE5"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Entry/Exit</w:t>
            </w:r>
          </w:p>
        </w:tc>
        <w:tc>
          <w:tcPr>
            <w:tcW w:type="dxa" w:w="1350"/>
            <w:shd w:fill="F2DDE5"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Outcome (R)</w:t>
            </w:r>
          </w:p>
        </w:tc>
        <w:tc>
          <w:tcPr>
            <w:tcW w:type="dxa" w:w="1460"/>
            <w:shd w:fill="F2DDE5" w:color="auto" w:val="clear"/>
            <w:tcMar>
              <w:top w:type="dxa" w:w="40"/>
              <w:left w:type="dxa" w:w="70"/>
              <w:bottom w:type="dxa" w:w="40"/>
              <w:right w:type="dxa" w:w="70"/>
            </w:tcMar>
            <w:vAlign w:val="center"/>
          </w:tcPr>
          <w:p>
            <w:pPr>
              <w:spacing w:after="20" w:before="20"/>
            </w:pPr>
            <w:r>
              <w:rPr>
                <w:rFonts w:ascii="Calibri" w:cs="Calibri" w:eastAsia="Calibri" w:hAnsi="Calibri"/>
                <w:b/>
                <w:bCs/>
                <w:i w:val="false"/>
                <w:iCs w:val="false"/>
                <w:color w:val="1F3864"/>
                <w:sz w:val="18"/>
                <w:szCs w:val="18"/>
              </w:rPr>
              <w:t xml:space="preserve">Days</w:t>
            </w:r>
          </w:p>
        </w:tc>
      </w:tr>
      <w:tr>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02 Jul (t−5)</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Trade 3A</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LONG</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YES</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10,486 / 10,679</w:t>
            </w:r>
          </w:p>
        </w:tc>
        <w:tc>
          <w:tcPr>
            <w:tcW w:type="dxa" w:w="13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+1.2R (partial)</w:t>
            </w:r>
          </w:p>
        </w:tc>
        <w:tc>
          <w:tcPr>
            <w:tcW w:type="dxa" w:w="14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1–2</w:t>
            </w:r>
          </w:p>
        </w:tc>
      </w:tr>
      <w:tr>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03 Jul (t−4)</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Trade 3A</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LONG</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YES</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10,530 / 10,662</w:t>
            </w:r>
          </w:p>
        </w:tc>
        <w:tc>
          <w:tcPr>
            <w:tcW w:type="dxa" w:w="13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OPEN → −0.3R</w:t>
            </w:r>
          </w:p>
        </w:tc>
        <w:tc>
          <w:tcPr>
            <w:tcW w:type="dxa" w:w="14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2+</w:t>
            </w:r>
          </w:p>
        </w:tc>
      </w:tr>
      <w:tr>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04 Jul (t−3)</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Trade 1</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SUPPRESSED</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w:t>
            </w:r>
          </w:p>
        </w:tc>
        <w:tc>
          <w:tcPr>
            <w:tcW w:type="dxa" w:w="13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n/a</w:t>
            </w:r>
          </w:p>
        </w:tc>
        <w:tc>
          <w:tcPr>
            <w:tcW w:type="dxa" w:w="14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w:t>
            </w:r>
          </w:p>
        </w:tc>
      </w:tr>
      <w:tr>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07 Jul (t−2)</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Trade 3A</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LONG</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YES</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10,651 / 10,492</w:t>
            </w:r>
          </w:p>
        </w:tc>
        <w:tc>
          <w:tcPr>
            <w:tcW w:type="dxa" w:w="13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−1.0R (stopped)</w:t>
            </w:r>
          </w:p>
        </w:tc>
        <w:tc>
          <w:tcPr>
            <w:tcW w:type="dxa" w:w="14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1</w:t>
            </w:r>
          </w:p>
        </w:tc>
      </w:tr>
      <w:tr>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08 Jul (t−1)</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Trade 2</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SUPPRESSED</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w:t>
            </w:r>
          </w:p>
        </w:tc>
        <w:tc>
          <w:tcPr>
            <w:tcW w:type="dxa" w:w="13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n/a (indicative pivots)</w:t>
            </w:r>
          </w:p>
        </w:tc>
        <w:tc>
          <w:tcPr>
            <w:tcW w:type="dxa" w:w="14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w:t>
            </w:r>
          </w:p>
        </w:tc>
      </w:tr>
      <w:tr>
        <w:tc>
          <w:tcPr>
            <w:tcW w:type="dxa" w:w="15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Each session</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Trade 2</w:t>
            </w:r>
          </w:p>
        </w:tc>
        <w:tc>
          <w:tcPr>
            <w:tcW w:type="dxa" w:w="12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SUPPRESSED</w:t>
            </w:r>
          </w:p>
        </w:tc>
        <w:tc>
          <w:tcPr>
            <w:tcW w:type="dxa" w:w="11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w:t>
            </w:r>
          </w:p>
        </w:tc>
        <w:tc>
          <w:tcPr>
            <w:tcW w:type="dxa" w:w="14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w:t>
            </w:r>
          </w:p>
        </w:tc>
        <w:tc>
          <w:tcPr>
            <w:tcW w:type="dxa" w:w="135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n/a (indicative pivots)</w:t>
            </w:r>
          </w:p>
        </w:tc>
        <w:tc>
          <w:tcPr>
            <w:tcW w:type="dxa" w:w="146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8"/>
                <w:szCs w:val="18"/>
              </w:rPr>
              <w:t xml:space="preserve">—</w:t>
            </w:r>
          </w:p>
        </w:tc>
      </w:tr>
    </w:tbl>
    <w:p>
      <w:pPr>
        <w:keepNext/>
        <w:spacing w:after="80" w:before="140"/>
      </w:pPr>
      <w:r>
        <w:rPr>
          <w:rFonts w:ascii="Calibri" w:cs="Calibri" w:eastAsia="Calibri" w:hAnsi="Calibri"/>
          <w:b/>
          <w:bCs/>
          <w:i w:val="false"/>
          <w:iCs w:val="false"/>
          <w:color w:val="1F3864"/>
          <w:sz w:val="21"/>
          <w:szCs w:val="21"/>
        </w:rPr>
        <w:t xml:space="preserve">§21d  'What is working' aggregate</w:t>
      </w:r>
    </w:p>
    <w:p>
      <w:pPr>
        <w:spacing w:after="120" w:before="0" w:line="276"/>
        <w:jc w:val="left"/>
      </w:pPr>
      <w:r>
        <w:rPr>
          <w:rFonts w:ascii="Calibri" w:cs="Calibri" w:eastAsia="Calibri" w:hAnsi="Calibri"/>
          <w:b w:val="false"/>
          <w:bCs w:val="false"/>
          <w:i w:val="false"/>
          <w:iCs w:val="false"/>
          <w:color w:val="000000"/>
          <w:sz w:val="20"/>
          <w:szCs w:val="20"/>
        </w:rPr>
        <w:t xml:space="preserve">Trade 3A over the last 5 sessions: triggered 3/5 times, mean R ≈ 0.0 (one strong winner into the 03-Jul high, one open drawdown, one full stop on the 08-Jul reversal); TP1/TP2/TP3 hit rates ≈ 33% / 0% / 0%. Trade 1 suppressed on low conviction; Trade 2 suppressed every session on indicative pivots. Strongest performer: Trade 3A (only strategy triggering). Weakest performer: insufficient triggers to rank Trades 1 and 2. </w:t>
      </w:r>
    </w:p>
    <w:p>
      <w:pPr>
        <w:spacing w:after="120" w:before="0" w:line="276"/>
        <w:jc w:val="left"/>
      </w:pPr>
      <w:r>
        <w:rPr>
          <w:rFonts w:ascii="Calibri" w:cs="Calibri" w:eastAsia="Calibri" w:hAnsi="Calibri"/>
          <w:b w:val="false"/>
          <w:bCs w:val="false"/>
          <w:i/>
          <w:iCs/>
          <w:color w:val="595959"/>
          <w:sz w:val="18"/>
          <w:szCs w:val="18"/>
        </w:rPr>
        <w:t xml:space="preserve">Five-session windows are too small to support statistical claims. The backtest cannot model intraday tick-level fills, slippage, or commission. Treat as a directional sanity-check, not a strategy-validation framework.</w:t>
      </w:r>
    </w:p>
    <w:p>
      <w:pPr>
        <w:spacing w:after="120" w:before="0" w:line="276"/>
        <w:jc w:val="left"/>
      </w:pPr>
      <w:r>
        <w:rPr>
          <w:rFonts w:ascii="Calibri" w:cs="Calibri" w:eastAsia="Calibri" w:hAnsi="Calibri"/>
          <w:b w:val="false"/>
          <w:bCs w:val="false"/>
          <w:i/>
          <w:iCs/>
          <w:color w:val="595959"/>
          <w:sz w:val="18"/>
          <w:szCs w:val="18"/>
        </w:rPr>
        <w:t xml:space="preserve">Additional data caveat for this run: backtest fills rely on single-source indicative intraday ranges and are correspondingly lower-confidence than a fully corroborated reconstruction.</w:t>
      </w:r>
    </w:p>
    <w:p>
      <w:pPr>
        <w:pBdr>
          <w:top w:val="single" w:color="1F3864" w:sz="4"/>
        </w:pBdr>
        <w:spacing w:before="300"/>
        <w:jc w:val="center"/>
      </w:pPr>
      <w:r>
        <w:rPr>
          <w:rFonts w:ascii="Calibri" w:cs="Calibri" w:eastAsia="Calibri" w:hAnsi="Calibri"/>
          <w:b w:val="false"/>
          <w:bCs w:val="false"/>
          <w:i/>
          <w:iCs/>
          <w:color w:val="595959"/>
          <w:sz w:val="16"/>
          <w:szCs w:val="16"/>
        </w:rPr>
        <w:t xml:space="preserve">FTSE 100 Daily Report │ 09 July 2026 │ Senior European Equity Strategist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FTSE 100 Report — Daily 09 July 2026</dc:title>
  <dc:creator>European Equity Strategy Desk</dc:creator>
  <cp:lastModifiedBy>Un-named</cp:lastModifiedBy>
  <cp:revision>1</cp:revision>
  <dcterms:created xsi:type="dcterms:W3CDTF">2026-07-08T21:30:15.719Z</dcterms:created>
  <dcterms:modified xsi:type="dcterms:W3CDTF">2026-07-08T21:30:15.721Z</dcterms:modified>
</cp:coreProperties>
</file>

<file path=docProps/custom.xml><?xml version="1.0" encoding="utf-8"?>
<Properties xmlns="http://schemas.openxmlformats.org/officeDocument/2006/custom-properties" xmlns:vt="http://schemas.openxmlformats.org/officeDocument/2006/docPropsVTypes"/>
</file>