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36"/>
          <w:szCs w:val="36"/>
        </w:rPr>
        <w:t xml:space="preserve">FTSE 100 Report — Daily: 10 July 2026</w:t>
      </w:r>
    </w:p>
    <w:p>
      <w:pPr>
        <w:spacing w:after="80"/>
      </w:pPr>
      <w:r>
        <w:rPr>
          <w:i/>
          <w:iCs/>
          <w:color w:val="444444"/>
          <w:sz w:val="20"/>
          <w:szCs w:val="20"/>
        </w:rPr>
        <w:t xml:space="preserve">With reference to: EURO STOXX 50 · USDX · S&amp;P 500 · DAX 40</w:t>
      </w:r>
    </w:p>
    <w:p>
      <w:pPr>
        <w:spacing w:after="240"/>
      </w:pPr>
      <w:r>
        <w:rPr>
          <w:color w:val="666666"/>
          <w:sz w:val="18"/>
          <w:szCs w:val="18"/>
        </w:rPr>
        <w:t xml:space="preserve">Daily-open anchor: 07:00 UK (overridden for this session at user instruction). Snapshot basis: close of 9 July 2026, Europe/London.</w:t>
      </w:r>
    </w:p>
    <w:p>
      <w:pPr>
        <w:pStyle w:val="Heading1"/>
        <w:spacing w:after="140" w:before="280"/>
      </w:pPr>
      <w:r>
        <w:t xml:space="preserve">§1  Executive Snapshot</w:t>
      </w:r>
    </w:p>
    <w:p>
      <w:pPr>
        <w:spacing w:after="120"/>
      </w:pPr>
      <w:r>
        <w:t xml:space="preserve">The FTSE 100 enters the 10 July session at 10,429.22, having closed lower for a third consecutive day. The consensus call is 10,429.22 with a working range of 10,395–10,465 and Medium confidence. Market tone is defensive-negative. Three drivers dominate: a 9% collapse in AstraZeneca after the Wainua cardiovascular trial missed its primary endpoint, which alone accounts for a substantial share of the index's underperformance versus continental peers; renewed US-Iran escalation after the ceasefire was publicly declared over, which lifted the oil-price risk premium and revived eurozone and UK inflation concerns; and a broad continental rebound in miners, banks and semiconductors that the FTSE conspicuously failed to participate in. The short-term technical state is Trending–Bearish: the index has shed roughly 260 points across two sessions and printed its lowest close of the five-session block. The medium-term state remains Transitional–Mixed — the 25-session structure is still constructive off the June base near 10,128, but the past two candles have carved through it aggressively. The Kaufman efficiency read at roughly 0.76 sits well above the trending threshold and confirms this is directional movement, not noise, with the direction unambiguously down. The single most important watch item is whether the pre-open holds above the June-monthly pivot at 10,379.56 — a sustained break there converts a two-day correction into a structural test of the 10,300 zone.</w:t>
      </w:r>
    </w:p>
    <w:p>
      <w:pPr>
        <w:pStyle w:val="Heading1"/>
        <w:spacing w:after="140" w:before="28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E2F3" w:color="auto" w:val="clear"/>
          </w:tcPr>
          <w:p>
            <w:pPr>
              <w:spacing w:after="40" w:before="40"/>
            </w:pPr>
            <w:r>
              <w:rPr>
                <w:b/>
                <w:bCs/>
                <w:sz w:val="18"/>
                <w:szCs w:val="18"/>
              </w:rPr>
              <w:t xml:space="preserve">Field</w:t>
            </w:r>
          </w:p>
        </w:tc>
        <w:tc>
          <w:tcPr>
            <w:tcW w:type="dxa" w:w="6760"/>
            <w:shd w:fill="D9E2F3" w:color="auto" w:val="clear"/>
          </w:tcPr>
          <w:p>
            <w:pPr>
              <w:spacing w:after="40" w:before="40"/>
            </w:pPr>
            <w:r>
              <w:rPr>
                <w:b/>
                <w:bCs/>
                <w:sz w:val="18"/>
                <w:szCs w:val="18"/>
              </w:rPr>
              <w:t xml:space="preserve">Value</w:t>
            </w:r>
          </w:p>
        </w:tc>
      </w:tr>
      <w:tr>
        <w:tc>
          <w:tcPr>
            <w:tcW w:type="dxa" w:w="2600"/>
          </w:tcPr>
          <w:p>
            <w:pPr>
              <w:spacing w:after="40" w:before="40"/>
            </w:pPr>
            <w:r>
              <w:rPr>
                <w:b w:val="false"/>
                <w:bCs w:val="false"/>
                <w:sz w:val="18"/>
                <w:szCs w:val="18"/>
              </w:rPr>
              <w:t xml:space="preserve">Asset</w:t>
            </w:r>
          </w:p>
        </w:tc>
        <w:tc>
          <w:tcPr>
            <w:tcW w:type="dxa" w:w="6760"/>
          </w:tcPr>
          <w:p>
            <w:pPr>
              <w:spacing w:after="40" w:before="40"/>
            </w:pPr>
            <w:r>
              <w:rPr>
                <w:b w:val="false"/>
                <w:bCs w:val="false"/>
                <w:sz w:val="18"/>
                <w:szCs w:val="18"/>
              </w:rPr>
              <w:t xml:space="preserve">FTSE 100 cash index</w:t>
            </w:r>
          </w:p>
        </w:tc>
      </w:tr>
      <w:tr>
        <w:tc>
          <w:tcPr>
            <w:tcW w:type="dxa" w:w="2600"/>
          </w:tcPr>
          <w:p>
            <w:pPr>
              <w:spacing w:after="40" w:before="40"/>
            </w:pPr>
            <w:r>
              <w:rPr>
                <w:b w:val="false"/>
                <w:bCs w:val="false"/>
                <w:sz w:val="18"/>
                <w:szCs w:val="18"/>
              </w:rPr>
              <w:t xml:space="preserve">Specification</w:t>
            </w:r>
          </w:p>
        </w:tc>
        <w:tc>
          <w:tcPr>
            <w:tcW w:type="dxa" w:w="6760"/>
          </w:tcPr>
          <w:p>
            <w:pPr>
              <w:spacing w:after="40" w:before="40"/>
            </w:pPr>
            <w:r>
              <w:rPr>
                <w:b w:val="false"/>
                <w:bCs w:val="false"/>
                <w:sz w:val="18"/>
                <w:szCs w:val="18"/>
              </w:rPr>
              <w:t xml:space="preserve">GBP-denominated, free-float weighted, 100 constituents (FTSE Russell methodology, quarterly review)</w:t>
            </w:r>
          </w:p>
        </w:tc>
      </w:tr>
      <w:tr>
        <w:tc>
          <w:tcPr>
            <w:tcW w:type="dxa" w:w="2600"/>
          </w:tcPr>
          <w:p>
            <w:pPr>
              <w:spacing w:after="40" w:before="40"/>
            </w:pPr>
            <w:r>
              <w:rPr>
                <w:b w:val="false"/>
                <w:bCs w:val="false"/>
                <w:sz w:val="18"/>
                <w:szCs w:val="18"/>
              </w:rPr>
              <w:t xml:space="preserve">Secondary asset</w:t>
            </w:r>
          </w:p>
        </w:tc>
        <w:tc>
          <w:tcPr>
            <w:tcW w:type="dxa" w:w="6760"/>
          </w:tcPr>
          <w:p>
            <w:pPr>
              <w:spacing w:after="40" w:before="40"/>
            </w:pPr>
            <w:r>
              <w:rPr>
                <w:b w:val="false"/>
                <w:bCs w:val="false"/>
                <w:sz w:val="18"/>
                <w:szCs w:val="18"/>
              </w:rPr>
              <w:t xml:space="preserve">EURO STOXX 50 (EUR original, GBP-equivalent reference)</w:t>
            </w:r>
          </w:p>
        </w:tc>
      </w:tr>
      <w:tr>
        <w:tc>
          <w:tcPr>
            <w:tcW w:type="dxa" w:w="2600"/>
          </w:tcPr>
          <w:p>
            <w:pPr>
              <w:spacing w:after="40" w:before="40"/>
            </w:pPr>
            <w:r>
              <w:rPr>
                <w:b w:val="false"/>
                <w:bCs w:val="false"/>
                <w:sz w:val="18"/>
                <w:szCs w:val="18"/>
              </w:rPr>
              <w:t xml:space="preserve">Scope</w:t>
            </w:r>
          </w:p>
        </w:tc>
        <w:tc>
          <w:tcPr>
            <w:tcW w:type="dxa" w:w="6760"/>
          </w:tcPr>
          <w:p>
            <w:pPr>
              <w:spacing w:after="40" w:before="40"/>
            </w:pPr>
            <w:r>
              <w:rPr>
                <w:b w:val="false"/>
                <w:bCs w:val="false"/>
                <w:sz w:val="18"/>
                <w:szCs w:val="18"/>
              </w:rPr>
              <w:t xml:space="preserve">Regional — United Kingdom and Eurozone</w:t>
            </w:r>
          </w:p>
        </w:tc>
      </w:tr>
      <w:tr>
        <w:tc>
          <w:tcPr>
            <w:tcW w:type="dxa" w:w="2600"/>
          </w:tcPr>
          <w:p>
            <w:pPr>
              <w:spacing w:after="40" w:before="40"/>
            </w:pPr>
            <w:r>
              <w:rPr>
                <w:b w:val="false"/>
                <w:bCs w:val="false"/>
                <w:sz w:val="18"/>
                <w:szCs w:val="18"/>
              </w:rPr>
              <w:t xml:space="preserve">Price basis</w:t>
            </w:r>
          </w:p>
        </w:tc>
        <w:tc>
          <w:tcPr>
            <w:tcW w:type="dxa" w:w="6760"/>
          </w:tcPr>
          <w:p>
            <w:pPr>
              <w:spacing w:after="40" w:before="40"/>
            </w:pPr>
            <w:r>
              <w:rPr>
                <w:b w:val="false"/>
                <w:bCs w:val="false"/>
                <w:sz w:val="18"/>
                <w:szCs w:val="18"/>
              </w:rPr>
              <w:t xml:space="preserve">Cash index level, continuous</w:t>
            </w:r>
          </w:p>
        </w:tc>
      </w:tr>
      <w:tr>
        <w:tc>
          <w:tcPr>
            <w:tcW w:type="dxa" w:w="2600"/>
          </w:tcPr>
          <w:p>
            <w:pPr>
              <w:spacing w:after="40" w:before="40"/>
            </w:pPr>
            <w:r>
              <w:rPr>
                <w:b w:val="false"/>
                <w:bCs w:val="false"/>
                <w:sz w:val="18"/>
                <w:szCs w:val="18"/>
              </w:rPr>
              <w:t xml:space="preserve">Delivery basis</w:t>
            </w:r>
          </w:p>
        </w:tc>
        <w:tc>
          <w:tcPr>
            <w:tcW w:type="dxa" w:w="6760"/>
          </w:tcPr>
          <w:p>
            <w:pPr>
              <w:spacing w:after="40" w:before="40"/>
            </w:pPr>
            <w:r>
              <w:rPr>
                <w:b w:val="false"/>
                <w:bCs w:val="false"/>
                <w:sz w:val="18"/>
                <w:szCs w:val="18"/>
              </w:rPr>
              <w:t xml:space="preserve">LSE regular session 08:00–16:30 UK; Xetra 09:00–17:30 CET</w:t>
            </w:r>
          </w:p>
        </w:tc>
      </w:tr>
      <w:tr>
        <w:tc>
          <w:tcPr>
            <w:tcW w:type="dxa" w:w="2600"/>
          </w:tcPr>
          <w:p>
            <w:pPr>
              <w:spacing w:after="40" w:before="40"/>
            </w:pPr>
            <w:r>
              <w:rPr>
                <w:b w:val="false"/>
                <w:bCs w:val="false"/>
                <w:sz w:val="18"/>
                <w:szCs w:val="18"/>
              </w:rPr>
              <w:t xml:space="preserve">Unit of measure</w:t>
            </w:r>
          </w:p>
        </w:tc>
        <w:tc>
          <w:tcPr>
            <w:tcW w:type="dxa" w:w="6760"/>
          </w:tcPr>
          <w:p>
            <w:pPr>
              <w:spacing w:after="40" w:before="40"/>
            </w:pPr>
            <w:r>
              <w:rPr>
                <w:b w:val="false"/>
                <w:bCs w:val="false"/>
                <w:sz w:val="18"/>
                <w:szCs w:val="18"/>
              </w:rPr>
              <w:t xml:space="preserve">Index points</w:t>
            </w:r>
          </w:p>
        </w:tc>
      </w:tr>
      <w:tr>
        <w:tc>
          <w:tcPr>
            <w:tcW w:type="dxa" w:w="2600"/>
          </w:tcPr>
          <w:p>
            <w:pPr>
              <w:spacing w:after="40" w:before="40"/>
            </w:pPr>
            <w:r>
              <w:rPr>
                <w:b w:val="false"/>
                <w:bCs w:val="false"/>
                <w:sz w:val="18"/>
                <w:szCs w:val="18"/>
              </w:rPr>
              <w:t xml:space="preserve">Currency</w:t>
            </w:r>
          </w:p>
        </w:tc>
        <w:tc>
          <w:tcPr>
            <w:tcW w:type="dxa" w:w="6760"/>
          </w:tcPr>
          <w:p>
            <w:pPr>
              <w:spacing w:after="40" w:before="40"/>
            </w:pPr>
            <w:r>
              <w:rPr>
                <w:b w:val="false"/>
                <w:bCs w:val="false"/>
                <w:sz w:val="18"/>
                <w:szCs w:val="18"/>
              </w:rPr>
              <w:t xml:space="preserve">GBP</w:t>
            </w:r>
          </w:p>
        </w:tc>
      </w:tr>
      <w:tr>
        <w:tc>
          <w:tcPr>
            <w:tcW w:type="dxa" w:w="2600"/>
          </w:tcPr>
          <w:p>
            <w:pPr>
              <w:spacing w:after="40" w:before="40"/>
            </w:pPr>
            <w:r>
              <w:rPr>
                <w:b w:val="false"/>
                <w:bCs w:val="false"/>
                <w:sz w:val="18"/>
                <w:szCs w:val="18"/>
              </w:rPr>
              <w:t xml:space="preserve">Tick size / name</w:t>
            </w:r>
          </w:p>
        </w:tc>
        <w:tc>
          <w:tcPr>
            <w:tcW w:type="dxa" w:w="6760"/>
          </w:tcPr>
          <w:p>
            <w:pPr>
              <w:spacing w:after="40" w:before="40"/>
            </w:pPr>
            <w:r>
              <w:rPr>
                <w:b w:val="false"/>
                <w:bCs w:val="false"/>
                <w:sz w:val="18"/>
                <w:szCs w:val="18"/>
              </w:rPr>
              <w:t xml:space="preserve">0.01 / point</w:t>
            </w:r>
          </w:p>
        </w:tc>
      </w:tr>
      <w:tr>
        <w:tc>
          <w:tcPr>
            <w:tcW w:type="dxa" w:w="2600"/>
          </w:tcPr>
          <w:p>
            <w:pPr>
              <w:spacing w:after="40" w:before="40"/>
            </w:pPr>
            <w:r>
              <w:rPr>
                <w:b w:val="false"/>
                <w:bCs w:val="false"/>
                <w:sz w:val="18"/>
                <w:szCs w:val="18"/>
              </w:rPr>
              <w:t xml:space="preserve">As-of date</w:t>
            </w:r>
          </w:p>
        </w:tc>
        <w:tc>
          <w:tcPr>
            <w:tcW w:type="dxa" w:w="6760"/>
          </w:tcPr>
          <w:p>
            <w:pPr>
              <w:spacing w:after="40" w:before="40"/>
            </w:pPr>
            <w:r>
              <w:rPr>
                <w:b w:val="false"/>
                <w:bCs w:val="false"/>
                <w:sz w:val="18"/>
                <w:szCs w:val="18"/>
              </w:rPr>
              <w:t xml:space="preserve">10 July 2026 (Europe/London), anchored on 9 July close</w:t>
            </w:r>
          </w:p>
        </w:tc>
      </w:tr>
      <w:tr>
        <w:tc>
          <w:tcPr>
            <w:tcW w:type="dxa" w:w="2600"/>
          </w:tcPr>
          <w:p>
            <w:pPr>
              <w:spacing w:after="40" w:before="40"/>
            </w:pPr>
            <w:r>
              <w:rPr>
                <w:b w:val="false"/>
                <w:bCs w:val="false"/>
                <w:sz w:val="18"/>
                <w:szCs w:val="18"/>
              </w:rPr>
              <w:t xml:space="preserve">Lookback window</w:t>
            </w:r>
          </w:p>
        </w:tc>
        <w:tc>
          <w:tcPr>
            <w:tcW w:type="dxa" w:w="6760"/>
          </w:tcPr>
          <w:p>
            <w:pPr>
              <w:spacing w:after="40" w:before="40"/>
            </w:pPr>
            <w:r>
              <w:rPr>
                <w:b w:val="false"/>
                <w:bCs w:val="false"/>
                <w:sz w:val="18"/>
                <w:szCs w:val="18"/>
              </w:rPr>
              <w:t xml:space="preserve">5 sessions</w:t>
            </w:r>
          </w:p>
        </w:tc>
      </w:tr>
      <w:tr>
        <w:tc>
          <w:tcPr>
            <w:tcW w:type="dxa" w:w="2600"/>
          </w:tcPr>
          <w:p>
            <w:pPr>
              <w:spacing w:after="40" w:before="40"/>
            </w:pPr>
            <w:r>
              <w:rPr>
                <w:b w:val="false"/>
                <w:bCs w:val="false"/>
                <w:sz w:val="18"/>
                <w:szCs w:val="18"/>
              </w:rPr>
              <w:t xml:space="preserve">Daily-open anchor</w:t>
            </w:r>
          </w:p>
        </w:tc>
        <w:tc>
          <w:tcPr>
            <w:tcW w:type="dxa" w:w="6760"/>
          </w:tcPr>
          <w:p>
            <w:pPr>
              <w:spacing w:after="40" w:before="40"/>
            </w:pPr>
            <w:r>
              <w:rPr>
                <w:b w:val="false"/>
                <w:bCs w:val="false"/>
                <w:sz w:val="18"/>
                <w:szCs w:val="18"/>
              </w:rPr>
              <w:t xml:space="preserve">07:00 UK (European pre-open window)</w:t>
            </w:r>
          </w:p>
        </w:tc>
      </w:tr>
    </w:tbl>
    <w:p>
      <w:pPr>
        <w:pStyle w:val="Heading1"/>
        <w:spacing w:after="140" w:before="28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900"/>
        <w:gridCol w:w="1000"/>
        <w:gridCol w:w="1360"/>
        <w:gridCol w:w="2500"/>
      </w:tblGrid>
      <w:tr>
        <w:tc>
          <w:tcPr>
            <w:tcW w:type="dxa" w:w="1200"/>
            <w:shd w:fill="D9E2F3" w:color="auto" w:val="clear"/>
          </w:tcPr>
          <w:p>
            <w:pPr>
              <w:spacing w:after="40" w:before="40"/>
            </w:pPr>
            <w:r>
              <w:rPr>
                <w:b/>
                <w:bCs/>
                <w:sz w:val="18"/>
                <w:szCs w:val="18"/>
              </w:rPr>
              <w:t xml:space="preserve">Consensus</w:t>
            </w:r>
          </w:p>
        </w:tc>
        <w:tc>
          <w:tcPr>
            <w:tcW w:type="dxa" w:w="1400"/>
            <w:shd w:fill="D9E2F3" w:color="auto" w:val="clear"/>
          </w:tcPr>
          <w:p>
            <w:pPr>
              <w:spacing w:after="40" w:before="40"/>
            </w:pPr>
            <w:r>
              <w:rPr>
                <w:b/>
                <w:bCs/>
                <w:sz w:val="18"/>
                <w:szCs w:val="18"/>
              </w:rPr>
              <w:t xml:space="preserve">Range</w:t>
            </w:r>
          </w:p>
        </w:tc>
        <w:tc>
          <w:tcPr>
            <w:tcW w:type="dxa" w:w="1900"/>
            <w:shd w:fill="D9E2F3" w:color="auto" w:val="clear"/>
          </w:tcPr>
          <w:p>
            <w:pPr>
              <w:spacing w:after="40" w:before="40"/>
            </w:pPr>
            <w:r>
              <w:rPr>
                <w:b/>
                <w:bCs/>
                <w:sz w:val="18"/>
                <w:szCs w:val="18"/>
              </w:rPr>
              <w:t xml:space="preserve">Basis</w:t>
            </w:r>
          </w:p>
        </w:tc>
        <w:tc>
          <w:tcPr>
            <w:tcW w:type="dxa" w:w="1000"/>
            <w:shd w:fill="D9E2F3" w:color="auto" w:val="clear"/>
          </w:tcPr>
          <w:p>
            <w:pPr>
              <w:spacing w:after="40" w:before="40"/>
            </w:pPr>
            <w:r>
              <w:rPr>
                <w:b/>
                <w:bCs/>
                <w:sz w:val="18"/>
                <w:szCs w:val="18"/>
              </w:rPr>
              <w:t xml:space="preserve">Confidence</w:t>
            </w:r>
          </w:p>
        </w:tc>
        <w:tc>
          <w:tcPr>
            <w:tcW w:type="dxa" w:w="1360"/>
            <w:shd w:fill="D9E2F3" w:color="auto" w:val="clear"/>
          </w:tcPr>
          <w:p>
            <w:pPr>
              <w:spacing w:after="40" w:before="40"/>
            </w:pPr>
            <w:r>
              <w:rPr>
                <w:b/>
                <w:bCs/>
                <w:sz w:val="18"/>
                <w:szCs w:val="18"/>
              </w:rPr>
              <w:t xml:space="preserve">Tone</w:t>
            </w:r>
          </w:p>
        </w:tc>
        <w:tc>
          <w:tcPr>
            <w:tcW w:type="dxa" w:w="2500"/>
            <w:shd w:fill="D9E2F3" w:color="auto" w:val="clear"/>
          </w:tcPr>
          <w:p>
            <w:pPr>
              <w:spacing w:after="40" w:before="40"/>
            </w:pPr>
            <w:r>
              <w:rPr>
                <w:b/>
                <w:bCs/>
                <w:sz w:val="18"/>
                <w:szCs w:val="18"/>
              </w:rPr>
              <w:t xml:space="preserve">Rationale</w:t>
            </w:r>
          </w:p>
        </w:tc>
      </w:tr>
      <w:tr>
        <w:tc>
          <w:tcPr>
            <w:tcW w:type="dxa" w:w="1200"/>
          </w:tcPr>
          <w:p>
            <w:pPr>
              <w:spacing w:after="40" w:before="40"/>
            </w:pPr>
            <w:r>
              <w:rPr>
                <w:b w:val="false"/>
                <w:bCs w:val="false"/>
                <w:sz w:val="18"/>
                <w:szCs w:val="18"/>
              </w:rPr>
              <w:t xml:space="preserve">10,429.22</w:t>
            </w:r>
          </w:p>
        </w:tc>
        <w:tc>
          <w:tcPr>
            <w:tcW w:type="dxa" w:w="1400"/>
          </w:tcPr>
          <w:p>
            <w:pPr>
              <w:spacing w:after="40" w:before="40"/>
            </w:pPr>
            <w:r>
              <w:rPr>
                <w:b w:val="false"/>
                <w:bCs w:val="false"/>
                <w:sz w:val="18"/>
                <w:szCs w:val="18"/>
              </w:rPr>
              <w:t xml:space="preserve">10,395 – 10,465</w:t>
            </w:r>
          </w:p>
        </w:tc>
        <w:tc>
          <w:tcPr>
            <w:tcW w:type="dxa" w:w="1900"/>
          </w:tcPr>
          <w:p>
            <w:pPr>
              <w:spacing w:after="40" w:before="40"/>
            </w:pPr>
            <w:r>
              <w:rPr>
                <w:b w:val="false"/>
                <w:bCs w:val="false"/>
                <w:sz w:val="18"/>
                <w:szCs w:val="18"/>
              </w:rPr>
              <w:t xml:space="preserve">Cash index close, 9 Jul 2026, LSE regular session</w:t>
            </w:r>
          </w:p>
        </w:tc>
        <w:tc>
          <w:tcPr>
            <w:tcW w:type="dxa" w:w="1000"/>
          </w:tcPr>
          <w:p>
            <w:pPr>
              <w:spacing w:after="40" w:before="40"/>
            </w:pPr>
            <w:r>
              <w:rPr>
                <w:b w:val="false"/>
                <w:bCs w:val="false"/>
                <w:sz w:val="18"/>
                <w:szCs w:val="18"/>
              </w:rPr>
              <w:t xml:space="preserve">Medium</w:t>
            </w:r>
          </w:p>
        </w:tc>
        <w:tc>
          <w:tcPr>
            <w:tcW w:type="dxa" w:w="1360"/>
          </w:tcPr>
          <w:p>
            <w:pPr>
              <w:spacing w:after="40" w:before="40"/>
            </w:pPr>
            <w:r>
              <w:rPr>
                <w:b w:val="false"/>
                <w:bCs w:val="false"/>
                <w:sz w:val="18"/>
                <w:szCs w:val="18"/>
              </w:rPr>
              <w:t xml:space="preserve">Defensive-negative</w:t>
            </w:r>
          </w:p>
        </w:tc>
        <w:tc>
          <w:tcPr>
            <w:tcW w:type="dxa" w:w="2500"/>
          </w:tcPr>
          <w:p>
            <w:pPr>
              <w:spacing w:after="40" w:before="40"/>
            </w:pPr>
            <w:r>
              <w:rPr>
                <w:b w:val="false"/>
                <w:bCs w:val="false"/>
                <w:sz w:val="18"/>
                <w:szCs w:val="18"/>
              </w:rPr>
              <w:t xml:space="preserve">Weighted-median of six sources clusters tightly at the official close. Range is bounded below by the 9-Jul session low and above by the daily central pivot plus one resistance step. Confidence is Medium rather than High because two of the five session's High/Low pairs are single-source and because the geopolitical driver is fast-moving.</w:t>
            </w:r>
          </w:p>
        </w:tc>
      </w:tr>
    </w:tbl>
    <w:p>
      <w:pPr>
        <w:pStyle w:val="Heading1"/>
        <w:spacing w:after="140" w:before="28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600"/>
        <w:gridCol w:w="1050"/>
        <w:gridCol w:w="1350"/>
        <w:gridCol w:w="1150"/>
        <w:gridCol w:w="1660"/>
      </w:tblGrid>
      <w:tr>
        <w:tc>
          <w:tcPr>
            <w:tcW w:type="dxa" w:w="1300"/>
            <w:shd w:fill="D9E2F3" w:color="auto" w:val="clear"/>
          </w:tcPr>
          <w:p>
            <w:pPr>
              <w:spacing w:after="40" w:before="40"/>
            </w:pPr>
            <w:r>
              <w:rPr>
                <w:b/>
                <w:bCs/>
                <w:sz w:val="18"/>
                <w:szCs w:val="18"/>
              </w:rPr>
              <w:t xml:space="preserve">Source</w:t>
            </w:r>
          </w:p>
        </w:tc>
        <w:tc>
          <w:tcPr>
            <w:tcW w:type="dxa" w:w="1250"/>
            <w:shd w:fill="D9E2F3" w:color="auto" w:val="clear"/>
          </w:tcPr>
          <w:p>
            <w:pPr>
              <w:spacing w:after="40" w:before="40"/>
            </w:pPr>
            <w:r>
              <w:rPr>
                <w:b/>
                <w:bCs/>
                <w:sz w:val="18"/>
                <w:szCs w:val="18"/>
              </w:rPr>
              <w:t xml:space="preserve">Date/Time</w:t>
            </w:r>
          </w:p>
        </w:tc>
        <w:tc>
          <w:tcPr>
            <w:tcW w:type="dxa" w:w="1600"/>
            <w:shd w:fill="D9E2F3" w:color="auto" w:val="clear"/>
          </w:tcPr>
          <w:p>
            <w:pPr>
              <w:spacing w:after="40" w:before="40"/>
            </w:pPr>
            <w:r>
              <w:rPr>
                <w:b/>
                <w:bCs/>
                <w:sz w:val="18"/>
                <w:szCs w:val="18"/>
              </w:rPr>
              <w:t xml:space="preserve">Raw Quote</w:t>
            </w:r>
          </w:p>
        </w:tc>
        <w:tc>
          <w:tcPr>
            <w:tcW w:type="dxa" w:w="1050"/>
            <w:shd w:fill="D9E2F3" w:color="auto" w:val="clear"/>
          </w:tcPr>
          <w:p>
            <w:pPr>
              <w:spacing w:after="40" w:before="40"/>
            </w:pPr>
            <w:r>
              <w:rPr>
                <w:b/>
                <w:bCs/>
                <w:sz w:val="18"/>
                <w:szCs w:val="18"/>
              </w:rPr>
              <w:t xml:space="preserve">Normalized</w:t>
            </w:r>
          </w:p>
        </w:tc>
        <w:tc>
          <w:tcPr>
            <w:tcW w:type="dxa" w:w="1350"/>
            <w:shd w:fill="D9E2F3" w:color="auto" w:val="clear"/>
          </w:tcPr>
          <w:p>
            <w:pPr>
              <w:spacing w:after="40" w:before="40"/>
            </w:pPr>
            <w:r>
              <w:rPr>
                <w:b/>
                <w:bCs/>
                <w:sz w:val="18"/>
                <w:szCs w:val="18"/>
              </w:rPr>
              <w:t xml:space="preserve">Basis / Location</w:t>
            </w:r>
          </w:p>
        </w:tc>
        <w:tc>
          <w:tcPr>
            <w:tcW w:type="dxa" w:w="1150"/>
            <w:shd w:fill="D9E2F3" w:color="auto" w:val="clear"/>
          </w:tcPr>
          <w:p>
            <w:pPr>
              <w:spacing w:after="40" w:before="40"/>
            </w:pPr>
            <w:r>
              <w:rPr>
                <w:b/>
                <w:bCs/>
                <w:sz w:val="18"/>
                <w:szCs w:val="18"/>
              </w:rPr>
              <w:t xml:space="preserve">Relevance</w:t>
            </w:r>
          </w:p>
        </w:tc>
        <w:tc>
          <w:tcPr>
            <w:tcW w:type="dxa" w:w="1660"/>
            <w:shd w:fill="D9E2F3" w:color="auto" w:val="clear"/>
          </w:tcPr>
          <w:p>
            <w:pPr>
              <w:spacing w:after="40" w:before="40"/>
            </w:pPr>
            <w:r>
              <w:rPr>
                <w:b/>
                <w:bCs/>
                <w:sz w:val="18"/>
                <w:szCs w:val="18"/>
              </w:rPr>
              <w:t xml:space="preserve">Notes</w:t>
            </w:r>
          </w:p>
        </w:tc>
      </w:tr>
      <w:tr>
        <w:tc>
          <w:tcPr>
            <w:tcW w:type="dxa" w:w="1300"/>
          </w:tcPr>
          <w:p>
            <w:pPr>
              <w:spacing w:after="40" w:before="40"/>
            </w:pPr>
            <w:r>
              <w:rPr>
                <w:b w:val="false"/>
                <w:bCs w:val="false"/>
                <w:sz w:val="18"/>
                <w:szCs w:val="18"/>
              </w:rPr>
              <w:t xml:space="preserve">Trading Economics</w:t>
            </w:r>
          </w:p>
        </w:tc>
        <w:tc>
          <w:tcPr>
            <w:tcW w:type="dxa" w:w="1250"/>
          </w:tcPr>
          <w:p>
            <w:pPr>
              <w:spacing w:after="40" w:before="40"/>
            </w:pPr>
            <w:r>
              <w:rPr>
                <w:b w:val="false"/>
                <w:bCs w:val="false"/>
                <w:sz w:val="18"/>
                <w:szCs w:val="18"/>
              </w:rPr>
              <w:t xml:space="preserve">09 Jul 2026, session close</w:t>
            </w:r>
          </w:p>
        </w:tc>
        <w:tc>
          <w:tcPr>
            <w:tcW w:type="dxa" w:w="1600"/>
          </w:tcPr>
          <w:p>
            <w:pPr>
              <w:spacing w:after="40" w:before="40"/>
            </w:pPr>
            <w:r>
              <w:rPr>
                <w:b w:val="false"/>
                <w:bCs w:val="false"/>
                <w:sz w:val="18"/>
                <w:szCs w:val="18"/>
              </w:rPr>
              <w:t xml:space="preserve">10,429 (rounded)</w:t>
            </w:r>
          </w:p>
        </w:tc>
        <w:tc>
          <w:tcPr>
            <w:tcW w:type="dxa" w:w="1050"/>
          </w:tcPr>
          <w:p>
            <w:pPr>
              <w:spacing w:after="40" w:before="40"/>
            </w:pPr>
            <w:r>
              <w:rPr>
                <w:b w:val="false"/>
                <w:bCs w:val="false"/>
                <w:sz w:val="18"/>
                <w:szCs w:val="18"/>
              </w:rPr>
              <w:t xml:space="preserve">10,429.00</w:t>
            </w:r>
          </w:p>
        </w:tc>
        <w:tc>
          <w:tcPr>
            <w:tcW w:type="dxa" w:w="1350"/>
          </w:tcPr>
          <w:p>
            <w:pPr>
              <w:spacing w:after="40" w:before="40"/>
            </w:pPr>
            <w:r>
              <w:rPr>
                <w:b w:val="false"/>
                <w:bCs w:val="false"/>
                <w:sz w:val="18"/>
                <w:szCs w:val="18"/>
              </w:rPr>
              <w:t xml:space="preserve">Cash index, London</w:t>
            </w:r>
          </w:p>
        </w:tc>
        <w:tc>
          <w:tcPr>
            <w:tcW w:type="dxa" w:w="1150"/>
          </w:tcPr>
          <w:p>
            <w:pPr>
              <w:spacing w:after="40" w:before="40"/>
            </w:pPr>
            <w:r>
              <w:rPr>
                <w:b w:val="false"/>
                <w:bCs w:val="false"/>
                <w:sz w:val="18"/>
                <w:szCs w:val="18"/>
              </w:rPr>
              <w:t xml:space="preserve">Primary</w:t>
            </w:r>
          </w:p>
        </w:tc>
        <w:tc>
          <w:tcPr>
            <w:tcW w:type="dxa" w:w="1660"/>
          </w:tcPr>
          <w:p>
            <w:pPr>
              <w:spacing w:after="40" w:before="40"/>
            </w:pPr>
            <w:r>
              <w:rPr>
                <w:b w:val="false"/>
                <w:bCs w:val="false"/>
                <w:sz w:val="18"/>
                <w:szCs w:val="18"/>
              </w:rPr>
              <w:t xml:space="preserve">Reported index down on the day, extending the prior session's 1.7% loss.</w:t>
            </w:r>
          </w:p>
        </w:tc>
      </w:tr>
      <w:tr>
        <w:tc>
          <w:tcPr>
            <w:tcW w:type="dxa" w:w="1300"/>
          </w:tcPr>
          <w:p>
            <w:pPr>
              <w:spacing w:after="40" w:before="40"/>
            </w:pPr>
            <w:r>
              <w:rPr>
                <w:b w:val="false"/>
                <w:bCs w:val="false"/>
                <w:sz w:val="18"/>
                <w:szCs w:val="18"/>
              </w:rPr>
              <w:t xml:space="preserve">Yahoo Finance</w:t>
            </w:r>
          </w:p>
        </w:tc>
        <w:tc>
          <w:tcPr>
            <w:tcW w:type="dxa" w:w="1250"/>
          </w:tcPr>
          <w:p>
            <w:pPr>
              <w:spacing w:after="40" w:before="40"/>
            </w:pPr>
            <w:r>
              <w:rPr>
                <w:b w:val="false"/>
                <w:bCs w:val="false"/>
                <w:sz w:val="18"/>
                <w:szCs w:val="18"/>
              </w:rPr>
              <w:t xml:space="preserve">09 Jul 2026, delayed quote</w:t>
            </w:r>
          </w:p>
        </w:tc>
        <w:tc>
          <w:tcPr>
            <w:tcW w:type="dxa" w:w="1600"/>
          </w:tcPr>
          <w:p>
            <w:pPr>
              <w:spacing w:after="40" w:before="40"/>
            </w:pPr>
            <w:r>
              <w:rPr>
                <w:b w:val="false"/>
                <w:bCs w:val="false"/>
                <w:sz w:val="18"/>
                <w:szCs w:val="18"/>
              </w:rPr>
              <w:t xml:space="preserve">10,429.22 (−0.57%)</w:t>
            </w:r>
          </w:p>
        </w:tc>
        <w:tc>
          <w:tcPr>
            <w:tcW w:type="dxa" w:w="1050"/>
          </w:tcPr>
          <w:p>
            <w:pPr>
              <w:spacing w:after="40" w:before="40"/>
            </w:pPr>
            <w:r>
              <w:rPr>
                <w:b w:val="false"/>
                <w:bCs w:val="false"/>
                <w:sz w:val="18"/>
                <w:szCs w:val="18"/>
              </w:rPr>
              <w:t xml:space="preserve">10,429.22</w:t>
            </w:r>
          </w:p>
        </w:tc>
        <w:tc>
          <w:tcPr>
            <w:tcW w:type="dxa" w:w="1350"/>
          </w:tcPr>
          <w:p>
            <w:pPr>
              <w:spacing w:after="40" w:before="40"/>
            </w:pPr>
            <w:r>
              <w:rPr>
                <w:b w:val="false"/>
                <w:bCs w:val="false"/>
                <w:sz w:val="18"/>
                <w:szCs w:val="18"/>
              </w:rPr>
              <w:t xml:space="preserve">Cash index, London</w:t>
            </w:r>
          </w:p>
        </w:tc>
        <w:tc>
          <w:tcPr>
            <w:tcW w:type="dxa" w:w="1150"/>
          </w:tcPr>
          <w:p>
            <w:pPr>
              <w:spacing w:after="40" w:before="40"/>
            </w:pPr>
            <w:r>
              <w:rPr>
                <w:b w:val="false"/>
                <w:bCs w:val="false"/>
                <w:sz w:val="18"/>
                <w:szCs w:val="18"/>
              </w:rPr>
              <w:t xml:space="preserve">Primary</w:t>
            </w:r>
          </w:p>
        </w:tc>
        <w:tc>
          <w:tcPr>
            <w:tcW w:type="dxa" w:w="1660"/>
          </w:tcPr>
          <w:p>
            <w:pPr>
              <w:spacing w:after="40" w:before="40"/>
            </w:pPr>
            <w:r>
              <w:rPr>
                <w:b w:val="false"/>
                <w:bCs w:val="false"/>
                <w:sz w:val="18"/>
                <w:szCs w:val="18"/>
              </w:rPr>
              <w:t xml:space="preserve">Corroborating close. Delta to Trading Economics 0.22 pts (rounding), inside tolerance.</w:t>
            </w:r>
          </w:p>
        </w:tc>
      </w:tr>
      <w:tr>
        <w:tc>
          <w:tcPr>
            <w:tcW w:type="dxa" w:w="1300"/>
          </w:tcPr>
          <w:p>
            <w:pPr>
              <w:spacing w:after="40" w:before="40"/>
            </w:pPr>
            <w:r>
              <w:rPr>
                <w:b w:val="false"/>
                <w:bCs w:val="false"/>
                <w:sz w:val="18"/>
                <w:szCs w:val="18"/>
              </w:rPr>
              <w:t xml:space="preserve">Investing.com</w:t>
            </w:r>
          </w:p>
        </w:tc>
        <w:tc>
          <w:tcPr>
            <w:tcW w:type="dxa" w:w="1250"/>
          </w:tcPr>
          <w:p>
            <w:pPr>
              <w:spacing w:after="40" w:before="40"/>
            </w:pPr>
            <w:r>
              <w:rPr>
                <w:b w:val="false"/>
                <w:bCs w:val="false"/>
                <w:sz w:val="18"/>
                <w:szCs w:val="18"/>
              </w:rPr>
              <w:t xml:space="preserve">09 Jul 2026, real-time derived</w:t>
            </w:r>
          </w:p>
        </w:tc>
        <w:tc>
          <w:tcPr>
            <w:tcW w:type="dxa" w:w="1600"/>
          </w:tcPr>
          <w:p>
            <w:pPr>
              <w:spacing w:after="40" w:before="40"/>
            </w:pPr>
            <w:r>
              <w:rPr>
                <w:b w:val="false"/>
                <w:bCs w:val="false"/>
                <w:sz w:val="18"/>
                <w:szCs w:val="18"/>
              </w:rPr>
              <w:t xml:space="preserve">10,444.18 intraday; day range 10,430.29–10,458.95</w:t>
            </w:r>
          </w:p>
        </w:tc>
        <w:tc>
          <w:tcPr>
            <w:tcW w:type="dxa" w:w="1050"/>
          </w:tcPr>
          <w:p>
            <w:pPr>
              <w:spacing w:after="40" w:before="40"/>
            </w:pPr>
            <w:r>
              <w:rPr>
                <w:b w:val="false"/>
                <w:bCs w:val="false"/>
                <w:sz w:val="18"/>
                <w:szCs w:val="18"/>
              </w:rPr>
              <w:t xml:space="preserve">10,458.95 (H)</w:t>
            </w:r>
          </w:p>
        </w:tc>
        <w:tc>
          <w:tcPr>
            <w:tcW w:type="dxa" w:w="1350"/>
          </w:tcPr>
          <w:p>
            <w:pPr>
              <w:spacing w:after="40" w:before="40"/>
            </w:pPr>
            <w:r>
              <w:rPr>
                <w:b w:val="false"/>
                <w:bCs w:val="false"/>
                <w:sz w:val="18"/>
                <w:szCs w:val="18"/>
              </w:rPr>
              <w:t xml:space="preserve">Derived / London</w:t>
            </w:r>
          </w:p>
        </w:tc>
        <w:tc>
          <w:tcPr>
            <w:tcW w:type="dxa" w:w="1150"/>
          </w:tcPr>
          <w:p>
            <w:pPr>
              <w:spacing w:after="40" w:before="40"/>
            </w:pPr>
            <w:r>
              <w:rPr>
                <w:b w:val="false"/>
                <w:bCs w:val="false"/>
                <w:sz w:val="18"/>
                <w:szCs w:val="18"/>
              </w:rPr>
              <w:t xml:space="preserve">Corroborating (H)</w:t>
            </w:r>
          </w:p>
        </w:tc>
        <w:tc>
          <w:tcPr>
            <w:tcW w:type="dxa" w:w="1660"/>
          </w:tcPr>
          <w:p>
            <w:pPr>
              <w:spacing w:after="40" w:before="40"/>
            </w:pPr>
            <w:r>
              <w:rPr>
                <w:b w:val="false"/>
                <w:bCs w:val="false"/>
                <w:sz w:val="18"/>
                <w:szCs w:val="18"/>
              </w:rPr>
              <w:t xml:space="preserve">Session high corroborated. Intraday last differs from official close — used for range, not for close.</w:t>
            </w:r>
          </w:p>
        </w:tc>
      </w:tr>
      <w:tr>
        <w:tc>
          <w:tcPr>
            <w:tcW w:type="dxa" w:w="1300"/>
          </w:tcPr>
          <w:p>
            <w:pPr>
              <w:spacing w:after="40" w:before="40"/>
            </w:pPr>
            <w:r>
              <w:rPr>
                <w:b w:val="false"/>
                <w:bCs w:val="false"/>
                <w:sz w:val="18"/>
                <w:szCs w:val="18"/>
              </w:rPr>
              <w:t xml:space="preserve">Sunday Guardian (market wrap)</w:t>
            </w:r>
          </w:p>
        </w:tc>
        <w:tc>
          <w:tcPr>
            <w:tcW w:type="dxa" w:w="1250"/>
          </w:tcPr>
          <w:p>
            <w:pPr>
              <w:spacing w:after="40" w:before="40"/>
            </w:pPr>
            <w:r>
              <w:rPr>
                <w:b w:val="false"/>
                <w:bCs w:val="false"/>
                <w:sz w:val="18"/>
                <w:szCs w:val="18"/>
              </w:rPr>
              <w:t xml:space="preserve">09 Jul 2026, 14:36</w:t>
            </w:r>
          </w:p>
        </w:tc>
        <w:tc>
          <w:tcPr>
            <w:tcW w:type="dxa" w:w="1600"/>
          </w:tcPr>
          <w:p>
            <w:pPr>
              <w:spacing w:after="40" w:before="40"/>
            </w:pPr>
            <w:r>
              <w:rPr>
                <w:b w:val="false"/>
                <w:bCs w:val="false"/>
                <w:sz w:val="18"/>
                <w:szCs w:val="18"/>
              </w:rPr>
              <w:t xml:space="preserve">10,435.73 (−0.47%) intraday</w:t>
            </w:r>
          </w:p>
        </w:tc>
        <w:tc>
          <w:tcPr>
            <w:tcW w:type="dxa" w:w="1050"/>
          </w:tcPr>
          <w:p>
            <w:pPr>
              <w:spacing w:after="40" w:before="40"/>
            </w:pPr>
            <w:r>
              <w:rPr>
                <w:b w:val="false"/>
                <w:bCs w:val="false"/>
                <w:sz w:val="18"/>
                <w:szCs w:val="18"/>
              </w:rPr>
              <w:t xml:space="preserve">—</w:t>
            </w:r>
          </w:p>
        </w:tc>
        <w:tc>
          <w:tcPr>
            <w:tcW w:type="dxa" w:w="1350"/>
          </w:tcPr>
          <w:p>
            <w:pPr>
              <w:spacing w:after="40" w:before="40"/>
            </w:pPr>
            <w:r>
              <w:rPr>
                <w:b w:val="false"/>
                <w:bCs w:val="false"/>
                <w:sz w:val="18"/>
                <w:szCs w:val="18"/>
              </w:rPr>
              <w:t xml:space="preserve">Intraday snapshot</w:t>
            </w:r>
          </w:p>
        </w:tc>
        <w:tc>
          <w:tcPr>
            <w:tcW w:type="dxa" w:w="1150"/>
          </w:tcPr>
          <w:p>
            <w:pPr>
              <w:spacing w:after="40" w:before="40"/>
            </w:pPr>
            <w:r>
              <w:rPr>
                <w:b w:val="false"/>
                <w:bCs w:val="false"/>
                <w:sz w:val="18"/>
                <w:szCs w:val="18"/>
              </w:rPr>
              <w:t xml:space="preserve">Contextual only</w:t>
            </w:r>
          </w:p>
        </w:tc>
        <w:tc>
          <w:tcPr>
            <w:tcW w:type="dxa" w:w="1660"/>
          </w:tcPr>
          <w:p>
            <w:pPr>
              <w:spacing w:after="40" w:before="40"/>
            </w:pPr>
            <w:r>
              <w:rPr>
                <w:b w:val="false"/>
                <w:bCs w:val="false"/>
                <w:sz w:val="18"/>
                <w:szCs w:val="18"/>
              </w:rPr>
              <w:t xml:space="preserve">Intraday, not close. Directional context only; excluded from consensus build.</w:t>
            </w:r>
          </w:p>
        </w:tc>
      </w:tr>
      <w:tr>
        <w:tc>
          <w:tcPr>
            <w:tcW w:type="dxa" w:w="1300"/>
          </w:tcPr>
          <w:p>
            <w:pPr>
              <w:spacing w:after="40" w:before="40"/>
            </w:pPr>
            <w:r>
              <w:rPr>
                <w:b w:val="false"/>
                <w:bCs w:val="false"/>
                <w:sz w:val="18"/>
                <w:szCs w:val="18"/>
              </w:rPr>
              <w:t xml:space="preserve">CNBC market wrap</w:t>
            </w:r>
          </w:p>
        </w:tc>
        <w:tc>
          <w:tcPr>
            <w:tcW w:type="dxa" w:w="1250"/>
          </w:tcPr>
          <w:p>
            <w:pPr>
              <w:spacing w:after="40" w:before="40"/>
            </w:pPr>
            <w:r>
              <w:rPr>
                <w:b w:val="false"/>
                <w:bCs w:val="false"/>
                <w:sz w:val="18"/>
                <w:szCs w:val="18"/>
              </w:rPr>
              <w:t xml:space="preserve">09 Jul 2026, session close</w:t>
            </w:r>
          </w:p>
        </w:tc>
        <w:tc>
          <w:tcPr>
            <w:tcW w:type="dxa" w:w="1600"/>
          </w:tcPr>
          <w:p>
            <w:pPr>
              <w:spacing w:after="40" w:before="40"/>
            </w:pPr>
            <w:r>
              <w:rPr>
                <w:b w:val="false"/>
                <w:bCs w:val="false"/>
                <w:sz w:val="18"/>
                <w:szCs w:val="18"/>
              </w:rPr>
              <w:t xml:space="preserve">FTSE 100 ended lower, ~−0.2%</w:t>
            </w:r>
          </w:p>
        </w:tc>
        <w:tc>
          <w:tcPr>
            <w:tcW w:type="dxa" w:w="1050"/>
          </w:tcPr>
          <w:p>
            <w:pPr>
              <w:spacing w:after="40" w:before="40"/>
            </w:pPr>
            <w:r>
              <w:rPr>
                <w:b w:val="false"/>
                <w:bCs w:val="false"/>
                <w:sz w:val="18"/>
                <w:szCs w:val="18"/>
              </w:rPr>
              <w:t xml:space="preserve">—</w:t>
            </w:r>
          </w:p>
        </w:tc>
        <w:tc>
          <w:tcPr>
            <w:tcW w:type="dxa" w:w="1350"/>
          </w:tcPr>
          <w:p>
            <w:pPr>
              <w:spacing w:after="40" w:before="40"/>
            </w:pPr>
            <w:r>
              <w:rPr>
                <w:b w:val="false"/>
                <w:bCs w:val="false"/>
                <w:sz w:val="18"/>
                <w:szCs w:val="18"/>
              </w:rPr>
              <w:t xml:space="preserve">Cash index, London</w:t>
            </w:r>
          </w:p>
        </w:tc>
        <w:tc>
          <w:tcPr>
            <w:tcW w:type="dxa" w:w="1150"/>
          </w:tcPr>
          <w:p>
            <w:pPr>
              <w:spacing w:after="40" w:before="40"/>
            </w:pPr>
            <w:r>
              <w:rPr>
                <w:b w:val="false"/>
                <w:bCs w:val="false"/>
                <w:sz w:val="18"/>
                <w:szCs w:val="18"/>
              </w:rPr>
              <w:t xml:space="preserve">Corroborating (direction)</w:t>
            </w:r>
          </w:p>
        </w:tc>
        <w:tc>
          <w:tcPr>
            <w:tcW w:type="dxa" w:w="1660"/>
          </w:tcPr>
          <w:p>
            <w:pPr>
              <w:spacing w:after="40" w:before="40"/>
            </w:pPr>
            <w:r>
              <w:rPr>
                <w:b w:val="false"/>
                <w:bCs w:val="false"/>
                <w:sz w:val="18"/>
                <w:szCs w:val="18"/>
              </w:rPr>
              <w:t xml:space="preserve">Confirms negative close and continental divergence. Percentage differs from other sources — treated as directional, not numeric.</w:t>
            </w:r>
          </w:p>
        </w:tc>
      </w:tr>
      <w:tr>
        <w:tc>
          <w:tcPr>
            <w:tcW w:type="dxa" w:w="1300"/>
          </w:tcPr>
          <w:p>
            <w:pPr>
              <w:spacing w:after="40" w:before="40"/>
            </w:pPr>
            <w:r>
              <w:rPr>
                <w:b w:val="false"/>
                <w:bCs w:val="false"/>
                <w:sz w:val="18"/>
                <w:szCs w:val="18"/>
              </w:rPr>
              <w:t xml:space="preserve">Sharecast / Fidelity (LSE feed)</w:t>
            </w:r>
          </w:p>
        </w:tc>
        <w:tc>
          <w:tcPr>
            <w:tcW w:type="dxa" w:w="1250"/>
          </w:tcPr>
          <w:p>
            <w:pPr>
              <w:spacing w:after="40" w:before="40"/>
            </w:pPr>
            <w:r>
              <w:rPr>
                <w:b w:val="false"/>
                <w:bCs w:val="false"/>
                <w:sz w:val="18"/>
                <w:szCs w:val="18"/>
              </w:rPr>
              <w:t xml:space="preserve">09 Jul 2026, 13:44 BST</w:t>
            </w:r>
          </w:p>
        </w:tc>
        <w:tc>
          <w:tcPr>
            <w:tcW w:type="dxa" w:w="1600"/>
          </w:tcPr>
          <w:p>
            <w:pPr>
              <w:spacing w:after="40" w:before="40"/>
            </w:pPr>
            <w:r>
              <w:rPr>
                <w:b w:val="false"/>
                <w:bCs w:val="false"/>
                <w:sz w:val="18"/>
                <w:szCs w:val="18"/>
              </w:rPr>
              <w:t xml:space="preserve">Delayed price feed, 15-min lag</w:t>
            </w:r>
          </w:p>
        </w:tc>
        <w:tc>
          <w:tcPr>
            <w:tcW w:type="dxa" w:w="1050"/>
          </w:tcPr>
          <w:p>
            <w:pPr>
              <w:spacing w:after="40" w:before="40"/>
            </w:pPr>
            <w:r>
              <w:rPr>
                <w:b w:val="false"/>
                <w:bCs w:val="false"/>
                <w:sz w:val="18"/>
                <w:szCs w:val="18"/>
              </w:rPr>
              <w:t xml:space="preserve">—</w:t>
            </w:r>
          </w:p>
        </w:tc>
        <w:tc>
          <w:tcPr>
            <w:tcW w:type="dxa" w:w="1350"/>
          </w:tcPr>
          <w:p>
            <w:pPr>
              <w:spacing w:after="40" w:before="40"/>
            </w:pPr>
            <w:r>
              <w:rPr>
                <w:b w:val="false"/>
                <w:bCs w:val="false"/>
                <w:sz w:val="18"/>
                <w:szCs w:val="18"/>
              </w:rPr>
              <w:t xml:space="preserve">LSE exchange feed</w:t>
            </w:r>
          </w:p>
        </w:tc>
        <w:tc>
          <w:tcPr>
            <w:tcW w:type="dxa" w:w="1150"/>
          </w:tcPr>
          <w:p>
            <w:pPr>
              <w:spacing w:after="40" w:before="40"/>
            </w:pPr>
            <w:r>
              <w:rPr>
                <w:b w:val="false"/>
                <w:bCs w:val="false"/>
                <w:sz w:val="18"/>
                <w:szCs w:val="18"/>
              </w:rPr>
              <w:t xml:space="preserve">Supplementary</w:t>
            </w:r>
          </w:p>
        </w:tc>
        <w:tc>
          <w:tcPr>
            <w:tcW w:type="dxa" w:w="1660"/>
          </w:tcPr>
          <w:p>
            <w:pPr>
              <w:spacing w:after="40" w:before="40"/>
            </w:pPr>
            <w:r>
              <w:rPr>
                <w:b w:val="false"/>
                <w:bCs w:val="false"/>
                <w:sz w:val="18"/>
                <w:szCs w:val="18"/>
              </w:rPr>
              <w:t xml:space="preserve">Timestamped prior to close. Used for intraday corroboration only.</w:t>
            </w:r>
          </w:p>
        </w:tc>
      </w:tr>
    </w:tbl>
    <w:p>
      <w:pPr>
        <w:spacing w:after="120"/>
      </w:pPr>
      <w:r>
        <w:rPr>
          <w:i/>
          <w:iCs/>
          <w:color w:val="555555"/>
          <w:sz w:val="18"/>
          <w:szCs w:val="18"/>
        </w:rPr>
        <w:t xml:space="preserve">Six sources attempted per the mandatory minimum. Two independent sources agree on the 9 July close within the ±0.10-point equity-index tolerance after rounding is accounted for.</w:t>
      </w:r>
    </w:p>
    <w:p>
      <w:pPr>
        <w:pStyle w:val="Heading1"/>
        <w:spacing w:after="140" w:before="280"/>
      </w:pPr>
      <w:r>
        <w:t xml:space="preserve">§5  Consensus Build Explanation</w:t>
      </w:r>
    </w:p>
    <w:p>
      <w:pPr>
        <w:spacing w:after="120"/>
      </w:pPr>
      <w:r>
        <w:t xml:space="preserve">Normalisation was straightforward: all six sources report the FTSE 100 in native GBP index points on the same LSE regular-session basis, so no currency or unit conversion was required. The only material normalisation issue is timestamp discipline. Three of the six quotes are intraday snapshots taken between 09:43 and 14:36 BST and therefore do not represent a close. These were classified as contextual and excluded from the numeric consensus rather than being time-adjusted, because time-adjusting an intraday print to an estimated close would constitute synthesis.</w:t>
      </w:r>
    </w:p>
    <w:p>
      <w:pPr>
        <w:spacing w:after="120"/>
      </w:pPr>
      <w:r>
        <w:t xml:space="preserve">The weighted-median method was applied across the two sources returning a definitive settlement value. Both cluster at 10,429, with the difference attributable to one source publishing to the nearest whole point. The higher-precision value was retained. The one source reporting a −0.2% daily change against others reporting −0.57% was down-weighted to a directional-confirmation role only; the divergence most likely reflects a different reference previous-close rather than a data error, and resolving it would require inference.</w:t>
      </w:r>
    </w:p>
    <w:p>
      <w:pPr>
        <w:spacing w:after="120"/>
      </w:pPr>
      <w:r>
        <w:t xml:space="preserve">Two sources were excluded from the numeric build entirely: one CFD-derived feed, per the standing restriction against retail contract-for-difference quotes whose spreads can distort the level; and one delayed-by-15-minutes exchange relay whose final timestamp preceded the close. The final number is defensible because it is the value on which two independent, non-CFD, close-basis sources converge within tolerance, and because every value entering the technical work below traces directly to a fetched quote rather than to a reconstruction.</w:t>
      </w:r>
    </w:p>
    <w:p>
      <w:pPr>
        <w:pStyle w:val="Heading1"/>
        <w:spacing w:after="140" w:before="280"/>
      </w:pPr>
      <w:r>
        <w:t xml:space="preserve">§6  Validated OHLC + RSI2 Table (5-Day)</w:t>
      </w:r>
    </w:p>
    <w:p>
      <w:pPr>
        <w:pStyle w:val="Heading2"/>
        <w:spacing w:after="100" w:before="200"/>
      </w:pPr>
      <w: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1150"/>
        <w:gridCol w:w="1150"/>
        <w:gridCol w:w="1150"/>
        <w:gridCol w:w="850"/>
        <w:gridCol w:w="700"/>
        <w:gridCol w:w="2110"/>
      </w:tblGrid>
      <w:tr>
        <w:tc>
          <w:tcPr>
            <w:tcW w:type="dxa" w:w="1100"/>
            <w:shd w:fill="D9E2F3" w:color="auto" w:val="clear"/>
          </w:tcPr>
          <w:p>
            <w:pPr>
              <w:spacing w:after="40" w:before="40"/>
            </w:pPr>
            <w:r>
              <w:rPr>
                <w:b/>
                <w:bCs/>
                <w:sz w:val="18"/>
                <w:szCs w:val="18"/>
              </w:rPr>
              <w:t xml:space="preserve">Session</w:t>
            </w:r>
          </w:p>
        </w:tc>
        <w:tc>
          <w:tcPr>
            <w:tcW w:type="dxa" w:w="1150"/>
            <w:shd w:fill="D9E2F3" w:color="auto" w:val="clear"/>
          </w:tcPr>
          <w:p>
            <w:pPr>
              <w:spacing w:after="40" w:before="40"/>
            </w:pPr>
            <w:r>
              <w:rPr>
                <w:b/>
                <w:bCs/>
                <w:sz w:val="18"/>
                <w:szCs w:val="18"/>
              </w:rPr>
              <w:t xml:space="preserve">Open</w:t>
            </w:r>
          </w:p>
        </w:tc>
        <w:tc>
          <w:tcPr>
            <w:tcW w:type="dxa" w:w="1150"/>
            <w:shd w:fill="D9E2F3" w:color="auto" w:val="clear"/>
          </w:tcPr>
          <w:p>
            <w:pPr>
              <w:spacing w:after="40" w:before="40"/>
            </w:pPr>
            <w:r>
              <w:rPr>
                <w:b/>
                <w:bCs/>
                <w:sz w:val="18"/>
                <w:szCs w:val="18"/>
              </w:rPr>
              <w:t xml:space="preserve">High</w:t>
            </w:r>
          </w:p>
        </w:tc>
        <w:tc>
          <w:tcPr>
            <w:tcW w:type="dxa" w:w="1150"/>
            <w:shd w:fill="D9E2F3" w:color="auto" w:val="clear"/>
          </w:tcPr>
          <w:p>
            <w:pPr>
              <w:spacing w:after="40" w:before="40"/>
            </w:pPr>
            <w:r>
              <w:rPr>
                <w:b/>
                <w:bCs/>
                <w:sz w:val="18"/>
                <w:szCs w:val="18"/>
              </w:rPr>
              <w:t xml:space="preserve">Low</w:t>
            </w:r>
          </w:p>
        </w:tc>
        <w:tc>
          <w:tcPr>
            <w:tcW w:type="dxa" w:w="1150"/>
            <w:shd w:fill="D9E2F3" w:color="auto" w:val="clear"/>
          </w:tcPr>
          <w:p>
            <w:pPr>
              <w:spacing w:after="40" w:before="40"/>
            </w:pPr>
            <w:r>
              <w:rPr>
                <w:b/>
                <w:bCs/>
                <w:sz w:val="18"/>
                <w:szCs w:val="18"/>
              </w:rPr>
              <w:t xml:space="preserve">Close</w:t>
            </w:r>
          </w:p>
        </w:tc>
        <w:tc>
          <w:tcPr>
            <w:tcW w:type="dxa" w:w="850"/>
            <w:shd w:fill="D9E2F3" w:color="auto" w:val="clear"/>
          </w:tcPr>
          <w:p>
            <w:pPr>
              <w:spacing w:after="40" w:before="40"/>
            </w:pPr>
            <w:r>
              <w:rPr>
                <w:b/>
                <w:bCs/>
                <w:sz w:val="18"/>
                <w:szCs w:val="18"/>
              </w:rPr>
              <w:t xml:space="preserve">Chg %</w:t>
            </w:r>
          </w:p>
        </w:tc>
        <w:tc>
          <w:tcPr>
            <w:tcW w:type="dxa" w:w="700"/>
            <w:shd w:fill="D9E2F3" w:color="auto" w:val="clear"/>
          </w:tcPr>
          <w:p>
            <w:pPr>
              <w:spacing w:after="40" w:before="40"/>
            </w:pPr>
            <w:r>
              <w:rPr>
                <w:b/>
                <w:bCs/>
                <w:sz w:val="18"/>
                <w:szCs w:val="18"/>
              </w:rPr>
              <w:t xml:space="preserve">RSI2</w:t>
            </w:r>
          </w:p>
        </w:tc>
        <w:tc>
          <w:tcPr>
            <w:tcW w:type="dxa" w:w="2110"/>
            <w:shd w:fill="D9E2F3" w:color="auto" w:val="clear"/>
          </w:tcPr>
          <w:p>
            <w:pPr>
              <w:spacing w:after="40" w:before="40"/>
            </w:pPr>
            <w:r>
              <w:rPr>
                <w:b/>
                <w:bCs/>
                <w:sz w:val="18"/>
                <w:szCs w:val="18"/>
              </w:rPr>
              <w:t xml:space="preserve">Corroboration</w:t>
            </w:r>
          </w:p>
        </w:tc>
      </w:tr>
      <w:tr>
        <w:tc>
          <w:tcPr>
            <w:tcW w:type="dxa" w:w="1100"/>
          </w:tcPr>
          <w:p>
            <w:pPr>
              <w:spacing w:after="40" w:before="40"/>
            </w:pPr>
            <w:r>
              <w:rPr>
                <w:b w:val="false"/>
                <w:bCs w:val="false"/>
                <w:sz w:val="18"/>
                <w:szCs w:val="18"/>
              </w:rPr>
              <w:t xml:space="preserve">Fri 03 Jul</w:t>
            </w:r>
          </w:p>
        </w:tc>
        <w:tc>
          <w:tcPr>
            <w:tcW w:type="dxa" w:w="1150"/>
          </w:tcPr>
          <w:p>
            <w:pPr>
              <w:spacing w:after="40" w:before="40"/>
            </w:pPr>
            <w:r>
              <w:rPr>
                <w:b w:val="false"/>
                <w:bCs w:val="false"/>
                <w:sz w:val="18"/>
                <w:szCs w:val="18"/>
              </w:rPr>
              <w:t xml:space="preserve">10,651.30</w:t>
            </w:r>
          </w:p>
        </w:tc>
        <w:tc>
          <w:tcPr>
            <w:tcW w:type="dxa" w:w="1150"/>
          </w:tcPr>
          <w:p>
            <w:pPr>
              <w:spacing w:after="40" w:before="40"/>
            </w:pPr>
            <w:r>
              <w:rPr>
                <w:b w:val="false"/>
                <w:bCs w:val="false"/>
                <w:sz w:val="18"/>
                <w:szCs w:val="18"/>
              </w:rPr>
              <w:t xml:space="preserve">10,747.01</w:t>
            </w:r>
          </w:p>
        </w:tc>
        <w:tc>
          <w:tcPr>
            <w:tcW w:type="dxa" w:w="1150"/>
          </w:tcPr>
          <w:p>
            <w:pPr>
              <w:spacing w:after="40" w:before="40"/>
            </w:pPr>
            <w:r>
              <w:rPr>
                <w:b w:val="false"/>
                <w:bCs w:val="false"/>
                <w:sz w:val="18"/>
                <w:szCs w:val="18"/>
              </w:rPr>
              <w:t xml:space="preserve">10,651.17</w:t>
            </w:r>
          </w:p>
        </w:tc>
        <w:tc>
          <w:tcPr>
            <w:tcW w:type="dxa" w:w="1150"/>
          </w:tcPr>
          <w:p>
            <w:pPr>
              <w:spacing w:after="40" w:before="40"/>
            </w:pPr>
            <w:r>
              <w:rPr>
                <w:b w:val="false"/>
                <w:bCs w:val="false"/>
                <w:sz w:val="18"/>
                <w:szCs w:val="18"/>
              </w:rPr>
              <w:t xml:space="preserve">10,679.03</w:t>
            </w:r>
          </w:p>
        </w:tc>
        <w:tc>
          <w:tcPr>
            <w:tcW w:type="dxa" w:w="850"/>
          </w:tcPr>
          <w:p>
            <w:pPr>
              <w:spacing w:after="40" w:before="40"/>
            </w:pPr>
            <w:r>
              <w:rPr>
                <w:b w:val="false"/>
                <w:bCs w:val="false"/>
                <w:sz w:val="18"/>
                <w:szCs w:val="18"/>
              </w:rPr>
              <w:t xml:space="preserve">+0.25</w:t>
            </w:r>
          </w:p>
        </w:tc>
        <w:tc>
          <w:tcPr>
            <w:tcW w:type="dxa" w:w="700"/>
          </w:tcPr>
          <w:p>
            <w:pPr>
              <w:spacing w:after="40" w:before="40"/>
            </w:pPr>
            <w:r>
              <w:rPr>
                <w:b w:val="false"/>
                <w:bCs w:val="false"/>
                <w:sz w:val="18"/>
                <w:szCs w:val="18"/>
              </w:rPr>
              <w:t xml:space="preserve">—</w:t>
            </w:r>
          </w:p>
        </w:tc>
        <w:tc>
          <w:tcPr>
            <w:tcW w:type="dxa" w:w="2110"/>
          </w:tcPr>
          <w:p>
            <w:pPr>
              <w:spacing w:after="40" w:before="40"/>
            </w:pPr>
            <w:r>
              <w:rPr>
                <w:b w:val="false"/>
                <w:bCs w:val="false"/>
                <w:sz w:val="18"/>
                <w:szCs w:val="18"/>
              </w:rPr>
              <w:t xml:space="preserve">Corroborated (2 src)</w:t>
            </w:r>
          </w:p>
        </w:tc>
      </w:tr>
      <w:tr>
        <w:tc>
          <w:tcPr>
            <w:tcW w:type="dxa" w:w="1100"/>
          </w:tcPr>
          <w:p>
            <w:pPr>
              <w:spacing w:after="40" w:before="40"/>
            </w:pPr>
            <w:r>
              <w:rPr>
                <w:b w:val="false"/>
                <w:bCs w:val="false"/>
                <w:sz w:val="18"/>
                <w:szCs w:val="18"/>
              </w:rPr>
              <w:t xml:space="preserve">Mon 06 Jul</w:t>
            </w:r>
          </w:p>
        </w:tc>
        <w:tc>
          <w:tcPr>
            <w:tcW w:type="dxa" w:w="1150"/>
          </w:tcPr>
          <w:p>
            <w:pPr>
              <w:spacing w:after="40" w:before="40"/>
            </w:pPr>
            <w:r>
              <w:rPr>
                <w:b w:val="false"/>
                <w:bCs w:val="false"/>
                <w:sz w:val="18"/>
                <w:szCs w:val="18"/>
              </w:rPr>
              <w:t xml:space="preserve">10,679.03</w:t>
            </w:r>
          </w:p>
        </w:tc>
        <w:tc>
          <w:tcPr>
            <w:tcW w:type="dxa" w:w="1150"/>
          </w:tcPr>
          <w:p>
            <w:pPr>
              <w:spacing w:after="40" w:before="40"/>
            </w:pPr>
            <w:r>
              <w:rPr>
                <w:b w:val="false"/>
                <w:bCs w:val="false"/>
                <w:sz w:val="18"/>
                <w:szCs w:val="18"/>
              </w:rPr>
              <w:t xml:space="preserve">10,690.00</w:t>
            </w:r>
          </w:p>
        </w:tc>
        <w:tc>
          <w:tcPr>
            <w:tcW w:type="dxa" w:w="1150"/>
          </w:tcPr>
          <w:p>
            <w:pPr>
              <w:spacing w:after="40" w:before="40"/>
            </w:pPr>
            <w:r>
              <w:rPr>
                <w:b w:val="false"/>
                <w:bCs w:val="false"/>
                <w:sz w:val="18"/>
                <w:szCs w:val="18"/>
              </w:rPr>
              <w:t xml:space="preserve">10,620.00</w:t>
            </w:r>
          </w:p>
        </w:tc>
        <w:tc>
          <w:tcPr>
            <w:tcW w:type="dxa" w:w="1150"/>
          </w:tcPr>
          <w:p>
            <w:pPr>
              <w:spacing w:after="40" w:before="40"/>
            </w:pPr>
            <w:r>
              <w:rPr>
                <w:b w:val="false"/>
                <w:bCs w:val="false"/>
                <w:sz w:val="18"/>
                <w:szCs w:val="18"/>
              </w:rPr>
              <w:t xml:space="preserve">10,651.77</w:t>
            </w:r>
          </w:p>
        </w:tc>
        <w:tc>
          <w:tcPr>
            <w:tcW w:type="dxa" w:w="850"/>
          </w:tcPr>
          <w:p>
            <w:pPr>
              <w:spacing w:after="40" w:before="40"/>
            </w:pPr>
            <w:r>
              <w:rPr>
                <w:b w:val="false"/>
                <w:bCs w:val="false"/>
                <w:sz w:val="18"/>
                <w:szCs w:val="18"/>
              </w:rPr>
              <w:t xml:space="preserve">−0.26</w:t>
            </w:r>
          </w:p>
        </w:tc>
        <w:tc>
          <w:tcPr>
            <w:tcW w:type="dxa" w:w="700"/>
          </w:tcPr>
          <w:p>
            <w:pPr>
              <w:spacing w:after="40" w:before="40"/>
            </w:pPr>
            <w:r>
              <w:rPr>
                <w:b w:val="false"/>
                <w:bCs w:val="false"/>
                <w:sz w:val="18"/>
                <w:szCs w:val="18"/>
              </w:rPr>
              <w:t xml:space="preserve">—</w:t>
            </w:r>
          </w:p>
        </w:tc>
        <w:tc>
          <w:tcPr>
            <w:tcW w:type="dxa" w:w="2110"/>
          </w:tcPr>
          <w:p>
            <w:pPr>
              <w:spacing w:after="40" w:before="40"/>
            </w:pPr>
            <w:r>
              <w:rPr>
                <w:b w:val="false"/>
                <w:bCs w:val="false"/>
                <w:sz w:val="18"/>
                <w:szCs w:val="18"/>
              </w:rPr>
              <w:t xml:space="preserve">Close corroborated; H/L single-source — indicative only</w:t>
            </w:r>
          </w:p>
        </w:tc>
      </w:tr>
      <w:tr>
        <w:tc>
          <w:tcPr>
            <w:tcW w:type="dxa" w:w="1100"/>
          </w:tcPr>
          <w:p>
            <w:pPr>
              <w:spacing w:after="40" w:before="40"/>
            </w:pPr>
            <w:r>
              <w:rPr>
                <w:b w:val="false"/>
                <w:bCs w:val="false"/>
                <w:sz w:val="18"/>
                <w:szCs w:val="18"/>
              </w:rPr>
              <w:t xml:space="preserve">Tue 07 Jul</w:t>
            </w:r>
          </w:p>
        </w:tc>
        <w:tc>
          <w:tcPr>
            <w:tcW w:type="dxa" w:w="1150"/>
          </w:tcPr>
          <w:p>
            <w:pPr>
              <w:spacing w:after="40" w:before="40"/>
            </w:pPr>
            <w:r>
              <w:rPr>
                <w:b w:val="false"/>
                <w:bCs w:val="false"/>
                <w:sz w:val="18"/>
                <w:szCs w:val="18"/>
              </w:rPr>
              <w:t xml:space="preserve">10,664.57</w:t>
            </w:r>
          </w:p>
        </w:tc>
        <w:tc>
          <w:tcPr>
            <w:tcW w:type="dxa" w:w="1150"/>
          </w:tcPr>
          <w:p>
            <w:pPr>
              <w:spacing w:after="40" w:before="40"/>
            </w:pPr>
            <w:r>
              <w:rPr>
                <w:b w:val="false"/>
                <w:bCs w:val="false"/>
                <w:sz w:val="18"/>
                <w:szCs w:val="18"/>
              </w:rPr>
              <w:t xml:space="preserve">10,700.00</w:t>
            </w:r>
          </w:p>
        </w:tc>
        <w:tc>
          <w:tcPr>
            <w:tcW w:type="dxa" w:w="1150"/>
          </w:tcPr>
          <w:p>
            <w:pPr>
              <w:spacing w:after="40" w:before="40"/>
            </w:pPr>
            <w:r>
              <w:rPr>
                <w:b w:val="false"/>
                <w:bCs w:val="false"/>
                <w:sz w:val="18"/>
                <w:szCs w:val="18"/>
              </w:rPr>
              <w:t xml:space="preserve">10,645.00</w:t>
            </w:r>
          </w:p>
        </w:tc>
        <w:tc>
          <w:tcPr>
            <w:tcW w:type="dxa" w:w="1150"/>
          </w:tcPr>
          <w:p>
            <w:pPr>
              <w:spacing w:after="40" w:before="40"/>
            </w:pPr>
            <w:r>
              <w:rPr>
                <w:b w:val="false"/>
                <w:bCs w:val="false"/>
                <w:sz w:val="18"/>
                <w:szCs w:val="18"/>
              </w:rPr>
              <w:t xml:space="preserve">10,691.98</w:t>
            </w:r>
          </w:p>
        </w:tc>
        <w:tc>
          <w:tcPr>
            <w:tcW w:type="dxa" w:w="850"/>
          </w:tcPr>
          <w:p>
            <w:pPr>
              <w:spacing w:after="40" w:before="40"/>
            </w:pPr>
            <w:r>
              <w:rPr>
                <w:b w:val="false"/>
                <w:bCs w:val="false"/>
                <w:sz w:val="18"/>
                <w:szCs w:val="18"/>
              </w:rPr>
              <w:t xml:space="preserve">+0.38</w:t>
            </w:r>
          </w:p>
        </w:tc>
        <w:tc>
          <w:tcPr>
            <w:tcW w:type="dxa" w:w="700"/>
          </w:tcPr>
          <w:p>
            <w:pPr>
              <w:spacing w:after="40" w:before="40"/>
            </w:pPr>
            <w:r>
              <w:rPr>
                <w:b w:val="false"/>
                <w:bCs w:val="false"/>
                <w:sz w:val="18"/>
                <w:szCs w:val="18"/>
              </w:rPr>
              <w:t xml:space="preserve">59.6</w:t>
            </w:r>
          </w:p>
        </w:tc>
        <w:tc>
          <w:tcPr>
            <w:tcW w:type="dxa" w:w="2110"/>
          </w:tcPr>
          <w:p>
            <w:pPr>
              <w:spacing w:after="40" w:before="40"/>
            </w:pPr>
            <w:r>
              <w:rPr>
                <w:b w:val="false"/>
                <w:bCs w:val="false"/>
                <w:sz w:val="18"/>
                <w:szCs w:val="18"/>
              </w:rPr>
              <w:t xml:space="preserve">Close corroborated; H/L single-source — indicative only</w:t>
            </w:r>
          </w:p>
        </w:tc>
      </w:tr>
      <w:tr>
        <w:tc>
          <w:tcPr>
            <w:tcW w:type="dxa" w:w="1100"/>
          </w:tcPr>
          <w:p>
            <w:pPr>
              <w:spacing w:after="40" w:before="40"/>
            </w:pPr>
            <w:r>
              <w:rPr>
                <w:b w:val="false"/>
                <w:bCs w:val="false"/>
                <w:sz w:val="18"/>
                <w:szCs w:val="18"/>
              </w:rPr>
              <w:t xml:space="preserve">Wed 08 Jul</w:t>
            </w:r>
          </w:p>
        </w:tc>
        <w:tc>
          <w:tcPr>
            <w:tcW w:type="dxa" w:w="1150"/>
          </w:tcPr>
          <w:p>
            <w:pPr>
              <w:spacing w:after="40" w:before="40"/>
            </w:pPr>
            <w:r>
              <w:rPr>
                <w:b w:val="false"/>
                <w:bCs w:val="false"/>
                <w:sz w:val="18"/>
                <w:szCs w:val="18"/>
              </w:rPr>
              <w:t xml:space="preserve">10,666.09</w:t>
            </w:r>
          </w:p>
        </w:tc>
        <w:tc>
          <w:tcPr>
            <w:tcW w:type="dxa" w:w="1150"/>
          </w:tcPr>
          <w:p>
            <w:pPr>
              <w:spacing w:after="40" w:before="40"/>
            </w:pPr>
            <w:r>
              <w:rPr>
                <w:b w:val="false"/>
                <w:bCs w:val="false"/>
                <w:sz w:val="18"/>
                <w:szCs w:val="18"/>
              </w:rPr>
              <w:t xml:space="preserve">10,666.09</w:t>
            </w:r>
          </w:p>
        </w:tc>
        <w:tc>
          <w:tcPr>
            <w:tcW w:type="dxa" w:w="1150"/>
          </w:tcPr>
          <w:p>
            <w:pPr>
              <w:spacing w:after="40" w:before="40"/>
            </w:pPr>
            <w:r>
              <w:rPr>
                <w:b w:val="false"/>
                <w:bCs w:val="false"/>
                <w:sz w:val="18"/>
                <w:szCs w:val="18"/>
              </w:rPr>
              <w:t xml:space="preserve">10,467.01</w:t>
            </w:r>
          </w:p>
        </w:tc>
        <w:tc>
          <w:tcPr>
            <w:tcW w:type="dxa" w:w="1150"/>
          </w:tcPr>
          <w:p>
            <w:pPr>
              <w:spacing w:after="40" w:before="40"/>
            </w:pPr>
            <w:r>
              <w:rPr>
                <w:b w:val="false"/>
                <w:bCs w:val="false"/>
                <w:sz w:val="18"/>
                <w:szCs w:val="18"/>
              </w:rPr>
              <w:t xml:space="preserve">10,489.04</w:t>
            </w:r>
          </w:p>
        </w:tc>
        <w:tc>
          <w:tcPr>
            <w:tcW w:type="dxa" w:w="850"/>
          </w:tcPr>
          <w:p>
            <w:pPr>
              <w:spacing w:after="40" w:before="40"/>
            </w:pPr>
            <w:r>
              <w:rPr>
                <w:b w:val="false"/>
                <w:bCs w:val="false"/>
                <w:sz w:val="18"/>
                <w:szCs w:val="18"/>
              </w:rPr>
              <w:t xml:space="preserve">−1.66</w:t>
            </w:r>
          </w:p>
        </w:tc>
        <w:tc>
          <w:tcPr>
            <w:tcW w:type="dxa" w:w="700"/>
          </w:tcPr>
          <w:p>
            <w:pPr>
              <w:spacing w:after="40" w:before="40"/>
            </w:pPr>
            <w:r>
              <w:rPr>
                <w:b w:val="false"/>
                <w:bCs w:val="false"/>
                <w:sz w:val="18"/>
                <w:szCs w:val="18"/>
              </w:rPr>
              <w:t xml:space="preserve">16.5</w:t>
            </w:r>
          </w:p>
        </w:tc>
        <w:tc>
          <w:tcPr>
            <w:tcW w:type="dxa" w:w="2110"/>
          </w:tcPr>
          <w:p>
            <w:pPr>
              <w:spacing w:after="40" w:before="40"/>
            </w:pPr>
            <w:r>
              <w:rPr>
                <w:b w:val="false"/>
                <w:bCs w:val="false"/>
                <w:sz w:val="18"/>
                <w:szCs w:val="18"/>
              </w:rPr>
              <w:t xml:space="preserve">Corroborated (2 src)</w:t>
            </w:r>
          </w:p>
        </w:tc>
      </w:tr>
      <w:tr>
        <w:tc>
          <w:tcPr>
            <w:tcW w:type="dxa" w:w="1100"/>
          </w:tcPr>
          <w:p>
            <w:pPr>
              <w:spacing w:after="40" w:before="40"/>
            </w:pPr>
            <w:r>
              <w:rPr>
                <w:b w:val="false"/>
                <w:bCs w:val="false"/>
                <w:sz w:val="18"/>
                <w:szCs w:val="18"/>
              </w:rPr>
              <w:t xml:space="preserve">Thu 09 Jul</w:t>
            </w:r>
          </w:p>
        </w:tc>
        <w:tc>
          <w:tcPr>
            <w:tcW w:type="dxa" w:w="1150"/>
          </w:tcPr>
          <w:p>
            <w:pPr>
              <w:spacing w:after="40" w:before="40"/>
            </w:pPr>
            <w:r>
              <w:rPr>
                <w:b w:val="false"/>
                <w:bCs w:val="false"/>
                <w:sz w:val="18"/>
                <w:szCs w:val="18"/>
              </w:rPr>
              <w:t xml:space="preserve">10,441.09</w:t>
            </w:r>
          </w:p>
        </w:tc>
        <w:tc>
          <w:tcPr>
            <w:tcW w:type="dxa" w:w="1150"/>
          </w:tcPr>
          <w:p>
            <w:pPr>
              <w:spacing w:after="40" w:before="40"/>
            </w:pPr>
            <w:r>
              <w:rPr>
                <w:b w:val="false"/>
                <w:bCs w:val="false"/>
                <w:sz w:val="18"/>
                <w:szCs w:val="18"/>
              </w:rPr>
              <w:t xml:space="preserve">10,458.95</w:t>
            </w:r>
          </w:p>
        </w:tc>
        <w:tc>
          <w:tcPr>
            <w:tcW w:type="dxa" w:w="1150"/>
          </w:tcPr>
          <w:p>
            <w:pPr>
              <w:spacing w:after="40" w:before="40"/>
            </w:pPr>
            <w:r>
              <w:rPr>
                <w:b w:val="false"/>
                <w:bCs w:val="false"/>
                <w:sz w:val="18"/>
                <w:szCs w:val="18"/>
              </w:rPr>
              <w:t xml:space="preserve">10,419.22</w:t>
            </w:r>
          </w:p>
        </w:tc>
        <w:tc>
          <w:tcPr>
            <w:tcW w:type="dxa" w:w="1150"/>
          </w:tcPr>
          <w:p>
            <w:pPr>
              <w:spacing w:after="40" w:before="40"/>
            </w:pPr>
            <w:r>
              <w:rPr>
                <w:b w:val="false"/>
                <w:bCs w:val="false"/>
                <w:sz w:val="18"/>
                <w:szCs w:val="18"/>
              </w:rPr>
              <w:t xml:space="preserve">10,429.22</w:t>
            </w:r>
          </w:p>
        </w:tc>
        <w:tc>
          <w:tcPr>
            <w:tcW w:type="dxa" w:w="850"/>
          </w:tcPr>
          <w:p>
            <w:pPr>
              <w:spacing w:after="40" w:before="40"/>
            </w:pPr>
            <w:r>
              <w:rPr>
                <w:b w:val="false"/>
                <w:bCs w:val="false"/>
                <w:sz w:val="18"/>
                <w:szCs w:val="18"/>
              </w:rPr>
              <w:t xml:space="preserve">−0.57</w:t>
            </w:r>
          </w:p>
        </w:tc>
        <w:tc>
          <w:tcPr>
            <w:tcW w:type="dxa" w:w="700"/>
          </w:tcPr>
          <w:p>
            <w:pPr>
              <w:spacing w:after="40" w:before="40"/>
            </w:pPr>
            <w:r>
              <w:rPr>
                <w:b w:val="false"/>
                <w:bCs w:val="false"/>
                <w:sz w:val="18"/>
                <w:szCs w:val="18"/>
              </w:rPr>
              <w:t xml:space="preserve">0.0</w:t>
            </w:r>
          </w:p>
        </w:tc>
        <w:tc>
          <w:tcPr>
            <w:tcW w:type="dxa" w:w="2110"/>
          </w:tcPr>
          <w:p>
            <w:pPr>
              <w:spacing w:after="40" w:before="40"/>
            </w:pPr>
            <w:r>
              <w:rPr>
                <w:b w:val="false"/>
                <w:bCs w:val="false"/>
                <w:sz w:val="18"/>
                <w:szCs w:val="18"/>
              </w:rPr>
              <w:t xml:space="preserve">Corroborated (2 src)</w:t>
            </w:r>
          </w:p>
        </w:tc>
      </w:tr>
    </w:tbl>
    <w:p>
      <w:pPr>
        <w:spacing w:after="120"/>
      </w:pPr>
      <w:r>
        <w:rPr>
          <w:i/>
          <w:iCs/>
          <w:color w:val="555555"/>
          <w:sz w:val="18"/>
          <w:szCs w:val="18"/>
        </w:rPr>
        <w:t xml:space="preserve">RSI2 requires two prior closes and is therefore undefined for the first two rows of the block. Sessions of 6 and 7 July carry single-source High/Low values; under source discipline these are marked indicative only and are excluded from all pivot prior-period inputs, from entry pricing, and from stop-loss placement. They are retained for directional context and chart visualisation.</w:t>
      </w:r>
    </w:p>
    <w:p>
      <w:pPr>
        <w:pStyle w:val="Heading2"/>
        <w:spacing w:after="100" w:before="200"/>
      </w:pPr>
      <w:r>
        <w:t xml:space="preserve">EURO STOXX 50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color="auto" w:val="clear"/>
          </w:tcPr>
          <w:p>
            <w:pPr>
              <w:spacing w:after="40" w:before="40"/>
            </w:pPr>
            <w:r>
              <w:rPr>
                <w:b/>
                <w:bCs/>
                <w:sz w:val="18"/>
                <w:szCs w:val="18"/>
              </w:rPr>
              <w:t xml:space="preserve">Session</w:t>
            </w:r>
          </w:p>
        </w:tc>
        <w:tc>
          <w:tcPr>
            <w:tcW w:type="dxa" w:w="2340"/>
            <w:shd w:fill="D9E2F3" w:color="auto" w:val="clear"/>
          </w:tcPr>
          <w:p>
            <w:pPr>
              <w:spacing w:after="40" w:before="40"/>
            </w:pPr>
            <w:r>
              <w:rPr>
                <w:b/>
                <w:bCs/>
                <w:sz w:val="18"/>
                <w:szCs w:val="18"/>
              </w:rPr>
              <w:t xml:space="preserve">Close (EUR)</w:t>
            </w:r>
          </w:p>
        </w:tc>
        <w:tc>
          <w:tcPr>
            <w:tcW w:type="dxa" w:w="2340"/>
            <w:shd w:fill="D9E2F3" w:color="auto" w:val="clear"/>
          </w:tcPr>
          <w:p>
            <w:pPr>
              <w:spacing w:after="40" w:before="40"/>
            </w:pPr>
            <w:r>
              <w:rPr>
                <w:b/>
                <w:bCs/>
                <w:sz w:val="18"/>
                <w:szCs w:val="18"/>
              </w:rPr>
              <w:t xml:space="preserve">Chg %</w:t>
            </w:r>
          </w:p>
        </w:tc>
        <w:tc>
          <w:tcPr>
            <w:tcW w:type="dxa" w:w="2340"/>
            <w:shd w:fill="D9E2F3" w:color="auto" w:val="clear"/>
          </w:tcPr>
          <w:p>
            <w:pPr>
              <w:spacing w:after="40" w:before="40"/>
            </w:pPr>
            <w:r>
              <w:rPr>
                <w:b/>
                <w:bCs/>
                <w:sz w:val="18"/>
                <w:szCs w:val="18"/>
              </w:rPr>
              <w:t xml:space="preserve">Corroboration</w:t>
            </w:r>
          </w:p>
        </w:tc>
      </w:tr>
      <w:tr>
        <w:tc>
          <w:tcPr>
            <w:tcW w:type="dxa" w:w="2340"/>
          </w:tcPr>
          <w:p>
            <w:pPr>
              <w:spacing w:after="40" w:before="40"/>
            </w:pPr>
            <w:r>
              <w:rPr>
                <w:b w:val="false"/>
                <w:bCs w:val="false"/>
                <w:sz w:val="18"/>
                <w:szCs w:val="18"/>
              </w:rPr>
              <w:t xml:space="preserve">Wed 08 Jul</w:t>
            </w:r>
          </w:p>
        </w:tc>
        <w:tc>
          <w:tcPr>
            <w:tcW w:type="dxa" w:w="2340"/>
          </w:tcPr>
          <w:p>
            <w:pPr>
              <w:spacing w:after="40" w:before="40"/>
            </w:pPr>
            <w:r>
              <w:rPr>
                <w:b w:val="false"/>
                <w:bCs w:val="false"/>
                <w:sz w:val="18"/>
                <w:szCs w:val="18"/>
              </w:rPr>
              <w:t xml:space="preserve">6,190</w:t>
            </w:r>
          </w:p>
        </w:tc>
        <w:tc>
          <w:tcPr>
            <w:tcW w:type="dxa" w:w="2340"/>
          </w:tcPr>
          <w:p>
            <w:pPr>
              <w:spacing w:after="40" w:before="40"/>
            </w:pPr>
            <w:r>
              <w:rPr>
                <w:b w:val="false"/>
                <w:bCs w:val="false"/>
                <w:sz w:val="18"/>
                <w:szCs w:val="18"/>
              </w:rPr>
              <w:t xml:space="preserve">−2.0</w:t>
            </w:r>
          </w:p>
        </w:tc>
        <w:tc>
          <w:tcPr>
            <w:tcW w:type="dxa" w:w="2340"/>
          </w:tcPr>
          <w:p>
            <w:pPr>
              <w:spacing w:after="40" w:before="40"/>
            </w:pPr>
            <w:r>
              <w:rPr>
                <w:b w:val="false"/>
                <w:bCs w:val="false"/>
                <w:sz w:val="18"/>
                <w:szCs w:val="18"/>
              </w:rPr>
              <w:t xml:space="preserve">Corroborated (2 src)</w:t>
            </w:r>
          </w:p>
        </w:tc>
      </w:tr>
      <w:tr>
        <w:tc>
          <w:tcPr>
            <w:tcW w:type="dxa" w:w="2340"/>
          </w:tcPr>
          <w:p>
            <w:pPr>
              <w:spacing w:after="40" w:before="40"/>
            </w:pPr>
            <w:r>
              <w:rPr>
                <w:b w:val="false"/>
                <w:bCs w:val="false"/>
                <w:sz w:val="18"/>
                <w:szCs w:val="18"/>
              </w:rPr>
              <w:t xml:space="preserve">Thu 09 Jul</w:t>
            </w:r>
          </w:p>
        </w:tc>
        <w:tc>
          <w:tcPr>
            <w:tcW w:type="dxa" w:w="2340"/>
          </w:tcPr>
          <w:p>
            <w:pPr>
              <w:spacing w:after="40" w:before="40"/>
            </w:pPr>
            <w:r>
              <w:rPr>
                <w:b w:val="false"/>
                <w:bCs w:val="false"/>
                <w:sz w:val="18"/>
                <w:szCs w:val="18"/>
              </w:rPr>
              <w:t xml:space="preserve">6,249.70</w:t>
            </w:r>
          </w:p>
        </w:tc>
        <w:tc>
          <w:tcPr>
            <w:tcW w:type="dxa" w:w="2340"/>
          </w:tcPr>
          <w:p>
            <w:pPr>
              <w:spacing w:after="40" w:before="40"/>
            </w:pPr>
            <w:r>
              <w:rPr>
                <w:b w:val="false"/>
                <w:bCs w:val="false"/>
                <w:sz w:val="18"/>
                <w:szCs w:val="18"/>
              </w:rPr>
              <w:t xml:space="preserve">+0.72</w:t>
            </w:r>
          </w:p>
        </w:tc>
        <w:tc>
          <w:tcPr>
            <w:tcW w:type="dxa" w:w="2340"/>
          </w:tcPr>
          <w:p>
            <w:pPr>
              <w:spacing w:after="40" w:before="40"/>
            </w:pPr>
            <w:r>
              <w:rPr>
                <w:b w:val="false"/>
                <w:bCs w:val="false"/>
                <w:sz w:val="18"/>
                <w:szCs w:val="18"/>
              </w:rPr>
              <w:t xml:space="preserve">Corroborated (2 src)</w:t>
            </w:r>
          </w:p>
        </w:tc>
      </w:tr>
    </w:tbl>
    <w:p>
      <w:pPr>
        <w:spacing w:after="120"/>
      </w:pPr>
      <w:r>
        <w:rPr>
          <w:i/>
          <w:iCs/>
          <w:color w:val="555555"/>
          <w:sz w:val="18"/>
          <w:szCs w:val="18"/>
        </w:rPr>
        <w:t xml:space="preserve">EURO STOXX 50 five-session Open/High/Low could not be corroborated to two independent sources within tolerance across the full block. Under the no-synthesis rule the missing sessions are not estimated, interpolated, or reconstructed. The two corroborated closes above are reported; the remaining three sessions are recorded as a data gap in §19. GBP-equivalent conversion is not applied because doing so would require an FX rate matched to each index close timestamp, which was not independently fetched.</w:t>
      </w:r>
    </w:p>
    <w:p>
      <w:pPr>
        <w:pStyle w:val="Heading1"/>
        <w:spacing w:after="140" w:before="280"/>
      </w:pPr>
      <w:r>
        <w:t xml:space="preserve">§7  Charts</w:t>
      </w:r>
    </w:p>
    <w:p>
      <w:pPr>
        <w:spacing w:after="120"/>
      </w:pPr>
      <w:r>
        <w:t xml:space="preserve">Chart generation is enabled for this instance across all five configured outputs — the five-session candlestick, the distance-from-open overlay, the 25-session structure chart, the comparative volatility chart, and the smart-scale floor-pivot chart with two weekly candles. Charts are not embedded in this text deliverable. The underlying validated series is fully specified in §6 and §11 such that each chart is reproducible without further data fetching. Where any chart is rendered, the two indicative High/Low sessions must be visually flagged per source discipline.</w:t>
      </w:r>
    </w:p>
    <w:p>
      <w:pPr>
        <w:pStyle w:val="Heading1"/>
        <w:spacing w:after="140" w:before="280"/>
      </w:pPr>
      <w:r>
        <w:t xml:space="preserve">§8  Short-Term Technical Analysis</w:t>
      </w:r>
    </w:p>
    <w:p>
      <w:pPr>
        <w:spacing w:after="120"/>
      </w:pPr>
      <w:r>
        <w:t xml:space="preserve">Candle-by-candle across the five-session block, the sequence is a clean three-stage failure. The 3 July candle is the block's structural high: a wide-bodied advance closing at 10,679.03 on a session high of 10,747.01, which is the swing high the block is measured from (see §6). The 6 July candle is an inside consolidation — a small-bodied retreat closing 27 points lower, entirely within the prior session's envelope, carrying no directional information on its own. The 7 July candle recovered to 10,691.98, the block's highest close, and at that point the sequence read as an orderly higher-low pullback within an uptrend.</w:t>
      </w:r>
    </w:p>
    <w:p>
      <w:pPr>
        <w:spacing w:after="120"/>
      </w:pPr>
      <w:r>
        <w:t xml:space="preserve">The 8 July candle destroys that reading. It opens at 10,666.09 and never trades above the open — open equals high — then travels 199 points to a low of 10,467.01 and closes at 10,489.04, near the bottom of its own range. A candle whose open is its high and whose close sits in the lower quartile is a distribution candle: every buyer who transacted during the session was underwater at the close. The 9 July candle then gaps the open down to 10,441.09, some 48 points beneath the prior close, fails to reclaim any of that gap on a session high of only 10,458.95, and settles at 10,429.22 — the lowest close of the block, and beneath the prior session's low.</w:t>
      </w:r>
    </w:p>
    <w:p>
      <w:pPr>
        <w:spacing w:after="120"/>
      </w:pPr>
      <w:r>
        <w:t xml:space="preserve">Sequence assessment: three consecutive lower closes, a lower high on each of the final two sessions, and a down-gap that was not filled. RSI2 has collapsed from 59.6 to 16.5 to 0.0 across three prints. A zero reading on a two-period oscillator is mechanically produced by consecutive down-closes with no intervening up-move, so it is a statement about the purity of the sequence rather than an independent signal. It is a genuinely oversold condition on the short horizon and it is exactly what a strong downtrend also looks like at its outset — the reading does not distinguish between the two, and treating an RSI2 floor as a mean-reversion trigger inside a trending regime is the classic misuse of the indicator. The five-session swing high stands at 10,747.01 and the swing low at 10,419.22, giving a block range of 327.79 points, of which 260 was traversed in the final two sessions.</w:t>
      </w:r>
    </w:p>
    <w:p>
      <w:pPr>
        <w:pStyle w:val="Heading1"/>
        <w:spacing w:after="140" w:before="280"/>
      </w:pPr>
      <w:r>
        <w:t xml:space="preserve">§9  Medium-Term Regime &amp; VOLator</w:t>
      </w:r>
    </w:p>
    <w:p>
      <w:pPr>
        <w:spacing w:after="120"/>
      </w:pPr>
      <w:r>
        <w:t xml:space="preserve">Regime classification is Transitional, with a bearish short-term overlay on a still-intact medium-term base. The 25-session structure anchors on the June low near 10,127.60 and the recovery that carried the index to 10,747.01 on 3 July. Nothing in the last two sessions has broken that base — price remains roughly 300 points above it. What the last two sessions have broken is the ascending sequence of higher lows within it. The correct label is therefore Transitional–Mixed rather than Trending–Bearish at the medium horizon: the index is not in a downtrend on the 25-session view, it is in the first, most ambiguous phase of one.</w:t>
      </w:r>
    </w:p>
    <w:p>
      <w:pPr>
        <w:spacing w:after="120"/>
      </w:pPr>
      <w:r>
        <w:t xml:space="preserve">The VOLator read, using Average True Range on a historical z-scaled basis, shows clear expansion. Mean true range across the five-session block is 103.13 points, but the distribution is violently asymmetric: 8 July alone printed a true range of 199 points, roughly twice the block mean, and 9 July's gapped open pushed its true range above its 39.73-point high-low span. Volatility is expanding on downside candles and contracting on upside ones, which is the signature of a market where sellers are the price-setters. On a clipped ±1 historical scale the reading sits meaningfully negative.</w:t>
      </w:r>
    </w:p>
    <w:p>
      <w:pPr>
        <w:spacing w:after="120"/>
      </w:pPr>
      <w:r>
        <w:t xml:space="preserve">Kaufman confirmation: the efficiency ratio over the available block computes to approximately 0.76, far above the 0.13 trending threshold. This agrees with the short-term read and materially sharpens it. A ratio near 0.76 means roughly three-quarters of every point of price movement translated into net directional displacement — the move down is efficient, not choppy. Where the Kaufman read and the medium-term structural regime disagree, the Kaufman read takes precedence for execution-horizon decisions, because it is measured over the window in which the trade will live, while the 25-session regime governs the strategic view. The two are not in conflict so much as operating on different clocks: an efficient short-term downmove inside a not-yet-broken medium-term base.</w:t>
      </w:r>
    </w:p>
    <w:p>
      <w:pPr>
        <w:spacing w:after="120"/>
      </w:pPr>
      <w:r>
        <w:rPr>
          <w:i/>
          <w:iCs/>
          <w:color w:val="555555"/>
          <w:sz w:val="18"/>
          <w:szCs w:val="18"/>
        </w:rPr>
        <w:t xml:space="preserve">Note: the Kaufman period configured for this instance is 13 sessions with 3-period EMA smoothing. Only five corroborated sessions were obtainable within source discipline, so the figure above is computed on the available block and is directionally reliable but not a full-period reading. This is recorded as a limitation, not smoothed over.</w:t>
      </w:r>
    </w:p>
    <w:p>
      <w:pPr>
        <w:pStyle w:val="Heading1"/>
        <w:spacing w:after="140" w:before="28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160"/>
        <w:gridCol w:w="2800"/>
      </w:tblGrid>
      <w:tr>
        <w:tc>
          <w:tcPr>
            <w:tcW w:type="dxa" w:w="1400"/>
            <w:shd w:fill="D9E2F3" w:color="auto" w:val="clear"/>
          </w:tcPr>
          <w:p>
            <w:pPr>
              <w:spacing w:after="40" w:before="40"/>
            </w:pPr>
            <w:r>
              <w:rPr>
                <w:b/>
                <w:bCs/>
                <w:sz w:val="18"/>
                <w:szCs w:val="18"/>
              </w:rPr>
              <w:t xml:space="preserve">Counter</w:t>
            </w:r>
          </w:p>
        </w:tc>
        <w:tc>
          <w:tcPr>
            <w:tcW w:type="dxa" w:w="1600"/>
            <w:shd w:fill="D9E2F3" w:color="auto" w:val="clear"/>
          </w:tcPr>
          <w:p>
            <w:pPr>
              <w:spacing w:after="40" w:before="40"/>
            </w:pPr>
            <w:r>
              <w:rPr>
                <w:b/>
                <w:bCs/>
                <w:sz w:val="18"/>
                <w:szCs w:val="18"/>
              </w:rPr>
              <w:t xml:space="preserve">5-day direction</w:t>
            </w:r>
          </w:p>
        </w:tc>
        <w:tc>
          <w:tcPr>
            <w:tcW w:type="dxa" w:w="2400"/>
            <w:shd w:fill="D9E2F3" w:color="auto" w:val="clear"/>
          </w:tcPr>
          <w:p>
            <w:pPr>
              <w:spacing w:after="40" w:before="40"/>
            </w:pPr>
            <w:r>
              <w:rPr>
                <w:b/>
                <w:bCs/>
                <w:sz w:val="18"/>
                <w:szCs w:val="18"/>
              </w:rPr>
              <w:t xml:space="preserve">Mechanism</w:t>
            </w:r>
          </w:p>
        </w:tc>
        <w:tc>
          <w:tcPr>
            <w:tcW w:type="dxa" w:w="1160"/>
            <w:shd w:fill="D9E2F3" w:color="auto" w:val="clear"/>
          </w:tcPr>
          <w:p>
            <w:pPr>
              <w:spacing w:after="40" w:before="40"/>
            </w:pPr>
            <w:r>
              <w:rPr>
                <w:b/>
                <w:bCs/>
                <w:sz w:val="18"/>
                <w:szCs w:val="18"/>
              </w:rPr>
              <w:t xml:space="preserve">Status</w:t>
            </w:r>
          </w:p>
        </w:tc>
        <w:tc>
          <w:tcPr>
            <w:tcW w:type="dxa" w:w="2800"/>
            <w:shd w:fill="D9E2F3" w:color="auto" w:val="clear"/>
          </w:tcPr>
          <w:p>
            <w:pPr>
              <w:spacing w:after="40" w:before="40"/>
            </w:pPr>
            <w:r>
              <w:rPr>
                <w:b/>
                <w:bCs/>
                <w:sz w:val="18"/>
                <w:szCs w:val="18"/>
              </w:rPr>
              <w:t xml:space="preserve">Implication</w:t>
            </w:r>
          </w:p>
        </w:tc>
      </w:tr>
      <w:tr>
        <w:tc>
          <w:tcPr>
            <w:tcW w:type="dxa" w:w="1400"/>
          </w:tcPr>
          <w:p>
            <w:pPr>
              <w:spacing w:after="40" w:before="40"/>
            </w:pPr>
            <w:r>
              <w:rPr>
                <w:b w:val="false"/>
                <w:bCs w:val="false"/>
                <w:sz w:val="18"/>
                <w:szCs w:val="18"/>
              </w:rPr>
              <w:t xml:space="preserve">USDX (Dollar Index)</w:t>
            </w:r>
          </w:p>
        </w:tc>
        <w:tc>
          <w:tcPr>
            <w:tcW w:type="dxa" w:w="1600"/>
          </w:tcPr>
          <w:p>
            <w:pPr>
              <w:spacing w:after="40" w:before="40"/>
            </w:pPr>
            <w:r>
              <w:rPr>
                <w:b w:val="false"/>
                <w:bCs w:val="false"/>
                <w:sz w:val="18"/>
                <w:szCs w:val="18"/>
              </w:rPr>
              <w:t xml:space="preserve">Firm / Rising</w:t>
            </w:r>
          </w:p>
        </w:tc>
        <w:tc>
          <w:tcPr>
            <w:tcW w:type="dxa" w:w="2400"/>
          </w:tcPr>
          <w:p>
            <w:pPr>
              <w:spacing w:after="40" w:before="40"/>
            </w:pPr>
            <w:r>
              <w:rPr>
                <w:b w:val="false"/>
                <w:bCs w:val="false"/>
                <w:sz w:val="18"/>
                <w:szCs w:val="18"/>
              </w:rPr>
              <w:t xml:space="preserve">A stronger dollar mechanically inflates the sterling value of the ~80% of FTSE 100 revenue earned abroad, supporting reported earnings on translation.</w:t>
            </w:r>
          </w:p>
        </w:tc>
        <w:tc>
          <w:tcPr>
            <w:tcW w:type="dxa" w:w="1160"/>
          </w:tcPr>
          <w:p>
            <w:pPr>
              <w:spacing w:after="40" w:before="40"/>
            </w:pPr>
            <w:r>
              <w:rPr>
                <w:b w:val="false"/>
                <w:bCs w:val="false"/>
                <w:sz w:val="18"/>
                <w:szCs w:val="18"/>
              </w:rPr>
              <w:t xml:space="preserve">Contradicts</w:t>
            </w:r>
          </w:p>
        </w:tc>
        <w:tc>
          <w:tcPr>
            <w:tcW w:type="dxa" w:w="2800"/>
          </w:tcPr>
          <w:p>
            <w:pPr>
              <w:spacing w:after="40" w:before="40"/>
            </w:pPr>
            <w:r>
              <w:rPr>
                <w:b w:val="false"/>
                <w:bCs w:val="false"/>
                <w:sz w:val="18"/>
                <w:szCs w:val="18"/>
              </w:rPr>
              <w:t xml:space="preserve">The single genuinely supportive counter. It argues the index's fall is idiosyncratic and domestic rather than a repricing of the multinational earnings base.</w:t>
            </w:r>
          </w:p>
        </w:tc>
      </w:tr>
      <w:tr>
        <w:tc>
          <w:tcPr>
            <w:tcW w:type="dxa" w:w="1400"/>
          </w:tcPr>
          <w:p>
            <w:pPr>
              <w:spacing w:after="40" w:before="40"/>
            </w:pPr>
            <w:r>
              <w:rPr>
                <w:b w:val="false"/>
                <w:bCs w:val="false"/>
                <w:sz w:val="18"/>
                <w:szCs w:val="18"/>
              </w:rPr>
              <w:t xml:space="preserve">S&amp;P 500</w:t>
            </w:r>
          </w:p>
        </w:tc>
        <w:tc>
          <w:tcPr>
            <w:tcW w:type="dxa" w:w="1600"/>
          </w:tcPr>
          <w:p>
            <w:pPr>
              <w:spacing w:after="40" w:before="40"/>
            </w:pPr>
            <w:r>
              <w:rPr>
                <w:b w:val="false"/>
                <w:bCs w:val="false"/>
                <w:sz w:val="18"/>
                <w:szCs w:val="18"/>
              </w:rPr>
              <w:t xml:space="preserve">Rising (+0.81% on 9 Jul, to 7,543.64)</w:t>
            </w:r>
          </w:p>
        </w:tc>
        <w:tc>
          <w:tcPr>
            <w:tcW w:type="dxa" w:w="2400"/>
          </w:tcPr>
          <w:p>
            <w:pPr>
              <w:spacing w:after="40" w:before="40"/>
            </w:pPr>
            <w:r>
              <w:rPr>
                <w:b w:val="false"/>
                <w:bCs w:val="false"/>
                <w:sz w:val="18"/>
                <w:szCs w:val="18"/>
              </w:rPr>
              <w:t xml:space="preserve">Common global risk factor. European large-caps carry meaningful beta to US risk appetite, transmitted through fund flows and shared macro pricing.</w:t>
            </w:r>
          </w:p>
        </w:tc>
        <w:tc>
          <w:tcPr>
            <w:tcW w:type="dxa" w:w="1160"/>
          </w:tcPr>
          <w:p>
            <w:pPr>
              <w:spacing w:after="40" w:before="40"/>
            </w:pPr>
            <w:r>
              <w:rPr>
                <w:b w:val="false"/>
                <w:bCs w:val="false"/>
                <w:sz w:val="18"/>
                <w:szCs w:val="18"/>
              </w:rPr>
              <w:t xml:space="preserve">Contradicts</w:t>
            </w:r>
          </w:p>
        </w:tc>
        <w:tc>
          <w:tcPr>
            <w:tcW w:type="dxa" w:w="2800"/>
          </w:tcPr>
          <w:p>
            <w:pPr>
              <w:spacing w:after="40" w:before="40"/>
            </w:pPr>
            <w:r>
              <w:rPr>
                <w:b w:val="false"/>
                <w:bCs w:val="false"/>
                <w:sz w:val="18"/>
                <w:szCs w:val="18"/>
              </w:rPr>
              <w:t xml:space="preserve">US equities rallied on a semiconductor bid and falling oil while the FTSE fell. The divergence is the story: the FTSE's weakness is not a global risk-off event.</w:t>
            </w:r>
          </w:p>
        </w:tc>
      </w:tr>
      <w:tr>
        <w:tc>
          <w:tcPr>
            <w:tcW w:type="dxa" w:w="1400"/>
          </w:tcPr>
          <w:p>
            <w:pPr>
              <w:spacing w:after="40" w:before="40"/>
            </w:pPr>
            <w:r>
              <w:rPr>
                <w:b w:val="false"/>
                <w:bCs w:val="false"/>
                <w:sz w:val="18"/>
                <w:szCs w:val="18"/>
              </w:rPr>
              <w:t xml:space="preserve">DAX 40</w:t>
            </w:r>
          </w:p>
        </w:tc>
        <w:tc>
          <w:tcPr>
            <w:tcW w:type="dxa" w:w="1600"/>
          </w:tcPr>
          <w:p>
            <w:pPr>
              <w:spacing w:after="40" w:before="40"/>
            </w:pPr>
            <w:r>
              <w:rPr>
                <w:b w:val="false"/>
                <w:bCs w:val="false"/>
                <w:sz w:val="18"/>
                <w:szCs w:val="18"/>
              </w:rPr>
              <w:t xml:space="preserve">Rising (+0.83% on 9 Jul)</w:t>
            </w:r>
          </w:p>
        </w:tc>
        <w:tc>
          <w:tcPr>
            <w:tcW w:type="dxa" w:w="2400"/>
          </w:tcPr>
          <w:p>
            <w:pPr>
              <w:spacing w:after="40" w:before="40"/>
            </w:pPr>
            <w:r>
              <w:rPr>
                <w:b w:val="false"/>
                <w:bCs w:val="false"/>
                <w:sz w:val="18"/>
                <w:szCs w:val="18"/>
              </w:rPr>
              <w:t xml:space="preserve">European equity proxy with a different sector skew — industrials-heavy versus the FTSE's energy and pharmaceutical concentration.</w:t>
            </w:r>
          </w:p>
        </w:tc>
        <w:tc>
          <w:tcPr>
            <w:tcW w:type="dxa" w:w="1160"/>
          </w:tcPr>
          <w:p>
            <w:pPr>
              <w:spacing w:after="40" w:before="40"/>
            </w:pPr>
            <w:r>
              <w:rPr>
                <w:b w:val="false"/>
                <w:bCs w:val="false"/>
                <w:sz w:val="18"/>
                <w:szCs w:val="18"/>
              </w:rPr>
              <w:t xml:space="preserve">Contradicts</w:t>
            </w:r>
          </w:p>
        </w:tc>
        <w:tc>
          <w:tcPr>
            <w:tcW w:type="dxa" w:w="2800"/>
          </w:tcPr>
          <w:p>
            <w:pPr>
              <w:spacing w:after="40" w:before="40"/>
            </w:pPr>
            <w:r>
              <w:rPr>
                <w:b w:val="false"/>
                <w:bCs w:val="false"/>
                <w:sz w:val="18"/>
                <w:szCs w:val="18"/>
              </w:rPr>
              <w:t xml:space="preserve">Frankfurt rallied on the same day London fell. This isolates the FTSE's decline to its own sector composition rather than to a continental factor.</w:t>
            </w:r>
          </w:p>
        </w:tc>
      </w:tr>
      <w:tr>
        <w:tc>
          <w:tcPr>
            <w:tcW w:type="dxa" w:w="1400"/>
          </w:tcPr>
          <w:p>
            <w:pPr>
              <w:spacing w:after="40" w:before="40"/>
            </w:pPr>
            <w:r>
              <w:rPr>
                <w:b w:val="false"/>
                <w:bCs w:val="false"/>
                <w:sz w:val="18"/>
                <w:szCs w:val="18"/>
              </w:rPr>
              <w:t xml:space="preserve">EURO STOXX 50 (secondary)</w:t>
            </w:r>
          </w:p>
        </w:tc>
        <w:tc>
          <w:tcPr>
            <w:tcW w:type="dxa" w:w="1600"/>
          </w:tcPr>
          <w:p>
            <w:pPr>
              <w:spacing w:after="40" w:before="40"/>
            </w:pPr>
            <w:r>
              <w:rPr>
                <w:b w:val="false"/>
                <w:bCs w:val="false"/>
                <w:sz w:val="18"/>
                <w:szCs w:val="18"/>
              </w:rPr>
              <w:t xml:space="preserve">Rising (+0.72% on 9 Jul, to 6,249.70)</w:t>
            </w:r>
          </w:p>
        </w:tc>
        <w:tc>
          <w:tcPr>
            <w:tcW w:type="dxa" w:w="2400"/>
          </w:tcPr>
          <w:p>
            <w:pPr>
              <w:spacing w:after="40" w:before="40"/>
            </w:pPr>
            <w:r>
              <w:rPr>
                <w:b w:val="false"/>
                <w:bCs w:val="false"/>
                <w:sz w:val="18"/>
                <w:szCs w:val="18"/>
              </w:rPr>
              <w:t xml:space="preserve">Eurozone large-cap pair. Shares the FTSE's financials and utilities exposure but carries no AstraZeneca-scale single-stock pharmaceutical concentration.</w:t>
            </w:r>
          </w:p>
        </w:tc>
        <w:tc>
          <w:tcPr>
            <w:tcW w:type="dxa" w:w="1160"/>
          </w:tcPr>
          <w:p>
            <w:pPr>
              <w:spacing w:after="40" w:before="40"/>
            </w:pPr>
            <w:r>
              <w:rPr>
                <w:b w:val="false"/>
                <w:bCs w:val="false"/>
                <w:sz w:val="18"/>
                <w:szCs w:val="18"/>
              </w:rPr>
              <w:t xml:space="preserve">Contradicts</w:t>
            </w:r>
          </w:p>
        </w:tc>
        <w:tc>
          <w:tcPr>
            <w:tcW w:type="dxa" w:w="2800"/>
          </w:tcPr>
          <w:p>
            <w:pPr>
              <w:spacing w:after="40" w:before="40"/>
            </w:pPr>
            <w:r>
              <w:rPr>
                <w:b w:val="false"/>
                <w:bCs w:val="false"/>
                <w:sz w:val="18"/>
                <w:szCs w:val="18"/>
              </w:rPr>
              <w:t xml:space="preserve">STOXX rebounded from its 2.0% Wednesday loss; the FTSE did not. The pair has decoupled over precisely two sessions.</w:t>
            </w:r>
          </w:p>
        </w:tc>
      </w:tr>
    </w:tbl>
    <w:p>
      <w:pPr>
        <w:spacing w:after="160"/>
      </w:pPr>
      <w:r>
        <w:rPr>
          <w:b/>
          <w:bCs/>
        </w:rPr>
        <w:t xml:space="preserve">CONTRADICTION FLAG — all four counters contradict the bearish technical read. </w:t>
      </w:r>
      <w:r>
        <w:t xml:space="preserve">This is unusual and it is not resolved here. Every cross-asset counter, including the mandatory dollar counter, points the opposite way to the FTSE's own price action. The mechanical reading is that the FTSE's two-session decline is idiosyncratic — driven by a single-stock pharmaceutical shock and a domestic energy-weighting problem — rather than by any factor shared with its peers. That has two competing implications and honesty requires stating both. The benign one: idiosyncratic shocks mean-revert once the flow is absorbed, and a bounce is more likely than a continuation. The malign one: an index that cannot rally when every peer rallies is being sold by someone with a mandate, and relative weakness of that kind tends to persist. The technical evidence in §8 and §9 favours the second reading on the execution horizon. The cross-asset evidence favours the first. This contradiction is carried forward, unresolved, into §15 and §16, and it is the primary reason confidence is Medium rather than High.</w:t>
      </w:r>
    </w:p>
    <w:p>
      <w:pPr>
        <w:pStyle w:val="Heading1"/>
        <w:spacing w:after="140" w:before="280"/>
      </w:pPr>
      <w:r>
        <w:t xml:space="preserve">§11  Floor Pivot Analysis</w:t>
      </w:r>
    </w:p>
    <w:p>
      <w:pPr>
        <w:pStyle w:val="Heading2"/>
        <w:spacing w:after="100" w:before="200"/>
      </w:pPr>
      <w:r>
        <w:t xml:space="preserve">Daily pivots — derived from the 9 July session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spacing w:after="40" w:before="40"/>
            </w:pPr>
            <w:r>
              <w:rPr>
                <w:b/>
                <w:bCs/>
                <w:sz w:val="18"/>
                <w:szCs w:val="18"/>
              </w:rPr>
              <w:t xml:space="preserve">Level</w:t>
            </w:r>
          </w:p>
        </w:tc>
        <w:tc>
          <w:tcPr>
            <w:tcW w:type="dxa" w:w="3120"/>
            <w:shd w:fill="D9E2F3" w:color="auto" w:val="clear"/>
          </w:tcPr>
          <w:p>
            <w:pPr>
              <w:spacing w:after="40" w:before="40"/>
            </w:pPr>
            <w:r>
              <w:rPr>
                <w:b/>
                <w:bCs/>
                <w:sz w:val="18"/>
                <w:szCs w:val="18"/>
              </w:rPr>
              <w:t xml:space="preserve">Value</w:t>
            </w:r>
          </w:p>
        </w:tc>
        <w:tc>
          <w:tcPr>
            <w:tcW w:type="dxa" w:w="3120"/>
            <w:shd w:fill="D9E2F3" w:color="auto" w:val="clear"/>
          </w:tcPr>
          <w:p>
            <w:pPr>
              <w:spacing w:after="40" w:before="40"/>
            </w:pPr>
            <w:r>
              <w:rPr>
                <w:b/>
                <w:bCs/>
                <w:sz w:val="18"/>
                <w:szCs w:val="18"/>
              </w:rPr>
              <w:t xml:space="preserve">Distance from close</w:t>
            </w:r>
          </w:p>
        </w:tc>
      </w:tr>
      <w:tr>
        <w:tc>
          <w:tcPr>
            <w:tcW w:type="dxa" w:w="3120"/>
          </w:tcPr>
          <w:p>
            <w:pPr>
              <w:spacing w:after="40" w:before="40"/>
            </w:pPr>
            <w:r>
              <w:rPr>
                <w:b w:val="false"/>
                <w:bCs w:val="false"/>
                <w:sz w:val="18"/>
                <w:szCs w:val="18"/>
              </w:rPr>
              <w:t xml:space="preserve">R5</w:t>
            </w:r>
          </w:p>
        </w:tc>
        <w:tc>
          <w:tcPr>
            <w:tcW w:type="dxa" w:w="3120"/>
          </w:tcPr>
          <w:p>
            <w:pPr>
              <w:spacing w:after="40" w:before="40"/>
            </w:pPr>
            <w:r>
              <w:rPr>
                <w:b w:val="false"/>
                <w:bCs w:val="false"/>
                <w:sz w:val="18"/>
                <w:szCs w:val="18"/>
              </w:rPr>
              <w:t xml:space="preserve">10,571.56</w:t>
            </w:r>
          </w:p>
        </w:tc>
        <w:tc>
          <w:tcPr>
            <w:tcW w:type="dxa" w:w="3120"/>
          </w:tcPr>
          <w:p>
            <w:pPr>
              <w:spacing w:after="40" w:before="40"/>
            </w:pPr>
            <w:r>
              <w:rPr>
                <w:b w:val="false"/>
                <w:bCs w:val="false"/>
                <w:sz w:val="18"/>
                <w:szCs w:val="18"/>
              </w:rPr>
              <w:t xml:space="preserve">+142.34</w:t>
            </w:r>
          </w:p>
        </w:tc>
      </w:tr>
      <w:tr>
        <w:tc>
          <w:tcPr>
            <w:tcW w:type="dxa" w:w="3120"/>
          </w:tcPr>
          <w:p>
            <w:pPr>
              <w:spacing w:after="40" w:before="40"/>
            </w:pPr>
            <w:r>
              <w:rPr>
                <w:b w:val="false"/>
                <w:bCs w:val="false"/>
                <w:sz w:val="18"/>
                <w:szCs w:val="18"/>
              </w:rPr>
              <w:t xml:space="preserve">R4</w:t>
            </w:r>
          </w:p>
        </w:tc>
        <w:tc>
          <w:tcPr>
            <w:tcW w:type="dxa" w:w="3120"/>
          </w:tcPr>
          <w:p>
            <w:pPr>
              <w:spacing w:after="40" w:before="40"/>
            </w:pPr>
            <w:r>
              <w:rPr>
                <w:b w:val="false"/>
                <w:bCs w:val="false"/>
                <w:sz w:val="18"/>
                <w:szCs w:val="18"/>
              </w:rPr>
              <w:t xml:space="preserve">10,531.83</w:t>
            </w:r>
          </w:p>
        </w:tc>
        <w:tc>
          <w:tcPr>
            <w:tcW w:type="dxa" w:w="3120"/>
          </w:tcPr>
          <w:p>
            <w:pPr>
              <w:spacing w:after="40" w:before="40"/>
            </w:pPr>
            <w:r>
              <w:rPr>
                <w:b w:val="false"/>
                <w:bCs w:val="false"/>
                <w:sz w:val="18"/>
                <w:szCs w:val="18"/>
              </w:rPr>
              <w:t xml:space="preserve">+102.61</w:t>
            </w:r>
          </w:p>
        </w:tc>
      </w:tr>
      <w:tr>
        <w:tc>
          <w:tcPr>
            <w:tcW w:type="dxa" w:w="3120"/>
          </w:tcPr>
          <w:p>
            <w:pPr>
              <w:spacing w:after="40" w:before="40"/>
            </w:pPr>
            <w:r>
              <w:rPr>
                <w:b w:val="false"/>
                <w:bCs w:val="false"/>
                <w:sz w:val="18"/>
                <w:szCs w:val="18"/>
              </w:rPr>
              <w:t xml:space="preserve">R3</w:t>
            </w:r>
          </w:p>
        </w:tc>
        <w:tc>
          <w:tcPr>
            <w:tcW w:type="dxa" w:w="3120"/>
          </w:tcPr>
          <w:p>
            <w:pPr>
              <w:spacing w:after="40" w:before="40"/>
            </w:pPr>
            <w:r>
              <w:rPr>
                <w:b w:val="false"/>
                <w:bCs w:val="false"/>
                <w:sz w:val="18"/>
                <w:szCs w:val="18"/>
              </w:rPr>
              <w:t xml:space="preserve">10,492.10</w:t>
            </w:r>
          </w:p>
        </w:tc>
        <w:tc>
          <w:tcPr>
            <w:tcW w:type="dxa" w:w="3120"/>
          </w:tcPr>
          <w:p>
            <w:pPr>
              <w:spacing w:after="40" w:before="40"/>
            </w:pPr>
            <w:r>
              <w:rPr>
                <w:b w:val="false"/>
                <w:bCs w:val="false"/>
                <w:sz w:val="18"/>
                <w:szCs w:val="18"/>
              </w:rPr>
              <w:t xml:space="preserve">+62.88</w:t>
            </w:r>
          </w:p>
        </w:tc>
      </w:tr>
      <w:tr>
        <w:tc>
          <w:tcPr>
            <w:tcW w:type="dxa" w:w="3120"/>
          </w:tcPr>
          <w:p>
            <w:pPr>
              <w:spacing w:after="40" w:before="40"/>
            </w:pPr>
            <w:r>
              <w:rPr>
                <w:b w:val="false"/>
                <w:bCs w:val="false"/>
                <w:sz w:val="18"/>
                <w:szCs w:val="18"/>
              </w:rPr>
              <w:t xml:space="preserve">R2</w:t>
            </w:r>
          </w:p>
        </w:tc>
        <w:tc>
          <w:tcPr>
            <w:tcW w:type="dxa" w:w="3120"/>
          </w:tcPr>
          <w:p>
            <w:pPr>
              <w:spacing w:after="40" w:before="40"/>
            </w:pPr>
            <w:r>
              <w:rPr>
                <w:b w:val="false"/>
                <w:bCs w:val="false"/>
                <w:sz w:val="18"/>
                <w:szCs w:val="18"/>
              </w:rPr>
              <w:t xml:space="preserve">10,475.53</w:t>
            </w:r>
          </w:p>
        </w:tc>
        <w:tc>
          <w:tcPr>
            <w:tcW w:type="dxa" w:w="3120"/>
          </w:tcPr>
          <w:p>
            <w:pPr>
              <w:spacing w:after="40" w:before="40"/>
            </w:pPr>
            <w:r>
              <w:rPr>
                <w:b w:val="false"/>
                <w:bCs w:val="false"/>
                <w:sz w:val="18"/>
                <w:szCs w:val="18"/>
              </w:rPr>
              <w:t xml:space="preserve">+46.31</w:t>
            </w:r>
          </w:p>
        </w:tc>
      </w:tr>
      <w:tr>
        <w:tc>
          <w:tcPr>
            <w:tcW w:type="dxa" w:w="3120"/>
          </w:tcPr>
          <w:p>
            <w:pPr>
              <w:spacing w:after="40" w:before="40"/>
            </w:pPr>
            <w:r>
              <w:rPr>
                <w:b w:val="false"/>
                <w:bCs w:val="false"/>
                <w:sz w:val="18"/>
                <w:szCs w:val="18"/>
              </w:rPr>
              <w:t xml:space="preserve">R1</w:t>
            </w:r>
          </w:p>
        </w:tc>
        <w:tc>
          <w:tcPr>
            <w:tcW w:type="dxa" w:w="3120"/>
          </w:tcPr>
          <w:p>
            <w:pPr>
              <w:spacing w:after="40" w:before="40"/>
            </w:pPr>
            <w:r>
              <w:rPr>
                <w:b w:val="false"/>
                <w:bCs w:val="false"/>
                <w:sz w:val="18"/>
                <w:szCs w:val="18"/>
              </w:rPr>
              <w:t xml:space="preserve">10,452.37</w:t>
            </w:r>
          </w:p>
        </w:tc>
        <w:tc>
          <w:tcPr>
            <w:tcW w:type="dxa" w:w="3120"/>
          </w:tcPr>
          <w:p>
            <w:pPr>
              <w:spacing w:after="40" w:before="40"/>
            </w:pPr>
            <w:r>
              <w:rPr>
                <w:b w:val="false"/>
                <w:bCs w:val="false"/>
                <w:sz w:val="18"/>
                <w:szCs w:val="18"/>
              </w:rPr>
              <w:t xml:space="preserve">+23.15</w:t>
            </w:r>
          </w:p>
        </w:tc>
      </w:tr>
      <w:tr>
        <w:tc>
          <w:tcPr>
            <w:tcW w:type="dxa" w:w="3120"/>
          </w:tcPr>
          <w:p>
            <w:pPr>
              <w:spacing w:after="40" w:before="40"/>
            </w:pPr>
            <w:r>
              <w:rPr>
                <w:b w:val="false"/>
                <w:bCs w:val="false"/>
                <w:sz w:val="18"/>
                <w:szCs w:val="18"/>
              </w:rPr>
              <w:t xml:space="preserve">P</w:t>
            </w:r>
          </w:p>
        </w:tc>
        <w:tc>
          <w:tcPr>
            <w:tcW w:type="dxa" w:w="3120"/>
          </w:tcPr>
          <w:p>
            <w:pPr>
              <w:spacing w:after="40" w:before="40"/>
            </w:pPr>
            <w:r>
              <w:rPr>
                <w:b w:val="false"/>
                <w:bCs w:val="false"/>
                <w:sz w:val="18"/>
                <w:szCs w:val="18"/>
              </w:rPr>
              <w:t xml:space="preserve">10,435.80</w:t>
            </w:r>
          </w:p>
        </w:tc>
        <w:tc>
          <w:tcPr>
            <w:tcW w:type="dxa" w:w="3120"/>
          </w:tcPr>
          <w:p>
            <w:pPr>
              <w:spacing w:after="40" w:before="40"/>
            </w:pPr>
            <w:r>
              <w:rPr>
                <w:b w:val="false"/>
                <w:bCs w:val="false"/>
                <w:sz w:val="18"/>
                <w:szCs w:val="18"/>
              </w:rPr>
              <w:t xml:space="preserve">+6.58</w:t>
            </w:r>
          </w:p>
        </w:tc>
      </w:tr>
      <w:tr>
        <w:tc>
          <w:tcPr>
            <w:tcW w:type="dxa" w:w="3120"/>
          </w:tcPr>
          <w:p>
            <w:pPr>
              <w:spacing w:after="40" w:before="40"/>
            </w:pPr>
            <w:r>
              <w:rPr>
                <w:b w:val="false"/>
                <w:bCs w:val="false"/>
                <w:sz w:val="18"/>
                <w:szCs w:val="18"/>
              </w:rPr>
              <w:t xml:space="preserve">S1</w:t>
            </w:r>
          </w:p>
        </w:tc>
        <w:tc>
          <w:tcPr>
            <w:tcW w:type="dxa" w:w="3120"/>
          </w:tcPr>
          <w:p>
            <w:pPr>
              <w:spacing w:after="40" w:before="40"/>
            </w:pPr>
            <w:r>
              <w:rPr>
                <w:b w:val="false"/>
                <w:bCs w:val="false"/>
                <w:sz w:val="18"/>
                <w:szCs w:val="18"/>
              </w:rPr>
              <w:t xml:space="preserve">10,412.64</w:t>
            </w:r>
          </w:p>
        </w:tc>
        <w:tc>
          <w:tcPr>
            <w:tcW w:type="dxa" w:w="3120"/>
          </w:tcPr>
          <w:p>
            <w:pPr>
              <w:spacing w:after="40" w:before="40"/>
            </w:pPr>
            <w:r>
              <w:rPr>
                <w:b w:val="false"/>
                <w:bCs w:val="false"/>
                <w:sz w:val="18"/>
                <w:szCs w:val="18"/>
              </w:rPr>
              <w:t xml:space="preserve">−16.58</w:t>
            </w:r>
          </w:p>
        </w:tc>
      </w:tr>
      <w:tr>
        <w:tc>
          <w:tcPr>
            <w:tcW w:type="dxa" w:w="3120"/>
          </w:tcPr>
          <w:p>
            <w:pPr>
              <w:spacing w:after="40" w:before="40"/>
            </w:pPr>
            <w:r>
              <w:rPr>
                <w:b w:val="false"/>
                <w:bCs w:val="false"/>
                <w:sz w:val="18"/>
                <w:szCs w:val="18"/>
              </w:rPr>
              <w:t xml:space="preserve">S2</w:t>
            </w:r>
          </w:p>
        </w:tc>
        <w:tc>
          <w:tcPr>
            <w:tcW w:type="dxa" w:w="3120"/>
          </w:tcPr>
          <w:p>
            <w:pPr>
              <w:spacing w:after="40" w:before="40"/>
            </w:pPr>
            <w:r>
              <w:rPr>
                <w:b w:val="false"/>
                <w:bCs w:val="false"/>
                <w:sz w:val="18"/>
                <w:szCs w:val="18"/>
              </w:rPr>
              <w:t xml:space="preserve">10,396.07</w:t>
            </w:r>
          </w:p>
        </w:tc>
        <w:tc>
          <w:tcPr>
            <w:tcW w:type="dxa" w:w="3120"/>
          </w:tcPr>
          <w:p>
            <w:pPr>
              <w:spacing w:after="40" w:before="40"/>
            </w:pPr>
            <w:r>
              <w:rPr>
                <w:b w:val="false"/>
                <w:bCs w:val="false"/>
                <w:sz w:val="18"/>
                <w:szCs w:val="18"/>
              </w:rPr>
              <w:t xml:space="preserve">−33.15</w:t>
            </w:r>
          </w:p>
        </w:tc>
      </w:tr>
      <w:tr>
        <w:tc>
          <w:tcPr>
            <w:tcW w:type="dxa" w:w="3120"/>
          </w:tcPr>
          <w:p>
            <w:pPr>
              <w:spacing w:after="40" w:before="40"/>
            </w:pPr>
            <w:r>
              <w:rPr>
                <w:b w:val="false"/>
                <w:bCs w:val="false"/>
                <w:sz w:val="18"/>
                <w:szCs w:val="18"/>
              </w:rPr>
              <w:t xml:space="preserve">S3</w:t>
            </w:r>
          </w:p>
        </w:tc>
        <w:tc>
          <w:tcPr>
            <w:tcW w:type="dxa" w:w="3120"/>
          </w:tcPr>
          <w:p>
            <w:pPr>
              <w:spacing w:after="40" w:before="40"/>
            </w:pPr>
            <w:r>
              <w:rPr>
                <w:b w:val="false"/>
                <w:bCs w:val="false"/>
                <w:sz w:val="18"/>
                <w:szCs w:val="18"/>
              </w:rPr>
              <w:t xml:space="preserve">10,372.91</w:t>
            </w:r>
          </w:p>
        </w:tc>
        <w:tc>
          <w:tcPr>
            <w:tcW w:type="dxa" w:w="3120"/>
          </w:tcPr>
          <w:p>
            <w:pPr>
              <w:spacing w:after="40" w:before="40"/>
            </w:pPr>
            <w:r>
              <w:rPr>
                <w:b w:val="false"/>
                <w:bCs w:val="false"/>
                <w:sz w:val="18"/>
                <w:szCs w:val="18"/>
              </w:rPr>
              <w:t xml:space="preserve">−56.31</w:t>
            </w:r>
          </w:p>
        </w:tc>
      </w:tr>
      <w:tr>
        <w:tc>
          <w:tcPr>
            <w:tcW w:type="dxa" w:w="3120"/>
          </w:tcPr>
          <w:p>
            <w:pPr>
              <w:spacing w:after="40" w:before="40"/>
            </w:pPr>
            <w:r>
              <w:rPr>
                <w:b w:val="false"/>
                <w:bCs w:val="false"/>
                <w:sz w:val="18"/>
                <w:szCs w:val="18"/>
              </w:rPr>
              <w:t xml:space="preserve">S4</w:t>
            </w:r>
          </w:p>
        </w:tc>
        <w:tc>
          <w:tcPr>
            <w:tcW w:type="dxa" w:w="3120"/>
          </w:tcPr>
          <w:p>
            <w:pPr>
              <w:spacing w:after="40" w:before="40"/>
            </w:pPr>
            <w:r>
              <w:rPr>
                <w:b w:val="false"/>
                <w:bCs w:val="false"/>
                <w:sz w:val="18"/>
                <w:szCs w:val="18"/>
              </w:rPr>
              <w:t xml:space="preserve">10,333.18</w:t>
            </w:r>
          </w:p>
        </w:tc>
        <w:tc>
          <w:tcPr>
            <w:tcW w:type="dxa" w:w="3120"/>
          </w:tcPr>
          <w:p>
            <w:pPr>
              <w:spacing w:after="40" w:before="40"/>
            </w:pPr>
            <w:r>
              <w:rPr>
                <w:b w:val="false"/>
                <w:bCs w:val="false"/>
                <w:sz w:val="18"/>
                <w:szCs w:val="18"/>
              </w:rPr>
              <w:t xml:space="preserve">−96.04</w:t>
            </w:r>
          </w:p>
        </w:tc>
      </w:tr>
      <w:tr>
        <w:tc>
          <w:tcPr>
            <w:tcW w:type="dxa" w:w="3120"/>
          </w:tcPr>
          <w:p>
            <w:pPr>
              <w:spacing w:after="40" w:before="40"/>
            </w:pPr>
            <w:r>
              <w:rPr>
                <w:b w:val="false"/>
                <w:bCs w:val="false"/>
                <w:sz w:val="18"/>
                <w:szCs w:val="18"/>
              </w:rPr>
              <w:t xml:space="preserve">S5</w:t>
            </w:r>
          </w:p>
        </w:tc>
        <w:tc>
          <w:tcPr>
            <w:tcW w:type="dxa" w:w="3120"/>
          </w:tcPr>
          <w:p>
            <w:pPr>
              <w:spacing w:after="40" w:before="40"/>
            </w:pPr>
            <w:r>
              <w:rPr>
                <w:b w:val="false"/>
                <w:bCs w:val="false"/>
                <w:sz w:val="18"/>
                <w:szCs w:val="18"/>
              </w:rPr>
              <w:t xml:space="preserve">10,293.45</w:t>
            </w:r>
          </w:p>
        </w:tc>
        <w:tc>
          <w:tcPr>
            <w:tcW w:type="dxa" w:w="3120"/>
          </w:tcPr>
          <w:p>
            <w:pPr>
              <w:spacing w:after="40" w:before="40"/>
            </w:pPr>
            <w:r>
              <w:rPr>
                <w:b w:val="false"/>
                <w:bCs w:val="false"/>
                <w:sz w:val="18"/>
                <w:szCs w:val="18"/>
              </w:rPr>
              <w:t xml:space="preserve">−135.77</w:t>
            </w:r>
          </w:p>
        </w:tc>
      </w:tr>
    </w:tbl>
    <w:p>
      <w:pPr>
        <w:spacing w:after="120"/>
      </w:pPr>
      <w:r>
        <w:rPr>
          <w:i/>
          <w:iCs/>
          <w:color w:val="555555"/>
          <w:sz w:val="18"/>
          <w:szCs w:val="18"/>
        </w:rPr>
        <w:t xml:space="preserve">Source status: prior-session High/Low/Close all corroborated by two independent sources. Daily levels are fully qualified for entry and stop-loss use. Midpoints: R1.5 at 10,463.95; S1.5 at 10,404.35.</w:t>
      </w:r>
    </w:p>
    <w:p>
      <w:pPr>
        <w:pStyle w:val="Heading2"/>
        <w:spacing w:after="100" w:before="200"/>
      </w:pPr>
      <w:r>
        <w:t xml:space="preserve">Weekly pivots — derived from the week ended 3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pPr>
              <w:spacing w:after="40" w:before="40"/>
            </w:pPr>
            <w:r>
              <w:rPr>
                <w:b/>
                <w:bCs/>
                <w:sz w:val="18"/>
                <w:szCs w:val="18"/>
              </w:rPr>
              <w:t xml:space="preserve">Level</w:t>
            </w:r>
          </w:p>
        </w:tc>
        <w:tc>
          <w:tcPr>
            <w:tcW w:type="dxa" w:w="4680"/>
            <w:shd w:fill="D9E2F3" w:color="auto" w:val="clear"/>
          </w:tcPr>
          <w:p>
            <w:pPr>
              <w:spacing w:after="40" w:before="40"/>
            </w:pPr>
            <w:r>
              <w:rPr>
                <w:b/>
                <w:bCs/>
                <w:sz w:val="18"/>
                <w:szCs w:val="18"/>
              </w:rPr>
              <w:t xml:space="preserve">Value</w:t>
            </w:r>
          </w:p>
        </w:tc>
      </w:tr>
      <w:tr>
        <w:tc>
          <w:tcPr>
            <w:tcW w:type="dxa" w:w="4680"/>
          </w:tcPr>
          <w:p>
            <w:pPr>
              <w:spacing w:after="40" w:before="40"/>
            </w:pPr>
            <w:r>
              <w:rPr>
                <w:b w:val="false"/>
                <w:bCs w:val="false"/>
                <w:sz w:val="18"/>
                <w:szCs w:val="18"/>
              </w:rPr>
              <w:t xml:space="preserve">R5</w:t>
            </w:r>
          </w:p>
        </w:tc>
        <w:tc>
          <w:tcPr>
            <w:tcW w:type="dxa" w:w="4680"/>
          </w:tcPr>
          <w:p>
            <w:pPr>
              <w:spacing w:after="40" w:before="40"/>
            </w:pPr>
            <w:r>
              <w:rPr>
                <w:b w:val="false"/>
                <w:bCs w:val="false"/>
                <w:sz w:val="18"/>
                <w:szCs w:val="18"/>
              </w:rPr>
              <w:t xml:space="preserve">11,591.72</w:t>
            </w:r>
          </w:p>
        </w:tc>
      </w:tr>
      <w:tr>
        <w:tc>
          <w:tcPr>
            <w:tcW w:type="dxa" w:w="4680"/>
          </w:tcPr>
          <w:p>
            <w:pPr>
              <w:spacing w:after="40" w:before="40"/>
            </w:pPr>
            <w:r>
              <w:rPr>
                <w:b w:val="false"/>
                <w:bCs w:val="false"/>
                <w:sz w:val="18"/>
                <w:szCs w:val="18"/>
              </w:rPr>
              <w:t xml:space="preserve">R4</w:t>
            </w:r>
          </w:p>
        </w:tc>
        <w:tc>
          <w:tcPr>
            <w:tcW w:type="dxa" w:w="4680"/>
          </w:tcPr>
          <w:p>
            <w:pPr>
              <w:spacing w:after="40" w:before="40"/>
            </w:pPr>
            <w:r>
              <w:rPr>
                <w:b w:val="false"/>
                <w:bCs w:val="false"/>
                <w:sz w:val="18"/>
                <w:szCs w:val="18"/>
              </w:rPr>
              <w:t xml:space="preserve">11,324.71</w:t>
            </w:r>
          </w:p>
        </w:tc>
      </w:tr>
      <w:tr>
        <w:tc>
          <w:tcPr>
            <w:tcW w:type="dxa" w:w="4680"/>
          </w:tcPr>
          <w:p>
            <w:pPr>
              <w:spacing w:after="40" w:before="40"/>
            </w:pPr>
            <w:r>
              <w:rPr>
                <w:b w:val="false"/>
                <w:bCs w:val="false"/>
                <w:sz w:val="18"/>
                <w:szCs w:val="18"/>
              </w:rPr>
              <w:t xml:space="preserve">R3</w:t>
            </w:r>
          </w:p>
        </w:tc>
        <w:tc>
          <w:tcPr>
            <w:tcW w:type="dxa" w:w="4680"/>
          </w:tcPr>
          <w:p>
            <w:pPr>
              <w:spacing w:after="40" w:before="40"/>
            </w:pPr>
            <w:r>
              <w:rPr>
                <w:b w:val="false"/>
                <w:bCs w:val="false"/>
                <w:sz w:val="18"/>
                <w:szCs w:val="18"/>
              </w:rPr>
              <w:t xml:space="preserve">11,057.70</w:t>
            </w:r>
          </w:p>
        </w:tc>
      </w:tr>
      <w:tr>
        <w:tc>
          <w:tcPr>
            <w:tcW w:type="dxa" w:w="4680"/>
          </w:tcPr>
          <w:p>
            <w:pPr>
              <w:spacing w:after="40" w:before="40"/>
            </w:pPr>
            <w:r>
              <w:rPr>
                <w:b w:val="false"/>
                <w:bCs w:val="false"/>
                <w:sz w:val="18"/>
                <w:szCs w:val="18"/>
              </w:rPr>
              <w:t xml:space="preserve">R2</w:t>
            </w:r>
          </w:p>
        </w:tc>
        <w:tc>
          <w:tcPr>
            <w:tcW w:type="dxa" w:w="4680"/>
          </w:tcPr>
          <w:p>
            <w:pPr>
              <w:spacing w:after="40" w:before="40"/>
            </w:pPr>
            <w:r>
              <w:rPr>
                <w:b w:val="false"/>
                <w:bCs w:val="false"/>
                <w:sz w:val="18"/>
                <w:szCs w:val="18"/>
              </w:rPr>
              <w:t xml:space="preserve">10,902.36</w:t>
            </w:r>
          </w:p>
        </w:tc>
      </w:tr>
      <w:tr>
        <w:tc>
          <w:tcPr>
            <w:tcW w:type="dxa" w:w="4680"/>
          </w:tcPr>
          <w:p>
            <w:pPr>
              <w:spacing w:after="40" w:before="40"/>
            </w:pPr>
            <w:r>
              <w:rPr>
                <w:b w:val="false"/>
                <w:bCs w:val="false"/>
                <w:sz w:val="18"/>
                <w:szCs w:val="18"/>
              </w:rPr>
              <w:t xml:space="preserve">R1</w:t>
            </w:r>
          </w:p>
        </w:tc>
        <w:tc>
          <w:tcPr>
            <w:tcW w:type="dxa" w:w="4680"/>
          </w:tcPr>
          <w:p>
            <w:pPr>
              <w:spacing w:after="40" w:before="40"/>
            </w:pPr>
            <w:r>
              <w:rPr>
                <w:b w:val="false"/>
                <w:bCs w:val="false"/>
                <w:sz w:val="18"/>
                <w:szCs w:val="18"/>
              </w:rPr>
              <w:t xml:space="preserve">10,790.69</w:t>
            </w:r>
          </w:p>
        </w:tc>
      </w:tr>
      <w:tr>
        <w:tc>
          <w:tcPr>
            <w:tcW w:type="dxa" w:w="4680"/>
          </w:tcPr>
          <w:p>
            <w:pPr>
              <w:spacing w:after="40" w:before="40"/>
            </w:pPr>
            <w:r>
              <w:rPr>
                <w:b w:val="false"/>
                <w:bCs w:val="false"/>
                <w:sz w:val="18"/>
                <w:szCs w:val="18"/>
              </w:rPr>
              <w:t xml:space="preserve">P</w:t>
            </w:r>
          </w:p>
        </w:tc>
        <w:tc>
          <w:tcPr>
            <w:tcW w:type="dxa" w:w="4680"/>
          </w:tcPr>
          <w:p>
            <w:pPr>
              <w:spacing w:after="40" w:before="40"/>
            </w:pPr>
            <w:r>
              <w:rPr>
                <w:b w:val="false"/>
                <w:bCs w:val="false"/>
                <w:sz w:val="18"/>
                <w:szCs w:val="18"/>
              </w:rPr>
              <w:t xml:space="preserve">10,635.35</w:t>
            </w:r>
          </w:p>
        </w:tc>
      </w:tr>
      <w:tr>
        <w:tc>
          <w:tcPr>
            <w:tcW w:type="dxa" w:w="4680"/>
          </w:tcPr>
          <w:p>
            <w:pPr>
              <w:spacing w:after="40" w:before="40"/>
            </w:pPr>
            <w:r>
              <w:rPr>
                <w:b w:val="false"/>
                <w:bCs w:val="false"/>
                <w:sz w:val="18"/>
                <w:szCs w:val="18"/>
              </w:rPr>
              <w:t xml:space="preserve">S1</w:t>
            </w:r>
          </w:p>
        </w:tc>
        <w:tc>
          <w:tcPr>
            <w:tcW w:type="dxa" w:w="4680"/>
          </w:tcPr>
          <w:p>
            <w:pPr>
              <w:spacing w:after="40" w:before="40"/>
            </w:pPr>
            <w:r>
              <w:rPr>
                <w:b w:val="false"/>
                <w:bCs w:val="false"/>
                <w:sz w:val="18"/>
                <w:szCs w:val="18"/>
              </w:rPr>
              <w:t xml:space="preserve">10,523.68</w:t>
            </w:r>
          </w:p>
        </w:tc>
      </w:tr>
      <w:tr>
        <w:tc>
          <w:tcPr>
            <w:tcW w:type="dxa" w:w="4680"/>
          </w:tcPr>
          <w:p>
            <w:pPr>
              <w:spacing w:after="40" w:before="40"/>
            </w:pPr>
            <w:r>
              <w:rPr>
                <w:b w:val="false"/>
                <w:bCs w:val="false"/>
                <w:sz w:val="18"/>
                <w:szCs w:val="18"/>
              </w:rPr>
              <w:t xml:space="preserve">S2</w:t>
            </w:r>
          </w:p>
        </w:tc>
        <w:tc>
          <w:tcPr>
            <w:tcW w:type="dxa" w:w="4680"/>
          </w:tcPr>
          <w:p>
            <w:pPr>
              <w:spacing w:after="40" w:before="40"/>
            </w:pPr>
            <w:r>
              <w:rPr>
                <w:b w:val="false"/>
                <w:bCs w:val="false"/>
                <w:sz w:val="18"/>
                <w:szCs w:val="18"/>
              </w:rPr>
              <w:t xml:space="preserve">10,368.34</w:t>
            </w:r>
          </w:p>
        </w:tc>
      </w:tr>
      <w:tr>
        <w:tc>
          <w:tcPr>
            <w:tcW w:type="dxa" w:w="4680"/>
          </w:tcPr>
          <w:p>
            <w:pPr>
              <w:spacing w:after="40" w:before="40"/>
            </w:pPr>
            <w:r>
              <w:rPr>
                <w:b w:val="false"/>
                <w:bCs w:val="false"/>
                <w:sz w:val="18"/>
                <w:szCs w:val="18"/>
              </w:rPr>
              <w:t xml:space="preserve">S3</w:t>
            </w:r>
          </w:p>
        </w:tc>
        <w:tc>
          <w:tcPr>
            <w:tcW w:type="dxa" w:w="4680"/>
          </w:tcPr>
          <w:p>
            <w:pPr>
              <w:spacing w:after="40" w:before="40"/>
            </w:pPr>
            <w:r>
              <w:rPr>
                <w:b w:val="false"/>
                <w:bCs w:val="false"/>
                <w:sz w:val="18"/>
                <w:szCs w:val="18"/>
              </w:rPr>
              <w:t xml:space="preserve">10,256.67</w:t>
            </w:r>
          </w:p>
        </w:tc>
      </w:tr>
      <w:tr>
        <w:tc>
          <w:tcPr>
            <w:tcW w:type="dxa" w:w="4680"/>
          </w:tcPr>
          <w:p>
            <w:pPr>
              <w:spacing w:after="40" w:before="40"/>
            </w:pPr>
            <w:r>
              <w:rPr>
                <w:b w:val="false"/>
                <w:bCs w:val="false"/>
                <w:sz w:val="18"/>
                <w:szCs w:val="18"/>
              </w:rPr>
              <w:t xml:space="preserve">S4</w:t>
            </w:r>
          </w:p>
        </w:tc>
        <w:tc>
          <w:tcPr>
            <w:tcW w:type="dxa" w:w="4680"/>
          </w:tcPr>
          <w:p>
            <w:pPr>
              <w:spacing w:after="40" w:before="40"/>
            </w:pPr>
            <w:r>
              <w:rPr>
                <w:b w:val="false"/>
                <w:bCs w:val="false"/>
                <w:sz w:val="18"/>
                <w:szCs w:val="18"/>
              </w:rPr>
              <w:t xml:space="preserve">9,989.66</w:t>
            </w:r>
          </w:p>
        </w:tc>
      </w:tr>
      <w:tr>
        <w:tc>
          <w:tcPr>
            <w:tcW w:type="dxa" w:w="4680"/>
          </w:tcPr>
          <w:p>
            <w:pPr>
              <w:spacing w:after="40" w:before="40"/>
            </w:pPr>
            <w:r>
              <w:rPr>
                <w:b w:val="false"/>
                <w:bCs w:val="false"/>
                <w:sz w:val="18"/>
                <w:szCs w:val="18"/>
              </w:rPr>
              <w:t xml:space="preserve">S5</w:t>
            </w:r>
          </w:p>
        </w:tc>
        <w:tc>
          <w:tcPr>
            <w:tcW w:type="dxa" w:w="4680"/>
          </w:tcPr>
          <w:p>
            <w:pPr>
              <w:spacing w:after="40" w:before="40"/>
            </w:pPr>
            <w:r>
              <w:rPr>
                <w:b w:val="false"/>
                <w:bCs w:val="false"/>
                <w:sz w:val="18"/>
                <w:szCs w:val="18"/>
              </w:rPr>
              <w:t xml:space="preserve">9,722.65</w:t>
            </w:r>
          </w:p>
        </w:tc>
      </w:tr>
    </w:tbl>
    <w:p>
      <w:pPr>
        <w:spacing w:after="160"/>
      </w:pPr>
      <w:r>
        <w:rPr>
          <w:b/>
          <w:bCs/>
        </w:rPr>
        <w:t xml:space="preserve">Source status: INDICATIVE ONLY. </w:t>
      </w:r>
      <w:r>
        <w:rPr>
          <w:i/>
          <w:iCs/>
          <w:sz w:val="18"/>
          <w:szCs w:val="18"/>
        </w:rPr>
        <w:t xml:space="preserve">The prior week's low could not be corroborated by two independent sources within the ±0.10-point tolerance. Under source discipline, the entire weekly table inherits the single-source flag. These levels may be used for directional context and chart visualisation. They may NOT be used for entry pricing, stop-loss placement, or as a definitive reference. No trade card below places a stop or an entry on a weekly level.</w:t>
      </w:r>
    </w:p>
    <w:p>
      <w:pPr>
        <w:pStyle w:val="Heading2"/>
        <w:spacing w:after="100" w:before="200"/>
      </w:pPr>
      <w:r>
        <w:t xml:space="preserve">Monthly pivots — derived from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pPr>
              <w:spacing w:after="40" w:before="40"/>
            </w:pPr>
            <w:r>
              <w:rPr>
                <w:b/>
                <w:bCs/>
                <w:sz w:val="18"/>
                <w:szCs w:val="18"/>
              </w:rPr>
              <w:t xml:space="preserve">Level</w:t>
            </w:r>
          </w:p>
        </w:tc>
        <w:tc>
          <w:tcPr>
            <w:tcW w:type="dxa" w:w="4680"/>
            <w:shd w:fill="D9E2F3" w:color="auto" w:val="clear"/>
          </w:tcPr>
          <w:p>
            <w:pPr>
              <w:spacing w:after="40" w:before="40"/>
            </w:pPr>
            <w:r>
              <w:rPr>
                <w:b/>
                <w:bCs/>
                <w:sz w:val="18"/>
                <w:szCs w:val="18"/>
              </w:rPr>
              <w:t xml:space="preserve">Value</w:t>
            </w:r>
          </w:p>
        </w:tc>
      </w:tr>
      <w:tr>
        <w:tc>
          <w:tcPr>
            <w:tcW w:type="dxa" w:w="4680"/>
          </w:tcPr>
          <w:p>
            <w:pPr>
              <w:spacing w:after="40" w:before="40"/>
            </w:pPr>
            <w:r>
              <w:rPr>
                <w:b w:val="false"/>
                <w:bCs w:val="false"/>
                <w:sz w:val="18"/>
                <w:szCs w:val="18"/>
              </w:rPr>
              <w:t xml:space="preserve">R5</w:t>
            </w:r>
          </w:p>
        </w:tc>
        <w:tc>
          <w:tcPr>
            <w:tcW w:type="dxa" w:w="4680"/>
          </w:tcPr>
          <w:p>
            <w:pPr>
              <w:spacing w:after="40" w:before="40"/>
            </w:pPr>
            <w:r>
              <w:rPr>
                <w:b w:val="false"/>
                <w:bCs w:val="false"/>
                <w:sz w:val="18"/>
                <w:szCs w:val="18"/>
              </w:rPr>
              <w:t xml:space="preserve">11,959.00</w:t>
            </w:r>
          </w:p>
        </w:tc>
      </w:tr>
      <w:tr>
        <w:tc>
          <w:tcPr>
            <w:tcW w:type="dxa" w:w="4680"/>
          </w:tcPr>
          <w:p>
            <w:pPr>
              <w:spacing w:after="40" w:before="40"/>
            </w:pPr>
            <w:r>
              <w:rPr>
                <w:b w:val="false"/>
                <w:bCs w:val="false"/>
                <w:sz w:val="18"/>
                <w:szCs w:val="18"/>
              </w:rPr>
              <w:t xml:space="preserve">R4</w:t>
            </w:r>
          </w:p>
        </w:tc>
        <w:tc>
          <w:tcPr>
            <w:tcW w:type="dxa" w:w="4680"/>
          </w:tcPr>
          <w:p>
            <w:pPr>
              <w:spacing w:after="40" w:before="40"/>
            </w:pPr>
            <w:r>
              <w:rPr>
                <w:b w:val="false"/>
                <w:bCs w:val="false"/>
                <w:sz w:val="18"/>
                <w:szCs w:val="18"/>
              </w:rPr>
              <w:t xml:space="preserve">11,516.51</w:t>
            </w:r>
          </w:p>
        </w:tc>
      </w:tr>
      <w:tr>
        <w:tc>
          <w:tcPr>
            <w:tcW w:type="dxa" w:w="4680"/>
          </w:tcPr>
          <w:p>
            <w:pPr>
              <w:spacing w:after="40" w:before="40"/>
            </w:pPr>
            <w:r>
              <w:rPr>
                <w:b w:val="false"/>
                <w:bCs w:val="false"/>
                <w:sz w:val="18"/>
                <w:szCs w:val="18"/>
              </w:rPr>
              <w:t xml:space="preserve">R3</w:t>
            </w:r>
          </w:p>
        </w:tc>
        <w:tc>
          <w:tcPr>
            <w:tcW w:type="dxa" w:w="4680"/>
          </w:tcPr>
          <w:p>
            <w:pPr>
              <w:spacing w:after="40" w:before="40"/>
            </w:pPr>
            <w:r>
              <w:rPr>
                <w:b w:val="false"/>
                <w:bCs w:val="false"/>
                <w:sz w:val="18"/>
                <w:szCs w:val="18"/>
              </w:rPr>
              <w:t xml:space="preserve">11,074.02</w:t>
            </w:r>
          </w:p>
        </w:tc>
      </w:tr>
      <w:tr>
        <w:tc>
          <w:tcPr>
            <w:tcW w:type="dxa" w:w="4680"/>
          </w:tcPr>
          <w:p>
            <w:pPr>
              <w:spacing w:after="40" w:before="40"/>
            </w:pPr>
            <w:r>
              <w:rPr>
                <w:b w:val="false"/>
                <w:bCs w:val="false"/>
                <w:sz w:val="18"/>
                <w:szCs w:val="18"/>
              </w:rPr>
              <w:t xml:space="preserve">R2</w:t>
            </w:r>
          </w:p>
        </w:tc>
        <w:tc>
          <w:tcPr>
            <w:tcW w:type="dxa" w:w="4680"/>
          </w:tcPr>
          <w:p>
            <w:pPr>
              <w:spacing w:after="40" w:before="40"/>
            </w:pPr>
            <w:r>
              <w:rPr>
                <w:b w:val="false"/>
                <w:bCs w:val="false"/>
                <w:sz w:val="18"/>
                <w:szCs w:val="18"/>
              </w:rPr>
              <w:t xml:space="preserve">10,822.05</w:t>
            </w:r>
          </w:p>
        </w:tc>
      </w:tr>
      <w:tr>
        <w:tc>
          <w:tcPr>
            <w:tcW w:type="dxa" w:w="4680"/>
          </w:tcPr>
          <w:p>
            <w:pPr>
              <w:spacing w:after="40" w:before="40"/>
            </w:pPr>
            <w:r>
              <w:rPr>
                <w:b w:val="false"/>
                <w:bCs w:val="false"/>
                <w:sz w:val="18"/>
                <w:szCs w:val="18"/>
              </w:rPr>
              <w:t xml:space="preserve">R1</w:t>
            </w:r>
          </w:p>
        </w:tc>
        <w:tc>
          <w:tcPr>
            <w:tcW w:type="dxa" w:w="4680"/>
          </w:tcPr>
          <w:p>
            <w:pPr>
              <w:spacing w:after="40" w:before="40"/>
            </w:pPr>
            <w:r>
              <w:rPr>
                <w:b w:val="false"/>
                <w:bCs w:val="false"/>
                <w:sz w:val="18"/>
                <w:szCs w:val="18"/>
              </w:rPr>
              <w:t xml:space="preserve">10,631.53</w:t>
            </w:r>
          </w:p>
        </w:tc>
      </w:tr>
      <w:tr>
        <w:tc>
          <w:tcPr>
            <w:tcW w:type="dxa" w:w="4680"/>
          </w:tcPr>
          <w:p>
            <w:pPr>
              <w:spacing w:after="40" w:before="40"/>
            </w:pPr>
            <w:r>
              <w:rPr>
                <w:b w:val="false"/>
                <w:bCs w:val="false"/>
                <w:sz w:val="18"/>
                <w:szCs w:val="18"/>
              </w:rPr>
              <w:t xml:space="preserve">P</w:t>
            </w:r>
          </w:p>
        </w:tc>
        <w:tc>
          <w:tcPr>
            <w:tcW w:type="dxa" w:w="4680"/>
          </w:tcPr>
          <w:p>
            <w:pPr>
              <w:spacing w:after="40" w:before="40"/>
            </w:pPr>
            <w:r>
              <w:rPr>
                <w:b w:val="false"/>
                <w:bCs w:val="false"/>
                <w:sz w:val="18"/>
                <w:szCs w:val="18"/>
              </w:rPr>
              <w:t xml:space="preserve">10,379.56</w:t>
            </w:r>
          </w:p>
        </w:tc>
      </w:tr>
      <w:tr>
        <w:tc>
          <w:tcPr>
            <w:tcW w:type="dxa" w:w="4680"/>
          </w:tcPr>
          <w:p>
            <w:pPr>
              <w:spacing w:after="40" w:before="40"/>
            </w:pPr>
            <w:r>
              <w:rPr>
                <w:b w:val="false"/>
                <w:bCs w:val="false"/>
                <w:sz w:val="18"/>
                <w:szCs w:val="18"/>
              </w:rPr>
              <w:t xml:space="preserve">S1</w:t>
            </w:r>
          </w:p>
        </w:tc>
        <w:tc>
          <w:tcPr>
            <w:tcW w:type="dxa" w:w="4680"/>
          </w:tcPr>
          <w:p>
            <w:pPr>
              <w:spacing w:after="40" w:before="40"/>
            </w:pPr>
            <w:r>
              <w:rPr>
                <w:b w:val="false"/>
                <w:bCs w:val="false"/>
                <w:sz w:val="18"/>
                <w:szCs w:val="18"/>
              </w:rPr>
              <w:t xml:space="preserve">10,189.04</w:t>
            </w:r>
          </w:p>
        </w:tc>
      </w:tr>
      <w:tr>
        <w:tc>
          <w:tcPr>
            <w:tcW w:type="dxa" w:w="4680"/>
          </w:tcPr>
          <w:p>
            <w:pPr>
              <w:spacing w:after="40" w:before="40"/>
            </w:pPr>
            <w:r>
              <w:rPr>
                <w:b w:val="false"/>
                <w:bCs w:val="false"/>
                <w:sz w:val="18"/>
                <w:szCs w:val="18"/>
              </w:rPr>
              <w:t xml:space="preserve">S2</w:t>
            </w:r>
          </w:p>
        </w:tc>
        <w:tc>
          <w:tcPr>
            <w:tcW w:type="dxa" w:w="4680"/>
          </w:tcPr>
          <w:p>
            <w:pPr>
              <w:spacing w:after="40" w:before="40"/>
            </w:pPr>
            <w:r>
              <w:rPr>
                <w:b w:val="false"/>
                <w:bCs w:val="false"/>
                <w:sz w:val="18"/>
                <w:szCs w:val="18"/>
              </w:rPr>
              <w:t xml:space="preserve">9,937.07</w:t>
            </w:r>
          </w:p>
        </w:tc>
      </w:tr>
      <w:tr>
        <w:tc>
          <w:tcPr>
            <w:tcW w:type="dxa" w:w="4680"/>
          </w:tcPr>
          <w:p>
            <w:pPr>
              <w:spacing w:after="40" w:before="40"/>
            </w:pPr>
            <w:r>
              <w:rPr>
                <w:b w:val="false"/>
                <w:bCs w:val="false"/>
                <w:sz w:val="18"/>
                <w:szCs w:val="18"/>
              </w:rPr>
              <w:t xml:space="preserve">S3</w:t>
            </w:r>
          </w:p>
        </w:tc>
        <w:tc>
          <w:tcPr>
            <w:tcW w:type="dxa" w:w="4680"/>
          </w:tcPr>
          <w:p>
            <w:pPr>
              <w:spacing w:after="40" w:before="40"/>
            </w:pPr>
            <w:r>
              <w:rPr>
                <w:b w:val="false"/>
                <w:bCs w:val="false"/>
                <w:sz w:val="18"/>
                <w:szCs w:val="18"/>
              </w:rPr>
              <w:t xml:space="preserve">9,746.55</w:t>
            </w:r>
          </w:p>
        </w:tc>
      </w:tr>
      <w:tr>
        <w:tc>
          <w:tcPr>
            <w:tcW w:type="dxa" w:w="4680"/>
          </w:tcPr>
          <w:p>
            <w:pPr>
              <w:spacing w:after="40" w:before="40"/>
            </w:pPr>
            <w:r>
              <w:rPr>
                <w:b w:val="false"/>
                <w:bCs w:val="false"/>
                <w:sz w:val="18"/>
                <w:szCs w:val="18"/>
              </w:rPr>
              <w:t xml:space="preserve">S4</w:t>
            </w:r>
          </w:p>
        </w:tc>
        <w:tc>
          <w:tcPr>
            <w:tcW w:type="dxa" w:w="4680"/>
          </w:tcPr>
          <w:p>
            <w:pPr>
              <w:spacing w:after="40" w:before="40"/>
            </w:pPr>
            <w:r>
              <w:rPr>
                <w:b w:val="false"/>
                <w:bCs w:val="false"/>
                <w:sz w:val="18"/>
                <w:szCs w:val="18"/>
              </w:rPr>
              <w:t xml:space="preserve">9,304.06</w:t>
            </w:r>
          </w:p>
        </w:tc>
      </w:tr>
      <w:tr>
        <w:tc>
          <w:tcPr>
            <w:tcW w:type="dxa" w:w="4680"/>
          </w:tcPr>
          <w:p>
            <w:pPr>
              <w:spacing w:after="40" w:before="40"/>
            </w:pPr>
            <w:r>
              <w:rPr>
                <w:b w:val="false"/>
                <w:bCs w:val="false"/>
                <w:sz w:val="18"/>
                <w:szCs w:val="18"/>
              </w:rPr>
              <w:t xml:space="preserve">S5</w:t>
            </w:r>
          </w:p>
        </w:tc>
        <w:tc>
          <w:tcPr>
            <w:tcW w:type="dxa" w:w="4680"/>
          </w:tcPr>
          <w:p>
            <w:pPr>
              <w:spacing w:after="40" w:before="40"/>
            </w:pPr>
            <w:r>
              <w:rPr>
                <w:b w:val="false"/>
                <w:bCs w:val="false"/>
                <w:sz w:val="18"/>
                <w:szCs w:val="18"/>
              </w:rPr>
              <w:t xml:space="preserve">8,861.57</w:t>
            </w:r>
          </w:p>
        </w:tc>
      </w:tr>
    </w:tbl>
    <w:p>
      <w:pPr>
        <w:spacing w:after="160"/>
      </w:pPr>
      <w:r>
        <w:rPr>
          <w:b/>
          <w:bCs/>
        </w:rPr>
        <w:t xml:space="preserve">Source status: INDICATIVE ONLY. </w:t>
      </w:r>
      <w:r>
        <w:rPr>
          <w:i/>
          <w:iCs/>
          <w:sz w:val="18"/>
          <w:szCs w:val="18"/>
        </w:rPr>
        <w:t xml:space="preserve">June's monthly High and Close were sourced from a single historical table whose visible range did not span the full month. The monthly table is therefore flagged in its entirety and is excluded from all execution pricing. It is retained because the monthly central pivot at 10,379.56 sits directly beneath current price and is narratively significant as a watch level — but no stop is anchored to it.</w:t>
      </w:r>
    </w:p>
    <w:p>
      <w:pPr>
        <w:pStyle w:val="Heading2"/>
        <w:spacing w:after="100" w:before="200"/>
      </w:pPr>
      <w:r>
        <w:t xml:space="preserve">Position narrative</w:t>
      </w:r>
    </w:p>
    <w:p>
      <w:pPr>
        <w:spacing w:after="120"/>
      </w:pPr>
      <w:r>
        <w:t xml:space="preserve">The 9 July close of 10,429.22 sits 6.58 points beneath the daily central pivot at 10,435.80 — effectively at the pivot, marginally below. This is the most information-dense fact in the pivot analysis: the market closed at, not through, the pivot, which means the 10 July pre-open opens with the pivot as immediate overhead resistance and with nothing structural between price and daily S1 at 10,412.64. The close sits well below the weekly central pivot at 10,635.35, roughly 206 points, confirming the week has broken decisively lower than its own reference point. It sits approximately 50 points above the monthly central pivot at 10,379.56.</w:t>
      </w:r>
    </w:p>
    <w:p>
      <w:pPr>
        <w:spacing w:after="120"/>
      </w:pPr>
      <w:r>
        <w:t xml:space="preserve">Confluence check at the 0.05% threshold (approximately 5.2 points at current levels): daily S3 at 10,372.91 and the monthly central pivot at 10,379.56 are 6.65 points apart — just outside the strict threshold, but close enough to constitute a meaningful support shelf in the 10,373–10,380 band. Daily S2 at 10,396.07 and weekly S2 at 10,368.34 do not confluence. No daily-weekly-monthly triple confluence exists within tolerance. The practical read is a thin structure beneath price: one daily support step at 10,412.64, a second at 10,396.07, and then a genuine shelf at 10,373–10,380 where the daily and monthly frames coincide. Note that two of the three frames contributing to that shelf are indicative-only.</w:t>
      </w:r>
    </w:p>
    <w:p>
      <w:pPr>
        <w:pStyle w:val="Heading1"/>
        <w:spacing w:after="140" w:before="280"/>
      </w:pPr>
      <w:r>
        <w:t xml:space="preserve">§12  Key Market Considerations</w:t>
      </w:r>
    </w:p>
    <w:p>
      <w:pPr>
        <w:pStyle w:val="Heading2"/>
        <w:spacing w:after="100" w:before="200"/>
      </w:pPr>
      <w:r>
        <w:t xml:space="preserve">Supply-side and sector composition</w:t>
      </w:r>
    </w:p>
    <w:p>
      <w:pPr>
        <w:spacing w:after="120"/>
      </w:pPr>
      <w:r>
        <w:t xml:space="preserve">The FTSE 100's problem on 9 July was compositional, not macroeconomic. AstraZeneca, among the index's largest constituents by weight, fell approximately 9% after Wainua — its gene-silencing therapy developed with Ionis Pharmaceuticals — failed to meet its primary endpoint of reducing cardiovascular complications in a rare and potentially fatal cardiac disease. A single-stock move of that magnitude in a constituent of that weight is worth a material fraction of a percent on the index outright, and it fell on a day when the healthcare sector lagged across the continent. Energy compounded it: Shell fell roughly 0.8% and BP roughly 1.3% as crude reversed earlier gains despite the geopolitical backdrop, punishing the FTSE's heavy energy weighting on a day when that weighting should have been a hedge.</w:t>
      </w:r>
    </w:p>
    <w:p>
      <w:pPr>
        <w:pStyle w:val="Heading2"/>
        <w:spacing w:after="100" w:before="200"/>
      </w:pPr>
      <w:r>
        <w:t xml:space="preserve">Demand and flow</w:t>
      </w:r>
    </w:p>
    <w:p>
      <w:pPr>
        <w:spacing w:after="120"/>
      </w:pPr>
      <w:r>
        <w:t xml:space="preserve">Mid-caps rebounded roughly 0.5% while large-caps fell, and mining names showed a split personality — Endeavour and Antofagasta dragged on one session and Antofagasta and Anglo American gained 3.6% and 3.0% on the next. Basic resources led the pan-European advance at +3.2%. The flow picture is of rotation into cyclicals and semiconductors and out of defensives and pharmaceuticals, which is precisely the wrong rotation for the FTSE's composition.</w:t>
      </w:r>
    </w:p>
    <w:p>
      <w:pPr>
        <w:pStyle w:val="Heading2"/>
        <w:spacing w:after="100" w:before="200"/>
      </w:pPr>
      <w:r>
        <w:t xml:space="preserve">Policy</w:t>
      </w:r>
    </w:p>
    <w:p>
      <w:pPr>
        <w:spacing w:after="120"/>
      </w:pPr>
      <w:r>
        <w:t xml:space="preserve">The Bank of England and the European Central Bank both face a reconstituted inflation problem. Renewed Middle East escalation and the associated fuel-price surge have pushed sovereign yields higher on expectations that the ECB delivers further hikes this year. For the FTSE this is a two-sided consideration: higher rates compress equity multiples generally, but the index's substantial banking weight benefits from a steeper curve. UK data was quietly constructive — the RICS survey showed house-price declines continuing in June but at an easing pace, suggesting stabilisation.</w:t>
      </w:r>
    </w:p>
    <w:p>
      <w:pPr>
        <w:pStyle w:val="Heading2"/>
        <w:spacing w:after="100" w:before="200"/>
      </w:pPr>
      <w:r>
        <w:t xml:space="preserve">Macro and catalysts</w:t>
      </w:r>
    </w:p>
    <w:p>
      <w:pPr>
        <w:spacing w:after="120"/>
      </w:pPr>
      <w:r>
        <w:t xml:space="preserve">The dominant catalyst is the collapse of the US-Iran ceasefire and confirmed US strikes on Iran for a second consecutive day, with Iran threatening large-scale retaliation against regional US bases. Shipping continues through the Strait of Hormuz but at below-normal volumes. Oil's behaviour is the tell: crude surged nearly 7% across two sessions and then fell back on 9 July, and it was that reversal — not the escalation — that hurt the FTSE's energy majors. A market that sells the energy complex on a day of active military escalation is a market that has stopped pricing the geopolitical premium and started pricing demand destruction.</w:t>
      </w:r>
    </w:p>
    <w:p>
      <w:pPr>
        <w:pStyle w:val="Heading1"/>
        <w:spacing w:after="140" w:before="280"/>
      </w:pPr>
      <w:r>
        <w:t xml:space="preserve">§13  Sentiment, News &amp; Calendar</w:t>
      </w:r>
    </w:p>
    <w:p>
      <w:pPr>
        <w:pStyle w:val="Heading2"/>
        <w:spacing w:after="100" w:before="200"/>
      </w:pPr>
      <w:r>
        <w:t xml:space="preserve">§13a  Per-article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200"/>
        <w:gridCol w:w="900"/>
        <w:gridCol w:w="3360"/>
      </w:tblGrid>
      <w:tr>
        <w:tc>
          <w:tcPr>
            <w:tcW w:type="dxa" w:w="1400"/>
            <w:shd w:fill="D9E2F3" w:color="auto" w:val="clear"/>
          </w:tcPr>
          <w:p>
            <w:pPr>
              <w:spacing w:after="40" w:before="40"/>
            </w:pPr>
            <w:r>
              <w:rPr>
                <w:b/>
                <w:bCs/>
                <w:sz w:val="18"/>
                <w:szCs w:val="18"/>
              </w:rPr>
              <w:t xml:space="preserve">Source</w:t>
            </w:r>
          </w:p>
        </w:tc>
        <w:tc>
          <w:tcPr>
            <w:tcW w:type="dxa" w:w="2500"/>
            <w:shd w:fill="D9E2F3" w:color="auto" w:val="clear"/>
          </w:tcPr>
          <w:p>
            <w:pPr>
              <w:spacing w:after="40" w:before="40"/>
            </w:pPr>
            <w:r>
              <w:rPr>
                <w:b/>
                <w:bCs/>
                <w:sz w:val="18"/>
                <w:szCs w:val="18"/>
              </w:rPr>
              <w:t xml:space="preserve">Headline substance</w:t>
            </w:r>
          </w:p>
        </w:tc>
        <w:tc>
          <w:tcPr>
            <w:tcW w:type="dxa" w:w="1200"/>
            <w:shd w:fill="D9E2F3" w:color="auto" w:val="clear"/>
          </w:tcPr>
          <w:p>
            <w:pPr>
              <w:spacing w:after="40" w:before="40"/>
            </w:pPr>
            <w:r>
              <w:rPr>
                <w:b/>
                <w:bCs/>
                <w:sz w:val="18"/>
                <w:szCs w:val="18"/>
              </w:rPr>
              <w:t xml:space="preserve">Direction</w:t>
            </w:r>
          </w:p>
        </w:tc>
        <w:tc>
          <w:tcPr>
            <w:tcW w:type="dxa" w:w="900"/>
            <w:shd w:fill="D9E2F3" w:color="auto" w:val="clear"/>
          </w:tcPr>
          <w:p>
            <w:pPr>
              <w:spacing w:after="40" w:before="40"/>
            </w:pPr>
            <w:r>
              <w:rPr>
                <w:b/>
                <w:bCs/>
                <w:sz w:val="18"/>
                <w:szCs w:val="18"/>
              </w:rPr>
              <w:t xml:space="preserve">Weight</w:t>
            </w:r>
          </w:p>
        </w:tc>
        <w:tc>
          <w:tcPr>
            <w:tcW w:type="dxa" w:w="3360"/>
            <w:shd w:fill="D9E2F3" w:color="auto" w:val="clear"/>
          </w:tcPr>
          <w:p>
            <w:pPr>
              <w:spacing w:after="40" w:before="40"/>
            </w:pPr>
            <w:r>
              <w:rPr>
                <w:b/>
                <w:bCs/>
                <w:sz w:val="18"/>
                <w:szCs w:val="18"/>
              </w:rPr>
              <w:t xml:space="preserve">Note</w:t>
            </w:r>
          </w:p>
        </w:tc>
      </w:tr>
      <w:tr>
        <w:tc>
          <w:tcPr>
            <w:tcW w:type="dxa" w:w="1400"/>
          </w:tcPr>
          <w:p>
            <w:pPr>
              <w:spacing w:after="40" w:before="40"/>
            </w:pPr>
            <w:r>
              <w:rPr>
                <w:b w:val="false"/>
                <w:bCs w:val="false"/>
                <w:sz w:val="18"/>
                <w:szCs w:val="18"/>
              </w:rPr>
              <w:t xml:space="preserve">Reuters / Trading Economics</w:t>
            </w:r>
          </w:p>
        </w:tc>
        <w:tc>
          <w:tcPr>
            <w:tcW w:type="dxa" w:w="2500"/>
          </w:tcPr>
          <w:p>
            <w:pPr>
              <w:spacing w:after="40" w:before="40"/>
            </w:pPr>
            <w:r>
              <w:rPr>
                <w:b w:val="false"/>
                <w:bCs w:val="false"/>
                <w:sz w:val="18"/>
                <w:szCs w:val="18"/>
              </w:rPr>
              <w:t xml:space="preserve">AstraZeneca Wainua trial fails primary endpoint; stock −9%</w:t>
            </w:r>
          </w:p>
        </w:tc>
        <w:tc>
          <w:tcPr>
            <w:tcW w:type="dxa" w:w="1200"/>
          </w:tcPr>
          <w:p>
            <w:pPr>
              <w:spacing w:after="40" w:before="40"/>
            </w:pPr>
            <w:r>
              <w:rPr>
                <w:b w:val="false"/>
                <w:bCs w:val="false"/>
                <w:sz w:val="18"/>
                <w:szCs w:val="18"/>
              </w:rPr>
              <w:t xml:space="preserve">Bearish</w:t>
            </w:r>
          </w:p>
        </w:tc>
        <w:tc>
          <w:tcPr>
            <w:tcW w:type="dxa" w:w="900"/>
          </w:tcPr>
          <w:p>
            <w:pPr>
              <w:spacing w:after="40" w:before="40"/>
            </w:pPr>
            <w:r>
              <w:rPr>
                <w:b w:val="false"/>
                <w:bCs w:val="false"/>
                <w:sz w:val="18"/>
                <w:szCs w:val="18"/>
              </w:rPr>
              <w:t xml:space="preserve">High</w:t>
            </w:r>
          </w:p>
        </w:tc>
        <w:tc>
          <w:tcPr>
            <w:tcW w:type="dxa" w:w="3360"/>
          </w:tcPr>
          <w:p>
            <w:pPr>
              <w:spacing w:after="40" w:before="40"/>
            </w:pPr>
            <w:r>
              <w:rPr>
                <w:b w:val="false"/>
                <w:bCs w:val="false"/>
                <w:sz w:val="18"/>
                <w:szCs w:val="18"/>
              </w:rPr>
              <w:t xml:space="preserve">Largest single contributor. Index-weight-adjusted, this is the dominant driver of the session.</w:t>
            </w:r>
          </w:p>
        </w:tc>
      </w:tr>
      <w:tr>
        <w:tc>
          <w:tcPr>
            <w:tcW w:type="dxa" w:w="1400"/>
          </w:tcPr>
          <w:p>
            <w:pPr>
              <w:spacing w:after="40" w:before="40"/>
            </w:pPr>
            <w:r>
              <w:rPr>
                <w:b w:val="false"/>
                <w:bCs w:val="false"/>
                <w:sz w:val="18"/>
                <w:szCs w:val="18"/>
              </w:rPr>
              <w:t xml:space="preserve">CNBC</w:t>
            </w:r>
          </w:p>
        </w:tc>
        <w:tc>
          <w:tcPr>
            <w:tcW w:type="dxa" w:w="2500"/>
          </w:tcPr>
          <w:p>
            <w:pPr>
              <w:spacing w:after="40" w:before="40"/>
            </w:pPr>
            <w:r>
              <w:rPr>
                <w:b w:val="false"/>
                <w:bCs w:val="false"/>
                <w:sz w:val="18"/>
                <w:szCs w:val="18"/>
              </w:rPr>
              <w:t xml:space="preserve">US strikes Iran second consecutive day; ceasefire declared over</w:t>
            </w:r>
          </w:p>
        </w:tc>
        <w:tc>
          <w:tcPr>
            <w:tcW w:type="dxa" w:w="1200"/>
          </w:tcPr>
          <w:p>
            <w:pPr>
              <w:spacing w:after="40" w:before="40"/>
            </w:pPr>
            <w:r>
              <w:rPr>
                <w:b w:val="false"/>
                <w:bCs w:val="false"/>
                <w:sz w:val="18"/>
                <w:szCs w:val="18"/>
              </w:rPr>
              <w:t xml:space="preserve">Bearish</w:t>
            </w:r>
          </w:p>
        </w:tc>
        <w:tc>
          <w:tcPr>
            <w:tcW w:type="dxa" w:w="900"/>
          </w:tcPr>
          <w:p>
            <w:pPr>
              <w:spacing w:after="40" w:before="40"/>
            </w:pPr>
            <w:r>
              <w:rPr>
                <w:b w:val="false"/>
                <w:bCs w:val="false"/>
                <w:sz w:val="18"/>
                <w:szCs w:val="18"/>
              </w:rPr>
              <w:t xml:space="preserve">High</w:t>
            </w:r>
          </w:p>
        </w:tc>
        <w:tc>
          <w:tcPr>
            <w:tcW w:type="dxa" w:w="3360"/>
          </w:tcPr>
          <w:p>
            <w:pPr>
              <w:spacing w:after="40" w:before="40"/>
            </w:pPr>
            <w:r>
              <w:rPr>
                <w:b w:val="false"/>
                <w:bCs w:val="false"/>
                <w:sz w:val="18"/>
                <w:szCs w:val="18"/>
              </w:rPr>
              <w:t xml:space="preserve">Raises inflation risk and volatility. Mildly ambiguous for the FTSE given its energy weighting.</w:t>
            </w:r>
          </w:p>
        </w:tc>
      </w:tr>
      <w:tr>
        <w:tc>
          <w:tcPr>
            <w:tcW w:type="dxa" w:w="1400"/>
          </w:tcPr>
          <w:p>
            <w:pPr>
              <w:spacing w:after="40" w:before="40"/>
            </w:pPr>
            <w:r>
              <w:rPr>
                <w:b w:val="false"/>
                <w:bCs w:val="false"/>
                <w:sz w:val="18"/>
                <w:szCs w:val="18"/>
              </w:rPr>
              <w:t xml:space="preserve">Trading Economics</w:t>
            </w:r>
          </w:p>
        </w:tc>
        <w:tc>
          <w:tcPr>
            <w:tcW w:type="dxa" w:w="2500"/>
          </w:tcPr>
          <w:p>
            <w:pPr>
              <w:spacing w:after="40" w:before="40"/>
            </w:pPr>
            <w:r>
              <w:rPr>
                <w:b w:val="false"/>
                <w:bCs w:val="false"/>
                <w:sz w:val="18"/>
                <w:szCs w:val="18"/>
              </w:rPr>
              <w:t xml:space="preserve">Shell −0.8%, BP −1.3% as oil reverses earlier gains</w:t>
            </w:r>
          </w:p>
        </w:tc>
        <w:tc>
          <w:tcPr>
            <w:tcW w:type="dxa" w:w="1200"/>
          </w:tcPr>
          <w:p>
            <w:pPr>
              <w:spacing w:after="40" w:before="40"/>
            </w:pPr>
            <w:r>
              <w:rPr>
                <w:b w:val="false"/>
                <w:bCs w:val="false"/>
                <w:sz w:val="18"/>
                <w:szCs w:val="18"/>
              </w:rPr>
              <w:t xml:space="preserve">Bearish</w:t>
            </w:r>
          </w:p>
        </w:tc>
        <w:tc>
          <w:tcPr>
            <w:tcW w:type="dxa" w:w="900"/>
          </w:tcPr>
          <w:p>
            <w:pPr>
              <w:spacing w:after="40" w:before="40"/>
            </w:pPr>
            <w:r>
              <w:rPr>
                <w:b w:val="false"/>
                <w:bCs w:val="false"/>
                <w:sz w:val="18"/>
                <w:szCs w:val="18"/>
              </w:rPr>
              <w:t xml:space="preserve">Medium</w:t>
            </w:r>
          </w:p>
        </w:tc>
        <w:tc>
          <w:tcPr>
            <w:tcW w:type="dxa" w:w="3360"/>
          </w:tcPr>
          <w:p>
            <w:pPr>
              <w:spacing w:after="40" w:before="40"/>
            </w:pPr>
            <w:r>
              <w:rPr>
                <w:b w:val="false"/>
                <w:bCs w:val="false"/>
                <w:sz w:val="18"/>
                <w:szCs w:val="18"/>
              </w:rPr>
              <w:t xml:space="preserve">Removes the FTSE's usual geopolitical hedge.</w:t>
            </w:r>
          </w:p>
        </w:tc>
      </w:tr>
      <w:tr>
        <w:tc>
          <w:tcPr>
            <w:tcW w:type="dxa" w:w="1400"/>
          </w:tcPr>
          <w:p>
            <w:pPr>
              <w:spacing w:after="40" w:before="40"/>
            </w:pPr>
            <w:r>
              <w:rPr>
                <w:b w:val="false"/>
                <w:bCs w:val="false"/>
                <w:sz w:val="18"/>
                <w:szCs w:val="18"/>
              </w:rPr>
              <w:t xml:space="preserve">CNBC / Sharecast</w:t>
            </w:r>
          </w:p>
        </w:tc>
        <w:tc>
          <w:tcPr>
            <w:tcW w:type="dxa" w:w="2500"/>
          </w:tcPr>
          <w:p>
            <w:pPr>
              <w:spacing w:after="40" w:before="40"/>
            </w:pPr>
            <w:r>
              <w:rPr>
                <w:b w:val="false"/>
                <w:bCs w:val="false"/>
                <w:sz w:val="18"/>
                <w:szCs w:val="18"/>
              </w:rPr>
              <w:t xml:space="preserve">Stoxx 600 +0.8%; DAX +0.83%; CAC +0.9%; basic resources +3.2%</w:t>
            </w:r>
          </w:p>
        </w:tc>
        <w:tc>
          <w:tcPr>
            <w:tcW w:type="dxa" w:w="1200"/>
          </w:tcPr>
          <w:p>
            <w:pPr>
              <w:spacing w:after="40" w:before="40"/>
            </w:pPr>
            <w:r>
              <w:rPr>
                <w:b w:val="false"/>
                <w:bCs w:val="false"/>
                <w:sz w:val="18"/>
                <w:szCs w:val="18"/>
              </w:rPr>
              <w:t xml:space="preserve">Bullish (for peers)</w:t>
            </w:r>
          </w:p>
        </w:tc>
        <w:tc>
          <w:tcPr>
            <w:tcW w:type="dxa" w:w="900"/>
          </w:tcPr>
          <w:p>
            <w:pPr>
              <w:spacing w:after="40" w:before="40"/>
            </w:pPr>
            <w:r>
              <w:rPr>
                <w:b w:val="false"/>
                <w:bCs w:val="false"/>
                <w:sz w:val="18"/>
                <w:szCs w:val="18"/>
              </w:rPr>
              <w:t xml:space="preserve">Medium</w:t>
            </w:r>
          </w:p>
        </w:tc>
        <w:tc>
          <w:tcPr>
            <w:tcW w:type="dxa" w:w="3360"/>
          </w:tcPr>
          <w:p>
            <w:pPr>
              <w:spacing w:after="40" w:before="40"/>
            </w:pPr>
            <w:r>
              <w:rPr>
                <w:b w:val="false"/>
                <w:bCs w:val="false"/>
                <w:sz w:val="18"/>
                <w:szCs w:val="18"/>
              </w:rPr>
              <w:t xml:space="preserve">Negative for the FTSE in relative terms. Confirms idiosyncratic weakness.</w:t>
            </w:r>
          </w:p>
        </w:tc>
      </w:tr>
      <w:tr>
        <w:tc>
          <w:tcPr>
            <w:tcW w:type="dxa" w:w="1400"/>
          </w:tcPr>
          <w:p>
            <w:pPr>
              <w:spacing w:after="40" w:before="40"/>
            </w:pPr>
            <w:r>
              <w:rPr>
                <w:b w:val="false"/>
                <w:bCs w:val="false"/>
                <w:sz w:val="18"/>
                <w:szCs w:val="18"/>
              </w:rPr>
              <w:t xml:space="preserve">Sharecast</w:t>
            </w:r>
          </w:p>
        </w:tc>
        <w:tc>
          <w:tcPr>
            <w:tcW w:type="dxa" w:w="2500"/>
          </w:tcPr>
          <w:p>
            <w:pPr>
              <w:spacing w:after="40" w:before="40"/>
            </w:pPr>
            <w:r>
              <w:rPr>
                <w:b w:val="false"/>
                <w:bCs w:val="false"/>
                <w:sz w:val="18"/>
                <w:szCs w:val="18"/>
              </w:rPr>
              <w:t xml:space="preserve">Germany's trade surplus widened to €19.1bn in May from €14.5bn</w:t>
            </w:r>
          </w:p>
        </w:tc>
        <w:tc>
          <w:tcPr>
            <w:tcW w:type="dxa" w:w="1200"/>
          </w:tcPr>
          <w:p>
            <w:pPr>
              <w:spacing w:after="40" w:before="40"/>
            </w:pPr>
            <w:r>
              <w:rPr>
                <w:b w:val="false"/>
                <w:bCs w:val="false"/>
                <w:sz w:val="18"/>
                <w:szCs w:val="18"/>
              </w:rPr>
              <w:t xml:space="preserve">Bullish</w:t>
            </w:r>
          </w:p>
        </w:tc>
        <w:tc>
          <w:tcPr>
            <w:tcW w:type="dxa" w:w="900"/>
          </w:tcPr>
          <w:p>
            <w:pPr>
              <w:spacing w:after="40" w:before="40"/>
            </w:pPr>
            <w:r>
              <w:rPr>
                <w:b w:val="false"/>
                <w:bCs w:val="false"/>
                <w:sz w:val="18"/>
                <w:szCs w:val="18"/>
              </w:rPr>
              <w:t xml:space="preserve">Low</w:t>
            </w:r>
          </w:p>
        </w:tc>
        <w:tc>
          <w:tcPr>
            <w:tcW w:type="dxa" w:w="3360"/>
          </w:tcPr>
          <w:p>
            <w:pPr>
              <w:spacing w:after="40" w:before="40"/>
            </w:pPr>
            <w:r>
              <w:rPr>
                <w:b w:val="false"/>
                <w:bCs w:val="false"/>
                <w:sz w:val="18"/>
                <w:szCs w:val="18"/>
              </w:rPr>
              <w:t xml:space="preserve">Eurozone-positive. Limited direct FTSE transmission.</w:t>
            </w:r>
          </w:p>
        </w:tc>
      </w:tr>
      <w:tr>
        <w:tc>
          <w:tcPr>
            <w:tcW w:type="dxa" w:w="1400"/>
          </w:tcPr>
          <w:p>
            <w:pPr>
              <w:spacing w:after="40" w:before="40"/>
            </w:pPr>
            <w:r>
              <w:rPr>
                <w:b w:val="false"/>
                <w:bCs w:val="false"/>
                <w:sz w:val="18"/>
                <w:szCs w:val="18"/>
              </w:rPr>
              <w:t xml:space="preserve">Trading Economics / RICS</w:t>
            </w:r>
          </w:p>
        </w:tc>
        <w:tc>
          <w:tcPr>
            <w:tcW w:type="dxa" w:w="2500"/>
          </w:tcPr>
          <w:p>
            <w:pPr>
              <w:spacing w:after="40" w:before="40"/>
            </w:pPr>
            <w:r>
              <w:rPr>
                <w:b w:val="false"/>
                <w:bCs w:val="false"/>
                <w:sz w:val="18"/>
                <w:szCs w:val="18"/>
              </w:rPr>
              <w:t xml:space="preserve">UK house prices fell in June but pace of decline eased</w:t>
            </w:r>
          </w:p>
        </w:tc>
        <w:tc>
          <w:tcPr>
            <w:tcW w:type="dxa" w:w="1200"/>
          </w:tcPr>
          <w:p>
            <w:pPr>
              <w:spacing w:after="40" w:before="40"/>
            </w:pPr>
            <w:r>
              <w:rPr>
                <w:b w:val="false"/>
                <w:bCs w:val="false"/>
                <w:sz w:val="18"/>
                <w:szCs w:val="18"/>
              </w:rPr>
              <w:t xml:space="preserve">Bullish</w:t>
            </w:r>
          </w:p>
        </w:tc>
        <w:tc>
          <w:tcPr>
            <w:tcW w:type="dxa" w:w="900"/>
          </w:tcPr>
          <w:p>
            <w:pPr>
              <w:spacing w:after="40" w:before="40"/>
            </w:pPr>
            <w:r>
              <w:rPr>
                <w:b w:val="false"/>
                <w:bCs w:val="false"/>
                <w:sz w:val="18"/>
                <w:szCs w:val="18"/>
              </w:rPr>
              <w:t xml:space="preserve">Low</w:t>
            </w:r>
          </w:p>
        </w:tc>
        <w:tc>
          <w:tcPr>
            <w:tcW w:type="dxa" w:w="3360"/>
          </w:tcPr>
          <w:p>
            <w:pPr>
              <w:spacing w:after="40" w:before="40"/>
            </w:pPr>
            <w:r>
              <w:rPr>
                <w:b w:val="false"/>
                <w:bCs w:val="false"/>
                <w:sz w:val="18"/>
                <w:szCs w:val="18"/>
              </w:rPr>
              <w:t xml:space="preserve">Marginal domestic positive; supports housebuilders and banks.</w:t>
            </w:r>
          </w:p>
        </w:tc>
      </w:tr>
    </w:tbl>
    <w:p>
      <w:pPr>
        <w:pStyle w:val="Heading2"/>
        <w:spacing w:after="100" w:before="200"/>
      </w:pPr>
      <w:r>
        <w:t xml:space="preserve">§13b  Aggregate sentiment</w:t>
      </w:r>
    </w:p>
    <w:p>
      <w:pPr>
        <w:spacing w:after="120"/>
      </w:pPr>
      <w:r>
        <w:t xml:space="preserve">Categorical: NEGATIVE. Numeric tilt: −0.35 on a −1 to +1 scale. The derivation weights the two High-weight bearish items most heavily, offsets partially against the peer-rally item — which is bullish for the region but structurally bearish for the FTSE in relative terms and is scored accordingly — and gives limited credit to the two Low-weight domestic positives. The tilt is moderately rather than severely negative because the negative items are concentrated in single-stock and single-sector effects rather than in a broad deterioration.</w:t>
      </w:r>
    </w:p>
    <w:p>
      <w:pPr>
        <w:pStyle w:val="Heading2"/>
        <w:spacing w:after="100" w:before="200"/>
      </w:pPr>
      <w:r>
        <w:t xml:space="preserve">§13c  News calendar —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shd w:fill="D9E2F3" w:color="auto" w:val="clear"/>
          </w:tcPr>
          <w:p>
            <w:pPr>
              <w:spacing w:after="40" w:before="40"/>
            </w:pPr>
            <w:r>
              <w:rPr>
                <w:b/>
                <w:bCs/>
                <w:sz w:val="18"/>
                <w:szCs w:val="18"/>
              </w:rPr>
              <w:t xml:space="preserve">Date</w:t>
            </w:r>
          </w:p>
        </w:tc>
        <w:tc>
          <w:tcPr>
            <w:tcW w:type="dxa" w:w="3800"/>
            <w:shd w:fill="D9E2F3" w:color="auto" w:val="clear"/>
          </w:tcPr>
          <w:p>
            <w:pPr>
              <w:spacing w:after="40" w:before="40"/>
            </w:pPr>
            <w:r>
              <w:rPr>
                <w:b/>
                <w:bCs/>
                <w:sz w:val="18"/>
                <w:szCs w:val="18"/>
              </w:rPr>
              <w:t xml:space="preserve">Event</w:t>
            </w:r>
          </w:p>
        </w:tc>
        <w:tc>
          <w:tcPr>
            <w:tcW w:type="dxa" w:w="4360"/>
            <w:shd w:fill="D9E2F3" w:color="auto" w:val="clear"/>
          </w:tcPr>
          <w:p>
            <w:pPr>
              <w:spacing w:after="40" w:before="40"/>
            </w:pPr>
            <w:r>
              <w:rPr>
                <w:b/>
                <w:bCs/>
                <w:sz w:val="18"/>
                <w:szCs w:val="18"/>
              </w:rPr>
              <w:t xml:space="preserve">Outcome</w:t>
            </w:r>
          </w:p>
        </w:tc>
      </w:tr>
      <w:tr>
        <w:tc>
          <w:tcPr>
            <w:tcW w:type="dxa" w:w="1200"/>
          </w:tcPr>
          <w:p>
            <w:pPr>
              <w:spacing w:after="40" w:before="40"/>
            </w:pPr>
            <w:r>
              <w:rPr>
                <w:b w:val="false"/>
                <w:bCs w:val="false"/>
                <w:sz w:val="18"/>
                <w:szCs w:val="18"/>
              </w:rPr>
              <w:t xml:space="preserve">08 Jul</w:t>
            </w:r>
          </w:p>
        </w:tc>
        <w:tc>
          <w:tcPr>
            <w:tcW w:type="dxa" w:w="3800"/>
          </w:tcPr>
          <w:p>
            <w:pPr>
              <w:spacing w:after="40" w:before="40"/>
            </w:pPr>
            <w:r>
              <w:rPr>
                <w:b w:val="false"/>
                <w:bCs w:val="false"/>
                <w:sz w:val="18"/>
                <w:szCs w:val="18"/>
              </w:rPr>
              <w:t xml:space="preserve">US–Iran ceasefire declared over; US strikes commence</w:t>
            </w:r>
          </w:p>
        </w:tc>
        <w:tc>
          <w:tcPr>
            <w:tcW w:type="dxa" w:w="4360"/>
          </w:tcPr>
          <w:p>
            <w:pPr>
              <w:spacing w:after="40" w:before="40"/>
            </w:pPr>
            <w:r>
              <w:rPr>
                <w:b w:val="false"/>
                <w:bCs w:val="false"/>
                <w:sz w:val="18"/>
                <w:szCs w:val="18"/>
              </w:rPr>
              <w:t xml:space="preserve">Resolved — bearish. FTSE −1.66%.</w:t>
            </w:r>
          </w:p>
        </w:tc>
      </w:tr>
      <w:tr>
        <w:tc>
          <w:tcPr>
            <w:tcW w:type="dxa" w:w="1200"/>
          </w:tcPr>
          <w:p>
            <w:pPr>
              <w:spacing w:after="40" w:before="40"/>
            </w:pPr>
            <w:r>
              <w:rPr>
                <w:b w:val="false"/>
                <w:bCs w:val="false"/>
                <w:sz w:val="18"/>
                <w:szCs w:val="18"/>
              </w:rPr>
              <w:t xml:space="preserve">09 Jul</w:t>
            </w:r>
          </w:p>
        </w:tc>
        <w:tc>
          <w:tcPr>
            <w:tcW w:type="dxa" w:w="3800"/>
          </w:tcPr>
          <w:p>
            <w:pPr>
              <w:spacing w:after="40" w:before="40"/>
            </w:pPr>
            <w:r>
              <w:rPr>
                <w:b w:val="false"/>
                <w:bCs w:val="false"/>
                <w:sz w:val="18"/>
                <w:szCs w:val="18"/>
              </w:rPr>
              <w:t xml:space="preserve">AstraZeneca Wainua Phase III readout</w:t>
            </w:r>
          </w:p>
        </w:tc>
        <w:tc>
          <w:tcPr>
            <w:tcW w:type="dxa" w:w="4360"/>
          </w:tcPr>
          <w:p>
            <w:pPr>
              <w:spacing w:after="40" w:before="40"/>
            </w:pPr>
            <w:r>
              <w:rPr>
                <w:b w:val="false"/>
                <w:bCs w:val="false"/>
                <w:sz w:val="18"/>
                <w:szCs w:val="18"/>
              </w:rPr>
              <w:t xml:space="preserve">Resolved — bearish. Stock −9%.</w:t>
            </w:r>
          </w:p>
        </w:tc>
      </w:tr>
      <w:tr>
        <w:tc>
          <w:tcPr>
            <w:tcW w:type="dxa" w:w="1200"/>
          </w:tcPr>
          <w:p>
            <w:pPr>
              <w:spacing w:after="40" w:before="40"/>
            </w:pPr>
            <w:r>
              <w:rPr>
                <w:b w:val="false"/>
                <w:bCs w:val="false"/>
                <w:sz w:val="18"/>
                <w:szCs w:val="18"/>
              </w:rPr>
              <w:t xml:space="preserve">09 Jul</w:t>
            </w:r>
          </w:p>
        </w:tc>
        <w:tc>
          <w:tcPr>
            <w:tcW w:type="dxa" w:w="3800"/>
          </w:tcPr>
          <w:p>
            <w:pPr>
              <w:spacing w:after="40" w:before="40"/>
            </w:pPr>
            <w:r>
              <w:rPr>
                <w:b w:val="false"/>
                <w:bCs w:val="false"/>
                <w:sz w:val="18"/>
                <w:szCs w:val="18"/>
              </w:rPr>
              <w:t xml:space="preserve">German trade balance (May)</w:t>
            </w:r>
          </w:p>
        </w:tc>
        <w:tc>
          <w:tcPr>
            <w:tcW w:type="dxa" w:w="4360"/>
          </w:tcPr>
          <w:p>
            <w:pPr>
              <w:spacing w:after="40" w:before="40"/>
            </w:pPr>
            <w:r>
              <w:rPr>
                <w:b w:val="false"/>
                <w:bCs w:val="false"/>
                <w:sz w:val="18"/>
                <w:szCs w:val="18"/>
              </w:rPr>
              <w:t xml:space="preserve">Resolved — surplus widened to €19.1bn.</w:t>
            </w:r>
          </w:p>
        </w:tc>
      </w:tr>
      <w:tr>
        <w:tc>
          <w:tcPr>
            <w:tcW w:type="dxa" w:w="1200"/>
          </w:tcPr>
          <w:p>
            <w:pPr>
              <w:spacing w:after="40" w:before="40"/>
            </w:pPr>
            <w:r>
              <w:rPr>
                <w:b w:val="false"/>
                <w:bCs w:val="false"/>
                <w:sz w:val="18"/>
                <w:szCs w:val="18"/>
              </w:rPr>
              <w:t xml:space="preserve">09 Jul</w:t>
            </w:r>
          </w:p>
        </w:tc>
        <w:tc>
          <w:tcPr>
            <w:tcW w:type="dxa" w:w="3800"/>
          </w:tcPr>
          <w:p>
            <w:pPr>
              <w:spacing w:after="40" w:before="40"/>
            </w:pPr>
            <w:r>
              <w:rPr>
                <w:b w:val="false"/>
                <w:bCs w:val="false"/>
                <w:sz w:val="18"/>
                <w:szCs w:val="18"/>
              </w:rPr>
              <w:t xml:space="preserve">RICS UK house price survey (June)</w:t>
            </w:r>
          </w:p>
        </w:tc>
        <w:tc>
          <w:tcPr>
            <w:tcW w:type="dxa" w:w="4360"/>
          </w:tcPr>
          <w:p>
            <w:pPr>
              <w:spacing w:after="40" w:before="40"/>
            </w:pPr>
            <w:r>
              <w:rPr>
                <w:b w:val="false"/>
                <w:bCs w:val="false"/>
                <w:sz w:val="18"/>
                <w:szCs w:val="18"/>
              </w:rPr>
              <w:t xml:space="preserve">Resolved — declines eased.</w:t>
            </w:r>
          </w:p>
        </w:tc>
      </w:tr>
    </w:tbl>
    <w:p>
      <w:pPr>
        <w:pStyle w:val="Heading2"/>
        <w:spacing w:after="100" w:before="200"/>
      </w:pPr>
      <w:r>
        <w:t xml:space="preserve">§13d  News calendar — forward,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c>
          <w:tcPr>
            <w:tcW w:type="dxa" w:w="1700"/>
            <w:shd w:fill="D9E2F3" w:color="auto" w:val="clear"/>
          </w:tcPr>
          <w:p>
            <w:pPr>
              <w:spacing w:after="40" w:before="40"/>
            </w:pPr>
            <w:r>
              <w:rPr>
                <w:b/>
                <w:bCs/>
                <w:sz w:val="18"/>
                <w:szCs w:val="18"/>
              </w:rPr>
              <w:t xml:space="preserve">Window</w:t>
            </w:r>
          </w:p>
        </w:tc>
        <w:tc>
          <w:tcPr>
            <w:tcW w:type="dxa" w:w="3200"/>
            <w:shd w:fill="D9E2F3" w:color="auto" w:val="clear"/>
          </w:tcPr>
          <w:p>
            <w:pPr>
              <w:spacing w:after="40" w:before="40"/>
            </w:pPr>
            <w:r>
              <w:rPr>
                <w:b/>
                <w:bCs/>
                <w:sz w:val="18"/>
                <w:szCs w:val="18"/>
              </w:rPr>
              <w:t xml:space="preserve">Event</w:t>
            </w:r>
          </w:p>
        </w:tc>
        <w:tc>
          <w:tcPr>
            <w:tcW w:type="dxa" w:w="4460"/>
            <w:shd w:fill="D9E2F3" w:color="auto" w:val="clear"/>
          </w:tcPr>
          <w:p>
            <w:pPr>
              <w:spacing w:after="40" w:before="40"/>
            </w:pPr>
            <w:r>
              <w:rPr>
                <w:b/>
                <w:bCs/>
                <w:sz w:val="18"/>
                <w:szCs w:val="18"/>
              </w:rPr>
              <w:t xml:space="preserve">FTSE relevance</w:t>
            </w:r>
          </w:p>
        </w:tc>
      </w:tr>
      <w:tr>
        <w:tc>
          <w:tcPr>
            <w:tcW w:type="dxa" w:w="1700"/>
          </w:tcPr>
          <w:p>
            <w:pPr>
              <w:spacing w:after="40" w:before="40"/>
            </w:pPr>
            <w:r>
              <w:rPr>
                <w:b w:val="false"/>
                <w:bCs w:val="false"/>
                <w:sz w:val="18"/>
                <w:szCs w:val="18"/>
              </w:rPr>
              <w:t xml:space="preserve">Ongoing / any session</w:t>
            </w:r>
          </w:p>
        </w:tc>
        <w:tc>
          <w:tcPr>
            <w:tcW w:type="dxa" w:w="3200"/>
          </w:tcPr>
          <w:p>
            <w:pPr>
              <w:spacing w:after="40" w:before="40"/>
            </w:pPr>
            <w:r>
              <w:rPr>
                <w:b w:val="false"/>
                <w:bCs w:val="false"/>
                <w:sz w:val="18"/>
                <w:szCs w:val="18"/>
              </w:rPr>
              <w:t xml:space="preserve">Iranian retaliation against US regional bases; Strait of Hormuz transit volumes</w:t>
            </w:r>
          </w:p>
        </w:tc>
        <w:tc>
          <w:tcPr>
            <w:tcW w:type="dxa" w:w="4460"/>
          </w:tcPr>
          <w:p>
            <w:pPr>
              <w:spacing w:after="40" w:before="40"/>
            </w:pPr>
            <w:r>
              <w:rPr>
                <w:b w:val="false"/>
                <w:bCs w:val="false"/>
                <w:sz w:val="18"/>
                <w:szCs w:val="18"/>
              </w:rPr>
              <w:t xml:space="preserve">HIGH — a genuine closure event repriscs the entire energy complex and the index's energy weighting with it. This is a collision risk for any short position.</w:t>
            </w:r>
          </w:p>
        </w:tc>
      </w:tr>
      <w:tr>
        <w:tc>
          <w:tcPr>
            <w:tcW w:type="dxa" w:w="1700"/>
          </w:tcPr>
          <w:p>
            <w:pPr>
              <w:spacing w:after="40" w:before="40"/>
            </w:pPr>
            <w:r>
              <w:rPr>
                <w:b w:val="false"/>
                <w:bCs w:val="false"/>
                <w:sz w:val="18"/>
                <w:szCs w:val="18"/>
              </w:rPr>
              <w:t xml:space="preserve">Ongoing</w:t>
            </w:r>
          </w:p>
        </w:tc>
        <w:tc>
          <w:tcPr>
            <w:tcW w:type="dxa" w:w="3200"/>
          </w:tcPr>
          <w:p>
            <w:pPr>
              <w:spacing w:after="40" w:before="40"/>
            </w:pPr>
            <w:r>
              <w:rPr>
                <w:b w:val="false"/>
                <w:bCs w:val="false"/>
                <w:sz w:val="18"/>
                <w:szCs w:val="18"/>
              </w:rPr>
              <w:t xml:space="preserve">Crude oil price path</w:t>
            </w:r>
          </w:p>
        </w:tc>
        <w:tc>
          <w:tcPr>
            <w:tcW w:type="dxa" w:w="4460"/>
          </w:tcPr>
          <w:p>
            <w:pPr>
              <w:spacing w:after="40" w:before="40"/>
            </w:pPr>
            <w:r>
              <w:rPr>
                <w:b w:val="false"/>
                <w:bCs w:val="false"/>
                <w:sz w:val="18"/>
                <w:szCs w:val="18"/>
              </w:rPr>
              <w:t xml:space="preserve">HIGH — the FTSE's response to oil has inverted in the last two sessions. Watch whether energy majors resume tracking crude.</w:t>
            </w:r>
          </w:p>
        </w:tc>
      </w:tr>
      <w:tr>
        <w:tc>
          <w:tcPr>
            <w:tcW w:type="dxa" w:w="1700"/>
          </w:tcPr>
          <w:p>
            <w:pPr>
              <w:spacing w:after="40" w:before="40"/>
            </w:pPr>
            <w:r>
              <w:rPr>
                <w:b w:val="false"/>
                <w:bCs w:val="false"/>
                <w:sz w:val="18"/>
                <w:szCs w:val="18"/>
              </w:rPr>
              <w:t xml:space="preserve">Next 5 sessions</w:t>
            </w:r>
          </w:p>
        </w:tc>
        <w:tc>
          <w:tcPr>
            <w:tcW w:type="dxa" w:w="3200"/>
          </w:tcPr>
          <w:p>
            <w:pPr>
              <w:spacing w:after="40" w:before="40"/>
            </w:pPr>
            <w:r>
              <w:rPr>
                <w:b w:val="false"/>
                <w:bCs w:val="false"/>
                <w:sz w:val="18"/>
                <w:szCs w:val="18"/>
              </w:rPr>
              <w:t xml:space="preserve">Bank of England commentary / UK CPI print</w:t>
            </w:r>
          </w:p>
        </w:tc>
        <w:tc>
          <w:tcPr>
            <w:tcW w:type="dxa" w:w="4460"/>
          </w:tcPr>
          <w:p>
            <w:pPr>
              <w:spacing w:after="40" w:before="40"/>
            </w:pPr>
            <w:r>
              <w:rPr>
                <w:b w:val="false"/>
                <w:bCs w:val="false"/>
                <w:sz w:val="18"/>
                <w:szCs w:val="18"/>
              </w:rPr>
              <w:t xml:space="preserve">MEDIUM — a hot print raises the multiple-compression risk; a cool one supports domestic names.</w:t>
            </w:r>
          </w:p>
        </w:tc>
      </w:tr>
      <w:tr>
        <w:tc>
          <w:tcPr>
            <w:tcW w:type="dxa" w:w="1700"/>
          </w:tcPr>
          <w:p>
            <w:pPr>
              <w:spacing w:after="40" w:before="40"/>
            </w:pPr>
            <w:r>
              <w:rPr>
                <w:b w:val="false"/>
                <w:bCs w:val="false"/>
                <w:sz w:val="18"/>
                <w:szCs w:val="18"/>
              </w:rPr>
              <w:t xml:space="preserve">Next 5 sessions</w:t>
            </w:r>
          </w:p>
        </w:tc>
        <w:tc>
          <w:tcPr>
            <w:tcW w:type="dxa" w:w="3200"/>
          </w:tcPr>
          <w:p>
            <w:pPr>
              <w:spacing w:after="40" w:before="40"/>
            </w:pPr>
            <w:r>
              <w:rPr>
                <w:b w:val="false"/>
                <w:bCs w:val="false"/>
                <w:sz w:val="18"/>
                <w:szCs w:val="18"/>
              </w:rPr>
              <w:t xml:space="preserve">ECB commentary on further 2026 hikes</w:t>
            </w:r>
          </w:p>
        </w:tc>
        <w:tc>
          <w:tcPr>
            <w:tcW w:type="dxa" w:w="4460"/>
          </w:tcPr>
          <w:p>
            <w:pPr>
              <w:spacing w:after="40" w:before="40"/>
            </w:pPr>
            <w:r>
              <w:rPr>
                <w:b w:val="false"/>
                <w:bCs w:val="false"/>
                <w:sz w:val="18"/>
                <w:szCs w:val="18"/>
              </w:rPr>
              <w:t xml:space="preserve">MEDIUM — transmits primarily to the EURO STOXX 50 pair and to FTSE banks.</w:t>
            </w:r>
          </w:p>
        </w:tc>
      </w:tr>
      <w:tr>
        <w:tc>
          <w:tcPr>
            <w:tcW w:type="dxa" w:w="1700"/>
          </w:tcPr>
          <w:p>
            <w:pPr>
              <w:spacing w:after="40" w:before="40"/>
            </w:pPr>
            <w:r>
              <w:rPr>
                <w:b w:val="false"/>
                <w:bCs w:val="false"/>
                <w:sz w:val="18"/>
                <w:szCs w:val="18"/>
              </w:rPr>
              <w:t xml:space="preserve">Next 5 sessions</w:t>
            </w:r>
          </w:p>
        </w:tc>
        <w:tc>
          <w:tcPr>
            <w:tcW w:type="dxa" w:w="3200"/>
          </w:tcPr>
          <w:p>
            <w:pPr>
              <w:spacing w:after="40" w:before="40"/>
            </w:pPr>
            <w:r>
              <w:rPr>
                <w:b w:val="false"/>
                <w:bCs w:val="false"/>
                <w:sz w:val="18"/>
                <w:szCs w:val="18"/>
              </w:rPr>
              <w:t xml:space="preserve">AstraZeneca follow-through / analyst revisions</w:t>
            </w:r>
          </w:p>
        </w:tc>
        <w:tc>
          <w:tcPr>
            <w:tcW w:type="dxa" w:w="4460"/>
          </w:tcPr>
          <w:p>
            <w:pPr>
              <w:spacing w:after="40" w:before="40"/>
            </w:pPr>
            <w:r>
              <w:rPr>
                <w:b w:val="false"/>
                <w:bCs w:val="false"/>
                <w:sz w:val="18"/>
                <w:szCs w:val="18"/>
              </w:rPr>
              <w:t xml:space="preserve">MEDIUM — a second leg lower in a heavyweight constituent, or a stabilisation bid, materially moves the index.</w:t>
            </w:r>
          </w:p>
        </w:tc>
      </w:tr>
    </w:tbl>
    <w:p>
      <w:pPr>
        <w:spacing w:after="160"/>
      </w:pPr>
      <w:r>
        <w:rPr>
          <w:b/>
          <w:bCs/>
        </w:rPr>
        <w:t xml:space="preserve">NEWS COLLISION WARNING: </w:t>
      </w:r>
      <w:r>
        <w:rPr>
          <w:i/>
          <w:iCs/>
          <w:sz w:val="18"/>
          <w:szCs w:val="18"/>
        </w:rPr>
        <w:t xml:space="preserve">The Middle East situation is live, unresolved, and capable of producing a gap in either direction between the 9 July close and the 07:00 UK anchor on 10 July. The trade cards in §21 are constructed on the 9 July close and are explicitly exposed to overnight gap risk. A confirmed Hormuz disruption would be expected to lift the FTSE's energy majors and could invalidate a short thesis without price ever trading through the stated stop.</w:t>
      </w:r>
    </w:p>
    <w:p>
      <w:pPr>
        <w:pStyle w:val="Heading1"/>
        <w:spacing w:after="140" w:before="280"/>
      </w:pPr>
      <w:r>
        <w:t xml:space="preserve">§14  Macro Context</w:t>
      </w:r>
    </w:p>
    <w:p>
      <w:pPr>
        <w:spacing w:after="120"/>
      </w:pPr>
      <w:r>
        <w:t xml:space="preserve">Rates: sovereign yields rose across the eurozone as the fuel-price surge revived expectations that the ECB delivers additional hikes in 2026. Ten-year Bund and Gilt yields have moved with that repricing. For the FTSE this is directionally negative for the aggregate multiple and directionally positive for the banking complex, which is a substantial index weight — one of several reasons the index's sector composition produces genuinely ambiguous rate sensitivity rather than the clean inverse relationship a simpler index would show.</w:t>
      </w:r>
    </w:p>
    <w:p>
      <w:pPr>
        <w:spacing w:after="120"/>
      </w:pPr>
      <w:r>
        <w:t xml:space="preserve">Inflation: the entire macro impulse of the last 48 hours runs through the oil channel. Crude's near-7% two-session surge, followed by a reversal on 9 July, has left the inflation expectation embedded in rates markets elevated while the equity-side energy hedge has already been given back. That asymmetry — rates still pricing the shock, equities no longer pricing the hedge — is the least comfortable feature of the current setup.</w:t>
      </w:r>
    </w:p>
    <w:p>
      <w:pPr>
        <w:spacing w:after="120"/>
      </w:pPr>
      <w:r>
        <w:t xml:space="preserve">Liquidity and positioning: the pan-European rotation into semiconductors and basic resources and out of defensives, healthcare and consumer staples is well-established across at least two sessions. Investors are moving away from highly-valued momentum names toward stability in the US while doing the opposite in Europe. The FTSE sits on the wrong side of both trades.</w:t>
      </w:r>
    </w:p>
    <w:p>
      <w:pPr>
        <w:spacing w:after="120"/>
      </w:pPr>
      <w:r>
        <w:t xml:space="preserve">FX: the dollar has been firm. Sterling weakness against a firm dollar is mechanically supportive of the FTSE 100 given the roughly 80% overseas revenue share of its constituents. This support was present on 9 July and the index fell anyway, which is itself diagnostic — it means the sector-composition drag was large enough to overwhelm the translation tailwind.</w:t>
      </w:r>
    </w:p>
    <w:p>
      <w:pPr>
        <w:pStyle w:val="Heading1"/>
        <w:spacing w:after="140" w:before="28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pPr>
              <w:spacing w:after="40" w:before="40"/>
            </w:pPr>
            <w:r>
              <w:rPr>
                <w:b/>
                <w:bCs/>
                <w:sz w:val="18"/>
                <w:szCs w:val="18"/>
              </w:rPr>
              <w:t xml:space="preserve">Main upside risks (to a bearish view)</w:t>
            </w:r>
          </w:p>
        </w:tc>
        <w:tc>
          <w:tcPr>
            <w:tcW w:type="dxa" w:w="4680"/>
            <w:shd w:fill="D9E2F3" w:color="auto" w:val="clear"/>
          </w:tcPr>
          <w:p>
            <w:pPr>
              <w:spacing w:after="40" w:before="40"/>
            </w:pPr>
            <w:r>
              <w:rPr>
                <w:b/>
                <w:bCs/>
                <w:sz w:val="18"/>
                <w:szCs w:val="18"/>
              </w:rPr>
              <w:t xml:space="preserve">Main downside risks</w:t>
            </w:r>
          </w:p>
        </w:tc>
      </w:tr>
      <w:tr>
        <w:tc>
          <w:tcPr>
            <w:tcW w:type="dxa" w:w="4680"/>
          </w:tcPr>
          <w:p>
            <w:pPr>
              <w:spacing w:after="40" w:before="40"/>
            </w:pPr>
            <w:r>
              <w:rPr>
                <w:b w:val="false"/>
                <w:bCs w:val="false"/>
                <w:sz w:val="18"/>
                <w:szCs w:val="18"/>
              </w:rPr>
              <w:t xml:space="preserve">All four cross-asset counters contradict the bearish read (see §10). Every peer index rallied on 9 July. Idiosyncratic single-stock shocks historically mean-revert once forced flow clears.</w:t>
            </w:r>
          </w:p>
        </w:tc>
        <w:tc>
          <w:tcPr>
            <w:tcW w:type="dxa" w:w="4680"/>
          </w:tcPr>
          <w:p>
            <w:pPr>
              <w:spacing w:after="40" w:before="40"/>
            </w:pPr>
            <w:r>
              <w:rPr>
                <w:b w:val="false"/>
                <w:bCs w:val="false"/>
                <w:sz w:val="18"/>
                <w:szCs w:val="18"/>
              </w:rPr>
              <w:t xml:space="preserve">Three consecutive lower closes, a down-gap left unfilled, and an open-equals-high distribution candle on 8 July. The sequence is structurally clean (see §8).</w:t>
            </w:r>
          </w:p>
        </w:tc>
      </w:tr>
      <w:tr>
        <w:tc>
          <w:tcPr>
            <w:tcW w:type="dxa" w:w="4680"/>
          </w:tcPr>
          <w:p>
            <w:pPr>
              <w:spacing w:after="40" w:before="40"/>
            </w:pPr>
            <w:r>
              <w:rPr>
                <w:b w:val="false"/>
                <w:bCs w:val="false"/>
                <w:sz w:val="18"/>
                <w:szCs w:val="18"/>
              </w:rPr>
              <w:t xml:space="preserve">RSI2 at 0.0 is a genuine short-horizon oversold extreme. In a ranging market this is a high-probability bounce trigger.</w:t>
            </w:r>
          </w:p>
        </w:tc>
        <w:tc>
          <w:tcPr>
            <w:tcW w:type="dxa" w:w="4680"/>
          </w:tcPr>
          <w:p>
            <w:pPr>
              <w:spacing w:after="40" w:before="40"/>
            </w:pPr>
            <w:r>
              <w:rPr>
                <w:b w:val="false"/>
                <w:bCs w:val="false"/>
                <w:sz w:val="18"/>
                <w:szCs w:val="18"/>
              </w:rPr>
              <w:t xml:space="preserve">The Kaufman efficiency ratio near 0.76 says this is a trending market, not a ranging one — which is precisely the condition under which an RSI2 floor is a trap rather than a trigger.</w:t>
            </w:r>
          </w:p>
        </w:tc>
      </w:tr>
      <w:tr>
        <w:tc>
          <w:tcPr>
            <w:tcW w:type="dxa" w:w="4680"/>
          </w:tcPr>
          <w:p>
            <w:pPr>
              <w:spacing w:after="40" w:before="40"/>
            </w:pPr>
            <w:r>
              <w:rPr>
                <w:b w:val="false"/>
                <w:bCs w:val="false"/>
                <w:sz w:val="18"/>
                <w:szCs w:val="18"/>
              </w:rPr>
              <w:t xml:space="preserve">A firm dollar continues to support the sterling translation of overseas earnings, and the FTSE's banking weight benefits from the steeper curve the ECB repricing implies.</w:t>
            </w:r>
          </w:p>
        </w:tc>
        <w:tc>
          <w:tcPr>
            <w:tcW w:type="dxa" w:w="4680"/>
          </w:tcPr>
          <w:p>
            <w:pPr>
              <w:spacing w:after="40" w:before="40"/>
            </w:pPr>
            <w:r>
              <w:rPr>
                <w:b w:val="false"/>
                <w:bCs w:val="false"/>
                <w:sz w:val="18"/>
                <w:szCs w:val="18"/>
              </w:rPr>
              <w:t xml:space="preserve">Volatility is expanding on downside candles (§9). Sellers are setting the price. The 8 July true range of 199 points is roughly double the block mean.</w:t>
            </w:r>
          </w:p>
        </w:tc>
      </w:tr>
      <w:tr>
        <w:tc>
          <w:tcPr>
            <w:tcW w:type="dxa" w:w="4680"/>
          </w:tcPr>
          <w:p>
            <w:pPr>
              <w:spacing w:after="40" w:before="40"/>
            </w:pPr>
            <w:r>
              <w:rPr>
                <w:b w:val="false"/>
                <w:bCs w:val="false"/>
                <w:sz w:val="18"/>
                <w:szCs w:val="18"/>
              </w:rPr>
              <w:t xml:space="preserve">A confirmed Strait of Hormuz disruption would lift the energy majors and the index with them — a live upside gap risk flagged in §13d.</w:t>
            </w:r>
          </w:p>
        </w:tc>
        <w:tc>
          <w:tcPr>
            <w:tcW w:type="dxa" w:w="4680"/>
          </w:tcPr>
          <w:p>
            <w:pPr>
              <w:spacing w:after="40" w:before="40"/>
            </w:pPr>
            <w:r>
              <w:rPr>
                <w:b w:val="false"/>
                <w:bCs w:val="false"/>
                <w:sz w:val="18"/>
                <w:szCs w:val="18"/>
              </w:rPr>
              <w:t xml:space="preserve">Price closed beneath the daily central pivot with only two thin daily support steps before the 10,373–10,380 shelf, and that shelf is partly built on indicative-only levels.</w:t>
            </w:r>
          </w:p>
        </w:tc>
      </w:tr>
      <w:tr>
        <w:tc>
          <w:tcPr>
            <w:tcW w:type="dxa" w:w="4680"/>
          </w:tcPr>
          <w:p>
            <w:pPr>
              <w:spacing w:after="40" w:before="40"/>
            </w:pPr>
            <w:r>
              <w:rPr>
                <w:b w:val="false"/>
                <w:bCs w:val="false"/>
                <w:sz w:val="18"/>
                <w:szCs w:val="18"/>
              </w:rPr>
              <w:t xml:space="preserve">Basic resources led the European advance at +3.2%; the FTSE's miners participated on 9 July even as the index fell. A broadening of that participation would flip the index.</w:t>
            </w:r>
          </w:p>
        </w:tc>
        <w:tc>
          <w:tcPr>
            <w:tcW w:type="dxa" w:w="4680"/>
          </w:tcPr>
          <w:p>
            <w:pPr>
              <w:spacing w:after="40" w:before="40"/>
            </w:pPr>
            <w:r>
              <w:rPr>
                <w:b w:val="false"/>
                <w:bCs w:val="false"/>
                <w:sz w:val="18"/>
                <w:szCs w:val="18"/>
              </w:rPr>
              <w:t xml:space="preserve">AstraZeneca follow-through risk. A trial failure of that magnitude typically produces multi-day analyst revisions rather than a one-day repricing.</w:t>
            </w:r>
          </w:p>
        </w:tc>
      </w:tr>
    </w:tbl>
    <w:p>
      <w:pPr>
        <w:spacing w:after="120"/>
      </w:pPr>
      <w:r>
        <w:t xml:space="preserve">Cross-reference: the pivot position (§11) places price beneath its own daily reference with thin structure below. The regime read (§9) is Transitional at the medium horizon but efficiently trending down at the short horizon. The forward calendar (§13d) carries a high-relevance, bidirectional geopolitical catalyst that could gap the index either way before the anchor. These three facts, taken together, describe a market where the direction of least resistance is down and the magnitude of the tail risk is up.</w:t>
      </w:r>
    </w:p>
    <w:p>
      <w:pPr>
        <w:pStyle w:val="Heading1"/>
        <w:spacing w:after="140" w:before="280"/>
      </w:pPr>
      <w:r>
        <w:t xml:space="preserve">§16  Forward View</w:t>
      </w:r>
    </w:p>
    <w:p>
      <w:pPr>
        <w:spacing w:after="120"/>
      </w:pPr>
      <w:r>
        <w:t xml:space="preserve">Expected direction over the next five trading days: lower, with low conviction on magnitude and material two-way gap risk. The base case is continuation of the short-term downtrend toward the 10,373–10,380 support shelf where daily S3 and the monthly central pivot approximately coincide, followed by either stabilisation there or, on a decisive close beneath it, an extension toward the 10,290–10,300 area defined by daily S5. On the upside, a reclaim of the daily central pivot at 10,435.80 and a close back above 10,465 would neutralise the immediate bearish structure without yet restoring the uptrend.</w:t>
      </w:r>
    </w:p>
    <w:p>
      <w:pPr>
        <w:spacing w:after="120"/>
      </w:pPr>
      <w:r>
        <w:t xml:space="preserve">Expected trading range: 10,300 to 10,540. The lower bound is set by daily S5 plus a small margin; the upper bound by daily R4, beyond which the two-session decline would be substantially retraced.</w:t>
      </w:r>
    </w:p>
    <w:p>
      <w:pPr>
        <w:spacing w:after="120"/>
      </w:pPr>
      <w:r>
        <w:t xml:space="preserve">Base-case invalidation: a daily close above 10,491.98 — approximately the 8 July close and the level at which the entire 9 July session and the down-gap are erased. Above that, the two-session decline reduces to a shakeout inside the medium-term base and the constructive 25-session structure reasserts.</w:t>
      </w:r>
    </w:p>
    <w:p>
      <w:pPr>
        <w:spacing w:after="160"/>
      </w:pPr>
      <w:r>
        <w:rPr>
          <w:b/>
          <w:bCs/>
        </w:rPr>
        <w:t xml:space="preserve">Regime consistency check: </w:t>
      </w:r>
      <w:r>
        <w:rPr>
          <w:i/>
          <w:iCs/>
          <w:sz w:val="18"/>
          <w:szCs w:val="18"/>
        </w:rPr>
        <w:t xml:space="preserve">this forward view leans with the short-term technical regime and against the cross-asset counters. That opposition is flagged explicitly rather than resolved. It is the reason the view is expressed with low conviction on magnitude and the reason the range is wide.</w:t>
      </w:r>
    </w:p>
    <w:p>
      <w:pPr>
        <w:pStyle w:val="Heading1"/>
        <w:spacing w:after="140" w:before="280"/>
      </w:pPr>
      <w:r>
        <w:t xml:space="preserve">§17  Forecast</w:t>
      </w:r>
    </w:p>
    <w:p>
      <w:pPr>
        <w:spacing w:after="180"/>
      </w:pPr>
      <w:r>
        <w:rPr>
          <w:b/>
          <w:bCs/>
          <w:sz w:val="22"/>
          <w:szCs w:val="22"/>
        </w:rPr>
        <w:t xml:space="preserve">The FTSE 100 is expected to trade lower over the next five sessions toward the 10,373–10,380 support shelf, with the efficient downside sequence and expanding downside volatility outweighing an oversold two-period oscillator and a uniformly contradictory cross-asset backdrop.</w:t>
      </w:r>
    </w:p>
    <w:p>
      <w:pPr>
        <w:spacing w:after="120"/>
      </w:pPr>
      <w:r>
        <w:rPr>
          <w:i/>
          <w:iCs/>
          <w:color w:val="555555"/>
          <w:sz w:val="18"/>
          <w:szCs w:val="18"/>
        </w:rPr>
        <w:t xml:space="preserve">This forecast is derived from the technical evidence in §8 and §9, the sentiment tilt in §13b, and the cross-asset reads in §10. It is stated once and is not hedged. It is not adjusted to align with the trade cards below, and the trade cards are not adjusted to align with it.</w:t>
      </w:r>
    </w:p>
    <w:p>
      <w:pPr>
        <w:pStyle w:val="Heading1"/>
        <w:spacing w:after="140" w:before="280"/>
      </w:pPr>
      <w:r>
        <w:t xml:space="preserve">§18  Final Analyst Judgement</w:t>
      </w:r>
    </w:p>
    <w:p>
      <w:pPr>
        <w:spacing w:after="120"/>
      </w:pPr>
      <w:r>
        <w:t xml:space="preserve">Consensus price call: 10,429.22. Confidence: MEDIUM.</w:t>
      </w:r>
    </w:p>
    <w:p>
      <w:pPr>
        <w:spacing w:after="120"/>
      </w:pPr>
      <w:r>
        <w:t xml:space="preserve">The three most important reasons:</w:t>
      </w:r>
    </w:p>
    <w:p>
      <w:pPr>
        <w:pStyle w:val="ListParagraph"/>
        <w:numPr>
          <w:ilvl w:val="0"/>
          <w:numId w:val="1"/>
        </w:numPr>
        <w:spacing w:after="60"/>
      </w:pPr>
      <w:r>
        <w:t xml:space="preserve">The five-session sequence is structurally unambiguous — three lower closes, an unfilled down-gap, and an open-equals-high distribution candle on 8 July that traversed 199 points to close near its low. This is not chop.</w:t>
      </w:r>
    </w:p>
    <w:p>
      <w:pPr>
        <w:pStyle w:val="ListParagraph"/>
        <w:numPr>
          <w:ilvl w:val="0"/>
          <w:numId w:val="1"/>
        </w:numPr>
        <w:spacing w:after="60"/>
      </w:pPr>
      <w:r>
        <w:t xml:space="preserve">The Kaufman efficiency ratio near 0.76 confirms the move is directional rather than noise, which specifically disqualifies the RSI2 zero reading as a mean-reversion signal. The single most common error available in this setup is to fade an oversold oscillator inside an efficiently trending market.</w:t>
      </w:r>
    </w:p>
    <w:p>
      <w:pPr>
        <w:pStyle w:val="ListParagraph"/>
        <w:numPr>
          <w:ilvl w:val="0"/>
          <w:numId w:val="1"/>
        </w:numPr>
        <w:spacing w:after="60"/>
      </w:pPr>
      <w:r>
        <w:t xml:space="preserve">Every cross-asset counter contradicts the technical read. This is the reason confidence is Medium and not High, and it is the honest limit of what this analysis can claim. An index that falls while all four of its reference assets rise is either about to mean-revert violently or is being distributed by size. The evidence available does not distinguish between those, and the trade construction below is sized accordingly.</w:t>
      </w:r>
    </w:p>
    <w:p>
      <w:pPr>
        <w:spacing w:after="120"/>
      </w:pPr>
      <w:r>
        <w:t xml:space="preserve">Single watch item: the daily central pivot at 10,435.80. Price closed 6.58 points beneath it. A pre-open that reclaims and holds above that level materially weakens everything argued above.</w:t>
      </w:r>
    </w:p>
    <w:p>
      <w:pPr>
        <w:pStyle w:val="Heading1"/>
        <w:spacing w:after="140" w:before="280"/>
      </w:pPr>
      <w:r>
        <w:t xml:space="preserve">§19  Source Discipline Note</w:t>
      </w:r>
    </w:p>
    <w:p>
      <w:pPr>
        <w:spacing w:after="120"/>
      </w:pPr>
      <w:r>
        <w:t xml:space="preserve">Live versus indicative data. The 9 July close of 10,429.22 is corroborated by two independent sources within the ±0.10-point equity-index tolerance after accounting for one source's whole-point rounding. The 9 July High (10,458.95) and Low (10,419.22) are corroborated. The 8 July and 3 July OHLC rows are corroborated.</w:t>
      </w:r>
    </w:p>
    <w:p>
      <w:pPr>
        <w:spacing w:after="120"/>
      </w:pPr>
      <w:r>
        <w:t xml:space="preserve">The 6 July and 7 July High and Low values are single-source and are marked indicative only. Per protocol they are excluded from pivot prior-period calculation, from entry pricing, and from stop-loss placement. They appear in §6 for directional context only. Their closes are corroborated.</w:t>
      </w:r>
    </w:p>
    <w:p>
      <w:pPr>
        <w:spacing w:after="80"/>
      </w:pPr>
      <w:r>
        <w:rPr>
          <w:b/>
          <w:bCs/>
        </w:rPr>
        <w:t xml:space="preserve">Corroboration status per pivot timeframe — this is the contract the strategy section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3260"/>
      </w:tblGrid>
      <w:tr>
        <w:tc>
          <w:tcPr>
            <w:tcW w:type="dxa" w:w="1300"/>
            <w:shd w:fill="D9E2F3" w:color="auto" w:val="clear"/>
          </w:tcPr>
          <w:p>
            <w:pPr>
              <w:spacing w:after="40" w:before="40"/>
            </w:pPr>
            <w:r>
              <w:rPr>
                <w:b/>
                <w:bCs/>
                <w:sz w:val="18"/>
                <w:szCs w:val="18"/>
              </w:rPr>
              <w:t xml:space="preserve">Timeframe</w:t>
            </w:r>
          </w:p>
        </w:tc>
        <w:tc>
          <w:tcPr>
            <w:tcW w:type="dxa" w:w="2400"/>
            <w:shd w:fill="D9E2F3" w:color="auto" w:val="clear"/>
          </w:tcPr>
          <w:p>
            <w:pPr>
              <w:spacing w:after="40" w:before="40"/>
            </w:pPr>
            <w:r>
              <w:rPr>
                <w:b/>
                <w:bCs/>
                <w:sz w:val="18"/>
                <w:szCs w:val="18"/>
              </w:rPr>
              <w:t xml:space="preserve">Prior-period inputs</w:t>
            </w:r>
          </w:p>
        </w:tc>
        <w:tc>
          <w:tcPr>
            <w:tcW w:type="dxa" w:w="2400"/>
            <w:shd w:fill="D9E2F3" w:color="auto" w:val="clear"/>
          </w:tcPr>
          <w:p>
            <w:pPr>
              <w:spacing w:after="40" w:before="40"/>
            </w:pPr>
            <w:r>
              <w:rPr>
                <w:b/>
                <w:bCs/>
                <w:sz w:val="18"/>
                <w:szCs w:val="18"/>
              </w:rPr>
              <w:t xml:space="preserve">Status</w:t>
            </w:r>
          </w:p>
        </w:tc>
        <w:tc>
          <w:tcPr>
            <w:tcW w:type="dxa" w:w="3260"/>
            <w:shd w:fill="D9E2F3" w:color="auto" w:val="clear"/>
          </w:tcPr>
          <w:p>
            <w:pPr>
              <w:spacing w:after="40" w:before="40"/>
            </w:pPr>
            <w:r>
              <w:rPr>
                <w:b/>
                <w:bCs/>
                <w:sz w:val="18"/>
                <w:szCs w:val="18"/>
              </w:rPr>
              <w:t xml:space="preserve">Permitted use in trade construction</w:t>
            </w:r>
          </w:p>
        </w:tc>
      </w:tr>
      <w:tr>
        <w:tc>
          <w:tcPr>
            <w:tcW w:type="dxa" w:w="1300"/>
          </w:tcPr>
          <w:p>
            <w:pPr>
              <w:spacing w:after="40" w:before="40"/>
            </w:pPr>
            <w:r>
              <w:rPr>
                <w:b w:val="false"/>
                <w:bCs w:val="false"/>
                <w:sz w:val="18"/>
                <w:szCs w:val="18"/>
              </w:rPr>
              <w:t xml:space="preserve">Daily</w:t>
            </w:r>
          </w:p>
        </w:tc>
        <w:tc>
          <w:tcPr>
            <w:tcW w:type="dxa" w:w="2400"/>
          </w:tcPr>
          <w:p>
            <w:pPr>
              <w:spacing w:after="40" w:before="40"/>
            </w:pPr>
            <w:r>
              <w:rPr>
                <w:b w:val="false"/>
                <w:bCs w:val="false"/>
                <w:sz w:val="18"/>
                <w:szCs w:val="18"/>
              </w:rPr>
              <w:t xml:space="preserve">9 Jul H / L / C</w:t>
            </w:r>
          </w:p>
        </w:tc>
        <w:tc>
          <w:tcPr>
            <w:tcW w:type="dxa" w:w="2400"/>
          </w:tcPr>
          <w:p>
            <w:pPr>
              <w:spacing w:after="40" w:before="40"/>
            </w:pPr>
            <w:r>
              <w:rPr>
                <w:b w:val="false"/>
                <w:bCs w:val="false"/>
                <w:sz w:val="18"/>
                <w:szCs w:val="18"/>
              </w:rPr>
              <w:t xml:space="preserve">CORROBORATED (2 sources)</w:t>
            </w:r>
          </w:p>
        </w:tc>
        <w:tc>
          <w:tcPr>
            <w:tcW w:type="dxa" w:w="3260"/>
          </w:tcPr>
          <w:p>
            <w:pPr>
              <w:spacing w:after="40" w:before="40"/>
            </w:pPr>
            <w:r>
              <w:rPr>
                <w:b w:val="false"/>
                <w:bCs w:val="false"/>
                <w:sz w:val="18"/>
                <w:szCs w:val="18"/>
              </w:rPr>
              <w:t xml:space="preserve">Full. Entry, stop-loss, target, and confluence.</w:t>
            </w:r>
          </w:p>
        </w:tc>
      </w:tr>
      <w:tr>
        <w:tc>
          <w:tcPr>
            <w:tcW w:type="dxa" w:w="1300"/>
          </w:tcPr>
          <w:p>
            <w:pPr>
              <w:spacing w:after="40" w:before="40"/>
            </w:pPr>
            <w:r>
              <w:rPr>
                <w:b w:val="false"/>
                <w:bCs w:val="false"/>
                <w:sz w:val="18"/>
                <w:szCs w:val="18"/>
              </w:rPr>
              <w:t xml:space="preserve">Weekly</w:t>
            </w:r>
          </w:p>
        </w:tc>
        <w:tc>
          <w:tcPr>
            <w:tcW w:type="dxa" w:w="2400"/>
          </w:tcPr>
          <w:p>
            <w:pPr>
              <w:spacing w:after="40" w:before="40"/>
            </w:pPr>
            <w:r>
              <w:rPr>
                <w:b w:val="false"/>
                <w:bCs w:val="false"/>
                <w:sz w:val="18"/>
                <w:szCs w:val="18"/>
              </w:rPr>
              <w:t xml:space="preserve">Week ended 3 Jul H / L / C</w:t>
            </w:r>
          </w:p>
        </w:tc>
        <w:tc>
          <w:tcPr>
            <w:tcW w:type="dxa" w:w="2400"/>
          </w:tcPr>
          <w:p>
            <w:pPr>
              <w:spacing w:after="40" w:before="40"/>
            </w:pPr>
            <w:r>
              <w:rPr>
                <w:b w:val="false"/>
                <w:bCs w:val="false"/>
                <w:sz w:val="18"/>
                <w:szCs w:val="18"/>
              </w:rPr>
              <w:t xml:space="preserve">SINGLE-SOURCE INDICATIVE</w:t>
            </w:r>
          </w:p>
        </w:tc>
        <w:tc>
          <w:tcPr>
            <w:tcW w:type="dxa" w:w="3260"/>
          </w:tcPr>
          <w:p>
            <w:pPr>
              <w:spacing w:after="40" w:before="40"/>
            </w:pPr>
            <w:r>
              <w:rPr>
                <w:b w:val="false"/>
                <w:bCs w:val="false"/>
                <w:sz w:val="18"/>
                <w:szCs w:val="18"/>
              </w:rPr>
              <w:t xml:space="preserve">Directional context and chart only. No entry, no stop, no definitive citation.</w:t>
            </w:r>
          </w:p>
        </w:tc>
      </w:tr>
      <w:tr>
        <w:tc>
          <w:tcPr>
            <w:tcW w:type="dxa" w:w="1300"/>
          </w:tcPr>
          <w:p>
            <w:pPr>
              <w:spacing w:after="40" w:before="40"/>
            </w:pPr>
            <w:r>
              <w:rPr>
                <w:b w:val="false"/>
                <w:bCs w:val="false"/>
                <w:sz w:val="18"/>
                <w:szCs w:val="18"/>
              </w:rPr>
              <w:t xml:space="preserve">Monthly</w:t>
            </w:r>
          </w:p>
        </w:tc>
        <w:tc>
          <w:tcPr>
            <w:tcW w:type="dxa" w:w="2400"/>
          </w:tcPr>
          <w:p>
            <w:pPr>
              <w:spacing w:after="40" w:before="40"/>
            </w:pPr>
            <w:r>
              <w:rPr>
                <w:b w:val="false"/>
                <w:bCs w:val="false"/>
                <w:sz w:val="18"/>
                <w:szCs w:val="18"/>
              </w:rPr>
              <w:t xml:space="preserve">June 2026 H / L / C</w:t>
            </w:r>
          </w:p>
        </w:tc>
        <w:tc>
          <w:tcPr>
            <w:tcW w:type="dxa" w:w="2400"/>
          </w:tcPr>
          <w:p>
            <w:pPr>
              <w:spacing w:after="40" w:before="40"/>
            </w:pPr>
            <w:r>
              <w:rPr>
                <w:b w:val="false"/>
                <w:bCs w:val="false"/>
                <w:sz w:val="18"/>
                <w:szCs w:val="18"/>
              </w:rPr>
              <w:t xml:space="preserve">SINGLE-SOURCE INDICATIVE</w:t>
            </w:r>
          </w:p>
        </w:tc>
        <w:tc>
          <w:tcPr>
            <w:tcW w:type="dxa" w:w="3260"/>
          </w:tcPr>
          <w:p>
            <w:pPr>
              <w:spacing w:after="40" w:before="40"/>
            </w:pPr>
            <w:r>
              <w:rPr>
                <w:b w:val="false"/>
                <w:bCs w:val="false"/>
                <w:sz w:val="18"/>
                <w:szCs w:val="18"/>
              </w:rPr>
              <w:t xml:space="preserve">Directional context and chart only. No entry, no stop, no definitive citation.</w:t>
            </w:r>
          </w:p>
        </w:tc>
      </w:tr>
    </w:tbl>
    <w:p>
      <w:pPr>
        <w:spacing w:after="120"/>
      </w:pPr>
      <w:r>
        <w:t xml:space="preserve">Data gaps. The EURO STOXX 50 five-session Open/High/Low block could not be corroborated to two independent sources across all sessions. Two closes were corroborated and are reported; three sessions are recorded as a gap. Under the absolute no-synthesis rule these were not estimated, interpolated, or reconstructed from percentage-change narratives. The Kaufman ratio is configured for a 13-session period and 3-period EMA smoothing; only five corroborated sessions were obtainable, so the reported figure is a five-session computation and is flagged as such wherever it appears. Average True Range is configured on a 14-session lookback; the reported 103.13 is a five-session mean true range used as a working proxy, and every stop and target derived from it inherits that limitation.</w:t>
      </w:r>
    </w:p>
    <w:p>
      <w:pPr>
        <w:spacing w:after="120"/>
      </w:pPr>
      <w:r>
        <w:t xml:space="preserve">Normalisation assumptions. No currency conversion was applied to the EURO STOXX 50, because a GBP-equivalent conversion would require an FX rate independently fetched at each index close timestamp, and that rate was not obtained. Reporting the EUR original is the honest alternative to a synthesised conversion. Three intraday quotes were excluded from the consensus build rather than time-adjusted.</w:t>
      </w:r>
    </w:p>
    <w:p>
      <w:pPr>
        <w:pStyle w:val="Heading1"/>
        <w:spacing w:after="140" w:before="280"/>
      </w:pPr>
      <w:r>
        <w:t xml:space="preserve">§20  Agent Log</w:t>
      </w:r>
    </w:p>
    <w:p>
      <w:pPr>
        <w:spacing w:after="120"/>
      </w:pPr>
      <w:r>
        <w:t xml:space="preserve">Run timestamp: 10 July 2026, pre-open, Europe/London. Daily-open anchor: 07:00 UK — this value was overridden at user instruction for this session and differs from the standing configuration; the override is recorded here as required.</w:t>
      </w:r>
    </w:p>
    <w:p>
      <w:pPr>
        <w:pStyle w:val="Heading2"/>
        <w:spacing w:after="100" w:before="200"/>
      </w:pPr>
      <w:r>
        <w:t xml:space="preserve">Sources attempted — FTSE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4660"/>
      </w:tblGrid>
      <w:tr>
        <w:tc>
          <w:tcPr>
            <w:tcW w:type="dxa" w:w="900"/>
            <w:shd w:fill="D9E2F3" w:color="auto" w:val="clear"/>
          </w:tcPr>
          <w:p>
            <w:pPr>
              <w:spacing w:after="40" w:before="40"/>
            </w:pPr>
            <w:r>
              <w:rPr>
                <w:b/>
                <w:bCs/>
                <w:sz w:val="18"/>
                <w:szCs w:val="18"/>
              </w:rPr>
              <w:t xml:space="preserve">Rank</w:t>
            </w:r>
          </w:p>
        </w:tc>
        <w:tc>
          <w:tcPr>
            <w:tcW w:type="dxa" w:w="2900"/>
            <w:shd w:fill="D9E2F3" w:color="auto" w:val="clear"/>
          </w:tcPr>
          <w:p>
            <w:pPr>
              <w:spacing w:after="40" w:before="40"/>
            </w:pPr>
            <w:r>
              <w:rPr>
                <w:b/>
                <w:bCs/>
                <w:sz w:val="18"/>
                <w:szCs w:val="18"/>
              </w:rPr>
              <w:t xml:space="preserve">Source</w:t>
            </w:r>
          </w:p>
        </w:tc>
        <w:tc>
          <w:tcPr>
            <w:tcW w:type="dxa" w:w="900"/>
            <w:shd w:fill="D9E2F3" w:color="auto" w:val="clear"/>
          </w:tcPr>
          <w:p>
            <w:pPr>
              <w:spacing w:after="40" w:before="40"/>
            </w:pPr>
            <w:r>
              <w:rPr>
                <w:b/>
                <w:bCs/>
                <w:sz w:val="18"/>
                <w:szCs w:val="18"/>
              </w:rPr>
              <w:t xml:space="preserve">Tier</w:t>
            </w:r>
          </w:p>
        </w:tc>
        <w:tc>
          <w:tcPr>
            <w:tcW w:type="dxa" w:w="4660"/>
            <w:shd w:fill="D9E2F3" w:color="auto" w:val="clear"/>
          </w:tcPr>
          <w:p>
            <w:pPr>
              <w:spacing w:after="40" w:before="40"/>
            </w:pPr>
            <w:r>
              <w:rPr>
                <w:b/>
                <w:bCs/>
                <w:sz w:val="18"/>
                <w:szCs w:val="18"/>
              </w:rPr>
              <w:t xml:space="preserve">Outcome</w:t>
            </w:r>
          </w:p>
        </w:tc>
      </w:tr>
      <w:tr>
        <w:tc>
          <w:tcPr>
            <w:tcW w:type="dxa" w:w="900"/>
          </w:tcPr>
          <w:p>
            <w:pPr>
              <w:spacing w:after="40" w:before="40"/>
            </w:pPr>
            <w:r>
              <w:rPr>
                <w:b w:val="false"/>
                <w:bCs w:val="false"/>
                <w:sz w:val="18"/>
                <w:szCs w:val="18"/>
              </w:rPr>
              <w:t xml:space="preserve">1</w:t>
            </w:r>
          </w:p>
        </w:tc>
        <w:tc>
          <w:tcPr>
            <w:tcW w:type="dxa" w:w="2900"/>
          </w:tcPr>
          <w:p>
            <w:pPr>
              <w:spacing w:after="40" w:before="40"/>
            </w:pPr>
            <w:r>
              <w:rPr>
                <w:b w:val="false"/>
                <w:bCs w:val="false"/>
                <w:sz w:val="18"/>
                <w:szCs w:val="18"/>
              </w:rPr>
              <w:t xml:space="preserve">Trading Economics</w:t>
            </w:r>
          </w:p>
        </w:tc>
        <w:tc>
          <w:tcPr>
            <w:tcW w:type="dxa" w:w="900"/>
          </w:tcPr>
          <w:p>
            <w:pPr>
              <w:spacing w:after="40" w:before="40"/>
            </w:pPr>
            <w:r>
              <w:rPr>
                <w:b w:val="false"/>
                <w:bCs w:val="false"/>
                <w:sz w:val="18"/>
                <w:szCs w:val="18"/>
              </w:rPr>
              <w:t xml:space="preserve">2</w:t>
            </w:r>
          </w:p>
        </w:tc>
        <w:tc>
          <w:tcPr>
            <w:tcW w:type="dxa" w:w="4660"/>
          </w:tcPr>
          <w:p>
            <w:pPr>
              <w:spacing w:after="40" w:before="40"/>
            </w:pPr>
            <w:r>
              <w:rPr>
                <w:b w:val="false"/>
                <w:bCs w:val="false"/>
                <w:sz w:val="18"/>
                <w:szCs w:val="18"/>
              </w:rPr>
              <w:t xml:space="preserve">Corroborated (close, direction, constituent detail)</w:t>
            </w:r>
          </w:p>
        </w:tc>
      </w:tr>
      <w:tr>
        <w:tc>
          <w:tcPr>
            <w:tcW w:type="dxa" w:w="900"/>
          </w:tcPr>
          <w:p>
            <w:pPr>
              <w:spacing w:after="40" w:before="40"/>
            </w:pPr>
            <w:r>
              <w:rPr>
                <w:b w:val="false"/>
                <w:bCs w:val="false"/>
                <w:sz w:val="18"/>
                <w:szCs w:val="18"/>
              </w:rPr>
              <w:t xml:space="preserve">2</w:t>
            </w:r>
          </w:p>
        </w:tc>
        <w:tc>
          <w:tcPr>
            <w:tcW w:type="dxa" w:w="2900"/>
          </w:tcPr>
          <w:p>
            <w:pPr>
              <w:spacing w:after="40" w:before="40"/>
            </w:pPr>
            <w:r>
              <w:rPr>
                <w:b w:val="false"/>
                <w:bCs w:val="false"/>
                <w:sz w:val="18"/>
                <w:szCs w:val="18"/>
              </w:rPr>
              <w:t xml:space="preserve">Yahoo Finance</w:t>
            </w:r>
          </w:p>
        </w:tc>
        <w:tc>
          <w:tcPr>
            <w:tcW w:type="dxa" w:w="900"/>
          </w:tcPr>
          <w:p>
            <w:pPr>
              <w:spacing w:after="40" w:before="40"/>
            </w:pPr>
            <w:r>
              <w:rPr>
                <w:b w:val="false"/>
                <w:bCs w:val="false"/>
                <w:sz w:val="18"/>
                <w:szCs w:val="18"/>
              </w:rPr>
              <w:t xml:space="preserve">3</w:t>
            </w:r>
          </w:p>
        </w:tc>
        <w:tc>
          <w:tcPr>
            <w:tcW w:type="dxa" w:w="4660"/>
          </w:tcPr>
          <w:p>
            <w:pPr>
              <w:spacing w:after="40" w:before="40"/>
            </w:pPr>
            <w:r>
              <w:rPr>
                <w:b w:val="false"/>
                <w:bCs w:val="false"/>
                <w:sz w:val="18"/>
                <w:szCs w:val="18"/>
              </w:rPr>
              <w:t xml:space="preserve">Corroborated (close, previous close, day range)</w:t>
            </w:r>
          </w:p>
        </w:tc>
      </w:tr>
      <w:tr>
        <w:tc>
          <w:tcPr>
            <w:tcW w:type="dxa" w:w="900"/>
          </w:tcPr>
          <w:p>
            <w:pPr>
              <w:spacing w:after="40" w:before="40"/>
            </w:pPr>
            <w:r>
              <w:rPr>
                <w:b w:val="false"/>
                <w:bCs w:val="false"/>
                <w:sz w:val="18"/>
                <w:szCs w:val="18"/>
              </w:rPr>
              <w:t xml:space="preserve">3</w:t>
            </w:r>
          </w:p>
        </w:tc>
        <w:tc>
          <w:tcPr>
            <w:tcW w:type="dxa" w:w="2900"/>
          </w:tcPr>
          <w:p>
            <w:pPr>
              <w:spacing w:after="40" w:before="40"/>
            </w:pPr>
            <w:r>
              <w:rPr>
                <w:b w:val="false"/>
                <w:bCs w:val="false"/>
                <w:sz w:val="18"/>
                <w:szCs w:val="18"/>
              </w:rPr>
              <w:t xml:space="preserve">Investing.com</w:t>
            </w:r>
          </w:p>
        </w:tc>
        <w:tc>
          <w:tcPr>
            <w:tcW w:type="dxa" w:w="900"/>
          </w:tcPr>
          <w:p>
            <w:pPr>
              <w:spacing w:after="40" w:before="40"/>
            </w:pPr>
            <w:r>
              <w:rPr>
                <w:b w:val="false"/>
                <w:bCs w:val="false"/>
                <w:sz w:val="18"/>
                <w:szCs w:val="18"/>
              </w:rPr>
              <w:t xml:space="preserve">2</w:t>
            </w:r>
          </w:p>
        </w:tc>
        <w:tc>
          <w:tcPr>
            <w:tcW w:type="dxa" w:w="4660"/>
          </w:tcPr>
          <w:p>
            <w:pPr>
              <w:spacing w:after="40" w:before="40"/>
            </w:pPr>
            <w:r>
              <w:rPr>
                <w:b w:val="false"/>
                <w:bCs w:val="false"/>
                <w:sz w:val="18"/>
                <w:szCs w:val="18"/>
              </w:rPr>
              <w:t xml:space="preserve">Corroborated (day range, open, 52-week range)</w:t>
            </w:r>
          </w:p>
        </w:tc>
      </w:tr>
      <w:tr>
        <w:tc>
          <w:tcPr>
            <w:tcW w:type="dxa" w:w="900"/>
          </w:tcPr>
          <w:p>
            <w:pPr>
              <w:spacing w:after="40" w:before="40"/>
            </w:pPr>
            <w:r>
              <w:rPr>
                <w:b w:val="false"/>
                <w:bCs w:val="false"/>
                <w:sz w:val="18"/>
                <w:szCs w:val="18"/>
              </w:rPr>
              <w:t xml:space="preserve">4</w:t>
            </w:r>
          </w:p>
        </w:tc>
        <w:tc>
          <w:tcPr>
            <w:tcW w:type="dxa" w:w="2900"/>
          </w:tcPr>
          <w:p>
            <w:pPr>
              <w:spacing w:after="40" w:before="40"/>
            </w:pPr>
            <w:r>
              <w:rPr>
                <w:b w:val="false"/>
                <w:bCs w:val="false"/>
                <w:sz w:val="18"/>
                <w:szCs w:val="18"/>
              </w:rPr>
              <w:t xml:space="preserve">CNBC market wrap</w:t>
            </w:r>
          </w:p>
        </w:tc>
        <w:tc>
          <w:tcPr>
            <w:tcW w:type="dxa" w:w="900"/>
          </w:tcPr>
          <w:p>
            <w:pPr>
              <w:spacing w:after="40" w:before="40"/>
            </w:pPr>
            <w:r>
              <w:rPr>
                <w:b w:val="false"/>
                <w:bCs w:val="false"/>
                <w:sz w:val="18"/>
                <w:szCs w:val="18"/>
              </w:rPr>
              <w:t xml:space="preserve">2</w:t>
            </w:r>
          </w:p>
        </w:tc>
        <w:tc>
          <w:tcPr>
            <w:tcW w:type="dxa" w:w="4660"/>
          </w:tcPr>
          <w:p>
            <w:pPr>
              <w:spacing w:after="40" w:before="40"/>
            </w:pPr>
            <w:r>
              <w:rPr>
                <w:b w:val="false"/>
                <w:bCs w:val="false"/>
                <w:sz w:val="18"/>
                <w:szCs w:val="18"/>
              </w:rPr>
              <w:t xml:space="preserve">Single-source (directional confirmation; % change diverges)</w:t>
            </w:r>
          </w:p>
        </w:tc>
      </w:tr>
      <w:tr>
        <w:tc>
          <w:tcPr>
            <w:tcW w:type="dxa" w:w="900"/>
          </w:tcPr>
          <w:p>
            <w:pPr>
              <w:spacing w:after="40" w:before="40"/>
            </w:pPr>
            <w:r>
              <w:rPr>
                <w:b w:val="false"/>
                <w:bCs w:val="false"/>
                <w:sz w:val="18"/>
                <w:szCs w:val="18"/>
              </w:rPr>
              <w:t xml:space="preserve">5</w:t>
            </w:r>
          </w:p>
        </w:tc>
        <w:tc>
          <w:tcPr>
            <w:tcW w:type="dxa" w:w="2900"/>
          </w:tcPr>
          <w:p>
            <w:pPr>
              <w:spacing w:after="40" w:before="40"/>
            </w:pPr>
            <w:r>
              <w:rPr>
                <w:b w:val="false"/>
                <w:bCs w:val="false"/>
                <w:sz w:val="18"/>
                <w:szCs w:val="18"/>
              </w:rPr>
              <w:t xml:space="preserve">Sharecast / Fidelity LSE relay</w:t>
            </w:r>
          </w:p>
        </w:tc>
        <w:tc>
          <w:tcPr>
            <w:tcW w:type="dxa" w:w="900"/>
          </w:tcPr>
          <w:p>
            <w:pPr>
              <w:spacing w:after="40" w:before="40"/>
            </w:pPr>
            <w:r>
              <w:rPr>
                <w:b w:val="false"/>
                <w:bCs w:val="false"/>
                <w:sz w:val="18"/>
                <w:szCs w:val="18"/>
              </w:rPr>
              <w:t xml:space="preserve">2</w:t>
            </w:r>
          </w:p>
        </w:tc>
        <w:tc>
          <w:tcPr>
            <w:tcW w:type="dxa" w:w="4660"/>
          </w:tcPr>
          <w:p>
            <w:pPr>
              <w:spacing w:after="40" w:before="40"/>
            </w:pPr>
            <w:r>
              <w:rPr>
                <w:b w:val="false"/>
                <w:bCs w:val="false"/>
                <w:sz w:val="18"/>
                <w:szCs w:val="18"/>
              </w:rPr>
              <w:t xml:space="preserve">Single-source (15-minute delayed; pre-close timestamp)</w:t>
            </w:r>
          </w:p>
        </w:tc>
      </w:tr>
      <w:tr>
        <w:tc>
          <w:tcPr>
            <w:tcW w:type="dxa" w:w="900"/>
          </w:tcPr>
          <w:p>
            <w:pPr>
              <w:spacing w:after="40" w:before="40"/>
            </w:pPr>
            <w:r>
              <w:rPr>
                <w:b w:val="false"/>
                <w:bCs w:val="false"/>
                <w:sz w:val="18"/>
                <w:szCs w:val="18"/>
              </w:rPr>
              <w:t xml:space="preserve">6</w:t>
            </w:r>
          </w:p>
        </w:tc>
        <w:tc>
          <w:tcPr>
            <w:tcW w:type="dxa" w:w="2900"/>
          </w:tcPr>
          <w:p>
            <w:pPr>
              <w:spacing w:after="40" w:before="40"/>
            </w:pPr>
            <w:r>
              <w:rPr>
                <w:b w:val="false"/>
                <w:bCs w:val="false"/>
                <w:sz w:val="18"/>
                <w:szCs w:val="18"/>
              </w:rPr>
              <w:t xml:space="preserve">Sunday Guardian market wrap</w:t>
            </w:r>
          </w:p>
        </w:tc>
        <w:tc>
          <w:tcPr>
            <w:tcW w:type="dxa" w:w="900"/>
          </w:tcPr>
          <w:p>
            <w:pPr>
              <w:spacing w:after="40" w:before="40"/>
            </w:pPr>
            <w:r>
              <w:rPr>
                <w:b w:val="false"/>
                <w:bCs w:val="false"/>
                <w:sz w:val="18"/>
                <w:szCs w:val="18"/>
              </w:rPr>
              <w:t xml:space="preserve">4</w:t>
            </w:r>
          </w:p>
        </w:tc>
        <w:tc>
          <w:tcPr>
            <w:tcW w:type="dxa" w:w="4660"/>
          </w:tcPr>
          <w:p>
            <w:pPr>
              <w:spacing w:after="40" w:before="40"/>
            </w:pPr>
            <w:r>
              <w:rPr>
                <w:b w:val="false"/>
                <w:bCs w:val="false"/>
                <w:sz w:val="18"/>
                <w:szCs w:val="18"/>
              </w:rPr>
              <w:t xml:space="preserve">Single-source (intraday only; excluded from numeric build)</w:t>
            </w:r>
          </w:p>
        </w:tc>
      </w:tr>
    </w:tbl>
    <w:p>
      <w:pPr>
        <w:spacing w:after="120"/>
      </w:pPr>
      <w:r>
        <w:t xml:space="preserve">Corroborated pair for the 9 July close: Trading Economics × Yahoo Finance. Delta: 0.22 points, attributable to one source publishing to the nearest whole point. Tolerance applied: ±0.10 points for equity indices; the delta is within tolerance once rounding precision is normalised, and the higher-precision value was retained rather than averaged. Total sources attempted before corroboration achieved: two. Total sources consulted: six, meeting the mandatory minimum.</w:t>
      </w:r>
    </w:p>
    <w:p>
      <w:pPr>
        <w:spacing w:after="120"/>
      </w:pPr>
      <w:r>
        <w:t xml:space="preserve">Fields remaining single-source after exhausting available sources, by session and field: 06 Jul 2026 — FTSE 100 High, Low. 07 Jul 2026 — FTSE 100 High, Low. Week ended 03 Jul 2026 — FTSE 100 weekly Low. June 2026 — FTSE 100 monthly High, monthly Close. EURO STOXX 50 — Open, High, Low for all five sessions; Close for 03, 06, 07 July.</w:t>
      </w:r>
    </w:p>
    <w:p>
      <w:pPr>
        <w:pStyle w:val="Heading2"/>
        <w:spacing w:after="100" w:before="200"/>
      </w:pPr>
      <w:r>
        <w:t xml:space="preserve">Validation method</w:t>
      </w:r>
    </w:p>
    <w:p>
      <w:pPr>
        <w:spacing w:after="120"/>
      </w:pPr>
      <w:r>
        <w:t xml:space="preserve">Weekend and holiday rejection applied: no Saturday or Sunday rows entered the block. The five sessions 3, 6, 7, 8 and 9 July 2026 correspond to Friday, Monday, Tuesday, Wednesday and Thursday, matching the expected LSE trading calendar with no holiday reduction. No unjustified duplicate rows were detected — no session's OHLC quadruple repeated the prior session's. Note that 8 July shows Open = High identically (10,666.09); this is not a duplicate-row artefact but a genuine and diagnostically important feature of that candle, verified against two sources, and it is discussed substantively in §8.</w:t>
      </w:r>
    </w:p>
    <w:p>
      <w:pPr>
        <w:pStyle w:val="Heading2"/>
        <w:spacing w:after="100" w:before="200"/>
      </w:pPr>
      <w:r>
        <w:t xml:space="preserve">Sentiment derivation</w:t>
      </w:r>
    </w:p>
    <w:p>
      <w:pPr>
        <w:spacing w:after="120"/>
      </w:pPr>
      <w:r>
        <w:t xml:space="preserve">Six articles assessed against the approved news-source list. Each scored for direction and weighted by index-weight-adjusted materiality rather than by headline prominence. The aggregate numeric tilt of −0.35 was computed prior to trade construction and was frozen at that value for the backtest reconstruction, per the sentiment-freeze rule. No sentiment score was revised after the direction score was computed.</w:t>
      </w:r>
    </w:p>
    <w:p>
      <w:pPr>
        <w:pStyle w:val="Heading2"/>
        <w:spacing w:after="100" w:before="200"/>
      </w:pPr>
      <w:r>
        <w:t xml:space="preserve">Forecast reasoning</w:t>
      </w:r>
    </w:p>
    <w:p>
      <w:pPr>
        <w:spacing w:after="120"/>
      </w:pPr>
      <w:r>
        <w:t xml:space="preserve">The §17 forecast was written from §8, §9, §10 and §13b before the §21 direction score was computed, and was not subsequently amended. Where the forecast and the strategy direction agree, this is convergence, not circularity.</w:t>
      </w:r>
    </w:p>
    <w:p>
      <w:pPr>
        <w:pStyle w:val="Heading2"/>
        <w:spacing w:after="100" w:before="200"/>
      </w:pPr>
      <w:r>
        <w:t xml:space="preserve">Strategy trace</w:t>
      </w:r>
    </w:p>
    <w:p>
      <w:pPr>
        <w:spacing w:after="120"/>
      </w:pPr>
      <w:r>
        <w:t xml:space="preserve">Direction-scoring weights basis: DEFAULTS. All six weights match the baseline and sum to 1.00. No tuning was applied. Forward-test session counter: session 1 of the minimum 20 before any weight adjustment is permitted. Weights are locked.</w:t>
      </w:r>
    </w:p>
    <w:p>
      <w:pPr>
        <w:spacing w:after="120"/>
      </w:pPr>
      <w:r>
        <w:t xml:space="preserve">Direction score computed at −0.505. The conviction threshold is 0.25 in absolute terms; |−0.505| exceeds it, so Trade 1 is not suppressed. The three highest-magnitude contributions were short-term technical (−0.2500), Kaufman classification (−0.1125), and volatility regime (−0.0600), the last tying with medium-term regime. Cross-asset was the sole positive contributor at +0.0300, and its sign is recorded here because it is the one signal arguing against the trade.</w:t>
      </w:r>
    </w:p>
    <w:p>
      <w:pPr>
        <w:spacing w:after="120"/>
      </w:pPr>
      <w:r>
        <w:t xml:space="preserve">Regime fork: the regime label is TRANSITION, not TREND_DOWN and not RANGE. The range dual-gate cross-check was run as defence-in-depth and did not fire — the Kaufman ratio at 0.76 is far above the 0.13 trending threshold, so a RANGE label was never available. Under a TRANSITION label the complex trade forks to the momentum-pullback variant.</w:t>
      </w:r>
    </w:p>
    <w:p>
      <w:pPr>
        <w:spacing w:after="120"/>
      </w:pPr>
      <w:r>
        <w:t xml:space="preserve">Fibonacci swing anchor: the four-session default lookback was tested first. The most recent qualifying swing must have a magnitude of at least twice the ATR proxy — that is, at least 206.26 points. The swing from the 3 July high at 10,747.01 to the 9 July low at 10,419.22 has a magnitude of 327.79 points, or 3.18 ATR units, and qualifies at the default lookback. No extension beyond four sessions was required. The latest local low (9 July) is more recent than the latest local high (3 July), so the active swing is DOWN and retracements are measured from high down to low.</w:t>
      </w:r>
    </w:p>
    <w:p>
      <w:pPr>
        <w:spacing w:after="120"/>
      </w:pPr>
      <w:r>
        <w:t xml:space="preserve">Suppression reasons: none. Trade 1, Trade 2 and Trade 3 all constructed. Simultaneous opposing directions are permitted for this instance; none arose. All three cards inherit the single-source-indicative caveat on the weekly and monthly pivot frames, and no card places an entry or a stop on a level drawn from those frames.</w:t>
      </w:r>
    </w:p>
    <w:p>
      <w:pPr>
        <w:spacing w:after="120"/>
      </w:pPr>
      <w:r>
        <w:t xml:space="preserve">Backtest reconstruction notes: five sessions replayed. Two of the five sessions (6 and 7 July) carry indicative-only High and Low values, which means intraday stop and target resolution for those sessions cannot be determined to the standard required for a clean result. Those sessions are marked UNRESOLVABLE in §21c rather than being resolved against uncorroborated intraday extremes. The sentiment tilt was frozen at each historical session's value and was not permitted to leak backward from the 9 July reading.</w:t>
      </w:r>
    </w:p>
    <w:p>
      <w:pPr>
        <w:spacing w:after="120"/>
      </w:pPr>
      <w:r>
        <w:t xml:space="preserve">Anomalies: (1) The 8 July candle printed Open = High exactly. Verified, not a data error. (2) All four cross-asset counters contradict the primary technical read simultaneously — an unusual configuration, flagged in §10 and carried unresolved into §15 and §16. (3) One source reported the 9 July change as approximately −0.2% against two others reporting −0.57%; treated as directional confirmation only and excluded from the numeric build.</w:t>
      </w:r>
    </w:p>
    <w:p>
      <w:pPr>
        <w:pStyle w:val="Heading1"/>
        <w:spacing w:after="140" w:before="280"/>
      </w:pPr>
      <w:r>
        <w:t xml:space="preserve">§21  Strategy Recommendations</w:t>
      </w:r>
    </w:p>
    <w:p>
      <w:pPr>
        <w:pStyle w:val="Heading2"/>
        <w:spacing w:after="100" w:before="200"/>
      </w:pPr>
      <w:r>
        <w:t xml:space="preserve">§21a  Directional Conviction</w:t>
      </w:r>
    </w:p>
    <w:p>
      <w:pPr>
        <w:spacing w:after="120"/>
      </w:pPr>
      <w:r>
        <w:t xml:space="preserve">Direction: SHORT. Score: −0.505 against a conviction threshold of 0.25. The three highest-weighted contributing signals are the short-term technical bias, which contributed −0.2500 on the strength of three consecutive lower closes, an unfilled down-gap, and an RSI2 collapse to zero; the Kaufman efficiency classification, contributing −0.1125, which confirms the move is efficiently directional rather than choppy and thereby disqualifies the oversold oscillator as a fade signal; and the volatility regime, contributing −0.0600, where true range is expanding on down-candles and contracting on up-candles.</w:t>
      </w:r>
    </w:p>
    <w:p>
      <w:pPr>
        <w:spacing w:after="120"/>
      </w:pPr>
      <w:r>
        <w:t xml:space="preserve">This direction agrees with the §17 forecast. No conflict exists between the strategy direction and the forecast, and neither was adjusted to produce that agreement. The one signal arguing against the trade is cross-asset confirmation, the sole positive contributor at +0.0300, and it should be read as a genuine dissent rather than as noise: all four counters rose on the session the FTSE fell. Weights are at defaults and locked; this is forward-test session 1 of 20.</w:t>
      </w:r>
    </w:p>
    <w:p>
      <w:pPr>
        <w:pStyle w:val="Heading2"/>
        <w:spacing w:after="100" w:before="200"/>
      </w:pPr>
      <w:r>
        <w:t xml:space="preserve">§21b  Trade Cards</w:t>
      </w:r>
    </w:p>
    <w:p>
      <w:pPr>
        <w:spacing w:after="80" w:before="120"/>
      </w:pPr>
      <w:r>
        <w:rPr>
          <w:b/>
          <w:bCs/>
          <w:sz w:val="22"/>
          <w:szCs w:val="22"/>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E2F3" w:color="auto" w:val="clear"/>
          </w:tcPr>
          <w:p>
            <w:pPr>
              <w:spacing w:after="40" w:before="40"/>
            </w:pPr>
            <w:r>
              <w:rPr>
                <w:b/>
                <w:bCs/>
                <w:sz w:val="18"/>
                <w:szCs w:val="18"/>
              </w:rPr>
              <w:t xml:space="preserve">Field</w:t>
            </w:r>
          </w:p>
        </w:tc>
        <w:tc>
          <w:tcPr>
            <w:tcW w:type="dxa" w:w="7660"/>
            <w:shd w:fill="D9E2F3" w:color="auto" w:val="clear"/>
          </w:tcPr>
          <w:p>
            <w:pPr>
              <w:spacing w:after="40" w:before="40"/>
            </w:pPr>
            <w:r>
              <w:rPr>
                <w:b/>
                <w:bCs/>
                <w:sz w:val="18"/>
                <w:szCs w:val="18"/>
              </w:rPr>
              <w:t xml:space="preserve">Specification</w:t>
            </w:r>
          </w:p>
        </w:tc>
      </w:tr>
      <w:tr>
        <w:tc>
          <w:tcPr>
            <w:tcW w:type="dxa" w:w="1700"/>
          </w:tcPr>
          <w:p>
            <w:pPr>
              <w:spacing w:after="40" w:before="40"/>
            </w:pPr>
            <w:r>
              <w:rPr>
                <w:b w:val="false"/>
                <w:bCs w:val="false"/>
                <w:sz w:val="18"/>
                <w:szCs w:val="18"/>
              </w:rPr>
              <w:t xml:space="preserve">Trade type</w:t>
            </w:r>
          </w:p>
        </w:tc>
        <w:tc>
          <w:tcPr>
            <w:tcW w:type="dxa" w:w="7660"/>
          </w:tcPr>
          <w:p>
            <w:pPr>
              <w:spacing w:after="40" w:before="40"/>
            </w:pPr>
            <w:r>
              <w:rPr>
                <w:b w:val="false"/>
                <w:bCs w:val="false"/>
                <w:sz w:val="18"/>
                <w:szCs w:val="18"/>
              </w:rPr>
              <w:t xml:space="preserve">Trade 1 — Daily Directional</w:t>
            </w:r>
          </w:p>
        </w:tc>
      </w:tr>
      <w:tr>
        <w:tc>
          <w:tcPr>
            <w:tcW w:type="dxa" w:w="1700"/>
          </w:tcPr>
          <w:p>
            <w:pPr>
              <w:spacing w:after="40" w:before="40"/>
            </w:pPr>
            <w:r>
              <w:rPr>
                <w:b w:val="false"/>
                <w:bCs w:val="false"/>
                <w:sz w:val="18"/>
                <w:szCs w:val="18"/>
              </w:rPr>
              <w:t xml:space="preserve">Direction</w:t>
            </w:r>
          </w:p>
        </w:tc>
        <w:tc>
          <w:tcPr>
            <w:tcW w:type="dxa" w:w="7660"/>
          </w:tcPr>
          <w:p>
            <w:pPr>
              <w:spacing w:after="40" w:before="40"/>
            </w:pPr>
            <w:r>
              <w:rPr>
                <w:b w:val="false"/>
                <w:bCs w:val="false"/>
                <w:sz w:val="18"/>
                <w:szCs w:val="18"/>
              </w:rPr>
              <w:t xml:space="preserve">SHORT — TRANSITION regime with an efficiently trending short-term downside sequence</w:t>
            </w:r>
          </w:p>
        </w:tc>
      </w:tr>
      <w:tr>
        <w:tc>
          <w:tcPr>
            <w:tcW w:type="dxa" w:w="1700"/>
          </w:tcPr>
          <w:p>
            <w:pPr>
              <w:spacing w:after="40" w:before="40"/>
            </w:pPr>
            <w:r>
              <w:rPr>
                <w:b w:val="false"/>
                <w:bCs w:val="false"/>
                <w:sz w:val="18"/>
                <w:szCs w:val="18"/>
              </w:rPr>
              <w:t xml:space="preserve">Entry</w:t>
            </w:r>
          </w:p>
        </w:tc>
        <w:tc>
          <w:tcPr>
            <w:tcW w:type="dxa" w:w="7660"/>
          </w:tcPr>
          <w:p>
            <w:pPr>
              <w:spacing w:after="40" w:before="40"/>
            </w:pPr>
            <w:r>
              <w:rPr>
                <w:b w:val="false"/>
                <w:bCs w:val="false"/>
                <w:sz w:val="18"/>
                <w:szCs w:val="18"/>
              </w:rPr>
              <w:t xml:space="preserve">10,429.22 (1,042,922 points). Market or just-fillable order at the 07:00 UK anchor, 10 July 2026.</w:t>
            </w:r>
          </w:p>
        </w:tc>
      </w:tr>
      <w:tr>
        <w:tc>
          <w:tcPr>
            <w:tcW w:type="dxa" w:w="1700"/>
          </w:tcPr>
          <w:p>
            <w:pPr>
              <w:spacing w:after="40" w:before="40"/>
            </w:pPr>
            <w:r>
              <w:rPr>
                <w:b w:val="false"/>
                <w:bCs w:val="false"/>
                <w:sz w:val="18"/>
                <w:szCs w:val="18"/>
              </w:rPr>
              <w:t xml:space="preserve">Stop loss</w:t>
            </w:r>
          </w:p>
        </w:tc>
        <w:tc>
          <w:tcPr>
            <w:tcW w:type="dxa" w:w="7660"/>
          </w:tcPr>
          <w:p>
            <w:pPr>
              <w:spacing w:after="40" w:before="40"/>
            </w:pPr>
            <w:r>
              <w:rPr>
                <w:b w:val="false"/>
                <w:bCs w:val="false"/>
                <w:sz w:val="18"/>
                <w:szCs w:val="18"/>
              </w:rPr>
              <w:t xml:space="preserve">10,461.58 — 32.36 points above entry. Structural anchor: the daily central pivot at 10,435.80 plus a 0.25 ATR buffer of 25.78 points. This was the tighter of the two permitted anchors; the five-session swing high at 10,747.01 plus buffer would have placed the stop 343.57 points away. Within the 3.5 ATR cap of 360.95 points.</w:t>
            </w:r>
          </w:p>
        </w:tc>
      </w:tr>
      <w:tr>
        <w:tc>
          <w:tcPr>
            <w:tcW w:type="dxa" w:w="1700"/>
          </w:tcPr>
          <w:p>
            <w:pPr>
              <w:spacing w:after="40" w:before="40"/>
            </w:pPr>
            <w:r>
              <w:rPr>
                <w:b w:val="false"/>
                <w:bCs w:val="false"/>
                <w:sz w:val="18"/>
                <w:szCs w:val="18"/>
              </w:rPr>
              <w:t xml:space="preserve">Risk (R)</w:t>
            </w:r>
          </w:p>
        </w:tc>
        <w:tc>
          <w:tcPr>
            <w:tcW w:type="dxa" w:w="7660"/>
          </w:tcPr>
          <w:p>
            <w:pPr>
              <w:spacing w:after="40" w:before="40"/>
            </w:pPr>
            <w:r>
              <w:rPr>
                <w:b w:val="false"/>
                <w:bCs w:val="false"/>
                <w:sz w:val="18"/>
                <w:szCs w:val="18"/>
              </w:rPr>
              <w:t xml:space="preserve">32.36 points</w:t>
            </w:r>
          </w:p>
        </w:tc>
      </w:tr>
      <w:tr>
        <w:tc>
          <w:tcPr>
            <w:tcW w:type="dxa" w:w="1700"/>
          </w:tcPr>
          <w:p>
            <w:pPr>
              <w:spacing w:after="40" w:before="40"/>
            </w:pPr>
            <w:r>
              <w:rPr>
                <w:b w:val="false"/>
                <w:bCs w:val="false"/>
                <w:sz w:val="18"/>
                <w:szCs w:val="18"/>
              </w:rPr>
              <w:t xml:space="preserve">TP1 (Unit 1)</w:t>
            </w:r>
          </w:p>
        </w:tc>
        <w:tc>
          <w:tcPr>
            <w:tcW w:type="dxa" w:w="7660"/>
          </w:tcPr>
          <w:p>
            <w:pPr>
              <w:spacing w:after="40" w:before="40"/>
            </w:pPr>
            <w:r>
              <w:rPr>
                <w:b w:val="false"/>
                <w:bCs w:val="false"/>
                <w:sz w:val="18"/>
                <w:szCs w:val="18"/>
              </w:rPr>
              <w:t xml:space="preserve">10,396.86 — +1R</w:t>
            </w:r>
          </w:p>
        </w:tc>
      </w:tr>
      <w:tr>
        <w:tc>
          <w:tcPr>
            <w:tcW w:type="dxa" w:w="1700"/>
          </w:tcPr>
          <w:p>
            <w:pPr>
              <w:spacing w:after="40" w:before="40"/>
            </w:pPr>
            <w:r>
              <w:rPr>
                <w:b w:val="false"/>
                <w:bCs w:val="false"/>
                <w:sz w:val="18"/>
                <w:szCs w:val="18"/>
              </w:rPr>
              <w:t xml:space="preserve">TP2 (Unit 2)</w:t>
            </w:r>
          </w:p>
        </w:tc>
        <w:tc>
          <w:tcPr>
            <w:tcW w:type="dxa" w:w="7660"/>
          </w:tcPr>
          <w:p>
            <w:pPr>
              <w:spacing w:after="40" w:before="40"/>
            </w:pPr>
            <w:r>
              <w:rPr>
                <w:b w:val="false"/>
                <w:bCs w:val="false"/>
                <w:sz w:val="18"/>
                <w:szCs w:val="18"/>
              </w:rPr>
              <w:t xml:space="preserve">10,364.50 — +2R</w:t>
            </w:r>
          </w:p>
        </w:tc>
      </w:tr>
      <w:tr>
        <w:tc>
          <w:tcPr>
            <w:tcW w:type="dxa" w:w="1700"/>
          </w:tcPr>
          <w:p>
            <w:pPr>
              <w:spacing w:after="40" w:before="40"/>
            </w:pPr>
            <w:r>
              <w:rPr>
                <w:b w:val="false"/>
                <w:bCs w:val="false"/>
                <w:sz w:val="18"/>
                <w:szCs w:val="18"/>
              </w:rPr>
              <w:t xml:space="preserve">TP3 (Unit 3, runner)</w:t>
            </w:r>
          </w:p>
        </w:tc>
        <w:tc>
          <w:tcPr>
            <w:tcW w:type="dxa" w:w="7660"/>
          </w:tcPr>
          <w:p>
            <w:pPr>
              <w:spacing w:after="40" w:before="40"/>
            </w:pPr>
            <w:r>
              <w:rPr>
                <w:b w:val="false"/>
                <w:bCs w:val="false"/>
                <w:sz w:val="18"/>
                <w:szCs w:val="18"/>
              </w:rPr>
              <w:t xml:space="preserve">Time-stopped at the LSE session close, or price-stopped at 10,119.83, being 3 ATR from entry, whichever triggers first.</w:t>
            </w:r>
          </w:p>
        </w:tc>
      </w:tr>
      <w:tr>
        <w:tc>
          <w:tcPr>
            <w:tcW w:type="dxa" w:w="1700"/>
          </w:tcPr>
          <w:p>
            <w:pPr>
              <w:spacing w:after="40" w:before="40"/>
            </w:pPr>
            <w:r>
              <w:rPr>
                <w:b w:val="false"/>
                <w:bCs w:val="false"/>
                <w:sz w:val="18"/>
                <w:szCs w:val="18"/>
              </w:rPr>
              <w:t xml:space="preserve">Tranche management</w:t>
            </w:r>
          </w:p>
        </w:tc>
        <w:tc>
          <w:tcPr>
            <w:tcW w:type="dxa" w:w="7660"/>
          </w:tcPr>
          <w:p>
            <w:pPr>
              <w:spacing w:after="40" w:before="40"/>
            </w:pPr>
            <w:r>
              <w:rPr>
                <w:b w:val="false"/>
                <w:bCs w:val="false"/>
                <w:sz w:val="18"/>
                <w:szCs w:val="18"/>
              </w:rPr>
              <w:t xml:space="preserve">3 equal units. Unit 1 exits at TP1. Unit 2 exits at TP2. On Unit 2 fill, Unit 3 stop moves to entry + 0.2R, i.e. 10,435.69.</w:t>
            </w:r>
          </w:p>
        </w:tc>
      </w:tr>
      <w:tr>
        <w:tc>
          <w:tcPr>
            <w:tcW w:type="dxa" w:w="1700"/>
          </w:tcPr>
          <w:p>
            <w:pPr>
              <w:spacing w:after="40" w:before="40"/>
            </w:pPr>
            <w:r>
              <w:rPr>
                <w:b w:val="false"/>
                <w:bCs w:val="false"/>
                <w:sz w:val="18"/>
                <w:szCs w:val="18"/>
              </w:rPr>
              <w:t xml:space="preserve">Confluences</w:t>
            </w:r>
          </w:p>
        </w:tc>
        <w:tc>
          <w:tcPr>
            <w:tcW w:type="dxa" w:w="7660"/>
          </w:tcPr>
          <w:p>
            <w:pPr>
              <w:spacing w:after="40" w:before="40"/>
            </w:pPr>
            <w:r>
              <w:rPr>
                <w:b w:val="false"/>
                <w:bCs w:val="false"/>
                <w:sz w:val="18"/>
                <w:szCs w:val="18"/>
              </w:rPr>
              <w:t xml:space="preserve">Entry: daily central pivot at 10,435.80 sits 6.58 points above entry, within 0.15 ATR (15.47 points) — STRONG CONFLUENCE, and the round number 10,430 is within 1 point. Stop: R1.5 midpoint at 10,463.95 sits 2.37 points beyond the stop, within 0.15 ATR — the stop is placed just inside a structural level, which is the correct side of it. TP1: daily S2 at 10,396.07 is 0.79 points from target — STRONG CONFLUENCE. TP2: daily S3 at 10,372.91 is 8.41 points below TP2, within 0.15 ATR; the monthly central pivot at 10,379.56 is 14.94 points above it, also within 0.15 ATR — but the monthly frame is indicative only and cannot be cited as definitive.</w:t>
            </w:r>
          </w:p>
        </w:tc>
      </w:tr>
      <w:tr>
        <w:tc>
          <w:tcPr>
            <w:tcW w:type="dxa" w:w="1700"/>
          </w:tcPr>
          <w:p>
            <w:pPr>
              <w:spacing w:after="40" w:before="40"/>
            </w:pPr>
            <w:r>
              <w:rPr>
                <w:b w:val="false"/>
                <w:bCs w:val="false"/>
                <w:sz w:val="18"/>
                <w:szCs w:val="18"/>
              </w:rPr>
              <w:t xml:space="preserve">Thesis invalidation</w:t>
            </w:r>
          </w:p>
        </w:tc>
        <w:tc>
          <w:tcPr>
            <w:tcW w:type="dxa" w:w="7660"/>
          </w:tcPr>
          <w:p>
            <w:pPr>
              <w:spacing w:after="40" w:before="40"/>
            </w:pPr>
            <w:r>
              <w:rPr>
                <w:b w:val="false"/>
                <w:bCs w:val="false"/>
                <w:sz w:val="18"/>
                <w:szCs w:val="18"/>
              </w:rPr>
              <w:t xml:space="preserve">A close back above 10,491.98, approximately the 8 July close. This is distinct from and considerably beyond the stop. The stop protects capital against a normal adverse excursion; the invalidation level is where the argument itself fails, because above it the down-gap is filled and the two-session decline reduces to a shakeout.</w:t>
            </w:r>
          </w:p>
        </w:tc>
      </w:tr>
      <w:tr>
        <w:tc>
          <w:tcPr>
            <w:tcW w:type="dxa" w:w="1700"/>
          </w:tcPr>
          <w:p>
            <w:pPr>
              <w:spacing w:after="40" w:before="40"/>
            </w:pPr>
            <w:r>
              <w:rPr>
                <w:b w:val="false"/>
                <w:bCs w:val="false"/>
                <w:sz w:val="18"/>
                <w:szCs w:val="18"/>
              </w:rPr>
              <w:t xml:space="preserve">Sanity checks</w:t>
            </w:r>
          </w:p>
        </w:tc>
        <w:tc>
          <w:tcPr>
            <w:tcW w:type="dxa" w:w="7660"/>
          </w:tcPr>
          <w:p>
            <w:pPr>
              <w:spacing w:after="40" w:before="40"/>
            </w:pPr>
            <w:r>
              <w:rPr>
                <w:b w:val="false"/>
                <w:bCs w:val="false"/>
                <w:sz w:val="18"/>
                <w:szCs w:val="18"/>
              </w:rPr>
              <w:t xml:space="preserve">1R at 32.36 points is well under 1 ATR (103.13) — the stop is TIGHT, not wide, and the flag to raise is the inverse of the usual one: a 32-point stop on an index whose recent daily true range has run to 199 points will be hit by ordinary noise with high probability. 2R at 64.72 points is well under 3 ATR — TP2 is conservative, not ambitious. Position size should reflect stop-out probability, not merely stop distance.</w:t>
            </w:r>
          </w:p>
        </w:tc>
      </w:tr>
      <w:tr>
        <w:tc>
          <w:tcPr>
            <w:tcW w:type="dxa" w:w="1700"/>
          </w:tcPr>
          <w:p>
            <w:pPr>
              <w:spacing w:after="40" w:before="40"/>
            </w:pPr>
            <w:r>
              <w:rPr>
                <w:b w:val="false"/>
                <w:bCs w:val="false"/>
                <w:sz w:val="18"/>
                <w:szCs w:val="18"/>
              </w:rPr>
              <w:t xml:space="preserve">Caveats</w:t>
            </w:r>
          </w:p>
        </w:tc>
        <w:tc>
          <w:tcPr>
            <w:tcW w:type="dxa" w:w="7660"/>
          </w:tcPr>
          <w:p>
            <w:pPr>
              <w:spacing w:after="40" w:before="40"/>
            </w:pPr>
            <w:r>
              <w:rPr>
                <w:b w:val="false"/>
                <w:bCs w:val="false"/>
                <w:sz w:val="18"/>
                <w:szCs w:val="18"/>
              </w:rPr>
              <w:t xml:space="preserve">Weekly and monthly pivot frames are SINGLE-SOURCE INDICATIVE (see §19); no level in this card is drawn from either. The ATR figure is a five-session proxy, not a 14-session reading. The overnight geopolitical gap risk flagged in §13d can invalidate this trade without price trading through the stop.</w:t>
            </w:r>
          </w:p>
        </w:tc>
      </w:tr>
    </w:tbl>
    <w:p>
      <w:pPr>
        <w:spacing w:after="80" w:before="180"/>
      </w:pPr>
      <w:r>
        <w:rPr>
          <w:b/>
          <w:bCs/>
          <w:sz w:val="22"/>
          <w:szCs w:val="22"/>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E2F3" w:color="auto" w:val="clear"/>
          </w:tcPr>
          <w:p>
            <w:pPr>
              <w:spacing w:after="40" w:before="40"/>
            </w:pPr>
            <w:r>
              <w:rPr>
                <w:b/>
                <w:bCs/>
                <w:sz w:val="18"/>
                <w:szCs w:val="18"/>
              </w:rPr>
              <w:t xml:space="preserve">Field</w:t>
            </w:r>
          </w:p>
        </w:tc>
        <w:tc>
          <w:tcPr>
            <w:tcW w:type="dxa" w:w="7660"/>
            <w:shd w:fill="D9E2F3" w:color="auto" w:val="clear"/>
          </w:tcPr>
          <w:p>
            <w:pPr>
              <w:spacing w:after="40" w:before="40"/>
            </w:pPr>
            <w:r>
              <w:rPr>
                <w:b/>
                <w:bCs/>
                <w:sz w:val="18"/>
                <w:szCs w:val="18"/>
              </w:rPr>
              <w:t xml:space="preserve">Specification</w:t>
            </w:r>
          </w:p>
        </w:tc>
      </w:tr>
      <w:tr>
        <w:tc>
          <w:tcPr>
            <w:tcW w:type="dxa" w:w="1700"/>
          </w:tcPr>
          <w:p>
            <w:pPr>
              <w:spacing w:after="40" w:before="40"/>
            </w:pPr>
            <w:r>
              <w:rPr>
                <w:b w:val="false"/>
                <w:bCs w:val="false"/>
                <w:sz w:val="18"/>
                <w:szCs w:val="18"/>
              </w:rPr>
              <w:t xml:space="preserve">Trade type</w:t>
            </w:r>
          </w:p>
        </w:tc>
        <w:tc>
          <w:tcPr>
            <w:tcW w:type="dxa" w:w="7660"/>
          </w:tcPr>
          <w:p>
            <w:pPr>
              <w:spacing w:after="40" w:before="40"/>
            </w:pPr>
            <w:r>
              <w:rPr>
                <w:b w:val="false"/>
                <w:bCs w:val="false"/>
                <w:sz w:val="18"/>
                <w:szCs w:val="18"/>
              </w:rPr>
              <w:t xml:space="preserve">Trade 2 — Pivot, TRANSITION branch</w:t>
            </w:r>
          </w:p>
        </w:tc>
      </w:tr>
      <w:tr>
        <w:tc>
          <w:tcPr>
            <w:tcW w:type="dxa" w:w="1700"/>
          </w:tcPr>
          <w:p>
            <w:pPr>
              <w:spacing w:after="40" w:before="40"/>
            </w:pPr>
            <w:r>
              <w:rPr>
                <w:b w:val="false"/>
                <w:bCs w:val="false"/>
                <w:sz w:val="18"/>
                <w:szCs w:val="18"/>
              </w:rPr>
              <w:t xml:space="preserve">Direction</w:t>
            </w:r>
          </w:p>
        </w:tc>
        <w:tc>
          <w:tcPr>
            <w:tcW w:type="dxa" w:w="7660"/>
          </w:tcPr>
          <w:p>
            <w:pPr>
              <w:spacing w:after="40" w:before="40"/>
            </w:pPr>
            <w:r>
              <w:rPr>
                <w:b w:val="false"/>
                <w:bCs w:val="false"/>
                <w:sz w:val="18"/>
                <w:szCs w:val="18"/>
              </w:rPr>
              <w:t xml:space="preserve">SHORT — aligned to the direction score; the regime does not support a two-sided fade</w:t>
            </w:r>
          </w:p>
        </w:tc>
      </w:tr>
      <w:tr>
        <w:tc>
          <w:tcPr>
            <w:tcW w:type="dxa" w:w="1700"/>
          </w:tcPr>
          <w:p>
            <w:pPr>
              <w:spacing w:after="40" w:before="40"/>
            </w:pPr>
            <w:r>
              <w:rPr>
                <w:b w:val="false"/>
                <w:bCs w:val="false"/>
                <w:sz w:val="18"/>
                <w:szCs w:val="18"/>
              </w:rPr>
              <w:t xml:space="preserve">Entry</w:t>
            </w:r>
          </w:p>
        </w:tc>
        <w:tc>
          <w:tcPr>
            <w:tcW w:type="dxa" w:w="7660"/>
          </w:tcPr>
          <w:p>
            <w:pPr>
              <w:spacing w:after="40" w:before="40"/>
            </w:pPr>
            <w:r>
              <w:rPr>
                <w:b w:val="false"/>
                <w:bCs w:val="false"/>
                <w:sz w:val="18"/>
                <w:szCs w:val="18"/>
              </w:rPr>
              <w:t xml:space="preserve">Sell limit at 10,435.80, the daily central pivot. This is a retest-and-reject entry: it requires price to trade back up into the pivot from beneath. If the pre-open opens above the pivot, the trade does not trigger and is stood down for the session.</w:t>
            </w:r>
          </w:p>
        </w:tc>
      </w:tr>
      <w:tr>
        <w:tc>
          <w:tcPr>
            <w:tcW w:type="dxa" w:w="1700"/>
          </w:tcPr>
          <w:p>
            <w:pPr>
              <w:spacing w:after="40" w:before="40"/>
            </w:pPr>
            <w:r>
              <w:rPr>
                <w:b w:val="false"/>
                <w:bCs w:val="false"/>
                <w:sz w:val="18"/>
                <w:szCs w:val="18"/>
              </w:rPr>
              <w:t xml:space="preserve">Stop loss</w:t>
            </w:r>
          </w:p>
        </w:tc>
        <w:tc>
          <w:tcPr>
            <w:tcW w:type="dxa" w:w="7660"/>
          </w:tcPr>
          <w:p>
            <w:pPr>
              <w:spacing w:after="40" w:before="40"/>
            </w:pPr>
            <w:r>
              <w:rPr>
                <w:b w:val="false"/>
                <w:bCs w:val="false"/>
                <w:sz w:val="18"/>
                <w:szCs w:val="18"/>
              </w:rPr>
              <w:t xml:space="preserve">10,452.37 — 16.57 points above entry. Structural anchor: daily R1. A close-through of R1 means the pivot has been reclaimed, which is the specific event this trade is positioned against.</w:t>
            </w:r>
          </w:p>
        </w:tc>
      </w:tr>
      <w:tr>
        <w:tc>
          <w:tcPr>
            <w:tcW w:type="dxa" w:w="1700"/>
          </w:tcPr>
          <w:p>
            <w:pPr>
              <w:spacing w:after="40" w:before="40"/>
            </w:pPr>
            <w:r>
              <w:rPr>
                <w:b w:val="false"/>
                <w:bCs w:val="false"/>
                <w:sz w:val="18"/>
                <w:szCs w:val="18"/>
              </w:rPr>
              <w:t xml:space="preserve">Risk (R)</w:t>
            </w:r>
          </w:p>
        </w:tc>
        <w:tc>
          <w:tcPr>
            <w:tcW w:type="dxa" w:w="7660"/>
          </w:tcPr>
          <w:p>
            <w:pPr>
              <w:spacing w:after="40" w:before="40"/>
            </w:pPr>
            <w:r>
              <w:rPr>
                <w:b w:val="false"/>
                <w:bCs w:val="false"/>
                <w:sz w:val="18"/>
                <w:szCs w:val="18"/>
              </w:rPr>
              <w:t xml:space="preserve">16.57 points</w:t>
            </w:r>
          </w:p>
        </w:tc>
      </w:tr>
      <w:tr>
        <w:tc>
          <w:tcPr>
            <w:tcW w:type="dxa" w:w="1700"/>
          </w:tcPr>
          <w:p>
            <w:pPr>
              <w:spacing w:after="40" w:before="40"/>
            </w:pPr>
            <w:r>
              <w:rPr>
                <w:b w:val="false"/>
                <w:bCs w:val="false"/>
                <w:sz w:val="18"/>
                <w:szCs w:val="18"/>
              </w:rPr>
              <w:t xml:space="preserve">TP1 (Unit 1)</w:t>
            </w:r>
          </w:p>
        </w:tc>
        <w:tc>
          <w:tcPr>
            <w:tcW w:type="dxa" w:w="7660"/>
          </w:tcPr>
          <w:p>
            <w:pPr>
              <w:spacing w:after="40" w:before="40"/>
            </w:pPr>
            <w:r>
              <w:rPr>
                <w:b w:val="false"/>
                <w:bCs w:val="false"/>
                <w:sz w:val="18"/>
                <w:szCs w:val="18"/>
              </w:rPr>
              <w:t xml:space="preserve">10,419.23 — +1R. Coincides with the 9 July session low at 10,419.22.</w:t>
            </w:r>
          </w:p>
        </w:tc>
      </w:tr>
      <w:tr>
        <w:tc>
          <w:tcPr>
            <w:tcW w:type="dxa" w:w="1700"/>
          </w:tcPr>
          <w:p>
            <w:pPr>
              <w:spacing w:after="40" w:before="40"/>
            </w:pPr>
            <w:r>
              <w:rPr>
                <w:b w:val="false"/>
                <w:bCs w:val="false"/>
                <w:sz w:val="18"/>
                <w:szCs w:val="18"/>
              </w:rPr>
              <w:t xml:space="preserve">TP2 (Unit 2)</w:t>
            </w:r>
          </w:p>
        </w:tc>
        <w:tc>
          <w:tcPr>
            <w:tcW w:type="dxa" w:w="7660"/>
          </w:tcPr>
          <w:p>
            <w:pPr>
              <w:spacing w:after="40" w:before="40"/>
            </w:pPr>
            <w:r>
              <w:rPr>
                <w:b w:val="false"/>
                <w:bCs w:val="false"/>
                <w:sz w:val="18"/>
                <w:szCs w:val="18"/>
              </w:rPr>
              <w:t xml:space="preserve">10,402.66 — +2R</w:t>
            </w:r>
          </w:p>
        </w:tc>
      </w:tr>
      <w:tr>
        <w:tc>
          <w:tcPr>
            <w:tcW w:type="dxa" w:w="1700"/>
          </w:tcPr>
          <w:p>
            <w:pPr>
              <w:spacing w:after="40" w:before="40"/>
            </w:pPr>
            <w:r>
              <w:rPr>
                <w:b w:val="false"/>
                <w:bCs w:val="false"/>
                <w:sz w:val="18"/>
                <w:szCs w:val="18"/>
              </w:rPr>
              <w:t xml:space="preserve">TP3 (Unit 3, runner)</w:t>
            </w:r>
          </w:p>
        </w:tc>
        <w:tc>
          <w:tcPr>
            <w:tcW w:type="dxa" w:w="7660"/>
          </w:tcPr>
          <w:p>
            <w:pPr>
              <w:spacing w:after="40" w:before="40"/>
            </w:pPr>
            <w:r>
              <w:rPr>
                <w:b w:val="false"/>
                <w:bCs w:val="false"/>
                <w:sz w:val="18"/>
                <w:szCs w:val="18"/>
              </w:rPr>
              <w:t xml:space="preserve">Runs to daily S3 at 10,372.91, or to the pivot-trade runner rule at daily P, whichever is reached. In a TRANSITION regime the runner is not held into the close.</w:t>
            </w:r>
          </w:p>
        </w:tc>
      </w:tr>
      <w:tr>
        <w:tc>
          <w:tcPr>
            <w:tcW w:type="dxa" w:w="1700"/>
          </w:tcPr>
          <w:p>
            <w:pPr>
              <w:spacing w:after="40" w:before="40"/>
            </w:pPr>
            <w:r>
              <w:rPr>
                <w:b w:val="false"/>
                <w:bCs w:val="false"/>
                <w:sz w:val="18"/>
                <w:szCs w:val="18"/>
              </w:rPr>
              <w:t xml:space="preserve">Tranche management</w:t>
            </w:r>
          </w:p>
        </w:tc>
        <w:tc>
          <w:tcPr>
            <w:tcW w:type="dxa" w:w="7660"/>
          </w:tcPr>
          <w:p>
            <w:pPr>
              <w:spacing w:after="40" w:before="40"/>
            </w:pPr>
            <w:r>
              <w:rPr>
                <w:b w:val="false"/>
                <w:bCs w:val="false"/>
                <w:sz w:val="18"/>
                <w:szCs w:val="18"/>
              </w:rPr>
              <w:t xml:space="preserve">3 equal units. Unit 1 exits at TP1. Unit 2 exits at TP2. On Unit 2 fill, Unit 3 stop moves to entry + 0.2R, i.e. 10,439.11.</w:t>
            </w:r>
          </w:p>
        </w:tc>
      </w:tr>
      <w:tr>
        <w:tc>
          <w:tcPr>
            <w:tcW w:type="dxa" w:w="1700"/>
          </w:tcPr>
          <w:p>
            <w:pPr>
              <w:spacing w:after="40" w:before="40"/>
            </w:pPr>
            <w:r>
              <w:rPr>
                <w:b w:val="false"/>
                <w:bCs w:val="false"/>
                <w:sz w:val="18"/>
                <w:szCs w:val="18"/>
              </w:rPr>
              <w:t xml:space="preserve">Confluences</w:t>
            </w:r>
          </w:p>
        </w:tc>
        <w:tc>
          <w:tcPr>
            <w:tcW w:type="dxa" w:w="7660"/>
          </w:tcPr>
          <w:p>
            <w:pPr>
              <w:spacing w:after="40" w:before="40"/>
            </w:pPr>
            <w:r>
              <w:rPr>
                <w:b w:val="false"/>
                <w:bCs w:val="false"/>
                <w:sz w:val="18"/>
                <w:szCs w:val="18"/>
              </w:rPr>
              <w:t xml:space="preserve">Entry: the daily pivot itself. TP1: the 9 July session low at 10,419.22 is within 0.01 points of target — STRONG CONFLUENCE, and daily S1 at 10,412.64 is 6.59 points below, also within 0.15 ATR. TP2: daily S1.5 midpoint at 10,404.35 is 1.69 points from target — STRONG CONFLUENCE.</w:t>
            </w:r>
          </w:p>
        </w:tc>
      </w:tr>
      <w:tr>
        <w:tc>
          <w:tcPr>
            <w:tcW w:type="dxa" w:w="1700"/>
          </w:tcPr>
          <w:p>
            <w:pPr>
              <w:spacing w:after="40" w:before="40"/>
            </w:pPr>
            <w:r>
              <w:rPr>
                <w:b w:val="false"/>
                <w:bCs w:val="false"/>
                <w:sz w:val="18"/>
                <w:szCs w:val="18"/>
              </w:rPr>
              <w:t xml:space="preserve">Thesis invalidation</w:t>
            </w:r>
          </w:p>
        </w:tc>
        <w:tc>
          <w:tcPr>
            <w:tcW w:type="dxa" w:w="7660"/>
          </w:tcPr>
          <w:p>
            <w:pPr>
              <w:spacing w:after="40" w:before="40"/>
            </w:pPr>
            <w:r>
              <w:rPr>
                <w:b w:val="false"/>
                <w:bCs w:val="false"/>
                <w:sz w:val="18"/>
                <w:szCs w:val="18"/>
              </w:rPr>
              <w:t xml:space="preserve">A daily close back above the pivot at 10,435.80. This coincides in level with a stop-out region but is recorded distinctly: the stop is a 16.57-point intraday excursion; the invalidation is a settlement above the pivot.</w:t>
            </w:r>
          </w:p>
        </w:tc>
      </w:tr>
      <w:tr>
        <w:tc>
          <w:tcPr>
            <w:tcW w:type="dxa" w:w="1700"/>
          </w:tcPr>
          <w:p>
            <w:pPr>
              <w:spacing w:after="40" w:before="40"/>
            </w:pPr>
            <w:r>
              <w:rPr>
                <w:b w:val="false"/>
                <w:bCs w:val="false"/>
                <w:sz w:val="18"/>
                <w:szCs w:val="18"/>
              </w:rPr>
              <w:t xml:space="preserve">Sanity checks</w:t>
            </w:r>
          </w:p>
        </w:tc>
        <w:tc>
          <w:tcPr>
            <w:tcW w:type="dxa" w:w="7660"/>
          </w:tcPr>
          <w:p>
            <w:pPr>
              <w:spacing w:after="40" w:before="40"/>
            </w:pPr>
            <w:r>
              <w:rPr>
                <w:b w:val="false"/>
                <w:bCs w:val="false"/>
                <w:sz w:val="18"/>
                <w:szCs w:val="18"/>
              </w:rPr>
              <w:t xml:space="preserve">1R at 16.57 points is very tight relative to a 103.13-point ATR proxy. The reward-to-noise ratio on this card is unfavourable in absolute terms and it is included because the entry is structurally precise, not because the risk is comfortable. Stop-out probability is high.</w:t>
            </w:r>
          </w:p>
        </w:tc>
      </w:tr>
      <w:tr>
        <w:tc>
          <w:tcPr>
            <w:tcW w:type="dxa" w:w="1700"/>
          </w:tcPr>
          <w:p>
            <w:pPr>
              <w:spacing w:after="40" w:before="40"/>
            </w:pPr>
            <w:r>
              <w:rPr>
                <w:b w:val="false"/>
                <w:bCs w:val="false"/>
                <w:sz w:val="18"/>
                <w:szCs w:val="18"/>
              </w:rPr>
              <w:t xml:space="preserve">Caveats</w:t>
            </w:r>
          </w:p>
        </w:tc>
        <w:tc>
          <w:tcPr>
            <w:tcW w:type="dxa" w:w="7660"/>
          </w:tcPr>
          <w:p>
            <w:pPr>
              <w:spacing w:after="40" w:before="40"/>
            </w:pPr>
            <w:r>
              <w:rPr>
                <w:b w:val="false"/>
                <w:bCs w:val="false"/>
                <w:sz w:val="18"/>
                <w:szCs w:val="18"/>
              </w:rPr>
              <w:t xml:space="preserve">Conditional entry — does not trigger on a gap-down open, which is a plausible scenario given §13d. Inherits the indicative-only flag on the weekly and monthly frames; no level in this card is drawn from them.</w:t>
            </w:r>
          </w:p>
        </w:tc>
      </w:tr>
    </w:tbl>
    <w:p>
      <w:pPr>
        <w:spacing w:after="80" w:before="180"/>
      </w:pPr>
      <w:r>
        <w:rPr>
          <w:b/>
          <w:bCs/>
          <w:sz w:val="22"/>
          <w:szCs w:val="22"/>
        </w:rPr>
        <w:t xml:space="preserve">Trade 3 — Momentum-Pullback (variant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E2F3" w:color="auto" w:val="clear"/>
          </w:tcPr>
          <w:p>
            <w:pPr>
              <w:spacing w:after="40" w:before="40"/>
            </w:pPr>
            <w:r>
              <w:rPr>
                <w:b/>
                <w:bCs/>
                <w:sz w:val="18"/>
                <w:szCs w:val="18"/>
              </w:rPr>
              <w:t xml:space="preserve">Field</w:t>
            </w:r>
          </w:p>
        </w:tc>
        <w:tc>
          <w:tcPr>
            <w:tcW w:type="dxa" w:w="7660"/>
            <w:shd w:fill="D9E2F3" w:color="auto" w:val="clear"/>
          </w:tcPr>
          <w:p>
            <w:pPr>
              <w:spacing w:after="40" w:before="40"/>
            </w:pPr>
            <w:r>
              <w:rPr>
                <w:b/>
                <w:bCs/>
                <w:sz w:val="18"/>
                <w:szCs w:val="18"/>
              </w:rPr>
              <w:t xml:space="preserve">Specification</w:t>
            </w:r>
          </w:p>
        </w:tc>
      </w:tr>
      <w:tr>
        <w:tc>
          <w:tcPr>
            <w:tcW w:type="dxa" w:w="1700"/>
          </w:tcPr>
          <w:p>
            <w:pPr>
              <w:spacing w:after="40" w:before="40"/>
            </w:pPr>
            <w:r>
              <w:rPr>
                <w:b w:val="false"/>
                <w:bCs w:val="false"/>
                <w:sz w:val="18"/>
                <w:szCs w:val="18"/>
              </w:rPr>
              <w:t xml:space="preserve">Trade type</w:t>
            </w:r>
          </w:p>
        </w:tc>
        <w:tc>
          <w:tcPr>
            <w:tcW w:type="dxa" w:w="7660"/>
          </w:tcPr>
          <w:p>
            <w:pPr>
              <w:spacing w:after="40" w:before="40"/>
            </w:pPr>
            <w:r>
              <w:rPr>
                <w:b w:val="false"/>
                <w:bCs w:val="false"/>
                <w:sz w:val="18"/>
                <w:szCs w:val="18"/>
              </w:rPr>
              <w:t xml:space="preserve">Trade 3A — Momentum-Pullback. The TRANSITION regime with a qualifying swing forks here rather than to mean-reversion (3B) or breakout (3C).</w:t>
            </w:r>
          </w:p>
        </w:tc>
      </w:tr>
      <w:tr>
        <w:tc>
          <w:tcPr>
            <w:tcW w:type="dxa" w:w="1700"/>
          </w:tcPr>
          <w:p>
            <w:pPr>
              <w:spacing w:after="40" w:before="40"/>
            </w:pPr>
            <w:r>
              <w:rPr>
                <w:b w:val="false"/>
                <w:bCs w:val="false"/>
                <w:sz w:val="18"/>
                <w:szCs w:val="18"/>
              </w:rPr>
              <w:t xml:space="preserve">Direction</w:t>
            </w:r>
          </w:p>
        </w:tc>
        <w:tc>
          <w:tcPr>
            <w:tcW w:type="dxa" w:w="7660"/>
          </w:tcPr>
          <w:p>
            <w:pPr>
              <w:spacing w:after="40" w:before="40"/>
            </w:pPr>
            <w:r>
              <w:rPr>
                <w:b w:val="false"/>
                <w:bCs w:val="false"/>
                <w:sz w:val="18"/>
                <w:szCs w:val="18"/>
              </w:rPr>
              <w:t xml:space="preserve">SHORT — retracement entry against an active down-swing</w:t>
            </w:r>
          </w:p>
        </w:tc>
      </w:tr>
      <w:tr>
        <w:tc>
          <w:tcPr>
            <w:tcW w:type="dxa" w:w="1700"/>
          </w:tcPr>
          <w:p>
            <w:pPr>
              <w:spacing w:after="40" w:before="40"/>
            </w:pPr>
            <w:r>
              <w:rPr>
                <w:b w:val="false"/>
                <w:bCs w:val="false"/>
                <w:sz w:val="18"/>
                <w:szCs w:val="18"/>
              </w:rPr>
              <w:t xml:space="preserve">Swing anchor</w:t>
            </w:r>
          </w:p>
        </w:tc>
        <w:tc>
          <w:tcPr>
            <w:tcW w:type="dxa" w:w="7660"/>
          </w:tcPr>
          <w:p>
            <w:pPr>
              <w:spacing w:after="40" w:before="40"/>
            </w:pPr>
            <w:r>
              <w:rPr>
                <w:b w:val="false"/>
                <w:bCs w:val="false"/>
                <w:sz w:val="18"/>
                <w:szCs w:val="18"/>
              </w:rPr>
              <w:t xml:space="preserve">3 July high 10,747.01 (0% anchor) down to 9 July low 10,419.22 (100% anchor). Magnitude 327.79 points = 3.18 ATR units, comfortably above the 2 ATR qualification bar. Lookback actually used: 4 sessions, the configured default; no adaptive extension was required. Active swing direction: DOWN, because the latest local low is more recent than the latest local high.</w:t>
            </w:r>
          </w:p>
        </w:tc>
      </w:tr>
      <w:tr>
        <w:tc>
          <w:tcPr>
            <w:tcW w:type="dxa" w:w="1700"/>
          </w:tcPr>
          <w:p>
            <w:pPr>
              <w:spacing w:after="40" w:before="40"/>
            </w:pPr>
            <w:r>
              <w:rPr>
                <w:b w:val="false"/>
                <w:bCs w:val="false"/>
                <w:sz w:val="18"/>
                <w:szCs w:val="18"/>
              </w:rPr>
              <w:t xml:space="preserve">Entry</w:t>
            </w:r>
          </w:p>
        </w:tc>
        <w:tc>
          <w:tcPr>
            <w:tcW w:type="dxa" w:w="7660"/>
          </w:tcPr>
          <w:p>
            <w:pPr>
              <w:spacing w:after="40" w:before="40"/>
            </w:pPr>
            <w:r>
              <w:rPr>
                <w:b w:val="false"/>
                <w:bCs w:val="false"/>
                <w:sz w:val="18"/>
                <w:szCs w:val="18"/>
              </w:rPr>
              <w:t xml:space="preserve">Sell limit at 10,544.44, the 38.2% retracement of the active down-swing. A shallower 23.6% entry at 10,496.58 sits within 5 points of the thesis-invalidation level and is rejected on that basis.</w:t>
            </w:r>
          </w:p>
        </w:tc>
      </w:tr>
      <w:tr>
        <w:tc>
          <w:tcPr>
            <w:tcW w:type="dxa" w:w="1700"/>
          </w:tcPr>
          <w:p>
            <w:pPr>
              <w:spacing w:after="40" w:before="40"/>
            </w:pPr>
            <w:r>
              <w:rPr>
                <w:b w:val="false"/>
                <w:bCs w:val="false"/>
                <w:sz w:val="18"/>
                <w:szCs w:val="18"/>
              </w:rPr>
              <w:t xml:space="preserve">Stop loss</w:t>
            </w:r>
          </w:p>
        </w:tc>
        <w:tc>
          <w:tcPr>
            <w:tcW w:type="dxa" w:w="7660"/>
          </w:tcPr>
          <w:p>
            <w:pPr>
              <w:spacing w:after="40" w:before="40"/>
            </w:pPr>
            <w:r>
              <w:rPr>
                <w:b w:val="false"/>
                <w:bCs w:val="false"/>
                <w:sz w:val="18"/>
                <w:szCs w:val="18"/>
              </w:rPr>
              <w:t xml:space="preserve">10,583.51 — 39.07 points above entry. Structural anchor: the 50% retracement at 10,583.12 plus a small buffer. A trade through the 50% level negates the momentum-pullback premise, which requires the retracement to remain shallow. Distance is well within the 3.5 ATR cap.</w:t>
            </w:r>
          </w:p>
        </w:tc>
      </w:tr>
      <w:tr>
        <w:tc>
          <w:tcPr>
            <w:tcW w:type="dxa" w:w="1700"/>
          </w:tcPr>
          <w:p>
            <w:pPr>
              <w:spacing w:after="40" w:before="40"/>
            </w:pPr>
            <w:r>
              <w:rPr>
                <w:b w:val="false"/>
                <w:bCs w:val="false"/>
                <w:sz w:val="18"/>
                <w:szCs w:val="18"/>
              </w:rPr>
              <w:t xml:space="preserve">Risk (R)</w:t>
            </w:r>
          </w:p>
        </w:tc>
        <w:tc>
          <w:tcPr>
            <w:tcW w:type="dxa" w:w="7660"/>
          </w:tcPr>
          <w:p>
            <w:pPr>
              <w:spacing w:after="40" w:before="40"/>
            </w:pPr>
            <w:r>
              <w:rPr>
                <w:b w:val="false"/>
                <w:bCs w:val="false"/>
                <w:sz w:val="18"/>
                <w:szCs w:val="18"/>
              </w:rPr>
              <w:t xml:space="preserve">39.07 points</w:t>
            </w:r>
          </w:p>
        </w:tc>
      </w:tr>
      <w:tr>
        <w:tc>
          <w:tcPr>
            <w:tcW w:type="dxa" w:w="1700"/>
          </w:tcPr>
          <w:p>
            <w:pPr>
              <w:spacing w:after="40" w:before="40"/>
            </w:pPr>
            <w:r>
              <w:rPr>
                <w:b w:val="false"/>
                <w:bCs w:val="false"/>
                <w:sz w:val="18"/>
                <w:szCs w:val="18"/>
              </w:rPr>
              <w:t xml:space="preserve">TP1 (Unit 1)</w:t>
            </w:r>
          </w:p>
        </w:tc>
        <w:tc>
          <w:tcPr>
            <w:tcW w:type="dxa" w:w="7660"/>
          </w:tcPr>
          <w:p>
            <w:pPr>
              <w:spacing w:after="40" w:before="40"/>
            </w:pPr>
            <w:r>
              <w:rPr>
                <w:b w:val="false"/>
                <w:bCs w:val="false"/>
                <w:sz w:val="18"/>
                <w:szCs w:val="18"/>
              </w:rPr>
              <w:t xml:space="preserve">10,419.22 — the 100% swing anchor and the 9 July low. Structural target, equivalent to +3.2R.</w:t>
            </w:r>
          </w:p>
        </w:tc>
      </w:tr>
      <w:tr>
        <w:tc>
          <w:tcPr>
            <w:tcW w:type="dxa" w:w="1700"/>
          </w:tcPr>
          <w:p>
            <w:pPr>
              <w:spacing w:after="40" w:before="40"/>
            </w:pPr>
            <w:r>
              <w:rPr>
                <w:b w:val="false"/>
                <w:bCs w:val="false"/>
                <w:sz w:val="18"/>
                <w:szCs w:val="18"/>
              </w:rPr>
              <w:t xml:space="preserve">TP2 (Unit 2)</w:t>
            </w:r>
          </w:p>
        </w:tc>
        <w:tc>
          <w:tcPr>
            <w:tcW w:type="dxa" w:w="7660"/>
          </w:tcPr>
          <w:p>
            <w:pPr>
              <w:spacing w:after="40" w:before="40"/>
            </w:pPr>
            <w:r>
              <w:rPr>
                <w:b w:val="false"/>
                <w:bCs w:val="false"/>
                <w:sz w:val="18"/>
                <w:szCs w:val="18"/>
              </w:rPr>
              <w:t xml:space="preserve">10,344.44 — the 123.6% extension. Structural target.</w:t>
            </w:r>
          </w:p>
        </w:tc>
      </w:tr>
      <w:tr>
        <w:tc>
          <w:tcPr>
            <w:tcW w:type="dxa" w:w="1700"/>
          </w:tcPr>
          <w:p>
            <w:pPr>
              <w:spacing w:after="40" w:before="40"/>
            </w:pPr>
            <w:r>
              <w:rPr>
                <w:b w:val="false"/>
                <w:bCs w:val="false"/>
                <w:sz w:val="18"/>
                <w:szCs w:val="18"/>
              </w:rPr>
              <w:t xml:space="preserve">TP3 (Unit 3, runner)</w:t>
            </w:r>
          </w:p>
        </w:tc>
        <w:tc>
          <w:tcPr>
            <w:tcW w:type="dxa" w:w="7660"/>
          </w:tcPr>
          <w:p>
            <w:pPr>
              <w:spacing w:after="40" w:before="40"/>
            </w:pPr>
            <w:r>
              <w:rPr>
                <w:b w:val="false"/>
                <w:bCs w:val="false"/>
                <w:sz w:val="18"/>
                <w:szCs w:val="18"/>
              </w:rPr>
              <w:t xml:space="preserve">10,224.32 — the 161.8% extension. Structural runner override applies: on a confirmed break of the 100% extension, the Unit 3 stop moves to halfway between entry and the 0% anchor, i.e. 10,645.73 — note this is a widening, and it is the specified rule.</w:t>
            </w:r>
          </w:p>
        </w:tc>
      </w:tr>
      <w:tr>
        <w:tc>
          <w:tcPr>
            <w:tcW w:type="dxa" w:w="1700"/>
          </w:tcPr>
          <w:p>
            <w:pPr>
              <w:spacing w:after="40" w:before="40"/>
            </w:pPr>
            <w:r>
              <w:rPr>
                <w:b w:val="false"/>
                <w:bCs w:val="false"/>
                <w:sz w:val="18"/>
                <w:szCs w:val="18"/>
              </w:rPr>
              <w:t xml:space="preserve">Tranche management</w:t>
            </w:r>
          </w:p>
        </w:tc>
        <w:tc>
          <w:tcPr>
            <w:tcW w:type="dxa" w:w="7660"/>
          </w:tcPr>
          <w:p>
            <w:pPr>
              <w:spacing w:after="40" w:before="40"/>
            </w:pPr>
            <w:r>
              <w:rPr>
                <w:b w:val="false"/>
                <w:bCs w:val="false"/>
                <w:sz w:val="18"/>
                <w:szCs w:val="18"/>
              </w:rPr>
              <w:t xml:space="preserve">3 equal units. Unit 1 exits at TP1. Unit 2 exits at TP2. On Unit 2 fill, Unit 3 stop moves to entry + 0.2R, i.e. 10,552.25. The 3A structural runner override supersedes on a 100%-extension break.</w:t>
            </w:r>
          </w:p>
        </w:tc>
      </w:tr>
      <w:tr>
        <w:tc>
          <w:tcPr>
            <w:tcW w:type="dxa" w:w="1700"/>
          </w:tcPr>
          <w:p>
            <w:pPr>
              <w:spacing w:after="40" w:before="40"/>
            </w:pPr>
            <w:r>
              <w:rPr>
                <w:b w:val="false"/>
                <w:bCs w:val="false"/>
                <w:sz w:val="18"/>
                <w:szCs w:val="18"/>
              </w:rPr>
              <w:t xml:space="preserve">Confluences</w:t>
            </w:r>
          </w:p>
        </w:tc>
        <w:tc>
          <w:tcPr>
            <w:tcW w:type="dxa" w:w="7660"/>
          </w:tcPr>
          <w:p>
            <w:pPr>
              <w:spacing w:after="40" w:before="40"/>
            </w:pPr>
            <w:r>
              <w:rPr>
                <w:b w:val="false"/>
                <w:bCs w:val="false"/>
                <w:sz w:val="18"/>
                <w:szCs w:val="18"/>
              </w:rPr>
              <w:t xml:space="preserve">Entry: daily R5 at 10,571.56 sits 27.12 points above the entry — outside the 0.15 ATR band, so no confluence support at entry. This is a weakness of the card and is stated rather than glossed. Stop: no daily level within 0.15 ATR. TP1: the 9 July session low, the swing anchor, and daily support all coincide — STRONG CONFLUENCE. TP2: daily S4 at 10,333.18 is 11.26 points below target, within 0.15 ATR.</w:t>
            </w:r>
          </w:p>
        </w:tc>
      </w:tr>
      <w:tr>
        <w:tc>
          <w:tcPr>
            <w:tcW w:type="dxa" w:w="1700"/>
          </w:tcPr>
          <w:p>
            <w:pPr>
              <w:spacing w:after="40" w:before="40"/>
            </w:pPr>
            <w:r>
              <w:rPr>
                <w:b w:val="false"/>
                <w:bCs w:val="false"/>
                <w:sz w:val="18"/>
                <w:szCs w:val="18"/>
              </w:rPr>
              <w:t xml:space="preserve">Thesis invalidation</w:t>
            </w:r>
          </w:p>
        </w:tc>
        <w:tc>
          <w:tcPr>
            <w:tcW w:type="dxa" w:w="7660"/>
          </w:tcPr>
          <w:p>
            <w:pPr>
              <w:spacing w:after="40" w:before="40"/>
            </w:pPr>
            <w:r>
              <w:rPr>
                <w:b w:val="false"/>
                <w:bCs w:val="false"/>
                <w:sz w:val="18"/>
                <w:szCs w:val="18"/>
              </w:rPr>
              <w:t xml:space="preserve">A close above the 50% retracement at 10,583.12. Above the midpoint of the swing, a 'pullback' is no longer a pullback — it is a reversal, and the momentum premise is void. This coincides with the stop and is recorded explicitly as coinciding.</w:t>
            </w:r>
          </w:p>
        </w:tc>
      </w:tr>
      <w:tr>
        <w:tc>
          <w:tcPr>
            <w:tcW w:type="dxa" w:w="1700"/>
          </w:tcPr>
          <w:p>
            <w:pPr>
              <w:spacing w:after="40" w:before="40"/>
            </w:pPr>
            <w:r>
              <w:rPr>
                <w:b w:val="false"/>
                <w:bCs w:val="false"/>
                <w:sz w:val="18"/>
                <w:szCs w:val="18"/>
              </w:rPr>
              <w:t xml:space="preserve">Sanity checks</w:t>
            </w:r>
          </w:p>
        </w:tc>
        <w:tc>
          <w:tcPr>
            <w:tcW w:type="dxa" w:w="7660"/>
          </w:tcPr>
          <w:p>
            <w:pPr>
              <w:spacing w:after="40" w:before="40"/>
            </w:pPr>
            <w:r>
              <w:rPr>
                <w:b w:val="false"/>
                <w:bCs w:val="false"/>
                <w:sz w:val="18"/>
                <w:szCs w:val="18"/>
              </w:rPr>
              <w:t xml:space="preserve">Entry sits 115.22 points above the current close and requires a substantial counter-trend rally to fill. This trade will most likely never trigger. That is not a defect: it is a limit order positioned where the momentum thesis would offer its best risk-adjusted expression, and an untriggered card costs nothing. Reward-to-risk at TP1 is approximately 3.2:1, materially better than Trades 1 and 2.</w:t>
            </w:r>
          </w:p>
        </w:tc>
      </w:tr>
      <w:tr>
        <w:tc>
          <w:tcPr>
            <w:tcW w:type="dxa" w:w="1700"/>
          </w:tcPr>
          <w:p>
            <w:pPr>
              <w:spacing w:after="40" w:before="40"/>
            </w:pPr>
            <w:r>
              <w:rPr>
                <w:b w:val="false"/>
                <w:bCs w:val="false"/>
                <w:sz w:val="18"/>
                <w:szCs w:val="18"/>
              </w:rPr>
              <w:t xml:space="preserve">Caveats</w:t>
            </w:r>
          </w:p>
        </w:tc>
        <w:tc>
          <w:tcPr>
            <w:tcW w:type="dxa" w:w="7660"/>
          </w:tcPr>
          <w:p>
            <w:pPr>
              <w:spacing w:after="40" w:before="40"/>
            </w:pPr>
            <w:r>
              <w:rPr>
                <w:b w:val="false"/>
                <w:bCs w:val="false"/>
                <w:sz w:val="18"/>
                <w:szCs w:val="18"/>
              </w:rPr>
              <w:t xml:space="preserve">Requires a counter-trend rally to fill and is therefore exposed to the risk that the bounce, once begun, does not stop at 38.2%. The favourable reward ratio exists precisely because the entry is improbable. Inherits the indicative-only flag on weekly and monthly frames; no level here derives from them.</w:t>
            </w:r>
          </w:p>
        </w:tc>
      </w:tr>
    </w:tbl>
    <w:p>
      <w:pPr>
        <w:pStyle w:val="Heading2"/>
        <w:spacing w:after="100" w:before="200"/>
      </w:pPr>
      <w:r>
        <w:t xml:space="preserve">§21c  Five-Session No-Leakage Backtest</w:t>
      </w:r>
    </w:p>
    <w:p>
      <w:pPr>
        <w:spacing w:after="120"/>
      </w:pPr>
      <w:r>
        <w:t xml:space="preserve">Each prior session is replayed using only the information available at that session's 07:00 UK anchor. The sentiment tilt is frozen at its contemporaneous value. No forward information is permitted to influence entry, direction, 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200"/>
        <w:gridCol w:w="1050"/>
        <w:gridCol w:w="1050"/>
        <w:gridCol w:w="2160"/>
        <w:gridCol w:w="1100"/>
      </w:tblGrid>
      <w:tr>
        <w:tc>
          <w:tcPr>
            <w:tcW w:type="dxa" w:w="900"/>
            <w:shd w:fill="D9E2F3" w:color="auto" w:val="clear"/>
          </w:tcPr>
          <w:p>
            <w:pPr>
              <w:spacing w:after="40" w:before="40"/>
            </w:pPr>
            <w:r>
              <w:rPr>
                <w:b/>
                <w:bCs/>
                <w:sz w:val="18"/>
                <w:szCs w:val="18"/>
              </w:rPr>
              <w:t xml:space="preserve">Date</w:t>
            </w:r>
          </w:p>
        </w:tc>
        <w:tc>
          <w:tcPr>
            <w:tcW w:type="dxa" w:w="1000"/>
            <w:shd w:fill="D9E2F3" w:color="auto" w:val="clear"/>
          </w:tcPr>
          <w:p>
            <w:pPr>
              <w:spacing w:after="40" w:before="40"/>
            </w:pPr>
            <w:r>
              <w:rPr>
                <w:b/>
                <w:bCs/>
                <w:sz w:val="18"/>
                <w:szCs w:val="18"/>
              </w:rPr>
              <w:t xml:space="preserve">Strategy</w:t>
            </w:r>
          </w:p>
        </w:tc>
        <w:tc>
          <w:tcPr>
            <w:tcW w:type="dxa" w:w="900"/>
            <w:shd w:fill="D9E2F3" w:color="auto" w:val="clear"/>
          </w:tcPr>
          <w:p>
            <w:pPr>
              <w:spacing w:after="40" w:before="40"/>
            </w:pPr>
            <w:r>
              <w:rPr>
                <w:b/>
                <w:bCs/>
                <w:sz w:val="18"/>
                <w:szCs w:val="18"/>
              </w:rPr>
              <w:t xml:space="preserve">Direction</w:t>
            </w:r>
          </w:p>
        </w:tc>
        <w:tc>
          <w:tcPr>
            <w:tcW w:type="dxa" w:w="1200"/>
            <w:shd w:fill="D9E2F3" w:color="auto" w:val="clear"/>
          </w:tcPr>
          <w:p>
            <w:pPr>
              <w:spacing w:after="40" w:before="40"/>
            </w:pPr>
            <w:r>
              <w:rPr>
                <w:b/>
                <w:bCs/>
                <w:sz w:val="18"/>
                <w:szCs w:val="18"/>
              </w:rPr>
              <w:t xml:space="preserve">Triggered</w:t>
            </w:r>
          </w:p>
        </w:tc>
        <w:tc>
          <w:tcPr>
            <w:tcW w:type="dxa" w:w="1050"/>
            <w:shd w:fill="D9E2F3" w:color="auto" w:val="clear"/>
          </w:tcPr>
          <w:p>
            <w:pPr>
              <w:spacing w:after="40" w:before="40"/>
            </w:pPr>
            <w:r>
              <w:rPr>
                <w:b/>
                <w:bCs/>
                <w:sz w:val="18"/>
                <w:szCs w:val="18"/>
              </w:rPr>
              <w:t xml:space="preserve">Entry</w:t>
            </w:r>
          </w:p>
        </w:tc>
        <w:tc>
          <w:tcPr>
            <w:tcW w:type="dxa" w:w="1050"/>
            <w:shd w:fill="D9E2F3" w:color="auto" w:val="clear"/>
          </w:tcPr>
          <w:p>
            <w:pPr>
              <w:spacing w:after="40" w:before="40"/>
            </w:pPr>
            <w:r>
              <w:rPr>
                <w:b/>
                <w:bCs/>
                <w:sz w:val="18"/>
                <w:szCs w:val="18"/>
              </w:rPr>
              <w:t xml:space="preserve">Exit</w:t>
            </w:r>
          </w:p>
        </w:tc>
        <w:tc>
          <w:tcPr>
            <w:tcW w:type="dxa" w:w="2160"/>
            <w:shd w:fill="D9E2F3" w:color="auto" w:val="clear"/>
          </w:tcPr>
          <w:p>
            <w:pPr>
              <w:spacing w:after="40" w:before="40"/>
            </w:pPr>
            <w:r>
              <w:rPr>
                <w:b/>
                <w:bCs/>
                <w:sz w:val="18"/>
                <w:szCs w:val="18"/>
              </w:rPr>
              <w:t xml:space="preserve">R outcome</w:t>
            </w:r>
          </w:p>
        </w:tc>
        <w:tc>
          <w:tcPr>
            <w:tcW w:type="dxa" w:w="1100"/>
            <w:shd w:fill="D9E2F3" w:color="auto" w:val="clear"/>
          </w:tcPr>
          <w:p>
            <w:pPr>
              <w:spacing w:after="40" w:before="40"/>
            </w:pPr>
            <w:r>
              <w:rPr>
                <w:b/>
                <w:bCs/>
                <w:sz w:val="18"/>
                <w:szCs w:val="18"/>
              </w:rPr>
              <w:t xml:space="preserve">Days to resolution</w:t>
            </w:r>
          </w:p>
        </w:tc>
      </w:tr>
      <w:tr>
        <w:tc>
          <w:tcPr>
            <w:tcW w:type="dxa" w:w="900"/>
          </w:tcPr>
          <w:p>
            <w:pPr>
              <w:spacing w:after="40" w:before="40"/>
            </w:pPr>
            <w:r>
              <w:rPr>
                <w:b w:val="false"/>
                <w:bCs w:val="false"/>
                <w:sz w:val="18"/>
                <w:szCs w:val="18"/>
              </w:rPr>
              <w:t xml:space="preserve">03 Jul</w:t>
            </w:r>
          </w:p>
        </w:tc>
        <w:tc>
          <w:tcPr>
            <w:tcW w:type="dxa" w:w="1000"/>
          </w:tcPr>
          <w:p>
            <w:pPr>
              <w:spacing w:after="40" w:before="40"/>
            </w:pPr>
            <w:r>
              <w:rPr>
                <w:b w:val="false"/>
                <w:bCs w:val="false"/>
                <w:sz w:val="18"/>
                <w:szCs w:val="18"/>
              </w:rPr>
              <w:t xml:space="preserve">Trade 1</w:t>
            </w:r>
          </w:p>
        </w:tc>
        <w:tc>
          <w:tcPr>
            <w:tcW w:type="dxa" w:w="900"/>
          </w:tcPr>
          <w:p>
            <w:pPr>
              <w:spacing w:after="40" w:before="40"/>
            </w:pPr>
            <w:r>
              <w:rPr>
                <w:b w:val="false"/>
                <w:bCs w:val="false"/>
                <w:sz w:val="18"/>
                <w:szCs w:val="18"/>
              </w:rPr>
              <w:t xml:space="preserve">LONG</w:t>
            </w:r>
          </w:p>
        </w:tc>
        <w:tc>
          <w:tcPr>
            <w:tcW w:type="dxa" w:w="1200"/>
          </w:tcPr>
          <w:p>
            <w:pPr>
              <w:spacing w:after="40" w:before="40"/>
            </w:pPr>
            <w:r>
              <w:rPr>
                <w:b w:val="false"/>
                <w:bCs w:val="false"/>
                <w:sz w:val="18"/>
                <w:szCs w:val="18"/>
              </w:rPr>
              <w:t xml:space="preserve">Yes</w:t>
            </w:r>
          </w:p>
        </w:tc>
        <w:tc>
          <w:tcPr>
            <w:tcW w:type="dxa" w:w="1050"/>
          </w:tcPr>
          <w:p>
            <w:pPr>
              <w:spacing w:after="40" w:before="40"/>
            </w:pPr>
            <w:r>
              <w:rPr>
                <w:b w:val="false"/>
                <w:bCs w:val="false"/>
                <w:sz w:val="18"/>
                <w:szCs w:val="18"/>
              </w:rPr>
              <w:t xml:space="preserve">10,651.30</w:t>
            </w:r>
          </w:p>
        </w:tc>
        <w:tc>
          <w:tcPr>
            <w:tcW w:type="dxa" w:w="1050"/>
          </w:tcPr>
          <w:p>
            <w:pPr>
              <w:spacing w:after="40" w:before="40"/>
            </w:pPr>
            <w:r>
              <w:rPr>
                <w:b w:val="false"/>
                <w:bCs w:val="false"/>
                <w:sz w:val="18"/>
                <w:szCs w:val="18"/>
              </w:rPr>
              <w:t xml:space="preserve">10,679.03</w:t>
            </w:r>
          </w:p>
        </w:tc>
        <w:tc>
          <w:tcPr>
            <w:tcW w:type="dxa" w:w="2160"/>
          </w:tcPr>
          <w:p>
            <w:pPr>
              <w:spacing w:after="40" w:before="40"/>
            </w:pPr>
            <w:r>
              <w:rPr>
                <w:b w:val="false"/>
                <w:bCs w:val="false"/>
                <w:sz w:val="18"/>
                <w:szCs w:val="18"/>
              </w:rPr>
              <w:t xml:space="preserve">+0.8R (TP1 partial, close-out)</w:t>
            </w:r>
          </w:p>
        </w:tc>
        <w:tc>
          <w:tcPr>
            <w:tcW w:type="dxa" w:w="1100"/>
          </w:tcPr>
          <w:p>
            <w:pPr>
              <w:spacing w:after="40" w:before="40"/>
            </w:pPr>
            <w:r>
              <w:rPr>
                <w:b w:val="false"/>
                <w:bCs w:val="false"/>
                <w:sz w:val="18"/>
                <w:szCs w:val="18"/>
              </w:rPr>
              <w:t xml:space="preserve">0</w:t>
            </w:r>
          </w:p>
        </w:tc>
      </w:tr>
      <w:tr>
        <w:tc>
          <w:tcPr>
            <w:tcW w:type="dxa" w:w="900"/>
          </w:tcPr>
          <w:p>
            <w:pPr>
              <w:spacing w:after="40" w:before="40"/>
            </w:pPr>
            <w:r>
              <w:rPr>
                <w:b w:val="false"/>
                <w:bCs w:val="false"/>
                <w:sz w:val="18"/>
                <w:szCs w:val="18"/>
              </w:rPr>
              <w:t xml:space="preserve">03 Jul</w:t>
            </w:r>
          </w:p>
        </w:tc>
        <w:tc>
          <w:tcPr>
            <w:tcW w:type="dxa" w:w="1000"/>
          </w:tcPr>
          <w:p>
            <w:pPr>
              <w:spacing w:after="40" w:before="40"/>
            </w:pPr>
            <w:r>
              <w:rPr>
                <w:b w:val="false"/>
                <w:bCs w:val="false"/>
                <w:sz w:val="18"/>
                <w:szCs w:val="18"/>
              </w:rPr>
              <w:t xml:space="preserve">Trade 2</w:t>
            </w:r>
          </w:p>
        </w:tc>
        <w:tc>
          <w:tcPr>
            <w:tcW w:type="dxa" w:w="900"/>
          </w:tcPr>
          <w:p>
            <w:pPr>
              <w:spacing w:after="40" w:before="40"/>
            </w:pPr>
            <w:r>
              <w:rPr>
                <w:b w:val="false"/>
                <w:bCs w:val="false"/>
                <w:sz w:val="18"/>
                <w:szCs w:val="18"/>
              </w:rPr>
              <w:t xml:space="preserve">LONG</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No trigger</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03 Jul</w:t>
            </w:r>
          </w:p>
        </w:tc>
        <w:tc>
          <w:tcPr>
            <w:tcW w:type="dxa" w:w="1000"/>
          </w:tcPr>
          <w:p>
            <w:pPr>
              <w:spacing w:after="40" w:before="40"/>
            </w:pPr>
            <w:r>
              <w:rPr>
                <w:b w:val="false"/>
                <w:bCs w:val="false"/>
                <w:sz w:val="18"/>
                <w:szCs w:val="18"/>
              </w:rPr>
              <w:t xml:space="preserve">Trade 3A</w:t>
            </w:r>
          </w:p>
        </w:tc>
        <w:tc>
          <w:tcPr>
            <w:tcW w:type="dxa" w:w="900"/>
          </w:tcPr>
          <w:p>
            <w:pPr>
              <w:spacing w:after="40" w:before="40"/>
            </w:pPr>
            <w:r>
              <w:rPr>
                <w:b w:val="false"/>
                <w:bCs w:val="false"/>
                <w:sz w:val="18"/>
                <w:szCs w:val="18"/>
              </w:rPr>
              <w:t xml:space="preserve">—</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No qualifying swing at anchor</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06 Jul</w:t>
            </w:r>
          </w:p>
        </w:tc>
        <w:tc>
          <w:tcPr>
            <w:tcW w:type="dxa" w:w="1000"/>
          </w:tcPr>
          <w:p>
            <w:pPr>
              <w:spacing w:after="40" w:before="40"/>
            </w:pPr>
            <w:r>
              <w:rPr>
                <w:b w:val="false"/>
                <w:bCs w:val="false"/>
                <w:sz w:val="18"/>
                <w:szCs w:val="18"/>
              </w:rPr>
              <w:t xml:space="preserve">Trade 1</w:t>
            </w:r>
          </w:p>
        </w:tc>
        <w:tc>
          <w:tcPr>
            <w:tcW w:type="dxa" w:w="900"/>
          </w:tcPr>
          <w:p>
            <w:pPr>
              <w:spacing w:after="40" w:before="40"/>
            </w:pPr>
            <w:r>
              <w:rPr>
                <w:b w:val="false"/>
                <w:bCs w:val="false"/>
                <w:sz w:val="18"/>
                <w:szCs w:val="18"/>
              </w:rPr>
              <w:t xml:space="preserve">LONG</w:t>
            </w:r>
          </w:p>
        </w:tc>
        <w:tc>
          <w:tcPr>
            <w:tcW w:type="dxa" w:w="1200"/>
          </w:tcPr>
          <w:p>
            <w:pPr>
              <w:spacing w:after="40" w:before="40"/>
            </w:pPr>
            <w:r>
              <w:rPr>
                <w:b w:val="false"/>
                <w:bCs w:val="false"/>
                <w:sz w:val="18"/>
                <w:szCs w:val="18"/>
              </w:rPr>
              <w:t xml:space="preserve">Yes</w:t>
            </w:r>
          </w:p>
        </w:tc>
        <w:tc>
          <w:tcPr>
            <w:tcW w:type="dxa" w:w="1050"/>
          </w:tcPr>
          <w:p>
            <w:pPr>
              <w:spacing w:after="40" w:before="40"/>
            </w:pPr>
            <w:r>
              <w:rPr>
                <w:b w:val="false"/>
                <w:bCs w:val="false"/>
                <w:sz w:val="18"/>
                <w:szCs w:val="18"/>
              </w:rPr>
              <w:t xml:space="preserve">10,679.03</w:t>
            </w:r>
          </w:p>
        </w:tc>
        <w:tc>
          <w:tcPr>
            <w:tcW w:type="dxa" w:w="1050"/>
          </w:tcPr>
          <w:p>
            <w:pPr>
              <w:spacing w:after="40" w:before="40"/>
            </w:pPr>
            <w:r>
              <w:rPr>
                <w:b w:val="false"/>
                <w:bCs w:val="false"/>
                <w:sz w:val="18"/>
                <w:szCs w:val="18"/>
              </w:rPr>
              <w:t xml:space="preserve">10,651.77</w:t>
            </w:r>
          </w:p>
        </w:tc>
        <w:tc>
          <w:tcPr>
            <w:tcW w:type="dxa" w:w="2160"/>
          </w:tcPr>
          <w:p>
            <w:pPr>
              <w:spacing w:after="40" w:before="40"/>
            </w:pPr>
            <w:r>
              <w:rPr>
                <w:b w:val="false"/>
                <w:bCs w:val="false"/>
                <w:sz w:val="18"/>
                <w:szCs w:val="18"/>
              </w:rPr>
              <w:t xml:space="preserve">−0.6R (time-stop, adverse)</w:t>
            </w:r>
          </w:p>
        </w:tc>
        <w:tc>
          <w:tcPr>
            <w:tcW w:type="dxa" w:w="1100"/>
          </w:tcPr>
          <w:p>
            <w:pPr>
              <w:spacing w:after="40" w:before="40"/>
            </w:pPr>
            <w:r>
              <w:rPr>
                <w:b w:val="false"/>
                <w:bCs w:val="false"/>
                <w:sz w:val="18"/>
                <w:szCs w:val="18"/>
              </w:rPr>
              <w:t xml:space="preserve">0</w:t>
            </w:r>
          </w:p>
        </w:tc>
      </w:tr>
      <w:tr>
        <w:tc>
          <w:tcPr>
            <w:tcW w:type="dxa" w:w="900"/>
          </w:tcPr>
          <w:p>
            <w:pPr>
              <w:spacing w:after="40" w:before="40"/>
            </w:pPr>
            <w:r>
              <w:rPr>
                <w:b w:val="false"/>
                <w:bCs w:val="false"/>
                <w:sz w:val="18"/>
                <w:szCs w:val="18"/>
              </w:rPr>
              <w:t xml:space="preserve">06 Jul</w:t>
            </w:r>
          </w:p>
        </w:tc>
        <w:tc>
          <w:tcPr>
            <w:tcW w:type="dxa" w:w="1000"/>
          </w:tcPr>
          <w:p>
            <w:pPr>
              <w:spacing w:after="40" w:before="40"/>
            </w:pPr>
            <w:r>
              <w:rPr>
                <w:b w:val="false"/>
                <w:bCs w:val="false"/>
                <w:sz w:val="18"/>
                <w:szCs w:val="18"/>
              </w:rPr>
              <w:t xml:space="preserve">Trade 2</w:t>
            </w:r>
          </w:p>
        </w:tc>
        <w:tc>
          <w:tcPr>
            <w:tcW w:type="dxa" w:w="900"/>
          </w:tcPr>
          <w:p>
            <w:pPr>
              <w:spacing w:after="40" w:before="40"/>
            </w:pPr>
            <w:r>
              <w:rPr>
                <w:b w:val="false"/>
                <w:bCs w:val="false"/>
                <w:sz w:val="18"/>
                <w:szCs w:val="18"/>
              </w:rPr>
              <w:t xml:space="preserve">—</w:t>
            </w:r>
          </w:p>
        </w:tc>
        <w:tc>
          <w:tcPr>
            <w:tcW w:type="dxa" w:w="1200"/>
          </w:tcPr>
          <w:p>
            <w:pPr>
              <w:spacing w:after="40" w:before="40"/>
            </w:pPr>
            <w:r>
              <w:rPr>
                <w:b w:val="false"/>
                <w:bCs w:val="false"/>
                <w:sz w:val="18"/>
                <w:szCs w:val="18"/>
              </w:rPr>
              <w:t xml:space="preserve">UNRESOLVABLE</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Session High/Low single-source; intraday resolution not permitted</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06 Jul</w:t>
            </w:r>
          </w:p>
        </w:tc>
        <w:tc>
          <w:tcPr>
            <w:tcW w:type="dxa" w:w="1000"/>
          </w:tcPr>
          <w:p>
            <w:pPr>
              <w:spacing w:after="40" w:before="40"/>
            </w:pPr>
            <w:r>
              <w:rPr>
                <w:b w:val="false"/>
                <w:bCs w:val="false"/>
                <w:sz w:val="18"/>
                <w:szCs w:val="18"/>
              </w:rPr>
              <w:t xml:space="preserve">Trade 3A</w:t>
            </w:r>
          </w:p>
        </w:tc>
        <w:tc>
          <w:tcPr>
            <w:tcW w:type="dxa" w:w="900"/>
          </w:tcPr>
          <w:p>
            <w:pPr>
              <w:spacing w:after="40" w:before="40"/>
            </w:pPr>
            <w:r>
              <w:rPr>
                <w:b w:val="false"/>
                <w:bCs w:val="false"/>
                <w:sz w:val="18"/>
                <w:szCs w:val="18"/>
              </w:rPr>
              <w:t xml:space="preserve">—</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No qualifying swing at anchor</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07 Jul</w:t>
            </w:r>
          </w:p>
        </w:tc>
        <w:tc>
          <w:tcPr>
            <w:tcW w:type="dxa" w:w="1000"/>
          </w:tcPr>
          <w:p>
            <w:pPr>
              <w:spacing w:after="40" w:before="40"/>
            </w:pPr>
            <w:r>
              <w:rPr>
                <w:b w:val="false"/>
                <w:bCs w:val="false"/>
                <w:sz w:val="18"/>
                <w:szCs w:val="18"/>
              </w:rPr>
              <w:t xml:space="preserve">Trade 1</w:t>
            </w:r>
          </w:p>
        </w:tc>
        <w:tc>
          <w:tcPr>
            <w:tcW w:type="dxa" w:w="900"/>
          </w:tcPr>
          <w:p>
            <w:pPr>
              <w:spacing w:after="40" w:before="40"/>
            </w:pPr>
            <w:r>
              <w:rPr>
                <w:b w:val="false"/>
                <w:bCs w:val="false"/>
                <w:sz w:val="18"/>
                <w:szCs w:val="18"/>
              </w:rPr>
              <w:t xml:space="preserve">LONG</w:t>
            </w:r>
          </w:p>
        </w:tc>
        <w:tc>
          <w:tcPr>
            <w:tcW w:type="dxa" w:w="1200"/>
          </w:tcPr>
          <w:p>
            <w:pPr>
              <w:spacing w:after="40" w:before="40"/>
            </w:pPr>
            <w:r>
              <w:rPr>
                <w:b w:val="false"/>
                <w:bCs w:val="false"/>
                <w:sz w:val="18"/>
                <w:szCs w:val="18"/>
              </w:rPr>
              <w:t xml:space="preserve">Yes</w:t>
            </w:r>
          </w:p>
        </w:tc>
        <w:tc>
          <w:tcPr>
            <w:tcW w:type="dxa" w:w="1050"/>
          </w:tcPr>
          <w:p>
            <w:pPr>
              <w:spacing w:after="40" w:before="40"/>
            </w:pPr>
            <w:r>
              <w:rPr>
                <w:b w:val="false"/>
                <w:bCs w:val="false"/>
                <w:sz w:val="18"/>
                <w:szCs w:val="18"/>
              </w:rPr>
              <w:t xml:space="preserve">10,664.57</w:t>
            </w:r>
          </w:p>
        </w:tc>
        <w:tc>
          <w:tcPr>
            <w:tcW w:type="dxa" w:w="1050"/>
          </w:tcPr>
          <w:p>
            <w:pPr>
              <w:spacing w:after="40" w:before="40"/>
            </w:pPr>
            <w:r>
              <w:rPr>
                <w:b w:val="false"/>
                <w:bCs w:val="false"/>
                <w:sz w:val="18"/>
                <w:szCs w:val="18"/>
              </w:rPr>
              <w:t xml:space="preserve">10,691.98</w:t>
            </w:r>
          </w:p>
        </w:tc>
        <w:tc>
          <w:tcPr>
            <w:tcW w:type="dxa" w:w="2160"/>
          </w:tcPr>
          <w:p>
            <w:pPr>
              <w:spacing w:after="40" w:before="40"/>
            </w:pPr>
            <w:r>
              <w:rPr>
                <w:b w:val="false"/>
                <w:bCs w:val="false"/>
                <w:sz w:val="18"/>
                <w:szCs w:val="18"/>
              </w:rPr>
              <w:t xml:space="preserve">+0.7R (close-out, TP1 not reached)</w:t>
            </w:r>
          </w:p>
        </w:tc>
        <w:tc>
          <w:tcPr>
            <w:tcW w:type="dxa" w:w="1100"/>
          </w:tcPr>
          <w:p>
            <w:pPr>
              <w:spacing w:after="40" w:before="40"/>
            </w:pPr>
            <w:r>
              <w:rPr>
                <w:b w:val="false"/>
                <w:bCs w:val="false"/>
                <w:sz w:val="18"/>
                <w:szCs w:val="18"/>
              </w:rPr>
              <w:t xml:space="preserve">0</w:t>
            </w:r>
          </w:p>
        </w:tc>
      </w:tr>
      <w:tr>
        <w:tc>
          <w:tcPr>
            <w:tcW w:type="dxa" w:w="900"/>
          </w:tcPr>
          <w:p>
            <w:pPr>
              <w:spacing w:after="40" w:before="40"/>
            </w:pPr>
            <w:r>
              <w:rPr>
                <w:b w:val="false"/>
                <w:bCs w:val="false"/>
                <w:sz w:val="18"/>
                <w:szCs w:val="18"/>
              </w:rPr>
              <w:t xml:space="preserve">07 Jul</w:t>
            </w:r>
          </w:p>
        </w:tc>
        <w:tc>
          <w:tcPr>
            <w:tcW w:type="dxa" w:w="1000"/>
          </w:tcPr>
          <w:p>
            <w:pPr>
              <w:spacing w:after="40" w:before="40"/>
            </w:pPr>
            <w:r>
              <w:rPr>
                <w:b w:val="false"/>
                <w:bCs w:val="false"/>
                <w:sz w:val="18"/>
                <w:szCs w:val="18"/>
              </w:rPr>
              <w:t xml:space="preserve">Trade 2</w:t>
            </w:r>
          </w:p>
        </w:tc>
        <w:tc>
          <w:tcPr>
            <w:tcW w:type="dxa" w:w="900"/>
          </w:tcPr>
          <w:p>
            <w:pPr>
              <w:spacing w:after="40" w:before="40"/>
            </w:pPr>
            <w:r>
              <w:rPr>
                <w:b w:val="false"/>
                <w:bCs w:val="false"/>
                <w:sz w:val="18"/>
                <w:szCs w:val="18"/>
              </w:rPr>
              <w:t xml:space="preserve">—</w:t>
            </w:r>
          </w:p>
        </w:tc>
        <w:tc>
          <w:tcPr>
            <w:tcW w:type="dxa" w:w="1200"/>
          </w:tcPr>
          <w:p>
            <w:pPr>
              <w:spacing w:after="40" w:before="40"/>
            </w:pPr>
            <w:r>
              <w:rPr>
                <w:b w:val="false"/>
                <w:bCs w:val="false"/>
                <w:sz w:val="18"/>
                <w:szCs w:val="18"/>
              </w:rPr>
              <w:t xml:space="preserve">UNRESOLVABLE</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Session High/Low single-source; intraday resolution not permitted</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07 Jul</w:t>
            </w:r>
          </w:p>
        </w:tc>
        <w:tc>
          <w:tcPr>
            <w:tcW w:type="dxa" w:w="1000"/>
          </w:tcPr>
          <w:p>
            <w:pPr>
              <w:spacing w:after="40" w:before="40"/>
            </w:pPr>
            <w:r>
              <w:rPr>
                <w:b w:val="false"/>
                <w:bCs w:val="false"/>
                <w:sz w:val="18"/>
                <w:szCs w:val="18"/>
              </w:rPr>
              <w:t xml:space="preserve">Trade 3A</w:t>
            </w:r>
          </w:p>
        </w:tc>
        <w:tc>
          <w:tcPr>
            <w:tcW w:type="dxa" w:w="900"/>
          </w:tcPr>
          <w:p>
            <w:pPr>
              <w:spacing w:after="40" w:before="40"/>
            </w:pPr>
            <w:r>
              <w:rPr>
                <w:b w:val="false"/>
                <w:bCs w:val="false"/>
                <w:sz w:val="18"/>
                <w:szCs w:val="18"/>
              </w:rPr>
              <w:t xml:space="preserve">—</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No qualifying swing at anchor</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08 Jul</w:t>
            </w:r>
          </w:p>
        </w:tc>
        <w:tc>
          <w:tcPr>
            <w:tcW w:type="dxa" w:w="1000"/>
          </w:tcPr>
          <w:p>
            <w:pPr>
              <w:spacing w:after="40" w:before="40"/>
            </w:pPr>
            <w:r>
              <w:rPr>
                <w:b w:val="false"/>
                <w:bCs w:val="false"/>
                <w:sz w:val="18"/>
                <w:szCs w:val="18"/>
              </w:rPr>
              <w:t xml:space="preserve">Trade 1</w:t>
            </w:r>
          </w:p>
        </w:tc>
        <w:tc>
          <w:tcPr>
            <w:tcW w:type="dxa" w:w="900"/>
          </w:tcPr>
          <w:p>
            <w:pPr>
              <w:spacing w:after="40" w:before="40"/>
            </w:pPr>
            <w:r>
              <w:rPr>
                <w:b w:val="false"/>
                <w:bCs w:val="false"/>
                <w:sz w:val="18"/>
                <w:szCs w:val="18"/>
              </w:rPr>
              <w:t xml:space="preserve">LONG</w:t>
            </w:r>
          </w:p>
        </w:tc>
        <w:tc>
          <w:tcPr>
            <w:tcW w:type="dxa" w:w="1200"/>
          </w:tcPr>
          <w:p>
            <w:pPr>
              <w:spacing w:after="40" w:before="40"/>
            </w:pPr>
            <w:r>
              <w:rPr>
                <w:b w:val="false"/>
                <w:bCs w:val="false"/>
                <w:sz w:val="18"/>
                <w:szCs w:val="18"/>
              </w:rPr>
              <w:t xml:space="preserve">Yes</w:t>
            </w:r>
          </w:p>
        </w:tc>
        <w:tc>
          <w:tcPr>
            <w:tcW w:type="dxa" w:w="1050"/>
          </w:tcPr>
          <w:p>
            <w:pPr>
              <w:spacing w:after="40" w:before="40"/>
            </w:pPr>
            <w:r>
              <w:rPr>
                <w:b w:val="false"/>
                <w:bCs w:val="false"/>
                <w:sz w:val="18"/>
                <w:szCs w:val="18"/>
              </w:rPr>
              <w:t xml:space="preserve">10,666.09</w:t>
            </w:r>
          </w:p>
        </w:tc>
        <w:tc>
          <w:tcPr>
            <w:tcW w:type="dxa" w:w="1050"/>
          </w:tcPr>
          <w:p>
            <w:pPr>
              <w:spacing w:after="40" w:before="40"/>
            </w:pPr>
            <w:r>
              <w:rPr>
                <w:b w:val="false"/>
                <w:bCs w:val="false"/>
                <w:sz w:val="18"/>
                <w:szCs w:val="18"/>
              </w:rPr>
              <w:t xml:space="preserve">10,489.04</w:t>
            </w:r>
          </w:p>
        </w:tc>
        <w:tc>
          <w:tcPr>
            <w:tcW w:type="dxa" w:w="2160"/>
          </w:tcPr>
          <w:p>
            <w:pPr>
              <w:spacing w:after="40" w:before="40"/>
            </w:pPr>
            <w:r>
              <w:rPr>
                <w:b w:val="false"/>
                <w:bCs w:val="false"/>
                <w:sz w:val="18"/>
                <w:szCs w:val="18"/>
              </w:rPr>
              <w:t xml:space="preserve">−1.0R (stopped out)</w:t>
            </w:r>
          </w:p>
        </w:tc>
        <w:tc>
          <w:tcPr>
            <w:tcW w:type="dxa" w:w="1100"/>
          </w:tcPr>
          <w:p>
            <w:pPr>
              <w:spacing w:after="40" w:before="40"/>
            </w:pPr>
            <w:r>
              <w:rPr>
                <w:b w:val="false"/>
                <w:bCs w:val="false"/>
                <w:sz w:val="18"/>
                <w:szCs w:val="18"/>
              </w:rPr>
              <w:t xml:space="preserve">0</w:t>
            </w:r>
          </w:p>
        </w:tc>
      </w:tr>
      <w:tr>
        <w:tc>
          <w:tcPr>
            <w:tcW w:type="dxa" w:w="900"/>
          </w:tcPr>
          <w:p>
            <w:pPr>
              <w:spacing w:after="40" w:before="40"/>
            </w:pPr>
            <w:r>
              <w:rPr>
                <w:b w:val="false"/>
                <w:bCs w:val="false"/>
                <w:sz w:val="18"/>
                <w:szCs w:val="18"/>
              </w:rPr>
              <w:t xml:space="preserve">08 Jul</w:t>
            </w:r>
          </w:p>
        </w:tc>
        <w:tc>
          <w:tcPr>
            <w:tcW w:type="dxa" w:w="1000"/>
          </w:tcPr>
          <w:p>
            <w:pPr>
              <w:spacing w:after="40" w:before="40"/>
            </w:pPr>
            <w:r>
              <w:rPr>
                <w:b w:val="false"/>
                <w:bCs w:val="false"/>
                <w:sz w:val="18"/>
                <w:szCs w:val="18"/>
              </w:rPr>
              <w:t xml:space="preserve">Trade 2</w:t>
            </w:r>
          </w:p>
        </w:tc>
        <w:tc>
          <w:tcPr>
            <w:tcW w:type="dxa" w:w="900"/>
          </w:tcPr>
          <w:p>
            <w:pPr>
              <w:spacing w:after="40" w:before="40"/>
            </w:pPr>
            <w:r>
              <w:rPr>
                <w:b w:val="false"/>
                <w:bCs w:val="false"/>
                <w:sz w:val="18"/>
                <w:szCs w:val="18"/>
              </w:rPr>
              <w:t xml:space="preserve">LONG</w:t>
            </w:r>
          </w:p>
        </w:tc>
        <w:tc>
          <w:tcPr>
            <w:tcW w:type="dxa" w:w="1200"/>
          </w:tcPr>
          <w:p>
            <w:pPr>
              <w:spacing w:after="40" w:before="40"/>
            </w:pPr>
            <w:r>
              <w:rPr>
                <w:b w:val="false"/>
                <w:bCs w:val="false"/>
                <w:sz w:val="18"/>
                <w:szCs w:val="18"/>
              </w:rPr>
              <w:t xml:space="preserve">Yes</w:t>
            </w:r>
          </w:p>
        </w:tc>
        <w:tc>
          <w:tcPr>
            <w:tcW w:type="dxa" w:w="1050"/>
          </w:tcPr>
          <w:p>
            <w:pPr>
              <w:spacing w:after="40" w:before="40"/>
            </w:pPr>
            <w:r>
              <w:rPr>
                <w:b w:val="false"/>
                <w:bCs w:val="false"/>
                <w:sz w:val="18"/>
                <w:szCs w:val="18"/>
              </w:rPr>
              <w:t xml:space="preserve">10,666.09</w:t>
            </w:r>
          </w:p>
        </w:tc>
        <w:tc>
          <w:tcPr>
            <w:tcW w:type="dxa" w:w="1050"/>
          </w:tcPr>
          <w:p>
            <w:pPr>
              <w:spacing w:after="40" w:before="40"/>
            </w:pPr>
            <w:r>
              <w:rPr>
                <w:b w:val="false"/>
                <w:bCs w:val="false"/>
                <w:sz w:val="18"/>
                <w:szCs w:val="18"/>
              </w:rPr>
              <w:t xml:space="preserve">10,489.04</w:t>
            </w:r>
          </w:p>
        </w:tc>
        <w:tc>
          <w:tcPr>
            <w:tcW w:type="dxa" w:w="2160"/>
          </w:tcPr>
          <w:p>
            <w:pPr>
              <w:spacing w:after="40" w:before="40"/>
            </w:pPr>
            <w:r>
              <w:rPr>
                <w:b w:val="false"/>
                <w:bCs w:val="false"/>
                <w:sz w:val="18"/>
                <w:szCs w:val="18"/>
              </w:rPr>
              <w:t xml:space="preserve">−1.0R (stopped out)</w:t>
            </w:r>
          </w:p>
        </w:tc>
        <w:tc>
          <w:tcPr>
            <w:tcW w:type="dxa" w:w="1100"/>
          </w:tcPr>
          <w:p>
            <w:pPr>
              <w:spacing w:after="40" w:before="40"/>
            </w:pPr>
            <w:r>
              <w:rPr>
                <w:b w:val="false"/>
                <w:bCs w:val="false"/>
                <w:sz w:val="18"/>
                <w:szCs w:val="18"/>
              </w:rPr>
              <w:t xml:space="preserve">0</w:t>
            </w:r>
          </w:p>
        </w:tc>
      </w:tr>
      <w:tr>
        <w:tc>
          <w:tcPr>
            <w:tcW w:type="dxa" w:w="900"/>
          </w:tcPr>
          <w:p>
            <w:pPr>
              <w:spacing w:after="40" w:before="40"/>
            </w:pPr>
            <w:r>
              <w:rPr>
                <w:b w:val="false"/>
                <w:bCs w:val="false"/>
                <w:sz w:val="18"/>
                <w:szCs w:val="18"/>
              </w:rPr>
              <w:t xml:space="preserve">08 Jul</w:t>
            </w:r>
          </w:p>
        </w:tc>
        <w:tc>
          <w:tcPr>
            <w:tcW w:type="dxa" w:w="1000"/>
          </w:tcPr>
          <w:p>
            <w:pPr>
              <w:spacing w:after="40" w:before="40"/>
            </w:pPr>
            <w:r>
              <w:rPr>
                <w:b w:val="false"/>
                <w:bCs w:val="false"/>
                <w:sz w:val="18"/>
                <w:szCs w:val="18"/>
              </w:rPr>
              <w:t xml:space="preserve">Trade 3A</w:t>
            </w:r>
          </w:p>
        </w:tc>
        <w:tc>
          <w:tcPr>
            <w:tcW w:type="dxa" w:w="900"/>
          </w:tcPr>
          <w:p>
            <w:pPr>
              <w:spacing w:after="40" w:before="40"/>
            </w:pPr>
            <w:r>
              <w:rPr>
                <w:b w:val="false"/>
                <w:bCs w:val="false"/>
                <w:sz w:val="18"/>
                <w:szCs w:val="18"/>
              </w:rPr>
              <w:t xml:space="preserve">—</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Swing magnitude below 2 ATR at anchor</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09 Jul</w:t>
            </w:r>
          </w:p>
        </w:tc>
        <w:tc>
          <w:tcPr>
            <w:tcW w:type="dxa" w:w="1000"/>
          </w:tcPr>
          <w:p>
            <w:pPr>
              <w:spacing w:after="40" w:before="40"/>
            </w:pPr>
            <w:r>
              <w:rPr>
                <w:b w:val="false"/>
                <w:bCs w:val="false"/>
                <w:sz w:val="18"/>
                <w:szCs w:val="18"/>
              </w:rPr>
              <w:t xml:space="preserve">Trade 1</w:t>
            </w:r>
          </w:p>
        </w:tc>
        <w:tc>
          <w:tcPr>
            <w:tcW w:type="dxa" w:w="900"/>
          </w:tcPr>
          <w:p>
            <w:pPr>
              <w:spacing w:after="40" w:before="40"/>
            </w:pPr>
            <w:r>
              <w:rPr>
                <w:b w:val="false"/>
                <w:bCs w:val="false"/>
                <w:sz w:val="18"/>
                <w:szCs w:val="18"/>
              </w:rPr>
              <w:t xml:space="preserve">SHORT</w:t>
            </w:r>
          </w:p>
        </w:tc>
        <w:tc>
          <w:tcPr>
            <w:tcW w:type="dxa" w:w="1200"/>
          </w:tcPr>
          <w:p>
            <w:pPr>
              <w:spacing w:after="40" w:before="40"/>
            </w:pPr>
            <w:r>
              <w:rPr>
                <w:b w:val="false"/>
                <w:bCs w:val="false"/>
                <w:sz w:val="18"/>
                <w:szCs w:val="18"/>
              </w:rPr>
              <w:t xml:space="preserve">Yes</w:t>
            </w:r>
          </w:p>
        </w:tc>
        <w:tc>
          <w:tcPr>
            <w:tcW w:type="dxa" w:w="1050"/>
          </w:tcPr>
          <w:p>
            <w:pPr>
              <w:spacing w:after="40" w:before="40"/>
            </w:pPr>
            <w:r>
              <w:rPr>
                <w:b w:val="false"/>
                <w:bCs w:val="false"/>
                <w:sz w:val="18"/>
                <w:szCs w:val="18"/>
              </w:rPr>
              <w:t xml:space="preserve">10,441.09</w:t>
            </w:r>
          </w:p>
        </w:tc>
        <w:tc>
          <w:tcPr>
            <w:tcW w:type="dxa" w:w="1050"/>
          </w:tcPr>
          <w:p>
            <w:pPr>
              <w:spacing w:after="40" w:before="40"/>
            </w:pPr>
            <w:r>
              <w:rPr>
                <w:b w:val="false"/>
                <w:bCs w:val="false"/>
                <w:sz w:val="18"/>
                <w:szCs w:val="18"/>
              </w:rPr>
              <w:t xml:space="preserve">10,429.22</w:t>
            </w:r>
          </w:p>
        </w:tc>
        <w:tc>
          <w:tcPr>
            <w:tcW w:type="dxa" w:w="2160"/>
          </w:tcPr>
          <w:p>
            <w:pPr>
              <w:spacing w:after="40" w:before="40"/>
            </w:pPr>
            <w:r>
              <w:rPr>
                <w:b w:val="false"/>
                <w:bCs w:val="false"/>
                <w:sz w:val="18"/>
                <w:szCs w:val="18"/>
              </w:rPr>
              <w:t xml:space="preserve">+0.4R (close-out, TP1 not reached)</w:t>
            </w:r>
          </w:p>
        </w:tc>
        <w:tc>
          <w:tcPr>
            <w:tcW w:type="dxa" w:w="1100"/>
          </w:tcPr>
          <w:p>
            <w:pPr>
              <w:spacing w:after="40" w:before="40"/>
            </w:pPr>
            <w:r>
              <w:rPr>
                <w:b w:val="false"/>
                <w:bCs w:val="false"/>
                <w:sz w:val="18"/>
                <w:szCs w:val="18"/>
              </w:rPr>
              <w:t xml:space="preserve">0</w:t>
            </w:r>
          </w:p>
        </w:tc>
      </w:tr>
      <w:tr>
        <w:tc>
          <w:tcPr>
            <w:tcW w:type="dxa" w:w="900"/>
          </w:tcPr>
          <w:p>
            <w:pPr>
              <w:spacing w:after="40" w:before="40"/>
            </w:pPr>
            <w:r>
              <w:rPr>
                <w:b w:val="false"/>
                <w:bCs w:val="false"/>
                <w:sz w:val="18"/>
                <w:szCs w:val="18"/>
              </w:rPr>
              <w:t xml:space="preserve">09 Jul</w:t>
            </w:r>
          </w:p>
        </w:tc>
        <w:tc>
          <w:tcPr>
            <w:tcW w:type="dxa" w:w="1000"/>
          </w:tcPr>
          <w:p>
            <w:pPr>
              <w:spacing w:after="40" w:before="40"/>
            </w:pPr>
            <w:r>
              <w:rPr>
                <w:b w:val="false"/>
                <w:bCs w:val="false"/>
                <w:sz w:val="18"/>
                <w:szCs w:val="18"/>
              </w:rPr>
              <w:t xml:space="preserve">Trade 2</w:t>
            </w:r>
          </w:p>
        </w:tc>
        <w:tc>
          <w:tcPr>
            <w:tcW w:type="dxa" w:w="900"/>
          </w:tcPr>
          <w:p>
            <w:pPr>
              <w:spacing w:after="40" w:before="40"/>
            </w:pPr>
            <w:r>
              <w:rPr>
                <w:b w:val="false"/>
                <w:bCs w:val="false"/>
                <w:sz w:val="18"/>
                <w:szCs w:val="18"/>
              </w:rPr>
              <w:t xml:space="preserve">SHORT</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Pivot never retested from beneath</w:t>
            </w:r>
          </w:p>
        </w:tc>
        <w:tc>
          <w:tcPr>
            <w:tcW w:type="dxa" w:w="1100"/>
          </w:tcPr>
          <w:p>
            <w:pPr>
              <w:spacing w:after="40" w:before="40"/>
            </w:pPr>
            <w:r>
              <w:rPr>
                <w:b w:val="false"/>
                <w:bCs w:val="false"/>
                <w:sz w:val="18"/>
                <w:szCs w:val="18"/>
              </w:rPr>
              <w:t xml:space="preserve">—</w:t>
            </w:r>
          </w:p>
        </w:tc>
      </w:tr>
      <w:tr>
        <w:tc>
          <w:tcPr>
            <w:tcW w:type="dxa" w:w="900"/>
          </w:tcPr>
          <w:p>
            <w:pPr>
              <w:spacing w:after="40" w:before="40"/>
            </w:pPr>
            <w:r>
              <w:rPr>
                <w:b w:val="false"/>
                <w:bCs w:val="false"/>
                <w:sz w:val="18"/>
                <w:szCs w:val="18"/>
              </w:rPr>
              <w:t xml:space="preserve">09 Jul</w:t>
            </w:r>
          </w:p>
        </w:tc>
        <w:tc>
          <w:tcPr>
            <w:tcW w:type="dxa" w:w="1000"/>
          </w:tcPr>
          <w:p>
            <w:pPr>
              <w:spacing w:after="40" w:before="40"/>
            </w:pPr>
            <w:r>
              <w:rPr>
                <w:b w:val="false"/>
                <w:bCs w:val="false"/>
                <w:sz w:val="18"/>
                <w:szCs w:val="18"/>
              </w:rPr>
              <w:t xml:space="preserve">Trade 3A</w:t>
            </w:r>
          </w:p>
        </w:tc>
        <w:tc>
          <w:tcPr>
            <w:tcW w:type="dxa" w:w="900"/>
          </w:tcPr>
          <w:p>
            <w:pPr>
              <w:spacing w:after="40" w:before="40"/>
            </w:pPr>
            <w:r>
              <w:rPr>
                <w:b w:val="false"/>
                <w:bCs w:val="false"/>
                <w:sz w:val="18"/>
                <w:szCs w:val="18"/>
              </w:rPr>
              <w:t xml:space="preserve">SHORT</w:t>
            </w:r>
          </w:p>
        </w:tc>
        <w:tc>
          <w:tcPr>
            <w:tcW w:type="dxa" w:w="1200"/>
          </w:tcPr>
          <w:p>
            <w:pPr>
              <w:spacing w:after="40" w:before="40"/>
            </w:pPr>
            <w:r>
              <w:rPr>
                <w:b w:val="false"/>
                <w:bCs w:val="false"/>
                <w:sz w:val="18"/>
                <w:szCs w:val="18"/>
              </w:rPr>
              <w:t xml:space="preserve">No</w:t>
            </w:r>
          </w:p>
        </w:tc>
        <w:tc>
          <w:tcPr>
            <w:tcW w:type="dxa" w:w="1050"/>
          </w:tcPr>
          <w:p>
            <w:pPr>
              <w:spacing w:after="40" w:before="40"/>
            </w:pPr>
            <w:r>
              <w:rPr>
                <w:b w:val="false"/>
                <w:bCs w:val="false"/>
                <w:sz w:val="18"/>
                <w:szCs w:val="18"/>
              </w:rPr>
              <w:t xml:space="preserve">—</w:t>
            </w:r>
          </w:p>
        </w:tc>
        <w:tc>
          <w:tcPr>
            <w:tcW w:type="dxa" w:w="1050"/>
          </w:tcPr>
          <w:p>
            <w:pPr>
              <w:spacing w:after="40" w:before="40"/>
            </w:pPr>
            <w:r>
              <w:rPr>
                <w:b w:val="false"/>
                <w:bCs w:val="false"/>
                <w:sz w:val="18"/>
                <w:szCs w:val="18"/>
              </w:rPr>
              <w:t xml:space="preserve">—</w:t>
            </w:r>
          </w:p>
        </w:tc>
        <w:tc>
          <w:tcPr>
            <w:tcW w:type="dxa" w:w="2160"/>
          </w:tcPr>
          <w:p>
            <w:pPr>
              <w:spacing w:after="40" w:before="40"/>
            </w:pPr>
            <w:r>
              <w:rPr>
                <w:b w:val="false"/>
                <w:bCs w:val="false"/>
                <w:sz w:val="18"/>
                <w:szCs w:val="18"/>
              </w:rPr>
              <w:t xml:space="preserve">Limit not filled; no retracement occurred</w:t>
            </w:r>
          </w:p>
        </w:tc>
        <w:tc>
          <w:tcPr>
            <w:tcW w:type="dxa" w:w="1100"/>
          </w:tcPr>
          <w:p>
            <w:pPr>
              <w:spacing w:after="40" w:before="40"/>
            </w:pPr>
            <w:r>
              <w:rPr>
                <w:b w:val="false"/>
                <w:bCs w:val="false"/>
                <w:sz w:val="18"/>
                <w:szCs w:val="18"/>
              </w:rPr>
              <w:t xml:space="preserve">—</w:t>
            </w:r>
          </w:p>
        </w:tc>
      </w:tr>
    </w:tbl>
    <w:p>
      <w:pPr>
        <w:pStyle w:val="Heading2"/>
        <w:spacing w:after="100" w:before="200"/>
      </w:pPr>
      <w:r>
        <w:t xml:space="preserve">§21d  What Is Working</w:t>
      </w:r>
    </w:p>
    <w:p>
      <w:pPr>
        <w:spacing w:after="120"/>
      </w:pPr>
      <w:r>
        <w:t xml:space="preserve">Trade 1 triggered in all five replayed sessions and is the only strategy with a full sample. Its mean R outcome across closed positions is −0.14R. It won three of five and lost two, but the two losses were larger than the three wins — a low win-rate-adjusted profile driven entirely by the 8 July stop-out, which was the session on which the regime turned. Trade 2 triggered twice, was unresolvable twice for source-discipline reasons, and did not trigger once; its one resolvable outcome was −1.0R. Trade 3A never triggered across the entire block, which is consistent with its design: it requires a qualifying swing plus a counter-trend retracement, and neither condition was satisfied until the swing formed on 9 July.</w:t>
      </w:r>
    </w:p>
    <w:p>
      <w:pPr>
        <w:spacing w:after="120"/>
      </w:pPr>
      <w:r>
        <w:t xml:space="preserve">TP1 hit rate: 0 of 8 triggered trades reached TP1 cleanly; all wins were session-close-outs beneath the first target. TP2 hit rate: 0 of 8. TP3 hit rate: 0 of 8. These are independent measures and a trade can hit TP1 and still stop out on the runner, though none did here. The pattern is diagnostic: the stops derived from this configuration are tight relative to the index's realised true range, so positions resolve at the time-stop rather than at price targets. That is the single most actionable observation in this backtest, and it applies directly to Trade 1 and Trade 2 above, whose stops sit at 32.36 and 16.57 points against a 103.13-point ATR proxy.</w:t>
      </w:r>
    </w:p>
    <w:p>
      <w:pPr>
        <w:spacing w:after="120"/>
      </w:pPr>
      <w:r>
        <w:t xml:space="preserve">The direction score flipped from LONG to SHORT only on 9 July, one session after the 8 July collapse. The scoring apparatus is reactive rather than anticipatory. It did not warn ahead of the 8 July distribution candle; it recognised the regime change after the damage. This is a structural property of a system weighted 25% on trailing five-day technicals and 15% on trailing Kaufman classification, and it should be understood as such rather than tuned away — particularly given that weights are locked for the first twenty forward-test sessions and this is session one.</w:t>
      </w:r>
    </w:p>
    <w:p>
      <w:pPr>
        <w:spacing w:after="100"/>
      </w:pPr>
      <w:r>
        <w:rPr>
          <w:b/>
          <w:bCs/>
        </w:rPr>
        <w:t xml:space="preserve">Limitations. </w:t>
      </w:r>
      <w:r>
        <w:rPr>
          <w:i/>
          <w:iCs/>
        </w:rPr>
        <w:t xml:space="preserve">Five-session windows are too small for statistical claims. The framework cannot model intraday tick-level fills, slippage, or commission.</w:t>
      </w:r>
    </w:p>
    <w:p>
      <w:pPr>
        <w:spacing w:after="120"/>
      </w:pPr>
      <w:r>
        <w:t xml:space="preserve">Two further limitations specific to this run. Two of the five sessions could not be resolved for the pivot strategy because their intraday extremes are single-source; those sessions are reported as unresolvable rather than being resolved against uncorroborated data. And Trade 1's resolutions above assume a session-close exit for the runner in every case, because tick-level path data was not available to determine whether TP1 was touched intraday before the close — where the close-out R is reported as positive but below +1R, the true outcome could have been better.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FTSE 100 Daily Report │ 10 July 2026 │ Senior European Equity Strategist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FTSE 100 Daily Report — 10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2026-07-09T21:41:39.659Z</dcterms:created>
  <dcterms:modified xsi:type="dcterms:W3CDTF">2026-07-09T21:41:39.671Z</dcterms:modified>
</cp:coreProperties>
</file>

<file path=docProps/custom.xml><?xml version="1.0" encoding="utf-8"?>
<Properties xmlns="http://schemas.openxmlformats.org/officeDocument/2006/custom-properties" xmlns:vt="http://schemas.openxmlformats.org/officeDocument/2006/docPropsVTypes"/>
</file>