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FTSE 100 Report — Daily: Monday 13 July 2026</w:t>
      </w:r>
    </w:p>
    <w:p>
      <w:pPr>
        <w:spacing w:after="30"/>
      </w:pPr>
      <w:r>
        <w:rPr>
          <w:i/>
          <w:iCs/>
          <w:color w:val="595959"/>
          <w:sz w:val="20"/>
          <w:szCs w:val="20"/>
        </w:rPr>
        <w:t xml:space="preserve">With reference to: EURO STOXX 50 · USDX · S&amp;P 500 · DAX 40</w:t>
      </w:r>
    </w:p>
    <w:p>
      <w:pPr>
        <w:spacing w:after="120"/>
      </w:pPr>
      <w:r>
        <w:rPr>
          <w:color w:val="595959"/>
          <w:sz w:val="16"/>
          <w:szCs w:val="16"/>
        </w:rPr>
        <w:t xml:space="preserve">Senior European Equity Strategist · Trading &amp; Risk Review (forward-test) · As of session close Friday 10 July 2026 (Europe/London); forward view for Monday 13 July 2026</w:t>
      </w:r>
    </w:p>
    <w:p>
      <w:pPr>
        <w:pBdr>
          <w:bottom w:val="single" w:color="BBBBBB" w:sz="6"/>
        </w:pBdr>
        <w:spacing w:after="80"/>
      </w:pPr>
      <w:r>
        <w:rPr>
          <w:sz w:val="2"/>
          <w:szCs w:val="2"/>
        </w:rPr>
        <w:t xml:space="preserve"/>
      </w:r>
    </w:p>
    <w:p>
      <w:pPr>
        <w:spacing w:after="110" w:before="220"/>
      </w:pPr>
      <w:r>
        <w:rPr>
          <w:b/>
          <w:bCs/>
          <w:color w:val="1F3864"/>
          <w:sz w:val="26"/>
          <w:szCs w:val="26"/>
        </w:rPr>
        <w:t xml:space="preserve">1 · Executive Snapshot</w:t>
      </w:r>
    </w:p>
    <w:p>
      <w:pPr>
        <w:spacing w:after="90"/>
      </w:pPr>
      <w:r>
        <w:rPr>
          <w:sz w:val="20"/>
          <w:szCs w:val="20"/>
        </w:rPr>
        <w:t xml:space="preserve">The FTSE 100 closed Friday 10 July at </w:t>
      </w:r>
      <w:r>
        <w:rPr>
          <w:b/>
          <w:bCs/>
          <w:sz w:val="20"/>
          <w:szCs w:val="20"/>
        </w:rPr>
        <w:t xml:space="preserve">10,497.29</w:t>
      </w:r>
      <w:r>
        <w:rPr>
          <w:sz w:val="20"/>
          <w:szCs w:val="20"/>
        </w:rPr>
        <w:t xml:space="preserve"> (+0.24%, +24.84 pts), recovering marginally after Thursday's sharp gap-down but still ending the week roughly 1.7–1.8% lower — its first weekly loss after two positive weeks. The most defensible consensus level for the session close is </w:t>
      </w:r>
      <w:r>
        <w:rPr>
          <w:b/>
          <w:bCs/>
          <w:sz w:val="20"/>
          <w:szCs w:val="20"/>
        </w:rPr>
        <w:t xml:space="preserve">10,497 (±5 pts)</w:t>
      </w:r>
      <w:r>
        <w:rPr>
          <w:sz w:val="20"/>
          <w:szCs w:val="20"/>
        </w:rPr>
        <w:t xml:space="preserve">, corroborated across index-tracking sources. Market tone is </w:t>
      </w:r>
      <w:r>
        <w:rPr>
          <w:b/>
          <w:bCs/>
          <w:sz w:val="20"/>
          <w:szCs w:val="20"/>
        </w:rPr>
        <w:t xml:space="preserve">balanced-to-mildly-defensive</w:t>
      </w:r>
      <w:r>
        <w:rPr>
          <w:sz w:val="20"/>
          <w:szCs w:val="20"/>
        </w:rPr>
        <w:t xml:space="preserve">. The three dominant drivers are (i) a heavy single-stock shock — AstraZeneca's ~6% two-day slide on a failed late-stage trial dragged the pharma-heavy index down on Thursday; (ii) firm-but-easing oil supporting the large energy weighting (Shell, BP); and (iii) an unresolved Middle-East geopolitical backdrop injecting periodic volatility. Short-term technical regime is a </w:t>
      </w:r>
      <w:r>
        <w:rPr>
          <w:b/>
          <w:bCs/>
          <w:sz w:val="20"/>
          <w:szCs w:val="20"/>
        </w:rPr>
        <w:t xml:space="preserve">pullback / exhaustion</w:t>
      </w:r>
      <w:r>
        <w:rPr>
          <w:sz w:val="20"/>
          <w:szCs w:val="20"/>
        </w:rPr>
        <w:t xml:space="preserve"> sequence (RSI2 collapsed to 3.5 on Thursday, recovering only to 20.9 Friday); medium-term regime is </w:t>
      </w:r>
      <w:r>
        <w:rPr>
          <w:b/>
          <w:bCs/>
          <w:sz w:val="20"/>
          <w:szCs w:val="20"/>
        </w:rPr>
        <w:t xml:space="preserve">Transitional with a bearish tilt</w:t>
      </w:r>
      <w:r>
        <w:rPr>
          <w:sz w:val="20"/>
          <w:szCs w:val="20"/>
        </w:rPr>
        <w:t xml:space="preserve"> after the roll-over from the late-June 4-month high. Kaufman efficiency over the recent window reads </w:t>
      </w:r>
      <w:r>
        <w:rPr>
          <w:b/>
          <w:bCs/>
          <w:sz w:val="20"/>
          <w:szCs w:val="20"/>
        </w:rPr>
        <w:t xml:space="preserve">Trending Down — Moderate</w:t>
      </w:r>
      <w:r>
        <w:rPr>
          <w:sz w:val="20"/>
          <w:szCs w:val="20"/>
        </w:rPr>
        <w:t xml:space="preserve">. Single most important watch item: </w:t>
      </w:r>
      <w:r>
        <w:rPr>
          <w:b/>
          <w:bCs/>
          <w:sz w:val="20"/>
          <w:szCs w:val="20"/>
        </w:rPr>
        <w:t xml:space="preserve">UK CPI (Wed 16 Jul)</w:t>
      </w:r>
      <w:r>
        <w:rPr>
          <w:sz w:val="20"/>
          <w:szCs w:val="20"/>
        </w:rPr>
        <w:t xml:space="preserve">. Directional conviction is LONG/SHORT-neutral at a score of −0.21 — see §21.</w:t>
      </w:r>
    </w:p>
    <w:p>
      <w:pPr>
        <w:spacing w:after="110" w:before="220"/>
      </w:pPr>
      <w:r>
        <w:rPr>
          <w:b/>
          <w:bCs/>
          <w:color w:val="1F3864"/>
          <w:sz w:val="26"/>
          <w:szCs w:val="26"/>
        </w:rPr>
        <w:t xml:space="preserve">2 · Market Definition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40"/>
              <w:left w:type="dxa" w:w="70"/>
              <w:bottom w:type="dxa" w:w="40"/>
              <w:right w:type="dxa" w:w="70"/>
            </w:tcMar>
          </w:tcPr>
          <w:p>
            <w:pPr>
              <w:jc w:val="center"/>
            </w:pPr>
            <w:r>
              <w:rPr>
                <w:b/>
                <w:bCs/>
                <w:color w:val="FFFFFF"/>
                <w:sz w:val="18"/>
                <w:szCs w:val="18"/>
              </w:rPr>
              <w:t xml:space="preserve">Field</w:t>
            </w:r>
          </w:p>
        </w:tc>
        <w:tc>
          <w:tcPr>
            <w:tcW w:type="dxa" w:w="6400"/>
            <w:shd w:fill="1F3864" w:val="clear"/>
            <w:tcMar>
              <w:top w:type="dxa" w:w="40"/>
              <w:left w:type="dxa" w:w="70"/>
              <w:bottom w:type="dxa" w:w="40"/>
              <w:right w:type="dxa" w:w="70"/>
            </w:tcMar>
          </w:tcPr>
          <w:p>
            <w:pPr>
              <w:jc w:val="center"/>
            </w:pPr>
            <w:r>
              <w:rPr>
                <w:b/>
                <w:bCs/>
                <w:color w:val="FFFFFF"/>
                <w:sz w:val="18"/>
                <w:szCs w:val="18"/>
              </w:rPr>
              <w:t xml:space="preserve">Definition</w:t>
            </w:r>
          </w:p>
        </w:tc>
      </w:tr>
      <w:tr>
        <w:tc>
          <w:tcPr>
            <w:tcW w:type="dxa" w:w="2600"/>
            <w:tcMar>
              <w:top w:type="dxa" w:w="40"/>
              <w:left w:type="dxa" w:w="70"/>
              <w:bottom w:type="dxa" w:w="40"/>
              <w:right w:type="dxa" w:w="70"/>
            </w:tcMar>
          </w:tcPr>
          <w:p>
            <w:r>
              <w:rPr>
                <w:b w:val="false"/>
                <w:bCs w:val="false"/>
                <w:sz w:val="18"/>
                <w:szCs w:val="18"/>
              </w:rPr>
              <w:t xml:space="preserve">Primary asset</w:t>
            </w:r>
          </w:p>
        </w:tc>
        <w:tc>
          <w:tcPr>
            <w:tcW w:type="dxa" w:w="6400"/>
            <w:tcMar>
              <w:top w:type="dxa" w:w="40"/>
              <w:left w:type="dxa" w:w="70"/>
              <w:bottom w:type="dxa" w:w="40"/>
              <w:right w:type="dxa" w:w="70"/>
            </w:tcMar>
          </w:tcPr>
          <w:p>
            <w:r>
              <w:rPr>
                <w:b w:val="false"/>
                <w:bCs w:val="false"/>
                <w:sz w:val="18"/>
                <w:szCs w:val="18"/>
              </w:rPr>
              <w:t xml:space="preserve">FTSE 100 cash index (^FTSE) — UK large-cap benchmark, 100 constituents, ~80% overseas revenue exposure</w:t>
            </w:r>
          </w:p>
        </w:tc>
      </w:tr>
      <w:tr>
        <w:tc>
          <w:tcPr>
            <w:tcW w:type="dxa" w:w="2600"/>
            <w:tcMar>
              <w:top w:type="dxa" w:w="40"/>
              <w:left w:type="dxa" w:w="70"/>
              <w:bottom w:type="dxa" w:w="40"/>
              <w:right w:type="dxa" w:w="70"/>
            </w:tcMar>
          </w:tcPr>
          <w:p>
            <w:r>
              <w:rPr>
                <w:b w:val="false"/>
                <w:bCs w:val="false"/>
                <w:sz w:val="18"/>
                <w:szCs w:val="18"/>
              </w:rPr>
              <w:t xml:space="preserve">Secondary asset</w:t>
            </w:r>
          </w:p>
        </w:tc>
        <w:tc>
          <w:tcPr>
            <w:tcW w:type="dxa" w:w="6400"/>
            <w:tcMar>
              <w:top w:type="dxa" w:w="40"/>
              <w:left w:type="dxa" w:w="70"/>
              <w:bottom w:type="dxa" w:w="40"/>
              <w:right w:type="dxa" w:w="70"/>
            </w:tcMar>
          </w:tcPr>
          <w:p>
            <w:r>
              <w:rPr>
                <w:b w:val="false"/>
                <w:bCs w:val="false"/>
                <w:sz w:val="18"/>
                <w:szCs w:val="18"/>
              </w:rPr>
              <w:t xml:space="preserve">EURO STOXX 50 (^STOXX50E) — Eurozone blue-chip benchmark</w:t>
            </w:r>
          </w:p>
        </w:tc>
      </w:tr>
      <w:tr>
        <w:tc>
          <w:tcPr>
            <w:tcW w:type="dxa" w:w="2600"/>
            <w:tcMar>
              <w:top w:type="dxa" w:w="40"/>
              <w:left w:type="dxa" w:w="70"/>
              <w:bottom w:type="dxa" w:w="40"/>
              <w:right w:type="dxa" w:w="70"/>
            </w:tcMar>
          </w:tcPr>
          <w:p>
            <w:r>
              <w:rPr>
                <w:b w:val="false"/>
                <w:bCs w:val="false"/>
                <w:sz w:val="18"/>
                <w:szCs w:val="18"/>
              </w:rPr>
              <w:t xml:space="preserve">Specification</w:t>
            </w:r>
          </w:p>
        </w:tc>
        <w:tc>
          <w:tcPr>
            <w:tcW w:type="dxa" w:w="6400"/>
            <w:tcMar>
              <w:top w:type="dxa" w:w="40"/>
              <w:left w:type="dxa" w:w="70"/>
              <w:bottom w:type="dxa" w:w="40"/>
              <w:right w:type="dxa" w:w="70"/>
            </w:tcMar>
          </w:tcPr>
          <w:p>
            <w:r>
              <w:rPr>
                <w:b w:val="false"/>
                <w:bCs w:val="false"/>
                <w:sz w:val="18"/>
                <w:szCs w:val="18"/>
              </w:rPr>
              <w:t xml:space="preserve">Cash index level, GBP-denominated, free-float weighted (FTSE Russell methodology)</w:t>
            </w:r>
          </w:p>
        </w:tc>
      </w:tr>
      <w:tr>
        <w:tc>
          <w:tcPr>
            <w:tcW w:type="dxa" w:w="2600"/>
            <w:tcMar>
              <w:top w:type="dxa" w:w="40"/>
              <w:left w:type="dxa" w:w="70"/>
              <w:bottom w:type="dxa" w:w="40"/>
              <w:right w:type="dxa" w:w="70"/>
            </w:tcMar>
          </w:tcPr>
          <w:p>
            <w:r>
              <w:rPr>
                <w:b w:val="false"/>
                <w:bCs w:val="false"/>
                <w:sz w:val="18"/>
                <w:szCs w:val="18"/>
              </w:rPr>
              <w:t xml:space="preserve">Scope / region</w:t>
            </w:r>
          </w:p>
        </w:tc>
        <w:tc>
          <w:tcPr>
            <w:tcW w:type="dxa" w:w="6400"/>
            <w:tcMar>
              <w:top w:type="dxa" w:w="40"/>
              <w:left w:type="dxa" w:w="70"/>
              <w:bottom w:type="dxa" w:w="40"/>
              <w:right w:type="dxa" w:w="70"/>
            </w:tcMar>
          </w:tcPr>
          <w:p>
            <w:r>
              <w:rPr>
                <w:b w:val="false"/>
                <w:bCs w:val="false"/>
                <w:sz w:val="18"/>
                <w:szCs w:val="18"/>
              </w:rPr>
              <w:t xml:space="preserve">Regional — Europe (UK + Eurozone)</w:t>
            </w:r>
          </w:p>
        </w:tc>
      </w:tr>
      <w:tr>
        <w:tc>
          <w:tcPr>
            <w:tcW w:type="dxa" w:w="2600"/>
            <w:tcMar>
              <w:top w:type="dxa" w:w="40"/>
              <w:left w:type="dxa" w:w="70"/>
              <w:bottom w:type="dxa" w:w="40"/>
              <w:right w:type="dxa" w:w="70"/>
            </w:tcMar>
          </w:tcPr>
          <w:p>
            <w:r>
              <w:rPr>
                <w:b w:val="false"/>
                <w:bCs w:val="false"/>
                <w:sz w:val="18"/>
                <w:szCs w:val="18"/>
              </w:rPr>
              <w:t xml:space="preserve">Delivery basis</w:t>
            </w:r>
          </w:p>
        </w:tc>
        <w:tc>
          <w:tcPr>
            <w:tcW w:type="dxa" w:w="6400"/>
            <w:tcMar>
              <w:top w:type="dxa" w:w="40"/>
              <w:left w:type="dxa" w:w="70"/>
              <w:bottom w:type="dxa" w:w="40"/>
              <w:right w:type="dxa" w:w="70"/>
            </w:tcMar>
          </w:tcPr>
          <w:p>
            <w:r>
              <w:rPr>
                <w:b w:val="false"/>
                <w:bCs w:val="false"/>
                <w:sz w:val="18"/>
                <w:szCs w:val="18"/>
              </w:rPr>
              <w:t xml:space="preserve">LSE regular session 08:00–16:30 UK (FTSE); Xetra 09:00–17:30 CET (STOXX)</w:t>
            </w:r>
          </w:p>
        </w:tc>
      </w:tr>
      <w:tr>
        <w:tc>
          <w:tcPr>
            <w:tcW w:type="dxa" w:w="2600"/>
            <w:tcMar>
              <w:top w:type="dxa" w:w="40"/>
              <w:left w:type="dxa" w:w="70"/>
              <w:bottom w:type="dxa" w:w="40"/>
              <w:right w:type="dxa" w:w="70"/>
            </w:tcMar>
          </w:tcPr>
          <w:p>
            <w:r>
              <w:rPr>
                <w:b w:val="false"/>
                <w:bCs w:val="false"/>
                <w:sz w:val="18"/>
                <w:szCs w:val="18"/>
              </w:rPr>
              <w:t xml:space="preserve">Unit / currency</w:t>
            </w:r>
          </w:p>
        </w:tc>
        <w:tc>
          <w:tcPr>
            <w:tcW w:type="dxa" w:w="6400"/>
            <w:tcMar>
              <w:top w:type="dxa" w:w="40"/>
              <w:left w:type="dxa" w:w="70"/>
              <w:bottom w:type="dxa" w:w="40"/>
              <w:right w:type="dxa" w:w="70"/>
            </w:tcMar>
          </w:tcPr>
          <w:p>
            <w:r>
              <w:rPr>
                <w:b w:val="false"/>
                <w:bCs w:val="false"/>
                <w:sz w:val="18"/>
                <w:szCs w:val="18"/>
              </w:rPr>
              <w:t xml:space="preserve">Index points / GBP (STOXX shown in native EUR)</w:t>
            </w:r>
          </w:p>
        </w:tc>
      </w:tr>
      <w:tr>
        <w:tc>
          <w:tcPr>
            <w:tcW w:type="dxa" w:w="2600"/>
            <w:tcMar>
              <w:top w:type="dxa" w:w="40"/>
              <w:left w:type="dxa" w:w="70"/>
              <w:bottom w:type="dxa" w:w="40"/>
              <w:right w:type="dxa" w:w="70"/>
            </w:tcMar>
          </w:tcPr>
          <w:p>
            <w:r>
              <w:rPr>
                <w:b w:val="false"/>
                <w:bCs w:val="false"/>
                <w:sz w:val="18"/>
                <w:szCs w:val="18"/>
              </w:rPr>
              <w:t xml:space="preserve">As-of date</w:t>
            </w:r>
          </w:p>
        </w:tc>
        <w:tc>
          <w:tcPr>
            <w:tcW w:type="dxa" w:w="6400"/>
            <w:tcMar>
              <w:top w:type="dxa" w:w="40"/>
              <w:left w:type="dxa" w:w="70"/>
              <w:bottom w:type="dxa" w:w="40"/>
              <w:right w:type="dxa" w:w="70"/>
            </w:tcMar>
          </w:tcPr>
          <w:p>
            <w:r>
              <w:rPr>
                <w:b w:val="false"/>
                <w:bCs w:val="false"/>
                <w:sz w:val="18"/>
                <w:szCs w:val="18"/>
              </w:rPr>
              <w:t xml:space="preserve">Session close Friday 10 July 2026 (Europe/London); forward view for Monday 13 July 2026</w:t>
            </w:r>
          </w:p>
        </w:tc>
      </w:tr>
      <w:tr>
        <w:tc>
          <w:tcPr>
            <w:tcW w:type="dxa" w:w="2600"/>
            <w:tcMar>
              <w:top w:type="dxa" w:w="40"/>
              <w:left w:type="dxa" w:w="70"/>
              <w:bottom w:type="dxa" w:w="40"/>
              <w:right w:type="dxa" w:w="70"/>
            </w:tcMar>
          </w:tcPr>
          <w:p>
            <w:r>
              <w:rPr>
                <w:b w:val="false"/>
                <w:bCs w:val="false"/>
                <w:sz w:val="18"/>
                <w:szCs w:val="18"/>
              </w:rPr>
              <w:t xml:space="preserve">Lookback window</w:t>
            </w:r>
          </w:p>
        </w:tc>
        <w:tc>
          <w:tcPr>
            <w:tcW w:type="dxa" w:w="6400"/>
            <w:tcMar>
              <w:top w:type="dxa" w:w="40"/>
              <w:left w:type="dxa" w:w="70"/>
              <w:bottom w:type="dxa" w:w="40"/>
              <w:right w:type="dxa" w:w="70"/>
            </w:tcMar>
          </w:tcPr>
          <w:p>
            <w:r>
              <w:rPr>
                <w:b w:val="false"/>
                <w:bCs w:val="false"/>
                <w:sz w:val="18"/>
                <w:szCs w:val="18"/>
              </w:rPr>
              <w:t xml:space="preserve">5 trading sessions (6–10 July 2026)</w:t>
            </w:r>
          </w:p>
        </w:tc>
      </w:tr>
    </w:tbl>
    <w:p>
      <w:pPr>
        <w:spacing w:after="90"/>
      </w:pPr>
      <w:r>
        <w:rPr>
          <w:b/>
          <w:bCs/>
          <w:sz w:val="20"/>
          <w:szCs w:val="20"/>
        </w:rPr>
        <w:t xml:space="preserve">Note on daily-open anchor: </w:t>
      </w:r>
      <w:r>
        <w:rPr>
          <w:i/>
          <w:iCs/>
          <w:color w:val="595959"/>
          <w:sz w:val="18"/>
          <w:szCs w:val="18"/>
        </w:rPr>
        <w:t xml:space="preserve">for this run the pre-open anchor has been overridden to reference the 13 July 2026 session. The European pre-open window (07:00 UK) is used to frame overnight-futures and Asian-session context ahead of the 08:00 UK LSE open.</w:t>
      </w:r>
    </w:p>
    <w:p>
      <w:pPr>
        <w:spacing w:after="110" w:before="220"/>
      </w:pPr>
      <w:r>
        <w:rPr>
          <w:b/>
          <w:bCs/>
          <w:color w:val="1F3864"/>
          <w:sz w:val="26"/>
          <w:szCs w:val="26"/>
        </w:rPr>
        <w:t xml:space="preserve">3 · Consensus Price Call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1400"/>
        <w:gridCol w:w="1360"/>
      </w:tblGrid>
      <w:tr>
        <w:trPr>
          <w:tblHeader/>
        </w:trPr>
        <w:tc>
          <w:tcPr>
            <w:tcW w:type="dxa" w:w="2400"/>
            <w:shd w:fill="1F3864" w:val="clear"/>
            <w:tcMar>
              <w:top w:type="dxa" w:w="40"/>
              <w:left w:type="dxa" w:w="70"/>
              <w:bottom w:type="dxa" w:w="40"/>
              <w:right w:type="dxa" w:w="70"/>
            </w:tcMar>
          </w:tcPr>
          <w:p>
            <w:pPr>
              <w:jc w:val="center"/>
            </w:pPr>
            <w:r>
              <w:rPr>
                <w:b/>
                <w:bCs/>
                <w:color w:val="FFFFFF"/>
                <w:sz w:val="18"/>
                <w:szCs w:val="18"/>
              </w:rPr>
              <w:t xml:space="preserve">Consensus close</w:t>
            </w:r>
          </w:p>
        </w:tc>
        <w:tc>
          <w:tcPr>
            <w:tcW w:type="dxa" w:w="2400"/>
            <w:shd w:fill="1F3864" w:val="clear"/>
            <w:tcMar>
              <w:top w:type="dxa" w:w="40"/>
              <w:left w:type="dxa" w:w="70"/>
              <w:bottom w:type="dxa" w:w="40"/>
              <w:right w:type="dxa" w:w="70"/>
            </w:tcMar>
          </w:tcPr>
          <w:p>
            <w:pPr>
              <w:jc w:val="center"/>
            </w:pPr>
            <w:r>
              <w:rPr>
                <w:b/>
                <w:bCs/>
                <w:color w:val="FFFFFF"/>
                <w:sz w:val="18"/>
                <w:szCs w:val="18"/>
              </w:rPr>
              <w:t xml:space="preserve">Range</w:t>
            </w:r>
          </w:p>
        </w:tc>
        <w:tc>
          <w:tcPr>
            <w:tcW w:type="dxa" w:w="1400"/>
            <w:shd w:fill="1F3864" w:val="clear"/>
            <w:tcMar>
              <w:top w:type="dxa" w:w="40"/>
              <w:left w:type="dxa" w:w="70"/>
              <w:bottom w:type="dxa" w:w="40"/>
              <w:right w:type="dxa" w:w="70"/>
            </w:tcMar>
          </w:tcPr>
          <w:p>
            <w:pPr>
              <w:jc w:val="center"/>
            </w:pPr>
            <w:r>
              <w:rPr>
                <w:b/>
                <w:bCs/>
                <w:color w:val="FFFFFF"/>
                <w:sz w:val="18"/>
                <w:szCs w:val="18"/>
              </w:rPr>
              <w:t xml:space="preserve">Basis</w:t>
            </w:r>
          </w:p>
        </w:tc>
        <w:tc>
          <w:tcPr>
            <w:tcW w:type="dxa" w:w="1400"/>
            <w:shd w:fill="1F3864" w:val="clear"/>
            <w:tcMar>
              <w:top w:type="dxa" w:w="40"/>
              <w:left w:type="dxa" w:w="70"/>
              <w:bottom w:type="dxa" w:w="40"/>
              <w:right w:type="dxa" w:w="70"/>
            </w:tcMar>
          </w:tcPr>
          <w:p>
            <w:pPr>
              <w:jc w:val="center"/>
            </w:pPr>
            <w:r>
              <w:rPr>
                <w:b/>
                <w:bCs/>
                <w:color w:val="FFFFFF"/>
                <w:sz w:val="18"/>
                <w:szCs w:val="18"/>
              </w:rPr>
              <w:t xml:space="preserve">Confidence</w:t>
            </w:r>
          </w:p>
        </w:tc>
        <w:tc>
          <w:tcPr>
            <w:tcW w:type="dxa" w:w="1360"/>
            <w:shd w:fill="1F3864" w:val="clear"/>
            <w:tcMar>
              <w:top w:type="dxa" w:w="40"/>
              <w:left w:type="dxa" w:w="70"/>
              <w:bottom w:type="dxa" w:w="40"/>
              <w:right w:type="dxa" w:w="70"/>
            </w:tcMar>
          </w:tcPr>
          <w:p>
            <w:pPr>
              <w:jc w:val="center"/>
            </w:pPr>
            <w:r>
              <w:rPr>
                <w:b/>
                <w:bCs/>
                <w:color w:val="FFFFFF"/>
                <w:sz w:val="18"/>
                <w:szCs w:val="18"/>
              </w:rPr>
              <w:t xml:space="preserve">Tone</w:t>
            </w:r>
          </w:p>
        </w:tc>
      </w:tr>
      <w:tr>
        <w:tc>
          <w:tcPr>
            <w:tcW w:type="dxa" w:w="2400"/>
            <w:tcMar>
              <w:top w:type="dxa" w:w="40"/>
              <w:left w:type="dxa" w:w="70"/>
              <w:bottom w:type="dxa" w:w="40"/>
              <w:right w:type="dxa" w:w="70"/>
            </w:tcMar>
          </w:tcPr>
          <w:p>
            <w:r>
              <w:rPr>
                <w:b/>
                <w:bCs/>
                <w:sz w:val="18"/>
                <w:szCs w:val="18"/>
              </w:rPr>
              <w:t xml:space="preserve">10,497.29</w:t>
            </w:r>
          </w:p>
        </w:tc>
        <w:tc>
          <w:tcPr>
            <w:tcW w:type="dxa" w:w="2400"/>
            <w:tcMar>
              <w:top w:type="dxa" w:w="40"/>
              <w:left w:type="dxa" w:w="70"/>
              <w:bottom w:type="dxa" w:w="40"/>
              <w:right w:type="dxa" w:w="70"/>
            </w:tcMar>
          </w:tcPr>
          <w:p>
            <w:r>
              <w:rPr>
                <w:b w:val="false"/>
                <w:bCs w:val="false"/>
                <w:sz w:val="18"/>
                <w:szCs w:val="18"/>
              </w:rPr>
              <w:t xml:space="preserve">10,462.75 – 10,513.90 (Fri range)</w:t>
            </w:r>
          </w:p>
        </w:tc>
        <w:tc>
          <w:tcPr>
            <w:tcW w:type="dxa" w:w="1400"/>
            <w:tcMar>
              <w:top w:type="dxa" w:w="40"/>
              <w:left w:type="dxa" w:w="70"/>
              <w:bottom w:type="dxa" w:w="40"/>
              <w:right w:type="dxa" w:w="70"/>
            </w:tcMar>
          </w:tcPr>
          <w:p>
            <w:r>
              <w:rPr>
                <w:b w:val="false"/>
                <w:bCs w:val="false"/>
                <w:sz w:val="18"/>
                <w:szCs w:val="18"/>
              </w:rPr>
              <w:t xml:space="preserve">Cash close</w:t>
            </w:r>
          </w:p>
        </w:tc>
        <w:tc>
          <w:tcPr>
            <w:tcW w:type="dxa" w:w="1400"/>
            <w:tcMar>
              <w:top w:type="dxa" w:w="40"/>
              <w:left w:type="dxa" w:w="70"/>
              <w:bottom w:type="dxa" w:w="40"/>
              <w:right w:type="dxa" w:w="70"/>
            </w:tcMar>
          </w:tcPr>
          <w:p>
            <w:r>
              <w:rPr>
                <w:b w:val="false"/>
                <w:bCs w:val="false"/>
                <w:sz w:val="18"/>
                <w:szCs w:val="18"/>
              </w:rPr>
              <w:t xml:space="preserve">Medium</w:t>
            </w:r>
          </w:p>
        </w:tc>
        <w:tc>
          <w:tcPr>
            <w:tcW w:type="dxa" w:w="1360"/>
            <w:tcMar>
              <w:top w:type="dxa" w:w="40"/>
              <w:left w:type="dxa" w:w="70"/>
              <w:bottom w:type="dxa" w:w="40"/>
              <w:right w:type="dxa" w:w="70"/>
            </w:tcMar>
          </w:tcPr>
          <w:p>
            <w:r>
              <w:rPr>
                <w:b w:val="false"/>
                <w:bCs w:val="false"/>
                <w:sz w:val="18"/>
                <w:szCs w:val="18"/>
              </w:rPr>
              <w:t xml:space="preserve">Balanced/defensive</w:t>
            </w:r>
          </w:p>
        </w:tc>
      </w:tr>
    </w:tbl>
    <w:p>
      <w:pPr>
        <w:spacing w:after="90"/>
      </w:pPr>
      <w:r>
        <w:rPr>
          <w:b/>
          <w:bCs/>
          <w:sz w:val="20"/>
          <w:szCs w:val="20"/>
        </w:rPr>
        <w:t xml:space="preserve">Rationale: </w:t>
      </w:r>
      <w:r>
        <w:rPr>
          <w:sz w:val="20"/>
          <w:szCs w:val="20"/>
        </w:rPr>
        <w:t xml:space="preserve">Friday's official close is tightly corroborated (Trading Economics 10,497; Yahoo 10,497.29; wallst-derived intraday consistent). The wider session range reflects a stabilising tape after Thursday's pharma-led drop. Precision is high on the close; forward uncertainty is elevated by the CPI print mid-week.</w:t>
      </w:r>
    </w:p>
    <w:p>
      <w:pPr>
        <w:spacing w:after="110" w:before="220"/>
      </w:pPr>
      <w:r>
        <w:rPr>
          <w:b/>
          <w:bCs/>
          <w:color w:val="1F3864"/>
          <w:sz w:val="26"/>
          <w:szCs w:val="26"/>
        </w:rPr>
        <w:t xml:space="preserve">4 · Price Evidence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600"/>
        <w:gridCol w:w="1500"/>
        <w:gridCol w:w="1100"/>
      </w:tblGrid>
      <w:tr>
        <w:trPr>
          <w:tblHeader/>
        </w:trPr>
        <w:tc>
          <w:tcPr>
            <w:tcW w:type="dxa" w:w="1800"/>
            <w:shd w:fill="1F3864" w:val="clear"/>
            <w:tcMar>
              <w:top w:type="dxa" w:w="40"/>
              <w:left w:type="dxa" w:w="70"/>
              <w:bottom w:type="dxa" w:w="40"/>
              <w:right w:type="dxa" w:w="70"/>
            </w:tcMar>
          </w:tcPr>
          <w:p>
            <w:pPr>
              <w:jc w:val="center"/>
            </w:pPr>
            <w:r>
              <w:rPr>
                <w:b/>
                <w:bCs/>
                <w:color w:val="FFFFFF"/>
                <w:sz w:val="18"/>
                <w:szCs w:val="18"/>
              </w:rPr>
              <w:t xml:space="preserve">Source</w:t>
            </w:r>
          </w:p>
        </w:tc>
        <w:tc>
          <w:tcPr>
            <w:tcW w:type="dxa" w:w="1500"/>
            <w:shd w:fill="1F3864" w:val="clear"/>
            <w:tcMar>
              <w:top w:type="dxa" w:w="40"/>
              <w:left w:type="dxa" w:w="70"/>
              <w:bottom w:type="dxa" w:w="40"/>
              <w:right w:type="dxa" w:w="70"/>
            </w:tcMar>
          </w:tcPr>
          <w:p>
            <w:pPr>
              <w:jc w:val="center"/>
            </w:pPr>
            <w:r>
              <w:rPr>
                <w:b/>
                <w:bCs/>
                <w:color w:val="FFFFFF"/>
                <w:sz w:val="18"/>
                <w:szCs w:val="18"/>
              </w:rPr>
              <w:t xml:space="preserve">Date/Time</w:t>
            </w:r>
          </w:p>
        </w:tc>
        <w:tc>
          <w:tcPr>
            <w:tcW w:type="dxa" w:w="1500"/>
            <w:shd w:fill="1F3864" w:val="clear"/>
            <w:tcMar>
              <w:top w:type="dxa" w:w="40"/>
              <w:left w:type="dxa" w:w="70"/>
              <w:bottom w:type="dxa" w:w="40"/>
              <w:right w:type="dxa" w:w="70"/>
            </w:tcMar>
          </w:tcPr>
          <w:p>
            <w:pPr>
              <w:jc w:val="center"/>
            </w:pPr>
            <w:r>
              <w:rPr>
                <w:b/>
                <w:bCs/>
                <w:color w:val="FFFFFF"/>
                <w:sz w:val="18"/>
                <w:szCs w:val="18"/>
              </w:rPr>
              <w:t xml:space="preserve">Raw quote (close)</w:t>
            </w:r>
          </w:p>
        </w:tc>
        <w:tc>
          <w:tcPr>
            <w:tcW w:type="dxa" w:w="1600"/>
            <w:shd w:fill="1F3864" w:val="clear"/>
            <w:tcMar>
              <w:top w:type="dxa" w:w="40"/>
              <w:left w:type="dxa" w:w="70"/>
              <w:bottom w:type="dxa" w:w="40"/>
              <w:right w:type="dxa" w:w="70"/>
            </w:tcMar>
          </w:tcPr>
          <w:p>
            <w:pPr>
              <w:jc w:val="center"/>
            </w:pPr>
            <w:r>
              <w:rPr>
                <w:b/>
                <w:bCs/>
                <w:color w:val="FFFFFF"/>
                <w:sz w:val="18"/>
                <w:szCs w:val="18"/>
              </w:rPr>
              <w:t xml:space="preserve">Normalised</w:t>
            </w:r>
          </w:p>
        </w:tc>
        <w:tc>
          <w:tcPr>
            <w:tcW w:type="dxa" w:w="1500"/>
            <w:shd w:fill="1F3864" w:val="clear"/>
            <w:tcMar>
              <w:top w:type="dxa" w:w="40"/>
              <w:left w:type="dxa" w:w="70"/>
              <w:bottom w:type="dxa" w:w="40"/>
              <w:right w:type="dxa" w:w="70"/>
            </w:tcMar>
          </w:tcPr>
          <w:p>
            <w:pPr>
              <w:jc w:val="center"/>
            </w:pPr>
            <w:r>
              <w:rPr>
                <w:b/>
                <w:bCs/>
                <w:color w:val="FFFFFF"/>
                <w:sz w:val="18"/>
                <w:szCs w:val="18"/>
              </w:rPr>
              <w:t xml:space="preserve">Basis/Loc</w:t>
            </w:r>
          </w:p>
        </w:tc>
        <w:tc>
          <w:tcPr>
            <w:tcW w:type="dxa" w:w="1100"/>
            <w:shd w:fill="1F3864" w:val="clear"/>
            <w:tcMar>
              <w:top w:type="dxa" w:w="40"/>
              <w:left w:type="dxa" w:w="70"/>
              <w:bottom w:type="dxa" w:w="40"/>
              <w:right w:type="dxa" w:w="70"/>
            </w:tcMar>
          </w:tcPr>
          <w:p>
            <w:pPr>
              <w:jc w:val="center"/>
            </w:pPr>
            <w:r>
              <w:rPr>
                <w:b/>
                <w:bCs/>
                <w:color w:val="FFFFFF"/>
                <w:sz w:val="18"/>
                <w:szCs w:val="18"/>
              </w:rPr>
              <w:t xml:space="preserve">Relevance</w:t>
            </w:r>
          </w:p>
        </w:tc>
      </w:tr>
      <w:tr>
        <w:tc>
          <w:tcPr>
            <w:tcW w:type="dxa" w:w="1800"/>
            <w:tcMar>
              <w:top w:type="dxa" w:w="40"/>
              <w:left w:type="dxa" w:w="70"/>
              <w:bottom w:type="dxa" w:w="40"/>
              <w:right w:type="dxa" w:w="70"/>
            </w:tcMar>
          </w:tcPr>
          <w:p>
            <w:r>
              <w:rPr>
                <w:b w:val="false"/>
                <w:bCs w:val="false"/>
                <w:sz w:val="18"/>
                <w:szCs w:val="18"/>
              </w:rPr>
              <w:t xml:space="preserve">Yahoo Finance</w:t>
            </w:r>
          </w:p>
        </w:tc>
        <w:tc>
          <w:tcPr>
            <w:tcW w:type="dxa" w:w="1500"/>
            <w:tcMar>
              <w:top w:type="dxa" w:w="40"/>
              <w:left w:type="dxa" w:w="70"/>
              <w:bottom w:type="dxa" w:w="40"/>
              <w:right w:type="dxa" w:w="70"/>
            </w:tcMar>
          </w:tcPr>
          <w:p>
            <w:r>
              <w:rPr>
                <w:b w:val="false"/>
                <w:bCs w:val="false"/>
                <w:sz w:val="18"/>
                <w:szCs w:val="18"/>
              </w:rPr>
              <w:t xml:space="preserve">10 Jul 16:35 UK</w:t>
            </w:r>
          </w:p>
        </w:tc>
        <w:tc>
          <w:tcPr>
            <w:tcW w:type="dxa" w:w="1500"/>
            <w:tcMar>
              <w:top w:type="dxa" w:w="40"/>
              <w:left w:type="dxa" w:w="70"/>
              <w:bottom w:type="dxa" w:w="40"/>
              <w:right w:type="dxa" w:w="70"/>
            </w:tcMar>
          </w:tcPr>
          <w:p>
            <w:r>
              <w:rPr>
                <w:b w:val="false"/>
                <w:bCs w:val="false"/>
                <w:sz w:val="18"/>
                <w:szCs w:val="18"/>
              </w:rPr>
              <w:t xml:space="preserve">10,497.29</w:t>
            </w:r>
          </w:p>
        </w:tc>
        <w:tc>
          <w:tcPr>
            <w:tcW w:type="dxa" w:w="1600"/>
            <w:tcMar>
              <w:top w:type="dxa" w:w="40"/>
              <w:left w:type="dxa" w:w="70"/>
              <w:bottom w:type="dxa" w:w="40"/>
              <w:right w:type="dxa" w:w="70"/>
            </w:tcMar>
          </w:tcPr>
          <w:p>
            <w:r>
              <w:rPr>
                <w:b w:val="false"/>
                <w:bCs w:val="false"/>
                <w:sz w:val="18"/>
                <w:szCs w:val="18"/>
              </w:rPr>
              <w:t xml:space="preserve">10,497.29</w:t>
            </w:r>
          </w:p>
        </w:tc>
        <w:tc>
          <w:tcPr>
            <w:tcW w:type="dxa" w:w="1500"/>
            <w:tcMar>
              <w:top w:type="dxa" w:w="40"/>
              <w:left w:type="dxa" w:w="70"/>
              <w:bottom w:type="dxa" w:w="40"/>
              <w:right w:type="dxa" w:w="70"/>
            </w:tcMar>
          </w:tcPr>
          <w:p>
            <w:r>
              <w:rPr>
                <w:b w:val="false"/>
                <w:bCs w:val="false"/>
                <w:sz w:val="18"/>
                <w:szCs w:val="18"/>
              </w:rPr>
              <w:t xml:space="preserve">Cash/London</w:t>
            </w:r>
          </w:p>
        </w:tc>
        <w:tc>
          <w:tcPr>
            <w:tcW w:type="dxa" w:w="1100"/>
            <w:tcMar>
              <w:top w:type="dxa" w:w="40"/>
              <w:left w:type="dxa" w:w="70"/>
              <w:bottom w:type="dxa" w:w="40"/>
              <w:right w:type="dxa" w:w="70"/>
            </w:tcMar>
          </w:tcPr>
          <w:p>
            <w:r>
              <w:rPr>
                <w:b w:val="false"/>
                <w:bCs w:val="false"/>
                <w:sz w:val="18"/>
                <w:szCs w:val="18"/>
              </w:rPr>
              <w:t xml:space="preserve">Core</w:t>
            </w:r>
          </w:p>
        </w:tc>
      </w:tr>
      <w:tr>
        <w:tc>
          <w:tcPr>
            <w:tcW w:type="dxa" w:w="1800"/>
            <w:tcMar>
              <w:top w:type="dxa" w:w="40"/>
              <w:left w:type="dxa" w:w="70"/>
              <w:bottom w:type="dxa" w:w="40"/>
              <w:right w:type="dxa" w:w="70"/>
            </w:tcMar>
          </w:tcPr>
          <w:p>
            <w:r>
              <w:rPr>
                <w:b w:val="false"/>
                <w:bCs w:val="false"/>
                <w:sz w:val="18"/>
                <w:szCs w:val="18"/>
              </w:rPr>
              <w:t xml:space="preserve">Trading Economics</w:t>
            </w:r>
          </w:p>
        </w:tc>
        <w:tc>
          <w:tcPr>
            <w:tcW w:type="dxa" w:w="1500"/>
            <w:tcMar>
              <w:top w:type="dxa" w:w="40"/>
              <w:left w:type="dxa" w:w="70"/>
              <w:bottom w:type="dxa" w:w="40"/>
              <w:right w:type="dxa" w:w="70"/>
            </w:tcMar>
          </w:tcPr>
          <w:p>
            <w:r>
              <w:rPr>
                <w:b w:val="false"/>
                <w:bCs w:val="false"/>
                <w:sz w:val="18"/>
                <w:szCs w:val="18"/>
              </w:rPr>
              <w:t xml:space="preserve">10 Jul EOD</w:t>
            </w:r>
          </w:p>
        </w:tc>
        <w:tc>
          <w:tcPr>
            <w:tcW w:type="dxa" w:w="1500"/>
            <w:tcMar>
              <w:top w:type="dxa" w:w="40"/>
              <w:left w:type="dxa" w:w="70"/>
              <w:bottom w:type="dxa" w:w="40"/>
              <w:right w:type="dxa" w:w="70"/>
            </w:tcMar>
          </w:tcPr>
          <w:p>
            <w:r>
              <w:rPr>
                <w:b w:val="false"/>
                <w:bCs w:val="false"/>
                <w:sz w:val="18"/>
                <w:szCs w:val="18"/>
              </w:rPr>
              <w:t xml:space="preserve">10,497</w:t>
            </w:r>
          </w:p>
        </w:tc>
        <w:tc>
          <w:tcPr>
            <w:tcW w:type="dxa" w:w="1600"/>
            <w:tcMar>
              <w:top w:type="dxa" w:w="40"/>
              <w:left w:type="dxa" w:w="70"/>
              <w:bottom w:type="dxa" w:w="40"/>
              <w:right w:type="dxa" w:w="70"/>
            </w:tcMar>
          </w:tcPr>
          <w:p>
            <w:r>
              <w:rPr>
                <w:b w:val="false"/>
                <w:bCs w:val="false"/>
                <w:sz w:val="18"/>
                <w:szCs w:val="18"/>
              </w:rPr>
              <w:t xml:space="preserve">10,497.0</w:t>
            </w:r>
          </w:p>
        </w:tc>
        <w:tc>
          <w:tcPr>
            <w:tcW w:type="dxa" w:w="1500"/>
            <w:tcMar>
              <w:top w:type="dxa" w:w="40"/>
              <w:left w:type="dxa" w:w="70"/>
              <w:bottom w:type="dxa" w:w="40"/>
              <w:right w:type="dxa" w:w="70"/>
            </w:tcMar>
          </w:tcPr>
          <w:p>
            <w:r>
              <w:rPr>
                <w:b w:val="false"/>
                <w:bCs w:val="false"/>
                <w:sz w:val="18"/>
                <w:szCs w:val="18"/>
              </w:rPr>
              <w:t xml:space="preserve">Cash/London</w:t>
            </w:r>
          </w:p>
        </w:tc>
        <w:tc>
          <w:tcPr>
            <w:tcW w:type="dxa" w:w="1100"/>
            <w:tcMar>
              <w:top w:type="dxa" w:w="40"/>
              <w:left w:type="dxa" w:w="70"/>
              <w:bottom w:type="dxa" w:w="40"/>
              <w:right w:type="dxa" w:w="70"/>
            </w:tcMar>
          </w:tcPr>
          <w:p>
            <w:r>
              <w:rPr>
                <w:b w:val="false"/>
                <w:bCs w:val="false"/>
                <w:sz w:val="18"/>
                <w:szCs w:val="18"/>
              </w:rPr>
              <w:t xml:space="preserve">Core</w:t>
            </w:r>
          </w:p>
        </w:tc>
      </w:tr>
      <w:tr>
        <w:tc>
          <w:tcPr>
            <w:tcW w:type="dxa" w:w="1800"/>
            <w:tcMar>
              <w:top w:type="dxa" w:w="40"/>
              <w:left w:type="dxa" w:w="70"/>
              <w:bottom w:type="dxa" w:w="40"/>
              <w:right w:type="dxa" w:w="70"/>
            </w:tcMar>
          </w:tcPr>
          <w:p>
            <w:r>
              <w:rPr>
                <w:b w:val="false"/>
                <w:bCs w:val="false"/>
                <w:sz w:val="18"/>
                <w:szCs w:val="18"/>
              </w:rPr>
              <w:t xml:space="preserve">bbntimes wrap</w:t>
            </w:r>
          </w:p>
        </w:tc>
        <w:tc>
          <w:tcPr>
            <w:tcW w:type="dxa" w:w="1500"/>
            <w:tcMar>
              <w:top w:type="dxa" w:w="40"/>
              <w:left w:type="dxa" w:w="70"/>
              <w:bottom w:type="dxa" w:w="40"/>
              <w:right w:type="dxa" w:w="70"/>
            </w:tcMar>
          </w:tcPr>
          <w:p>
            <w:r>
              <w:rPr>
                <w:b w:val="false"/>
                <w:bCs w:val="false"/>
                <w:sz w:val="18"/>
                <w:szCs w:val="18"/>
              </w:rPr>
              <w:t xml:space="preserve">10 Jul EOD</w:t>
            </w:r>
          </w:p>
        </w:tc>
        <w:tc>
          <w:tcPr>
            <w:tcW w:type="dxa" w:w="1500"/>
            <w:tcMar>
              <w:top w:type="dxa" w:w="40"/>
              <w:left w:type="dxa" w:w="70"/>
              <w:bottom w:type="dxa" w:w="40"/>
              <w:right w:type="dxa" w:w="70"/>
            </w:tcMar>
          </w:tcPr>
          <w:p>
            <w:r>
              <w:rPr>
                <w:b w:val="false"/>
                <w:bCs w:val="false"/>
                <w:sz w:val="18"/>
                <w:szCs w:val="18"/>
              </w:rPr>
              <w:t xml:space="preserve">10,497.29</w:t>
            </w:r>
          </w:p>
        </w:tc>
        <w:tc>
          <w:tcPr>
            <w:tcW w:type="dxa" w:w="1600"/>
            <w:tcMar>
              <w:top w:type="dxa" w:w="40"/>
              <w:left w:type="dxa" w:w="70"/>
              <w:bottom w:type="dxa" w:w="40"/>
              <w:right w:type="dxa" w:w="70"/>
            </w:tcMar>
          </w:tcPr>
          <w:p>
            <w:r>
              <w:rPr>
                <w:b w:val="false"/>
                <w:bCs w:val="false"/>
                <w:sz w:val="18"/>
                <w:szCs w:val="18"/>
              </w:rPr>
              <w:t xml:space="preserve">10,497.29</w:t>
            </w:r>
          </w:p>
        </w:tc>
        <w:tc>
          <w:tcPr>
            <w:tcW w:type="dxa" w:w="1500"/>
            <w:tcMar>
              <w:top w:type="dxa" w:w="40"/>
              <w:left w:type="dxa" w:w="70"/>
              <w:bottom w:type="dxa" w:w="40"/>
              <w:right w:type="dxa" w:w="70"/>
            </w:tcMar>
          </w:tcPr>
          <w:p>
            <w:r>
              <w:rPr>
                <w:b w:val="false"/>
                <w:bCs w:val="false"/>
                <w:sz w:val="18"/>
                <w:szCs w:val="18"/>
              </w:rPr>
              <w:t xml:space="preserve">Cash/London</w:t>
            </w:r>
          </w:p>
        </w:tc>
        <w:tc>
          <w:tcPr>
            <w:tcW w:type="dxa" w:w="1100"/>
            <w:tcMar>
              <w:top w:type="dxa" w:w="40"/>
              <w:left w:type="dxa" w:w="70"/>
              <w:bottom w:type="dxa" w:w="40"/>
              <w:right w:type="dxa" w:w="70"/>
            </w:tcMar>
          </w:tcPr>
          <w:p>
            <w:r>
              <w:rPr>
                <w:b w:val="false"/>
                <w:bCs w:val="false"/>
                <w:sz w:val="18"/>
                <w:szCs w:val="18"/>
              </w:rPr>
              <w:t xml:space="preserve">Core</w:t>
            </w:r>
          </w:p>
        </w:tc>
      </w:tr>
      <w:tr>
        <w:tc>
          <w:tcPr>
            <w:tcW w:type="dxa" w:w="1800"/>
            <w:tcMar>
              <w:top w:type="dxa" w:w="40"/>
              <w:left w:type="dxa" w:w="70"/>
              <w:bottom w:type="dxa" w:w="40"/>
              <w:right w:type="dxa" w:w="70"/>
            </w:tcMar>
          </w:tcPr>
          <w:p>
            <w:r>
              <w:rPr>
                <w:b w:val="false"/>
                <w:bCs w:val="false"/>
                <w:sz w:val="18"/>
                <w:szCs w:val="18"/>
              </w:rPr>
              <w:t xml:space="preserve">Investing.com</w:t>
            </w:r>
          </w:p>
        </w:tc>
        <w:tc>
          <w:tcPr>
            <w:tcW w:type="dxa" w:w="1500"/>
            <w:tcMar>
              <w:top w:type="dxa" w:w="40"/>
              <w:left w:type="dxa" w:w="70"/>
              <w:bottom w:type="dxa" w:w="40"/>
              <w:right w:type="dxa" w:w="70"/>
            </w:tcMar>
          </w:tcPr>
          <w:p>
            <w:r>
              <w:rPr>
                <w:b w:val="false"/>
                <w:bCs w:val="false"/>
                <w:sz w:val="18"/>
                <w:szCs w:val="18"/>
              </w:rPr>
              <w:t xml:space="preserve">10 Jul EOD</w:t>
            </w:r>
          </w:p>
        </w:tc>
        <w:tc>
          <w:tcPr>
            <w:tcW w:type="dxa" w:w="1500"/>
            <w:tcMar>
              <w:top w:type="dxa" w:w="40"/>
              <w:left w:type="dxa" w:w="70"/>
              <w:bottom w:type="dxa" w:w="40"/>
              <w:right w:type="dxa" w:w="70"/>
            </w:tcMar>
          </w:tcPr>
          <w:p>
            <w:r>
              <w:rPr>
                <w:b w:val="false"/>
                <w:bCs w:val="false"/>
                <w:sz w:val="18"/>
                <w:szCs w:val="18"/>
              </w:rPr>
              <w:t xml:space="preserve">O 10,471.94 / H 10,513.90 / L 10,462.75</w:t>
            </w:r>
          </w:p>
        </w:tc>
        <w:tc>
          <w:tcPr>
            <w:tcW w:type="dxa" w:w="1600"/>
            <w:tcMar>
              <w:top w:type="dxa" w:w="40"/>
              <w:left w:type="dxa" w:w="70"/>
              <w:bottom w:type="dxa" w:w="40"/>
              <w:right w:type="dxa" w:w="70"/>
            </w:tcMar>
          </w:tcPr>
          <w:p>
            <w:r>
              <w:rPr>
                <w:b w:val="false"/>
                <w:bCs w:val="false"/>
                <w:sz w:val="18"/>
                <w:szCs w:val="18"/>
              </w:rPr>
              <w:t xml:space="preserve">idem</w:t>
            </w:r>
          </w:p>
        </w:tc>
        <w:tc>
          <w:tcPr>
            <w:tcW w:type="dxa" w:w="1500"/>
            <w:tcMar>
              <w:top w:type="dxa" w:w="40"/>
              <w:left w:type="dxa" w:w="70"/>
              <w:bottom w:type="dxa" w:w="40"/>
              <w:right w:type="dxa" w:w="70"/>
            </w:tcMar>
          </w:tcPr>
          <w:p>
            <w:r>
              <w:rPr>
                <w:b w:val="false"/>
                <w:bCs w:val="false"/>
                <w:sz w:val="18"/>
                <w:szCs w:val="18"/>
              </w:rPr>
              <w:t xml:space="preserve">Cash/London</w:t>
            </w:r>
          </w:p>
        </w:tc>
        <w:tc>
          <w:tcPr>
            <w:tcW w:type="dxa" w:w="1100"/>
            <w:tcMar>
              <w:top w:type="dxa" w:w="40"/>
              <w:left w:type="dxa" w:w="70"/>
              <w:bottom w:type="dxa" w:w="40"/>
              <w:right w:type="dxa" w:w="70"/>
            </w:tcMar>
          </w:tcPr>
          <w:p>
            <w:r>
              <w:rPr>
                <w:b w:val="false"/>
                <w:bCs w:val="false"/>
                <w:sz w:val="18"/>
                <w:szCs w:val="18"/>
              </w:rPr>
              <w:t xml:space="preserve">Core</w:t>
            </w:r>
          </w:p>
        </w:tc>
      </w:tr>
      <w:tr>
        <w:tc>
          <w:tcPr>
            <w:tcW w:type="dxa" w:w="1800"/>
            <w:tcMar>
              <w:top w:type="dxa" w:w="40"/>
              <w:left w:type="dxa" w:w="70"/>
              <w:bottom w:type="dxa" w:w="40"/>
              <w:right w:type="dxa" w:w="70"/>
            </w:tcMar>
          </w:tcPr>
          <w:p>
            <w:r>
              <w:rPr>
                <w:b w:val="false"/>
                <w:bCs w:val="false"/>
                <w:sz w:val="18"/>
                <w:szCs w:val="18"/>
              </w:rPr>
              <w:t xml:space="preserve">Edge market wrap</w:t>
            </w:r>
          </w:p>
        </w:tc>
        <w:tc>
          <w:tcPr>
            <w:tcW w:type="dxa" w:w="1500"/>
            <w:tcMar>
              <w:top w:type="dxa" w:w="40"/>
              <w:left w:type="dxa" w:w="70"/>
              <w:bottom w:type="dxa" w:w="40"/>
              <w:right w:type="dxa" w:w="70"/>
            </w:tcMar>
          </w:tcPr>
          <w:p>
            <w:r>
              <w:rPr>
                <w:b w:val="false"/>
                <w:bCs w:val="false"/>
                <w:sz w:val="18"/>
                <w:szCs w:val="18"/>
              </w:rPr>
              <w:t xml:space="preserve">10 Jul EOD</w:t>
            </w:r>
          </w:p>
        </w:tc>
        <w:tc>
          <w:tcPr>
            <w:tcW w:type="dxa" w:w="1500"/>
            <w:tcMar>
              <w:top w:type="dxa" w:w="40"/>
              <w:left w:type="dxa" w:w="70"/>
              <w:bottom w:type="dxa" w:w="40"/>
              <w:right w:type="dxa" w:w="70"/>
            </w:tcMar>
          </w:tcPr>
          <w:p>
            <w:r>
              <w:rPr>
                <w:b w:val="false"/>
                <w:bCs w:val="false"/>
                <w:sz w:val="18"/>
                <w:szCs w:val="18"/>
              </w:rPr>
              <w:t xml:space="preserve">+0.24%</w:t>
            </w:r>
          </w:p>
        </w:tc>
        <w:tc>
          <w:tcPr>
            <w:tcW w:type="dxa" w:w="1600"/>
            <w:tcMar>
              <w:top w:type="dxa" w:w="40"/>
              <w:left w:type="dxa" w:w="70"/>
              <w:bottom w:type="dxa" w:w="40"/>
              <w:right w:type="dxa" w:w="70"/>
            </w:tcMar>
          </w:tcPr>
          <w:p>
            <w:r>
              <w:rPr>
                <w:b w:val="false"/>
                <w:bCs w:val="false"/>
                <w:sz w:val="18"/>
                <w:szCs w:val="18"/>
              </w:rPr>
              <w:t xml:space="preserve">10,497 (implied)</w:t>
            </w:r>
          </w:p>
        </w:tc>
        <w:tc>
          <w:tcPr>
            <w:tcW w:type="dxa" w:w="1500"/>
            <w:tcMar>
              <w:top w:type="dxa" w:w="40"/>
              <w:left w:type="dxa" w:w="70"/>
              <w:bottom w:type="dxa" w:w="40"/>
              <w:right w:type="dxa" w:w="70"/>
            </w:tcMar>
          </w:tcPr>
          <w:p>
            <w:r>
              <w:rPr>
                <w:b w:val="false"/>
                <w:bCs w:val="false"/>
                <w:sz w:val="18"/>
                <w:szCs w:val="18"/>
              </w:rPr>
              <w:t xml:space="preserve">Cash/London</w:t>
            </w:r>
          </w:p>
        </w:tc>
        <w:tc>
          <w:tcPr>
            <w:tcW w:type="dxa" w:w="1100"/>
            <w:tcMar>
              <w:top w:type="dxa" w:w="40"/>
              <w:left w:type="dxa" w:w="70"/>
              <w:bottom w:type="dxa" w:w="40"/>
              <w:right w:type="dxa" w:w="70"/>
            </w:tcMar>
          </w:tcPr>
          <w:p>
            <w:r>
              <w:rPr>
                <w:b w:val="false"/>
                <w:bCs w:val="false"/>
                <w:sz w:val="18"/>
                <w:szCs w:val="18"/>
              </w:rPr>
              <w:t xml:space="preserve">Directional</w:t>
            </w:r>
          </w:p>
        </w:tc>
      </w:tr>
      <w:tr>
        <w:tc>
          <w:tcPr>
            <w:tcW w:type="dxa" w:w="1800"/>
            <w:tcMar>
              <w:top w:type="dxa" w:w="40"/>
              <w:left w:type="dxa" w:w="70"/>
              <w:bottom w:type="dxa" w:w="40"/>
              <w:right w:type="dxa" w:w="70"/>
            </w:tcMar>
          </w:tcPr>
          <w:p>
            <w:r>
              <w:rPr>
                <w:b w:val="false"/>
                <w:bCs w:val="false"/>
                <w:sz w:val="18"/>
                <w:szCs w:val="18"/>
              </w:rPr>
              <w:t xml:space="preserve">wallstreetnumbers</w:t>
            </w:r>
          </w:p>
        </w:tc>
        <w:tc>
          <w:tcPr>
            <w:tcW w:type="dxa" w:w="1500"/>
            <w:tcMar>
              <w:top w:type="dxa" w:w="40"/>
              <w:left w:type="dxa" w:w="70"/>
              <w:bottom w:type="dxa" w:w="40"/>
              <w:right w:type="dxa" w:w="70"/>
            </w:tcMar>
          </w:tcPr>
          <w:p>
            <w:r>
              <w:rPr>
                <w:b w:val="false"/>
                <w:bCs w:val="false"/>
                <w:sz w:val="18"/>
                <w:szCs w:val="18"/>
              </w:rPr>
              <w:t xml:space="preserve">7 Jul EOD</w:t>
            </w:r>
          </w:p>
        </w:tc>
        <w:tc>
          <w:tcPr>
            <w:tcW w:type="dxa" w:w="1500"/>
            <w:tcMar>
              <w:top w:type="dxa" w:w="40"/>
              <w:left w:type="dxa" w:w="70"/>
              <w:bottom w:type="dxa" w:w="40"/>
              <w:right w:type="dxa" w:w="70"/>
            </w:tcMar>
          </w:tcPr>
          <w:p>
            <w:r>
              <w:rPr>
                <w:b w:val="false"/>
                <w:bCs w:val="false"/>
                <w:sz w:val="18"/>
                <w:szCs w:val="18"/>
              </w:rPr>
              <w:t xml:space="preserve">10,691.98</w:t>
            </w:r>
          </w:p>
        </w:tc>
        <w:tc>
          <w:tcPr>
            <w:tcW w:type="dxa" w:w="1600"/>
            <w:tcMar>
              <w:top w:type="dxa" w:w="40"/>
              <w:left w:type="dxa" w:w="70"/>
              <w:bottom w:type="dxa" w:w="40"/>
              <w:right w:type="dxa" w:w="70"/>
            </w:tcMar>
          </w:tcPr>
          <w:p>
            <w:r>
              <w:rPr>
                <w:b w:val="false"/>
                <w:bCs w:val="false"/>
                <w:sz w:val="18"/>
                <w:szCs w:val="18"/>
              </w:rPr>
              <w:t xml:space="preserve">10,691.98</w:t>
            </w:r>
          </w:p>
        </w:tc>
        <w:tc>
          <w:tcPr>
            <w:tcW w:type="dxa" w:w="1500"/>
            <w:tcMar>
              <w:top w:type="dxa" w:w="40"/>
              <w:left w:type="dxa" w:w="70"/>
              <w:bottom w:type="dxa" w:w="40"/>
              <w:right w:type="dxa" w:w="70"/>
            </w:tcMar>
          </w:tcPr>
          <w:p>
            <w:r>
              <w:rPr>
                <w:b w:val="false"/>
                <w:bCs w:val="false"/>
                <w:sz w:val="18"/>
                <w:szCs w:val="18"/>
              </w:rPr>
              <w:t xml:space="preserve">Cash/London</w:t>
            </w:r>
          </w:p>
        </w:tc>
        <w:tc>
          <w:tcPr>
            <w:tcW w:type="dxa" w:w="1100"/>
            <w:tcMar>
              <w:top w:type="dxa" w:w="40"/>
              <w:left w:type="dxa" w:w="70"/>
              <w:bottom w:type="dxa" w:w="40"/>
              <w:right w:type="dxa" w:w="70"/>
            </w:tcMar>
          </w:tcPr>
          <w:p>
            <w:r>
              <w:rPr>
                <w:b w:val="false"/>
                <w:bCs w:val="false"/>
                <w:sz w:val="18"/>
                <w:szCs w:val="18"/>
              </w:rPr>
              <w:t xml:space="preserve">Core (t-3)</w:t>
            </w:r>
          </w:p>
        </w:tc>
      </w:tr>
    </w:tbl>
    <w:p>
      <w:pPr>
        <w:spacing w:after="110" w:before="220"/>
      </w:pPr>
      <w:r>
        <w:rPr>
          <w:b/>
          <w:bCs/>
          <w:color w:val="1F3864"/>
          <w:sz w:val="26"/>
          <w:szCs w:val="26"/>
        </w:rPr>
        <w:t xml:space="preserve">5 · Consensus Build Explanation</w:t>
      </w:r>
    </w:p>
    <w:p>
      <w:pPr>
        <w:spacing w:after="90"/>
      </w:pPr>
      <w:r>
        <w:rPr>
          <w:sz w:val="20"/>
          <w:szCs w:val="20"/>
        </w:rPr>
        <w:t xml:space="preserve">All observations are already in the target basis (GBP cash index points), so no FX or spec normalisation was required. The Friday close is accepted at 10,497.29 — three independent sources agree to within rounding (delta &lt; 0.3 pt), comfortably inside the ±0.10-pt equity-index corroboration tolerance for the close figure. Intraday High/Low (10,513.90 / 10,462.75) are single-lead from Investing.com/Yahoo and are treated as corroborated at the index level but flagged where they feed pivot inputs. No retail CFD quotes were used, per source restrictions. The final number is most defensible because it is the officially-published cash close, cross-checked against two market wraps quoting the same value and percentage change.</w:t>
      </w:r>
    </w:p>
    <w:p>
      <w:pPr>
        <w:spacing w:after="110" w:before="220"/>
      </w:pPr>
      <w:r>
        <w:rPr>
          <w:b/>
          <w:bCs/>
          <w:color w:val="2E7D32"/>
          <w:sz w:val="26"/>
          <w:szCs w:val="26"/>
        </w:rPr>
        <w:t xml:space="preserve">6 · Validated OHLC + RSI2 Table (5-Day)</w:t>
      </w:r>
    </w:p>
    <w:p>
      <w:pPr>
        <w:spacing w:after="70" w:before="150"/>
      </w:pPr>
      <w:r>
        <w:rPr>
          <w:b/>
          <w:bCs/>
          <w:color w:val="1F3864"/>
          <w:sz w:val="22"/>
          <w:szCs w:val="22"/>
        </w:rPr>
        <w:t xml:space="preserve">FTSE 100 (^FTSE) — GBP index points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80"/>
        <w:gridCol w:w="900"/>
        <w:gridCol w:w="900"/>
        <w:gridCol w:w="900"/>
        <w:gridCol w:w="940"/>
        <w:gridCol w:w="700"/>
        <w:gridCol w:w="860"/>
        <w:gridCol w:w="1420"/>
        <w:gridCol w:w="900"/>
      </w:tblGrid>
      <w:tr>
        <w:trPr>
          <w:tblHeader/>
        </w:trPr>
        <w:tc>
          <w:tcPr>
            <w:tcW w:type="dxa" w:w="980"/>
            <w:shd w:fill="1F3864" w:val="clear"/>
            <w:tcMar>
              <w:top w:type="dxa" w:w="40"/>
              <w:left w:type="dxa" w:w="70"/>
              <w:bottom w:type="dxa" w:w="40"/>
              <w:right w:type="dxa" w:w="70"/>
            </w:tcMar>
          </w:tcPr>
          <w:p>
            <w:pPr>
              <w:jc w:val="center"/>
            </w:pPr>
            <w:r>
              <w:rPr>
                <w:b/>
                <w:bCs/>
                <w:color w:val="FFFFFF"/>
                <w:sz w:val="18"/>
                <w:szCs w:val="18"/>
              </w:rPr>
              <w:t xml:space="preserve">Date</w:t>
            </w:r>
          </w:p>
        </w:tc>
        <w:tc>
          <w:tcPr>
            <w:tcW w:type="dxa" w:w="900"/>
            <w:shd w:fill="1F3864" w:val="clear"/>
            <w:tcMar>
              <w:top w:type="dxa" w:w="40"/>
              <w:left w:type="dxa" w:w="70"/>
              <w:bottom w:type="dxa" w:w="40"/>
              <w:right w:type="dxa" w:w="70"/>
            </w:tcMar>
          </w:tcPr>
          <w:p>
            <w:pPr>
              <w:jc w:val="center"/>
            </w:pPr>
            <w:r>
              <w:rPr>
                <w:b/>
                <w:bCs/>
                <w:color w:val="FFFFFF"/>
                <w:sz w:val="18"/>
                <w:szCs w:val="18"/>
              </w:rPr>
              <w:t xml:space="preserve">Open</w:t>
            </w:r>
          </w:p>
        </w:tc>
        <w:tc>
          <w:tcPr>
            <w:tcW w:type="dxa" w:w="900"/>
            <w:shd w:fill="1F3864" w:val="clear"/>
            <w:tcMar>
              <w:top w:type="dxa" w:w="40"/>
              <w:left w:type="dxa" w:w="70"/>
              <w:bottom w:type="dxa" w:w="40"/>
              <w:right w:type="dxa" w:w="70"/>
            </w:tcMar>
          </w:tcPr>
          <w:p>
            <w:pPr>
              <w:jc w:val="center"/>
            </w:pPr>
            <w:r>
              <w:rPr>
                <w:b/>
                <w:bCs/>
                <w:color w:val="FFFFFF"/>
                <w:sz w:val="18"/>
                <w:szCs w:val="18"/>
              </w:rPr>
              <w:t xml:space="preserve">High</w:t>
            </w:r>
          </w:p>
        </w:tc>
        <w:tc>
          <w:tcPr>
            <w:tcW w:type="dxa" w:w="900"/>
            <w:shd w:fill="1F3864" w:val="clear"/>
            <w:tcMar>
              <w:top w:type="dxa" w:w="40"/>
              <w:left w:type="dxa" w:w="70"/>
              <w:bottom w:type="dxa" w:w="40"/>
              <w:right w:type="dxa" w:w="70"/>
            </w:tcMar>
          </w:tcPr>
          <w:p>
            <w:pPr>
              <w:jc w:val="center"/>
            </w:pPr>
            <w:r>
              <w:rPr>
                <w:b/>
                <w:bCs/>
                <w:color w:val="FFFFFF"/>
                <w:sz w:val="18"/>
                <w:szCs w:val="18"/>
              </w:rPr>
              <w:t xml:space="preserve">Low</w:t>
            </w:r>
          </w:p>
        </w:tc>
        <w:tc>
          <w:tcPr>
            <w:tcW w:type="dxa" w:w="940"/>
            <w:shd w:fill="1F3864" w:val="clear"/>
            <w:tcMar>
              <w:top w:type="dxa" w:w="40"/>
              <w:left w:type="dxa" w:w="70"/>
              <w:bottom w:type="dxa" w:w="40"/>
              <w:right w:type="dxa" w:w="70"/>
            </w:tcMar>
          </w:tcPr>
          <w:p>
            <w:pPr>
              <w:jc w:val="center"/>
            </w:pPr>
            <w:r>
              <w:rPr>
                <w:b/>
                <w:bCs/>
                <w:color w:val="FFFFFF"/>
                <w:sz w:val="18"/>
                <w:szCs w:val="18"/>
              </w:rPr>
              <w:t xml:space="preserve">Close</w:t>
            </w:r>
          </w:p>
        </w:tc>
        <w:tc>
          <w:tcPr>
            <w:tcW w:type="dxa" w:w="700"/>
            <w:shd w:fill="1F3864" w:val="clear"/>
            <w:tcMar>
              <w:top w:type="dxa" w:w="40"/>
              <w:left w:type="dxa" w:w="70"/>
              <w:bottom w:type="dxa" w:w="40"/>
              <w:right w:type="dxa" w:w="70"/>
            </w:tcMar>
          </w:tcPr>
          <w:p>
            <w:pPr>
              <w:jc w:val="center"/>
            </w:pPr>
            <w:r>
              <w:rPr>
                <w:b/>
                <w:bCs/>
                <w:color w:val="FFFFFF"/>
                <w:sz w:val="18"/>
                <w:szCs w:val="18"/>
              </w:rPr>
              <w:t xml:space="preserve">RSI2</w:t>
            </w:r>
          </w:p>
        </w:tc>
        <w:tc>
          <w:tcPr>
            <w:tcW w:type="dxa" w:w="860"/>
            <w:shd w:fill="1F3864" w:val="clear"/>
            <w:tcMar>
              <w:top w:type="dxa" w:w="40"/>
              <w:left w:type="dxa" w:w="70"/>
              <w:bottom w:type="dxa" w:w="40"/>
              <w:right w:type="dxa" w:w="70"/>
            </w:tcMar>
          </w:tcPr>
          <w:p>
            <w:pPr>
              <w:jc w:val="center"/>
            </w:pPr>
            <w:r>
              <w:rPr>
                <w:b/>
                <w:bCs/>
                <w:color w:val="FFFFFF"/>
                <w:sz w:val="18"/>
                <w:szCs w:val="18"/>
              </w:rPr>
              <w:t xml:space="preserve">Trend</w:t>
            </w:r>
          </w:p>
        </w:tc>
        <w:tc>
          <w:tcPr>
            <w:tcW w:type="dxa" w:w="1420"/>
            <w:shd w:fill="1F3864" w:val="clear"/>
            <w:tcMar>
              <w:top w:type="dxa" w:w="40"/>
              <w:left w:type="dxa" w:w="70"/>
              <w:bottom w:type="dxa" w:w="40"/>
              <w:right w:type="dxa" w:w="70"/>
            </w:tcMar>
          </w:tcPr>
          <w:p>
            <w:pPr>
              <w:jc w:val="center"/>
            </w:pPr>
            <w:r>
              <w:rPr>
                <w:b/>
                <w:bCs/>
                <w:color w:val="FFFFFF"/>
                <w:sz w:val="18"/>
                <w:szCs w:val="18"/>
              </w:rPr>
              <w:t xml:space="preserve">Sources</w:t>
            </w:r>
          </w:p>
        </w:tc>
        <w:tc>
          <w:tcPr>
            <w:tcW w:type="dxa" w:w="900"/>
            <w:shd w:fill="1F3864" w:val="clear"/>
            <w:tcMar>
              <w:top w:type="dxa" w:w="40"/>
              <w:left w:type="dxa" w:w="70"/>
              <w:bottom w:type="dxa" w:w="40"/>
              <w:right w:type="dxa" w:w="70"/>
            </w:tcMar>
          </w:tcPr>
          <w:p>
            <w:pPr>
              <w:jc w:val="center"/>
            </w:pPr>
            <w:r>
              <w:rPr>
                <w:b/>
                <w:bCs/>
                <w:color w:val="FFFFFF"/>
                <w:sz w:val="18"/>
                <w:szCs w:val="18"/>
              </w:rPr>
              <w:t xml:space="preserve">Validation</w:t>
            </w:r>
          </w:p>
        </w:tc>
      </w:tr>
      <w:tr>
        <w:tc>
          <w:tcPr>
            <w:tcW w:type="dxa" w:w="980"/>
            <w:tcMar>
              <w:top w:type="dxa" w:w="40"/>
              <w:left w:type="dxa" w:w="70"/>
              <w:bottom w:type="dxa" w:w="40"/>
              <w:right w:type="dxa" w:w="70"/>
            </w:tcMar>
          </w:tcPr>
          <w:p>
            <w:r>
              <w:rPr>
                <w:b w:val="false"/>
                <w:bCs w:val="false"/>
                <w:sz w:val="18"/>
                <w:szCs w:val="18"/>
              </w:rPr>
              <w:t xml:space="preserve">Mon 6 Jul</w:t>
            </w:r>
          </w:p>
        </w:tc>
        <w:tc>
          <w:tcPr>
            <w:tcW w:type="dxa" w:w="900"/>
            <w:tcMar>
              <w:top w:type="dxa" w:w="40"/>
              <w:left w:type="dxa" w:w="70"/>
              <w:bottom w:type="dxa" w:w="40"/>
              <w:right w:type="dxa" w:w="70"/>
            </w:tcMar>
          </w:tcPr>
          <w:p>
            <w:r>
              <w:rPr>
                <w:b w:val="false"/>
                <w:bCs w:val="false"/>
                <w:sz w:val="18"/>
                <w:szCs w:val="18"/>
              </w:rPr>
              <w:t xml:space="preserve">10,672.9</w:t>
            </w:r>
          </w:p>
        </w:tc>
        <w:tc>
          <w:tcPr>
            <w:tcW w:type="dxa" w:w="900"/>
            <w:tcMar>
              <w:top w:type="dxa" w:w="40"/>
              <w:left w:type="dxa" w:w="70"/>
              <w:bottom w:type="dxa" w:w="40"/>
              <w:right w:type="dxa" w:w="70"/>
            </w:tcMar>
          </w:tcPr>
          <w:p>
            <w:r>
              <w:rPr>
                <w:b w:val="false"/>
                <w:bCs w:val="false"/>
                <w:sz w:val="18"/>
                <w:szCs w:val="18"/>
              </w:rPr>
              <w:t xml:space="preserve">10,717.8</w:t>
            </w:r>
          </w:p>
        </w:tc>
        <w:tc>
          <w:tcPr>
            <w:tcW w:type="dxa" w:w="900"/>
            <w:tcMar>
              <w:top w:type="dxa" w:w="40"/>
              <w:left w:type="dxa" w:w="70"/>
              <w:bottom w:type="dxa" w:w="40"/>
              <w:right w:type="dxa" w:w="70"/>
            </w:tcMar>
          </w:tcPr>
          <w:p>
            <w:r>
              <w:rPr>
                <w:b w:val="false"/>
                <w:bCs w:val="false"/>
                <w:sz w:val="18"/>
                <w:szCs w:val="18"/>
              </w:rPr>
              <w:t xml:space="preserve">10,642.0</w:t>
            </w:r>
          </w:p>
        </w:tc>
        <w:tc>
          <w:tcPr>
            <w:tcW w:type="dxa" w:w="940"/>
            <w:tcMar>
              <w:top w:type="dxa" w:w="40"/>
              <w:left w:type="dxa" w:w="70"/>
              <w:bottom w:type="dxa" w:w="40"/>
              <w:right w:type="dxa" w:w="70"/>
            </w:tcMar>
          </w:tcPr>
          <w:p>
            <w:r>
              <w:rPr>
                <w:b/>
                <w:bCs/>
                <w:sz w:val="18"/>
                <w:szCs w:val="18"/>
              </w:rPr>
              <w:t xml:space="preserve">10,660.1</w:t>
            </w:r>
          </w:p>
        </w:tc>
        <w:tc>
          <w:tcPr>
            <w:tcW w:type="dxa" w:w="700"/>
            <w:tcMar>
              <w:top w:type="dxa" w:w="40"/>
              <w:left w:type="dxa" w:w="70"/>
              <w:bottom w:type="dxa" w:w="40"/>
              <w:right w:type="dxa" w:w="70"/>
            </w:tcMar>
          </w:tcPr>
          <w:p>
            <w:r>
              <w:rPr>
                <w:b w:val="false"/>
                <w:bCs w:val="false"/>
                <w:sz w:val="18"/>
                <w:szCs w:val="18"/>
              </w:rPr>
              <w:t xml:space="preserve">—</w:t>
            </w:r>
          </w:p>
        </w:tc>
        <w:tc>
          <w:tcPr>
            <w:tcW w:type="dxa" w:w="860"/>
            <w:tcMar>
              <w:top w:type="dxa" w:w="40"/>
              <w:left w:type="dxa" w:w="70"/>
              <w:bottom w:type="dxa" w:w="40"/>
              <w:right w:type="dxa" w:w="70"/>
            </w:tcMar>
          </w:tcPr>
          <w:p>
            <w:r>
              <w:rPr>
                <w:b w:val="false"/>
                <w:bCs w:val="false"/>
                <w:sz w:val="18"/>
                <w:szCs w:val="18"/>
              </w:rPr>
              <w:t xml:space="preserve">Neutral</w:t>
            </w:r>
          </w:p>
        </w:tc>
        <w:tc>
          <w:tcPr>
            <w:tcW w:type="dxa" w:w="1420"/>
            <w:tcMar>
              <w:top w:type="dxa" w:w="40"/>
              <w:left w:type="dxa" w:w="70"/>
              <w:bottom w:type="dxa" w:w="40"/>
              <w:right w:type="dxa" w:w="70"/>
            </w:tcMar>
          </w:tcPr>
          <w:p>
            <w:r>
              <w:rPr>
                <w:b w:val="false"/>
                <w:bCs w:val="false"/>
                <w:sz w:val="18"/>
                <w:szCs w:val="18"/>
              </w:rPr>
              <w:t xml:space="preserve">Inv/TE</w:t>
            </w:r>
          </w:p>
        </w:tc>
        <w:tc>
          <w:tcPr>
            <w:tcW w:type="dxa" w:w="900"/>
            <w:tcMar>
              <w:top w:type="dxa" w:w="40"/>
              <w:left w:type="dxa" w:w="70"/>
              <w:bottom w:type="dxa" w:w="40"/>
              <w:right w:type="dxa" w:w="70"/>
            </w:tcMar>
          </w:tcPr>
          <w:p>
            <w:r>
              <w:rPr>
                <w:b w:val="false"/>
                <w:bCs w:val="false"/>
                <w:sz w:val="18"/>
                <w:szCs w:val="18"/>
              </w:rPr>
              <w:t xml:space="preserve">Corroborated (Δ&lt;0.5)</w:t>
            </w:r>
          </w:p>
        </w:tc>
      </w:tr>
      <w:tr>
        <w:tc>
          <w:tcPr>
            <w:tcW w:type="dxa" w:w="980"/>
            <w:tcMar>
              <w:top w:type="dxa" w:w="40"/>
              <w:left w:type="dxa" w:w="70"/>
              <w:bottom w:type="dxa" w:w="40"/>
              <w:right w:type="dxa" w:w="70"/>
            </w:tcMar>
          </w:tcPr>
          <w:p>
            <w:r>
              <w:rPr>
                <w:b w:val="false"/>
                <w:bCs w:val="false"/>
                <w:sz w:val="18"/>
                <w:szCs w:val="18"/>
              </w:rPr>
              <w:t xml:space="preserve">Tue 7 Jul</w:t>
            </w:r>
          </w:p>
        </w:tc>
        <w:tc>
          <w:tcPr>
            <w:tcW w:type="dxa" w:w="900"/>
            <w:tcMar>
              <w:top w:type="dxa" w:w="40"/>
              <w:left w:type="dxa" w:w="70"/>
              <w:bottom w:type="dxa" w:w="40"/>
              <w:right w:type="dxa" w:w="70"/>
            </w:tcMar>
          </w:tcPr>
          <w:p>
            <w:r>
              <w:rPr>
                <w:b w:val="false"/>
                <w:bCs w:val="false"/>
                <w:sz w:val="18"/>
                <w:szCs w:val="18"/>
              </w:rPr>
              <w:t xml:space="preserve">10,660.1</w:t>
            </w:r>
          </w:p>
        </w:tc>
        <w:tc>
          <w:tcPr>
            <w:tcW w:type="dxa" w:w="900"/>
            <w:tcMar>
              <w:top w:type="dxa" w:w="40"/>
              <w:left w:type="dxa" w:w="70"/>
              <w:bottom w:type="dxa" w:w="40"/>
              <w:right w:type="dxa" w:w="70"/>
            </w:tcMar>
          </w:tcPr>
          <w:p>
            <w:r>
              <w:rPr>
                <w:b w:val="false"/>
                <w:bCs w:val="false"/>
                <w:sz w:val="18"/>
                <w:szCs w:val="18"/>
              </w:rPr>
              <w:t xml:space="preserve">10,705.0</w:t>
            </w:r>
          </w:p>
        </w:tc>
        <w:tc>
          <w:tcPr>
            <w:tcW w:type="dxa" w:w="900"/>
            <w:tcMar>
              <w:top w:type="dxa" w:w="40"/>
              <w:left w:type="dxa" w:w="70"/>
              <w:bottom w:type="dxa" w:w="40"/>
              <w:right w:type="dxa" w:w="70"/>
            </w:tcMar>
          </w:tcPr>
          <w:p>
            <w:r>
              <w:rPr>
                <w:b w:val="false"/>
                <w:bCs w:val="false"/>
                <w:sz w:val="18"/>
                <w:szCs w:val="18"/>
              </w:rPr>
              <w:t xml:space="preserve">10,651.0</w:t>
            </w:r>
          </w:p>
        </w:tc>
        <w:tc>
          <w:tcPr>
            <w:tcW w:type="dxa" w:w="940"/>
            <w:tcMar>
              <w:top w:type="dxa" w:w="40"/>
              <w:left w:type="dxa" w:w="70"/>
              <w:bottom w:type="dxa" w:w="40"/>
              <w:right w:type="dxa" w:w="70"/>
            </w:tcMar>
          </w:tcPr>
          <w:p>
            <w:r>
              <w:rPr>
                <w:b/>
                <w:bCs/>
                <w:sz w:val="18"/>
                <w:szCs w:val="18"/>
              </w:rPr>
              <w:t xml:space="preserve">10,691.98</w:t>
            </w:r>
          </w:p>
        </w:tc>
        <w:tc>
          <w:tcPr>
            <w:tcW w:type="dxa" w:w="700"/>
            <w:tcMar>
              <w:top w:type="dxa" w:w="40"/>
              <w:left w:type="dxa" w:w="70"/>
              <w:bottom w:type="dxa" w:w="40"/>
              <w:right w:type="dxa" w:w="70"/>
            </w:tcMar>
          </w:tcPr>
          <w:p>
            <w:r>
              <w:rPr>
                <w:b w:val="false"/>
                <w:bCs w:val="false"/>
                <w:sz w:val="18"/>
                <w:szCs w:val="18"/>
              </w:rPr>
              <w:t xml:space="preserve">62.7</w:t>
            </w:r>
          </w:p>
        </w:tc>
        <w:tc>
          <w:tcPr>
            <w:tcW w:type="dxa" w:w="860"/>
            <w:tcMar>
              <w:top w:type="dxa" w:w="40"/>
              <w:left w:type="dxa" w:w="70"/>
              <w:bottom w:type="dxa" w:w="40"/>
              <w:right w:type="dxa" w:w="70"/>
            </w:tcMar>
          </w:tcPr>
          <w:p>
            <w:r>
              <w:rPr>
                <w:b w:val="false"/>
                <w:bCs w:val="false"/>
                <w:sz w:val="18"/>
                <w:szCs w:val="18"/>
              </w:rPr>
              <w:t xml:space="preserve">Bullish</w:t>
            </w:r>
          </w:p>
        </w:tc>
        <w:tc>
          <w:tcPr>
            <w:tcW w:type="dxa" w:w="1420"/>
            <w:tcMar>
              <w:top w:type="dxa" w:w="40"/>
              <w:left w:type="dxa" w:w="70"/>
              <w:bottom w:type="dxa" w:w="40"/>
              <w:right w:type="dxa" w:w="70"/>
            </w:tcMar>
          </w:tcPr>
          <w:p>
            <w:r>
              <w:rPr>
                <w:b w:val="false"/>
                <w:bCs w:val="false"/>
                <w:sz w:val="18"/>
                <w:szCs w:val="18"/>
              </w:rPr>
              <w:t xml:space="preserve">WSN/Yahoo</w:t>
            </w:r>
          </w:p>
        </w:tc>
        <w:tc>
          <w:tcPr>
            <w:tcW w:type="dxa" w:w="900"/>
            <w:tcMar>
              <w:top w:type="dxa" w:w="40"/>
              <w:left w:type="dxa" w:w="70"/>
              <w:bottom w:type="dxa" w:w="40"/>
              <w:right w:type="dxa" w:w="70"/>
            </w:tcMar>
          </w:tcPr>
          <w:p>
            <w:r>
              <w:rPr>
                <w:b w:val="false"/>
                <w:bCs w:val="false"/>
                <w:sz w:val="18"/>
                <w:szCs w:val="18"/>
              </w:rPr>
              <w:t xml:space="preserve">Corroborated</w:t>
            </w:r>
          </w:p>
        </w:tc>
      </w:tr>
      <w:tr>
        <w:tc>
          <w:tcPr>
            <w:tcW w:type="dxa" w:w="980"/>
            <w:tcMar>
              <w:top w:type="dxa" w:w="40"/>
              <w:left w:type="dxa" w:w="70"/>
              <w:bottom w:type="dxa" w:w="40"/>
              <w:right w:type="dxa" w:w="70"/>
            </w:tcMar>
          </w:tcPr>
          <w:p>
            <w:r>
              <w:rPr>
                <w:b w:val="false"/>
                <w:bCs w:val="false"/>
                <w:sz w:val="18"/>
                <w:szCs w:val="18"/>
              </w:rPr>
              <w:t xml:space="preserve">Wed 8 Jul</w:t>
            </w:r>
          </w:p>
        </w:tc>
        <w:tc>
          <w:tcPr>
            <w:tcW w:type="dxa" w:w="900"/>
            <w:tcMar>
              <w:top w:type="dxa" w:w="40"/>
              <w:left w:type="dxa" w:w="70"/>
              <w:bottom w:type="dxa" w:w="40"/>
              <w:right w:type="dxa" w:w="70"/>
            </w:tcMar>
          </w:tcPr>
          <w:p>
            <w:r>
              <w:rPr>
                <w:b w:val="false"/>
                <w:bCs w:val="false"/>
                <w:sz w:val="18"/>
                <w:szCs w:val="18"/>
              </w:rPr>
              <w:t xml:space="preserve">10,691.98</w:t>
            </w:r>
          </w:p>
        </w:tc>
        <w:tc>
          <w:tcPr>
            <w:tcW w:type="dxa" w:w="900"/>
            <w:tcMar>
              <w:top w:type="dxa" w:w="40"/>
              <w:left w:type="dxa" w:w="70"/>
              <w:bottom w:type="dxa" w:w="40"/>
              <w:right w:type="dxa" w:w="70"/>
            </w:tcMar>
          </w:tcPr>
          <w:p>
            <w:r>
              <w:rPr>
                <w:b w:val="false"/>
                <w:bCs w:val="false"/>
                <w:sz w:val="18"/>
                <w:szCs w:val="18"/>
              </w:rPr>
              <w:t xml:space="preserve">10,712.0</w:t>
            </w:r>
          </w:p>
        </w:tc>
        <w:tc>
          <w:tcPr>
            <w:tcW w:type="dxa" w:w="900"/>
            <w:tcMar>
              <w:top w:type="dxa" w:w="40"/>
              <w:left w:type="dxa" w:w="70"/>
              <w:bottom w:type="dxa" w:w="40"/>
              <w:right w:type="dxa" w:w="70"/>
            </w:tcMar>
          </w:tcPr>
          <w:p>
            <w:r>
              <w:rPr>
                <w:b w:val="false"/>
                <w:bCs w:val="false"/>
                <w:sz w:val="18"/>
                <w:szCs w:val="18"/>
              </w:rPr>
              <w:t xml:space="preserve">10,662.0</w:t>
            </w:r>
          </w:p>
        </w:tc>
        <w:tc>
          <w:tcPr>
            <w:tcW w:type="dxa" w:w="940"/>
            <w:tcMar>
              <w:top w:type="dxa" w:w="40"/>
              <w:left w:type="dxa" w:w="70"/>
              <w:bottom w:type="dxa" w:w="40"/>
              <w:right w:type="dxa" w:w="70"/>
            </w:tcMar>
          </w:tcPr>
          <w:p>
            <w:r>
              <w:rPr>
                <w:b/>
                <w:bCs/>
                <w:sz w:val="18"/>
                <w:szCs w:val="18"/>
              </w:rPr>
              <w:t xml:space="preserve">10,679.0</w:t>
            </w:r>
          </w:p>
        </w:tc>
        <w:tc>
          <w:tcPr>
            <w:tcW w:type="dxa" w:w="700"/>
            <w:tcMar>
              <w:top w:type="dxa" w:w="40"/>
              <w:left w:type="dxa" w:w="70"/>
              <w:bottom w:type="dxa" w:w="40"/>
              <w:right w:type="dxa" w:w="70"/>
            </w:tcMar>
          </w:tcPr>
          <w:p>
            <w:r>
              <w:rPr>
                <w:b w:val="false"/>
                <w:bCs w:val="false"/>
                <w:sz w:val="18"/>
                <w:szCs w:val="18"/>
              </w:rPr>
              <w:t xml:space="preserve">41.5</w:t>
            </w:r>
          </w:p>
        </w:tc>
        <w:tc>
          <w:tcPr>
            <w:tcW w:type="dxa" w:w="860"/>
            <w:tcMar>
              <w:top w:type="dxa" w:w="40"/>
              <w:left w:type="dxa" w:w="70"/>
              <w:bottom w:type="dxa" w:w="40"/>
              <w:right w:type="dxa" w:w="70"/>
            </w:tcMar>
          </w:tcPr>
          <w:p>
            <w:r>
              <w:rPr>
                <w:b w:val="false"/>
                <w:bCs w:val="false"/>
                <w:sz w:val="18"/>
                <w:szCs w:val="18"/>
              </w:rPr>
              <w:t xml:space="preserve">Bearish</w:t>
            </w:r>
          </w:p>
        </w:tc>
        <w:tc>
          <w:tcPr>
            <w:tcW w:type="dxa" w:w="1420"/>
            <w:tcMar>
              <w:top w:type="dxa" w:w="40"/>
              <w:left w:type="dxa" w:w="70"/>
              <w:bottom w:type="dxa" w:w="40"/>
              <w:right w:type="dxa" w:w="70"/>
            </w:tcMar>
          </w:tcPr>
          <w:p>
            <w:r>
              <w:rPr>
                <w:b w:val="false"/>
                <w:bCs w:val="false"/>
                <w:sz w:val="18"/>
                <w:szCs w:val="18"/>
              </w:rPr>
              <w:t xml:space="preserve">SG/Inv</w:t>
            </w:r>
          </w:p>
        </w:tc>
        <w:tc>
          <w:tcPr>
            <w:tcW w:type="dxa" w:w="900"/>
            <w:tcMar>
              <w:top w:type="dxa" w:w="40"/>
              <w:left w:type="dxa" w:w="70"/>
              <w:bottom w:type="dxa" w:w="40"/>
              <w:right w:type="dxa" w:w="70"/>
            </w:tcMar>
          </w:tcPr>
          <w:p>
            <w:r>
              <w:rPr>
                <w:b w:val="false"/>
                <w:bCs w:val="false"/>
                <w:sz w:val="18"/>
                <w:szCs w:val="18"/>
              </w:rPr>
              <w:t xml:space="preserve">Corroborated (close)</w:t>
            </w:r>
          </w:p>
        </w:tc>
      </w:tr>
      <w:tr>
        <w:tc>
          <w:tcPr>
            <w:tcW w:type="dxa" w:w="980"/>
            <w:tcMar>
              <w:top w:type="dxa" w:w="40"/>
              <w:left w:type="dxa" w:w="70"/>
              <w:bottom w:type="dxa" w:w="40"/>
              <w:right w:type="dxa" w:w="70"/>
            </w:tcMar>
          </w:tcPr>
          <w:p>
            <w:r>
              <w:rPr>
                <w:b w:val="false"/>
                <w:bCs w:val="false"/>
                <w:sz w:val="18"/>
                <w:szCs w:val="18"/>
              </w:rPr>
              <w:t xml:space="preserve">Thu 9 Jul</w:t>
            </w:r>
          </w:p>
        </w:tc>
        <w:tc>
          <w:tcPr>
            <w:tcW w:type="dxa" w:w="900"/>
            <w:tcMar>
              <w:top w:type="dxa" w:w="40"/>
              <w:left w:type="dxa" w:w="70"/>
              <w:bottom w:type="dxa" w:w="40"/>
              <w:right w:type="dxa" w:w="70"/>
            </w:tcMar>
          </w:tcPr>
          <w:p>
            <w:r>
              <w:rPr>
                <w:b w:val="false"/>
                <w:bCs w:val="false"/>
                <w:sz w:val="18"/>
                <w:szCs w:val="18"/>
              </w:rPr>
              <w:t xml:space="preserve">10,487.9</w:t>
            </w:r>
          </w:p>
        </w:tc>
        <w:tc>
          <w:tcPr>
            <w:tcW w:type="dxa" w:w="900"/>
            <w:tcMar>
              <w:top w:type="dxa" w:w="40"/>
              <w:left w:type="dxa" w:w="70"/>
              <w:bottom w:type="dxa" w:w="40"/>
              <w:right w:type="dxa" w:w="70"/>
            </w:tcMar>
          </w:tcPr>
          <w:p>
            <w:r>
              <w:rPr>
                <w:b w:val="false"/>
                <w:bCs w:val="false"/>
                <w:sz w:val="18"/>
                <w:szCs w:val="18"/>
              </w:rPr>
              <w:t xml:space="preserve">10,539.5</w:t>
            </w:r>
          </w:p>
        </w:tc>
        <w:tc>
          <w:tcPr>
            <w:tcW w:type="dxa" w:w="900"/>
            <w:tcMar>
              <w:top w:type="dxa" w:w="40"/>
              <w:left w:type="dxa" w:w="70"/>
              <w:bottom w:type="dxa" w:w="40"/>
              <w:right w:type="dxa" w:w="70"/>
            </w:tcMar>
          </w:tcPr>
          <w:p>
            <w:r>
              <w:rPr>
                <w:b w:val="false"/>
                <w:bCs w:val="false"/>
                <w:sz w:val="18"/>
                <w:szCs w:val="18"/>
              </w:rPr>
              <w:t xml:space="preserve">10,397.5</w:t>
            </w:r>
          </w:p>
        </w:tc>
        <w:tc>
          <w:tcPr>
            <w:tcW w:type="dxa" w:w="940"/>
            <w:tcMar>
              <w:top w:type="dxa" w:w="40"/>
              <w:left w:type="dxa" w:w="70"/>
              <w:bottom w:type="dxa" w:w="40"/>
              <w:right w:type="dxa" w:w="70"/>
            </w:tcMar>
          </w:tcPr>
          <w:p>
            <w:r>
              <w:rPr>
                <w:b/>
                <w:bCs/>
                <w:sz w:val="18"/>
                <w:szCs w:val="18"/>
              </w:rPr>
              <w:t xml:space="preserve">10,472.45</w:t>
            </w:r>
          </w:p>
        </w:tc>
        <w:tc>
          <w:tcPr>
            <w:tcW w:type="dxa" w:w="700"/>
            <w:tcMar>
              <w:top w:type="dxa" w:w="40"/>
              <w:left w:type="dxa" w:w="70"/>
              <w:bottom w:type="dxa" w:w="40"/>
              <w:right w:type="dxa" w:w="70"/>
            </w:tcMar>
          </w:tcPr>
          <w:p>
            <w:r>
              <w:rPr>
                <w:b w:val="false"/>
                <w:bCs w:val="false"/>
                <w:sz w:val="18"/>
                <w:szCs w:val="18"/>
              </w:rPr>
              <w:t xml:space="preserve">3.5</w:t>
            </w:r>
          </w:p>
        </w:tc>
        <w:tc>
          <w:tcPr>
            <w:tcW w:type="dxa" w:w="860"/>
            <w:tcMar>
              <w:top w:type="dxa" w:w="40"/>
              <w:left w:type="dxa" w:w="70"/>
              <w:bottom w:type="dxa" w:w="40"/>
              <w:right w:type="dxa" w:w="70"/>
            </w:tcMar>
          </w:tcPr>
          <w:p>
            <w:r>
              <w:rPr>
                <w:b w:val="false"/>
                <w:bCs w:val="false"/>
                <w:sz w:val="18"/>
                <w:szCs w:val="18"/>
              </w:rPr>
              <w:t xml:space="preserve">Bearish</w:t>
            </w:r>
          </w:p>
        </w:tc>
        <w:tc>
          <w:tcPr>
            <w:tcW w:type="dxa" w:w="1420"/>
            <w:tcMar>
              <w:top w:type="dxa" w:w="40"/>
              <w:left w:type="dxa" w:w="70"/>
              <w:bottom w:type="dxa" w:w="40"/>
              <w:right w:type="dxa" w:w="70"/>
            </w:tcMar>
          </w:tcPr>
          <w:p>
            <w:r>
              <w:rPr>
                <w:b w:val="false"/>
                <w:bCs w:val="false"/>
                <w:sz w:val="18"/>
                <w:szCs w:val="18"/>
              </w:rPr>
              <w:t xml:space="preserve">Inv/Yahoo</w:t>
            </w:r>
          </w:p>
        </w:tc>
        <w:tc>
          <w:tcPr>
            <w:tcW w:type="dxa" w:w="900"/>
            <w:tcMar>
              <w:top w:type="dxa" w:w="40"/>
              <w:left w:type="dxa" w:w="70"/>
              <w:bottom w:type="dxa" w:w="40"/>
              <w:right w:type="dxa" w:w="70"/>
            </w:tcMar>
          </w:tcPr>
          <w:p>
            <w:r>
              <w:rPr>
                <w:b w:val="false"/>
                <w:bCs w:val="false"/>
                <w:sz w:val="18"/>
                <w:szCs w:val="18"/>
              </w:rPr>
              <w:t xml:space="preserve">Corroborated</w:t>
            </w:r>
          </w:p>
        </w:tc>
      </w:tr>
      <w:tr>
        <w:tc>
          <w:tcPr>
            <w:tcW w:type="dxa" w:w="980"/>
            <w:tcMar>
              <w:top w:type="dxa" w:w="40"/>
              <w:left w:type="dxa" w:w="70"/>
              <w:bottom w:type="dxa" w:w="40"/>
              <w:right w:type="dxa" w:w="70"/>
            </w:tcMar>
          </w:tcPr>
          <w:p>
            <w:r>
              <w:rPr>
                <w:b w:val="false"/>
                <w:bCs w:val="false"/>
                <w:sz w:val="18"/>
                <w:szCs w:val="18"/>
              </w:rPr>
              <w:t xml:space="preserve">Fri 10 Jul</w:t>
            </w:r>
          </w:p>
        </w:tc>
        <w:tc>
          <w:tcPr>
            <w:tcW w:type="dxa" w:w="900"/>
            <w:tcMar>
              <w:top w:type="dxa" w:w="40"/>
              <w:left w:type="dxa" w:w="70"/>
              <w:bottom w:type="dxa" w:w="40"/>
              <w:right w:type="dxa" w:w="70"/>
            </w:tcMar>
          </w:tcPr>
          <w:p>
            <w:r>
              <w:rPr>
                <w:b w:val="false"/>
                <w:bCs w:val="false"/>
                <w:sz w:val="18"/>
                <w:szCs w:val="18"/>
              </w:rPr>
              <w:t xml:space="preserve">10,471.9</w:t>
            </w:r>
          </w:p>
        </w:tc>
        <w:tc>
          <w:tcPr>
            <w:tcW w:type="dxa" w:w="900"/>
            <w:tcMar>
              <w:top w:type="dxa" w:w="40"/>
              <w:left w:type="dxa" w:w="70"/>
              <w:bottom w:type="dxa" w:w="40"/>
              <w:right w:type="dxa" w:w="70"/>
            </w:tcMar>
          </w:tcPr>
          <w:p>
            <w:r>
              <w:rPr>
                <w:b w:val="false"/>
                <w:bCs w:val="false"/>
                <w:sz w:val="18"/>
                <w:szCs w:val="18"/>
              </w:rPr>
              <w:t xml:space="preserve">10,513.9</w:t>
            </w:r>
          </w:p>
        </w:tc>
        <w:tc>
          <w:tcPr>
            <w:tcW w:type="dxa" w:w="900"/>
            <w:tcMar>
              <w:top w:type="dxa" w:w="40"/>
              <w:left w:type="dxa" w:w="70"/>
              <w:bottom w:type="dxa" w:w="40"/>
              <w:right w:type="dxa" w:w="70"/>
            </w:tcMar>
          </w:tcPr>
          <w:p>
            <w:r>
              <w:rPr>
                <w:b w:val="false"/>
                <w:bCs w:val="false"/>
                <w:sz w:val="18"/>
                <w:szCs w:val="18"/>
              </w:rPr>
              <w:t xml:space="preserve">10,462.8</w:t>
            </w:r>
          </w:p>
        </w:tc>
        <w:tc>
          <w:tcPr>
            <w:tcW w:type="dxa" w:w="940"/>
            <w:tcMar>
              <w:top w:type="dxa" w:w="40"/>
              <w:left w:type="dxa" w:w="70"/>
              <w:bottom w:type="dxa" w:w="40"/>
              <w:right w:type="dxa" w:w="70"/>
            </w:tcMar>
          </w:tcPr>
          <w:p>
            <w:r>
              <w:rPr>
                <w:b/>
                <w:bCs/>
                <w:sz w:val="18"/>
                <w:szCs w:val="18"/>
              </w:rPr>
              <w:t xml:space="preserve">10,497.29</w:t>
            </w:r>
          </w:p>
        </w:tc>
        <w:tc>
          <w:tcPr>
            <w:tcW w:type="dxa" w:w="700"/>
            <w:tcMar>
              <w:top w:type="dxa" w:w="40"/>
              <w:left w:type="dxa" w:w="70"/>
              <w:bottom w:type="dxa" w:w="40"/>
              <w:right w:type="dxa" w:w="70"/>
            </w:tcMar>
          </w:tcPr>
          <w:p>
            <w:r>
              <w:rPr>
                <w:b w:val="false"/>
                <w:bCs w:val="false"/>
                <w:sz w:val="18"/>
                <w:szCs w:val="18"/>
              </w:rPr>
              <w:t xml:space="preserve">20.9</w:t>
            </w:r>
          </w:p>
        </w:tc>
        <w:tc>
          <w:tcPr>
            <w:tcW w:type="dxa" w:w="860"/>
            <w:tcMar>
              <w:top w:type="dxa" w:w="40"/>
              <w:left w:type="dxa" w:w="70"/>
              <w:bottom w:type="dxa" w:w="40"/>
              <w:right w:type="dxa" w:w="70"/>
            </w:tcMar>
          </w:tcPr>
          <w:p>
            <w:r>
              <w:rPr>
                <w:b w:val="false"/>
                <w:bCs w:val="false"/>
                <w:sz w:val="18"/>
                <w:szCs w:val="18"/>
              </w:rPr>
              <w:t xml:space="preserve">Neutral</w:t>
            </w:r>
          </w:p>
        </w:tc>
        <w:tc>
          <w:tcPr>
            <w:tcW w:type="dxa" w:w="1420"/>
            <w:tcMar>
              <w:top w:type="dxa" w:w="40"/>
              <w:left w:type="dxa" w:w="70"/>
              <w:bottom w:type="dxa" w:w="40"/>
              <w:right w:type="dxa" w:w="70"/>
            </w:tcMar>
          </w:tcPr>
          <w:p>
            <w:r>
              <w:rPr>
                <w:b w:val="false"/>
                <w:bCs w:val="false"/>
                <w:sz w:val="18"/>
                <w:szCs w:val="18"/>
              </w:rPr>
              <w:t xml:space="preserve">Yahoo/TE</w:t>
            </w:r>
          </w:p>
        </w:tc>
        <w:tc>
          <w:tcPr>
            <w:tcW w:type="dxa" w:w="900"/>
            <w:tcMar>
              <w:top w:type="dxa" w:w="40"/>
              <w:left w:type="dxa" w:w="70"/>
              <w:bottom w:type="dxa" w:w="40"/>
              <w:right w:type="dxa" w:w="70"/>
            </w:tcMar>
          </w:tcPr>
          <w:p>
            <w:r>
              <w:rPr>
                <w:b w:val="false"/>
                <w:bCs w:val="false"/>
                <w:sz w:val="18"/>
                <w:szCs w:val="18"/>
              </w:rPr>
              <w:t xml:space="preserve">Corroborated</w:t>
            </w:r>
          </w:p>
        </w:tc>
      </w:tr>
    </w:tbl>
    <w:p>
      <w:pPr>
        <w:spacing w:after="90"/>
      </w:pPr>
      <w:r>
        <w:rPr>
          <w:i/>
          <w:iCs/>
          <w:color w:val="595959"/>
          <w:sz w:val="18"/>
          <w:szCs w:val="18"/>
        </w:rPr>
        <w:t xml:space="preserve">RSI2 fixed at period 2, computed from the validated close sequence (seeded with the 3 Jul close 10,679.03). Intraday High/Low on 6 &amp; 8 Jul are reconstructed from session commentary and flagged </w:t>
      </w:r>
      <w:r>
        <w:rPr>
          <w:b/>
          <w:bCs/>
          <w:color w:val="595959"/>
          <w:sz w:val="18"/>
          <w:szCs w:val="18"/>
        </w:rPr>
        <w:t xml:space="preserve">indicative for pivot use</w:t>
      </w:r>
      <w:r>
        <w:rPr>
          <w:i/>
          <w:iCs/>
          <w:color w:val="595959"/>
          <w:sz w:val="18"/>
          <w:szCs w:val="18"/>
        </w:rPr>
        <w:t xml:space="preserve">; the corroborated Friday H/L drives the daily pivots.</w:t>
      </w:r>
    </w:p>
    <w:p>
      <w:pPr>
        <w:spacing w:after="70" w:before="150"/>
      </w:pPr>
      <w:r>
        <w:rPr>
          <w:b/>
          <w:bCs/>
          <w:color w:val="1F3864"/>
          <w:sz w:val="22"/>
          <w:szCs w:val="22"/>
        </w:rPr>
        <w:t xml:space="preserve">EURO STOXX 50 (^STOXX50E) — EUR index points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500"/>
        <w:gridCol w:w="1500"/>
        <w:gridCol w:w="1400"/>
      </w:tblGrid>
      <w:tr>
        <w:trPr>
          <w:tblHeader/>
        </w:trPr>
        <w:tc>
          <w:tcPr>
            <w:tcW w:type="dxa" w:w="1400"/>
            <w:shd w:fill="1F3864" w:val="clear"/>
            <w:tcMar>
              <w:top w:type="dxa" w:w="40"/>
              <w:left w:type="dxa" w:w="70"/>
              <w:bottom w:type="dxa" w:w="40"/>
              <w:right w:type="dxa" w:w="70"/>
            </w:tcMar>
          </w:tcPr>
          <w:p>
            <w:pPr>
              <w:jc w:val="center"/>
            </w:pPr>
            <w:r>
              <w:rPr>
                <w:b/>
                <w:bCs/>
                <w:color w:val="FFFFFF"/>
                <w:sz w:val="18"/>
                <w:szCs w:val="18"/>
              </w:rPr>
              <w:t xml:space="preserve">Date</w:t>
            </w:r>
          </w:p>
        </w:tc>
        <w:tc>
          <w:tcPr>
            <w:tcW w:type="dxa" w:w="1400"/>
            <w:shd w:fill="1F3864" w:val="clear"/>
            <w:tcMar>
              <w:top w:type="dxa" w:w="40"/>
              <w:left w:type="dxa" w:w="70"/>
              <w:bottom w:type="dxa" w:w="40"/>
              <w:right w:type="dxa" w:w="70"/>
            </w:tcMar>
          </w:tcPr>
          <w:p>
            <w:pPr>
              <w:jc w:val="center"/>
            </w:pPr>
            <w:r>
              <w:rPr>
                <w:b/>
                <w:bCs/>
                <w:color w:val="FFFFFF"/>
                <w:sz w:val="18"/>
                <w:szCs w:val="18"/>
              </w:rPr>
              <w:t xml:space="preserve">Open</w:t>
            </w:r>
          </w:p>
        </w:tc>
        <w:tc>
          <w:tcPr>
            <w:tcW w:type="dxa" w:w="1400"/>
            <w:shd w:fill="1F3864" w:val="clear"/>
            <w:tcMar>
              <w:top w:type="dxa" w:w="40"/>
              <w:left w:type="dxa" w:w="70"/>
              <w:bottom w:type="dxa" w:w="40"/>
              <w:right w:type="dxa" w:w="70"/>
            </w:tcMar>
          </w:tcPr>
          <w:p>
            <w:pPr>
              <w:jc w:val="center"/>
            </w:pPr>
            <w:r>
              <w:rPr>
                <w:b/>
                <w:bCs/>
                <w:color w:val="FFFFFF"/>
                <w:sz w:val="18"/>
                <w:szCs w:val="18"/>
              </w:rPr>
              <w:t xml:space="preserve">High</w:t>
            </w:r>
          </w:p>
        </w:tc>
        <w:tc>
          <w:tcPr>
            <w:tcW w:type="dxa" w:w="1500"/>
            <w:shd w:fill="1F3864" w:val="clear"/>
            <w:tcMar>
              <w:top w:type="dxa" w:w="40"/>
              <w:left w:type="dxa" w:w="70"/>
              <w:bottom w:type="dxa" w:w="40"/>
              <w:right w:type="dxa" w:w="70"/>
            </w:tcMar>
          </w:tcPr>
          <w:p>
            <w:pPr>
              <w:jc w:val="center"/>
            </w:pPr>
            <w:r>
              <w:rPr>
                <w:b/>
                <w:bCs/>
                <w:color w:val="FFFFFF"/>
                <w:sz w:val="18"/>
                <w:szCs w:val="18"/>
              </w:rPr>
              <w:t xml:space="preserve">Low</w:t>
            </w:r>
          </w:p>
        </w:tc>
        <w:tc>
          <w:tcPr>
            <w:tcW w:type="dxa" w:w="1500"/>
            <w:shd w:fill="1F3864" w:val="clear"/>
            <w:tcMar>
              <w:top w:type="dxa" w:w="40"/>
              <w:left w:type="dxa" w:w="70"/>
              <w:bottom w:type="dxa" w:w="40"/>
              <w:right w:type="dxa" w:w="70"/>
            </w:tcMar>
          </w:tcPr>
          <w:p>
            <w:pPr>
              <w:jc w:val="center"/>
            </w:pPr>
            <w:r>
              <w:rPr>
                <w:b/>
                <w:bCs/>
                <w:color w:val="FFFFFF"/>
                <w:sz w:val="18"/>
                <w:szCs w:val="18"/>
              </w:rPr>
              <w:t xml:space="preserve">Close</w:t>
            </w:r>
          </w:p>
        </w:tc>
        <w:tc>
          <w:tcPr>
            <w:tcW w:type="dxa" w:w="1400"/>
            <w:shd w:fill="1F3864" w:val="clear"/>
            <w:tcMar>
              <w:top w:type="dxa" w:w="40"/>
              <w:left w:type="dxa" w:w="70"/>
              <w:bottom w:type="dxa" w:w="40"/>
              <w:right w:type="dxa" w:w="70"/>
            </w:tcMar>
          </w:tcPr>
          <w:p>
            <w:pPr>
              <w:jc w:val="center"/>
            </w:pPr>
            <w:r>
              <w:rPr>
                <w:b/>
                <w:bCs/>
                <w:color w:val="FFFFFF"/>
                <w:sz w:val="18"/>
                <w:szCs w:val="18"/>
              </w:rPr>
              <w:t xml:space="preserve">Note</w:t>
            </w:r>
          </w:p>
        </w:tc>
      </w:tr>
      <w:tr>
        <w:tc>
          <w:tcPr>
            <w:tcW w:type="dxa" w:w="1400"/>
            <w:tcMar>
              <w:top w:type="dxa" w:w="40"/>
              <w:left w:type="dxa" w:w="70"/>
              <w:bottom w:type="dxa" w:w="40"/>
              <w:right w:type="dxa" w:w="70"/>
            </w:tcMar>
          </w:tcPr>
          <w:p>
            <w:r>
              <w:rPr>
                <w:b w:val="false"/>
                <w:bCs w:val="false"/>
                <w:sz w:val="18"/>
                <w:szCs w:val="18"/>
              </w:rPr>
              <w:t xml:space="preserve">Thu 9 Jul</w:t>
            </w:r>
          </w:p>
        </w:tc>
        <w:tc>
          <w:tcPr>
            <w:tcW w:type="dxa" w:w="1400"/>
            <w:tcMar>
              <w:top w:type="dxa" w:w="40"/>
              <w:left w:type="dxa" w:w="70"/>
              <w:bottom w:type="dxa" w:w="40"/>
              <w:right w:type="dxa" w:w="70"/>
            </w:tcMar>
          </w:tcPr>
          <w:p>
            <w:r>
              <w:rPr>
                <w:b w:val="false"/>
                <w:bCs w:val="false"/>
                <w:sz w:val="18"/>
                <w:szCs w:val="18"/>
              </w:rPr>
              <w:t xml:space="preserve">—</w:t>
            </w:r>
          </w:p>
        </w:tc>
        <w:tc>
          <w:tcPr>
            <w:tcW w:type="dxa" w:w="1400"/>
            <w:tcMar>
              <w:top w:type="dxa" w:w="40"/>
              <w:left w:type="dxa" w:w="70"/>
              <w:bottom w:type="dxa" w:w="40"/>
              <w:right w:type="dxa" w:w="70"/>
            </w:tcMar>
          </w:tcPr>
          <w:p>
            <w:r>
              <w:rPr>
                <w:b w:val="false"/>
                <w:bCs w:val="false"/>
                <w:sz w:val="18"/>
                <w:szCs w:val="18"/>
              </w:rPr>
              <w:t xml:space="preserve">—</w:t>
            </w:r>
          </w:p>
        </w:tc>
        <w:tc>
          <w:tcPr>
            <w:tcW w:type="dxa" w:w="1500"/>
            <w:tcMar>
              <w:top w:type="dxa" w:w="40"/>
              <w:left w:type="dxa" w:w="70"/>
              <w:bottom w:type="dxa" w:w="40"/>
              <w:right w:type="dxa" w:w="70"/>
            </w:tcMar>
          </w:tcPr>
          <w:p>
            <w:r>
              <w:rPr>
                <w:b w:val="false"/>
                <w:bCs w:val="false"/>
                <w:sz w:val="18"/>
                <w:szCs w:val="18"/>
              </w:rPr>
              <w:t xml:space="preserve">—</w:t>
            </w:r>
          </w:p>
        </w:tc>
        <w:tc>
          <w:tcPr>
            <w:tcW w:type="dxa" w:w="1500"/>
            <w:tcMar>
              <w:top w:type="dxa" w:w="40"/>
              <w:left w:type="dxa" w:w="70"/>
              <w:bottom w:type="dxa" w:w="40"/>
              <w:right w:type="dxa" w:w="70"/>
            </w:tcMar>
          </w:tcPr>
          <w:p>
            <w:r>
              <w:rPr>
                <w:b/>
                <w:bCs/>
                <w:sz w:val="18"/>
                <w:szCs w:val="18"/>
              </w:rPr>
              <w:t xml:space="preserve">6,284.27</w:t>
            </w:r>
          </w:p>
        </w:tc>
        <w:tc>
          <w:tcPr>
            <w:tcW w:type="dxa" w:w="1400"/>
            <w:tcMar>
              <w:top w:type="dxa" w:w="40"/>
              <w:left w:type="dxa" w:w="70"/>
              <w:bottom w:type="dxa" w:w="40"/>
              <w:right w:type="dxa" w:w="70"/>
            </w:tcMar>
          </w:tcPr>
          <w:p>
            <w:r>
              <w:rPr>
                <w:b w:val="false"/>
                <w:bCs w:val="false"/>
                <w:sz w:val="18"/>
                <w:szCs w:val="18"/>
              </w:rPr>
              <w:t xml:space="preserve">Prior close</w:t>
            </w:r>
          </w:p>
        </w:tc>
      </w:tr>
      <w:tr>
        <w:tc>
          <w:tcPr>
            <w:tcW w:type="dxa" w:w="1400"/>
            <w:tcMar>
              <w:top w:type="dxa" w:w="40"/>
              <w:left w:type="dxa" w:w="70"/>
              <w:bottom w:type="dxa" w:w="40"/>
              <w:right w:type="dxa" w:w="70"/>
            </w:tcMar>
          </w:tcPr>
          <w:p>
            <w:r>
              <w:rPr>
                <w:b w:val="false"/>
                <w:bCs w:val="false"/>
                <w:sz w:val="18"/>
                <w:szCs w:val="18"/>
              </w:rPr>
              <w:t xml:space="preserve">Fri 10 Jul</w:t>
            </w:r>
          </w:p>
        </w:tc>
        <w:tc>
          <w:tcPr>
            <w:tcW w:type="dxa" w:w="1400"/>
            <w:tcMar>
              <w:top w:type="dxa" w:w="40"/>
              <w:left w:type="dxa" w:w="70"/>
              <w:bottom w:type="dxa" w:w="40"/>
              <w:right w:type="dxa" w:w="70"/>
            </w:tcMar>
          </w:tcPr>
          <w:p>
            <w:r>
              <w:rPr>
                <w:b w:val="false"/>
                <w:bCs w:val="false"/>
                <w:sz w:val="18"/>
                <w:szCs w:val="18"/>
              </w:rPr>
              <w:t xml:space="preserve">6,266.8</w:t>
            </w:r>
          </w:p>
        </w:tc>
        <w:tc>
          <w:tcPr>
            <w:tcW w:type="dxa" w:w="1400"/>
            <w:tcMar>
              <w:top w:type="dxa" w:w="40"/>
              <w:left w:type="dxa" w:w="70"/>
              <w:bottom w:type="dxa" w:w="40"/>
              <w:right w:type="dxa" w:w="70"/>
            </w:tcMar>
          </w:tcPr>
          <w:p>
            <w:r>
              <w:rPr>
                <w:b w:val="false"/>
                <w:bCs w:val="false"/>
                <w:sz w:val="18"/>
                <w:szCs w:val="18"/>
              </w:rPr>
              <w:t xml:space="preserve">6,287.7</w:t>
            </w:r>
          </w:p>
        </w:tc>
        <w:tc>
          <w:tcPr>
            <w:tcW w:type="dxa" w:w="1500"/>
            <w:tcMar>
              <w:top w:type="dxa" w:w="40"/>
              <w:left w:type="dxa" w:w="70"/>
              <w:bottom w:type="dxa" w:w="40"/>
              <w:right w:type="dxa" w:w="70"/>
            </w:tcMar>
          </w:tcPr>
          <w:p>
            <w:r>
              <w:rPr>
                <w:b w:val="false"/>
                <w:bCs w:val="false"/>
                <w:sz w:val="18"/>
                <w:szCs w:val="18"/>
              </w:rPr>
              <w:t xml:space="preserve">6,242.4</w:t>
            </w:r>
          </w:p>
        </w:tc>
        <w:tc>
          <w:tcPr>
            <w:tcW w:type="dxa" w:w="1500"/>
            <w:tcMar>
              <w:top w:type="dxa" w:w="40"/>
              <w:left w:type="dxa" w:w="70"/>
              <w:bottom w:type="dxa" w:w="40"/>
              <w:right w:type="dxa" w:w="70"/>
            </w:tcMar>
          </w:tcPr>
          <w:p>
            <w:r>
              <w:rPr>
                <w:b/>
                <w:bCs/>
                <w:sz w:val="18"/>
                <w:szCs w:val="18"/>
              </w:rPr>
              <w:t xml:space="preserve">6,266.83</w:t>
            </w:r>
          </w:p>
        </w:tc>
        <w:tc>
          <w:tcPr>
            <w:tcW w:type="dxa" w:w="1400"/>
            <w:tcMar>
              <w:top w:type="dxa" w:w="40"/>
              <w:left w:type="dxa" w:w="70"/>
              <w:bottom w:type="dxa" w:w="40"/>
              <w:right w:type="dxa" w:w="70"/>
            </w:tcMar>
          </w:tcPr>
          <w:p>
            <w:r>
              <w:rPr>
                <w:b w:val="false"/>
                <w:bCs w:val="false"/>
                <w:sz w:val="18"/>
                <w:szCs w:val="18"/>
              </w:rPr>
              <w:t xml:space="preserve">−0.23%</w:t>
            </w:r>
          </w:p>
        </w:tc>
      </w:tr>
    </w:tbl>
    <w:p>
      <w:pPr>
        <w:spacing w:after="90"/>
      </w:pPr>
      <w:r>
        <w:rPr>
          <w:i/>
          <w:iCs/>
          <w:color w:val="595959"/>
          <w:sz w:val="18"/>
          <w:szCs w:val="18"/>
        </w:rPr>
        <w:t xml:space="preserve">STOXX 50 fell ~2% on the week, retreating from the 3 Jul 52-week high (6,412.68). Friday's range 6,242.4–6,287.7 is corroborated (Yahoo/Edge wrap). Full 5-session STOXX intraday not independently two-source corroborated for 6–8 Jul; those sessions are directional-only.</w:t>
      </w:r>
    </w:p>
    <w:p>
      <w:pPr>
        <w:spacing w:after="110" w:before="220"/>
      </w:pPr>
      <w:r>
        <w:rPr>
          <w:b/>
          <w:bCs/>
          <w:color w:val="2E7D32"/>
          <w:sz w:val="26"/>
          <w:szCs w:val="26"/>
        </w:rPr>
        <w:t xml:space="preserve">7 · Charts</w:t>
      </w:r>
    </w:p>
    <w:p>
      <w:pPr>
        <w:spacing w:after="90"/>
      </w:pPr>
      <w:r>
        <w:rPr>
          <w:sz w:val="20"/>
          <w:szCs w:val="20"/>
        </w:rPr>
        <w:t xml:space="preserve">Chart rendering is enabled in the configuration (candlestick, open-zero distance, 5-week structure, VOLator comparison, pivot). In this text deliverable the chart data is represented in the OHLC (§6) and pivot (§11) tables. Key visual reads: the 5-day candlestick shows a three-session shelf near 10,660–10,692 followed by a large bearish gap candle (Thu 9 Jul, ~281-pt true range) and a small-bodied recovery candle Friday closing in the upper third of its range — a classic stabilisation-after-shock pattern rather than a confirmed reversal.</w:t>
      </w:r>
    </w:p>
    <w:p>
      <w:pPr>
        <w:spacing w:after="110" w:before="220"/>
      </w:pPr>
      <w:r>
        <w:rPr>
          <w:b/>
          <w:bCs/>
          <w:color w:val="2E7D32"/>
          <w:sz w:val="26"/>
          <w:szCs w:val="26"/>
        </w:rPr>
        <w:t xml:space="preserve">8 · Short-Term Technical Analysis</w:t>
      </w:r>
    </w:p>
    <w:p>
      <w:pPr>
        <w:pStyle w:val="ListParagraph"/>
        <w:numPr>
          <w:ilvl w:val="0"/>
          <w:numId w:val="1"/>
        </w:numPr>
        <w:spacing w:after="60"/>
      </w:pPr>
      <w:r>
        <w:rPr>
          <w:b/>
          <w:bCs/>
          <w:sz w:val="20"/>
          <w:szCs w:val="20"/>
        </w:rPr>
        <w:t xml:space="preserve">Mon 6 Jul (see §6): </w:t>
      </w:r>
      <w:r>
        <w:rPr>
          <w:sz w:val="20"/>
          <w:szCs w:val="20"/>
        </w:rPr>
        <w:t xml:space="preserve">small-bodied Neutral candle; opened firm near 10,673 and probed 10,717.8 intraday but closed lower (~24% of range) — the second consecutive down close, first sign of upside exhaustion near the 4-month high.</w:t>
      </w:r>
    </w:p>
    <w:p>
      <w:pPr>
        <w:pStyle w:val="ListParagraph"/>
        <w:numPr>
          <w:ilvl w:val="0"/>
          <w:numId w:val="1"/>
        </w:numPr>
        <w:spacing w:after="60"/>
      </w:pPr>
      <w:r>
        <w:rPr>
          <w:b/>
          <w:bCs/>
          <w:sz w:val="20"/>
          <w:szCs w:val="20"/>
        </w:rPr>
        <w:t xml:space="preserve">Tue 7 Jul: </w:t>
      </w:r>
      <w:r>
        <w:rPr>
          <w:sz w:val="20"/>
          <w:szCs w:val="20"/>
        </w:rPr>
        <w:t xml:space="preserve">Bullish reclaim, close at 10,691.98 in the upper 76% of range, RSI2 62.7 — a one-day bounce that failed to establish new highs.</w:t>
      </w:r>
    </w:p>
    <w:p>
      <w:pPr>
        <w:pStyle w:val="ListParagraph"/>
        <w:numPr>
          <w:ilvl w:val="0"/>
          <w:numId w:val="1"/>
        </w:numPr>
        <w:spacing w:after="60"/>
      </w:pPr>
      <w:r>
        <w:rPr>
          <w:b/>
          <w:bCs/>
          <w:sz w:val="20"/>
          <w:szCs w:val="20"/>
        </w:rPr>
        <w:t xml:space="preserve">Wed 8 Jul: </w:t>
      </w:r>
      <w:r>
        <w:rPr>
          <w:sz w:val="20"/>
          <w:szCs w:val="20"/>
        </w:rPr>
        <w:t xml:space="preserve">Bearish inside-ish session, close 10,679 in the lower third, RSI2 41.5 — momentum rolling over even before the shock.</w:t>
      </w:r>
    </w:p>
    <w:p>
      <w:pPr>
        <w:pStyle w:val="ListParagraph"/>
        <w:numPr>
          <w:ilvl w:val="0"/>
          <w:numId w:val="1"/>
        </w:numPr>
        <w:spacing w:after="60"/>
      </w:pPr>
      <w:r>
        <w:rPr>
          <w:b/>
          <w:bCs/>
          <w:sz w:val="20"/>
          <w:szCs w:val="20"/>
        </w:rPr>
        <w:t xml:space="preserve">Thu 9 Jul: </w:t>
      </w:r>
      <w:r>
        <w:rPr>
          <w:sz w:val="20"/>
          <w:szCs w:val="20"/>
        </w:rPr>
        <w:t xml:space="preserve">Bearish gap-down, ~281-pt true range, RSI2 collapses to 3.5 (deeply oversold) — the AstraZeneca trial failure plus broad risk-off. Close 10,472.45.</w:t>
      </w:r>
    </w:p>
    <w:p>
      <w:pPr>
        <w:pStyle w:val="ListParagraph"/>
        <w:numPr>
          <w:ilvl w:val="0"/>
          <w:numId w:val="1"/>
        </w:numPr>
        <w:spacing w:after="60"/>
      </w:pPr>
      <w:r>
        <w:rPr>
          <w:b/>
          <w:bCs/>
          <w:sz w:val="20"/>
          <w:szCs w:val="20"/>
        </w:rPr>
        <w:t xml:space="preserve">Fri 10 Jul: </w:t>
      </w:r>
      <w:r>
        <w:rPr>
          <w:sz w:val="20"/>
          <w:szCs w:val="20"/>
        </w:rPr>
        <w:t xml:space="preserve">Neutral small-range recovery, close 10,497.29 in the upper 68% of range, RSI2 rebounds to 20.9 — stabilisation, not yet a momentum turn.</w:t>
      </w:r>
    </w:p>
    <w:p>
      <w:pPr>
        <w:spacing w:after="90"/>
      </w:pPr>
      <w:r>
        <w:rPr>
          <w:b/>
          <w:bCs/>
          <w:sz w:val="20"/>
          <w:szCs w:val="20"/>
        </w:rPr>
        <w:t xml:space="preserve">Sequence assessment: </w:t>
      </w:r>
      <w:r>
        <w:rPr>
          <w:sz w:val="20"/>
          <w:szCs w:val="20"/>
        </w:rPr>
        <w:t xml:space="preserve">Exhaustion → shock → stabilisation. The five-session block is best classified as </w:t>
      </w:r>
      <w:r>
        <w:rPr>
          <w:b/>
          <w:bCs/>
          <w:sz w:val="20"/>
          <w:szCs w:val="20"/>
        </w:rPr>
        <w:t xml:space="preserve">Exhaustion / reversal-risk resolving into short-term compression</w:t>
      </w:r>
      <w:r>
        <w:rPr>
          <w:sz w:val="20"/>
          <w:szCs w:val="20"/>
        </w:rPr>
        <w:t xml:space="preserve">. Nearest support from the window: 10,462.8 (Fri low) then 10,397.5 (Thu low). Nearest resistance: 10,513.9 (Fri high) then the 10,662–10,712 shelf.</w:t>
      </w:r>
    </w:p>
    <w:p>
      <w:pPr>
        <w:spacing w:after="90"/>
      </w:pPr>
      <w:r>
        <w:rPr>
          <w:b/>
          <w:bCs/>
          <w:sz w:val="20"/>
          <w:szCs w:val="20"/>
        </w:rPr>
        <w:t xml:space="preserve">Judgement label: </w:t>
      </w:r>
      <w:r>
        <w:rPr>
          <w:b/>
          <w:bCs/>
          <w:color w:val="AD1457"/>
          <w:sz w:val="20"/>
          <w:szCs w:val="20"/>
        </w:rPr>
        <w:t xml:space="preserve">Exhaustion — reversal risk</w:t>
      </w:r>
      <w:r>
        <w:rPr>
          <w:sz w:val="20"/>
          <w:szCs w:val="20"/>
        </w:rPr>
        <w:t xml:space="preserve">. This is consistent with the Transitional/bearish medium-term regime in §9 (no conflict).</w:t>
      </w:r>
    </w:p>
    <w:p>
      <w:pPr>
        <w:spacing w:after="110" w:before="220"/>
      </w:pPr>
      <w:r>
        <w:rPr>
          <w:b/>
          <w:bCs/>
          <w:color w:val="2E7D32"/>
          <w:sz w:val="26"/>
          <w:szCs w:val="26"/>
        </w:rPr>
        <w:t xml:space="preserve">9 · Medium-Term Regime &amp; VOLator</w:t>
      </w:r>
    </w:p>
    <w:p>
      <w:pPr>
        <w:pStyle w:val="ListParagraph"/>
        <w:numPr>
          <w:ilvl w:val="0"/>
          <w:numId w:val="1"/>
        </w:numPr>
        <w:spacing w:after="60"/>
      </w:pPr>
      <w:r>
        <w:rPr>
          <w:b/>
          <w:bCs/>
          <w:sz w:val="20"/>
          <w:szCs w:val="20"/>
        </w:rPr>
        <w:t xml:space="preserve">Regime classification: </w:t>
      </w:r>
      <w:r>
        <w:rPr>
          <w:sz w:val="20"/>
          <w:szCs w:val="20"/>
        </w:rPr>
        <w:t xml:space="preserve">Transitional with bearish bias. The index rolled over from the late-June/early-July 4-month high (~10,692) and the 27 Feb record (10,934), printing a −1.8% week. Directional persistence is negative over the last five sessions; range position bias sits in the lower half after Thursday's break.</w:t>
      </w:r>
    </w:p>
    <w:p>
      <w:pPr>
        <w:pStyle w:val="ListParagraph"/>
        <w:numPr>
          <w:ilvl w:val="0"/>
          <w:numId w:val="1"/>
        </w:numPr>
        <w:spacing w:after="60"/>
      </w:pPr>
      <w:r>
        <w:rPr>
          <w:b/>
          <w:bCs/>
          <w:sz w:val="20"/>
          <w:szCs w:val="20"/>
        </w:rPr>
        <w:t xml:space="preserve">Bias: </w:t>
      </w:r>
      <w:r>
        <w:rPr>
          <w:sz w:val="20"/>
          <w:szCs w:val="20"/>
        </w:rPr>
        <w:t xml:space="preserve">Bearish (short-term), Neutral (structural — the index remains within its multi-month 10,300–10,750 band).</w:t>
      </w:r>
    </w:p>
    <w:p>
      <w:pPr>
        <w:pStyle w:val="ListParagraph"/>
        <w:numPr>
          <w:ilvl w:val="0"/>
          <w:numId w:val="1"/>
        </w:numPr>
        <w:spacing w:after="60"/>
      </w:pPr>
      <w:r>
        <w:rPr>
          <w:b/>
          <w:bCs/>
          <w:sz w:val="20"/>
          <w:szCs w:val="20"/>
        </w:rPr>
        <w:t xml:space="preserve">VOLator: </w:t>
      </w:r>
      <w:r>
        <w:rPr>
          <w:sz w:val="20"/>
          <w:szCs w:val="20"/>
        </w:rPr>
        <w:t xml:space="preserve">Volatility expanded sharply on Thursday (true range ~281 pts vs a ~60–70-pt norm). The scaled VOLator reads elevated and expanding (slope positive) — a risk-off signature, not trend-supportive of longs.</w:t>
      </w:r>
    </w:p>
    <w:p>
      <w:pPr>
        <w:pStyle w:val="ListParagraph"/>
        <w:numPr>
          <w:ilvl w:val="0"/>
          <w:numId w:val="1"/>
        </w:numPr>
        <w:spacing w:after="60"/>
      </w:pPr>
      <w:r>
        <w:rPr>
          <w:b/>
          <w:bCs/>
          <w:sz w:val="20"/>
          <w:szCs w:val="20"/>
        </w:rPr>
        <w:t xml:space="preserve">Preferred trade protocol: </w:t>
      </w:r>
      <w:r>
        <w:rPr>
          <w:sz w:val="20"/>
          <w:szCs w:val="20"/>
        </w:rPr>
        <w:t xml:space="preserve">Combining the exhaustion short-term read with a transitional-bearish regime favours fading strength into resistance and buying only confirmed reclaim of the pivot — i.e. a range/reduced-conviction protocol, not trend-following.</w:t>
      </w:r>
    </w:p>
    <w:p>
      <w:pPr>
        <w:pStyle w:val="ListParagraph"/>
        <w:numPr>
          <w:ilvl w:val="0"/>
          <w:numId w:val="1"/>
        </w:numPr>
        <w:spacing w:after="60"/>
      </w:pPr>
      <w:r>
        <w:rPr>
          <w:b/>
          <w:bCs/>
          <w:sz w:val="20"/>
          <w:szCs w:val="20"/>
        </w:rPr>
        <w:t xml:space="preserve">Kaufman confirmation: </w:t>
      </w:r>
      <w:r>
        <w:rPr>
          <w:sz w:val="20"/>
          <w:szCs w:val="20"/>
        </w:rPr>
        <w:t xml:space="preserve">Signed efficiency over the recent window ≈ −0.62 (|value| well above the 0.13 trend threshold) → </w:t>
      </w:r>
      <w:r>
        <w:rPr>
          <w:b/>
          <w:bCs/>
          <w:sz w:val="20"/>
          <w:szCs w:val="20"/>
        </w:rPr>
        <w:t xml:space="preserve">Trending Down — Moderate</w:t>
      </w:r>
      <w:r>
        <w:rPr>
          <w:sz w:val="20"/>
          <w:szCs w:val="20"/>
        </w:rPr>
        <w:t xml:space="preserve">. This agrees with the bearish regime tilt; KER and the transitional label do not conflict on direction, though the short window inflates the efficiency reading.</w:t>
      </w:r>
    </w:p>
    <w:p>
      <w:pPr>
        <w:spacing w:after="110" w:before="220"/>
      </w:pPr>
      <w:r>
        <w:rPr>
          <w:b/>
          <w:bCs/>
          <w:color w:val="2E7D32"/>
          <w:sz w:val="26"/>
          <w:szCs w:val="26"/>
        </w:rPr>
        <w:t xml:space="preserve">10 · Cross-Asset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200"/>
        <w:gridCol w:w="1400"/>
        <w:gridCol w:w="2000"/>
      </w:tblGrid>
      <w:tr>
        <w:trPr>
          <w:tblHeader/>
        </w:trPr>
        <w:tc>
          <w:tcPr>
            <w:tcW w:type="dxa" w:w="1500"/>
            <w:shd w:fill="1F3864" w:val="clear"/>
            <w:tcMar>
              <w:top w:type="dxa" w:w="40"/>
              <w:left w:type="dxa" w:w="70"/>
              <w:bottom w:type="dxa" w:w="40"/>
              <w:right w:type="dxa" w:w="70"/>
            </w:tcMar>
          </w:tcPr>
          <w:p>
            <w:pPr>
              <w:jc w:val="center"/>
            </w:pPr>
            <w:r>
              <w:rPr>
                <w:b/>
                <w:bCs/>
                <w:color w:val="FFFFFF"/>
                <w:sz w:val="18"/>
                <w:szCs w:val="18"/>
              </w:rPr>
              <w:t xml:space="preserve">Counter</w:t>
            </w:r>
          </w:p>
        </w:tc>
        <w:tc>
          <w:tcPr>
            <w:tcW w:type="dxa" w:w="900"/>
            <w:shd w:fill="1F3864" w:val="clear"/>
            <w:tcMar>
              <w:top w:type="dxa" w:w="40"/>
              <w:left w:type="dxa" w:w="70"/>
              <w:bottom w:type="dxa" w:w="40"/>
              <w:right w:type="dxa" w:w="70"/>
            </w:tcMar>
          </w:tcPr>
          <w:p>
            <w:pPr>
              <w:jc w:val="center"/>
            </w:pPr>
            <w:r>
              <w:rPr>
                <w:b/>
                <w:bCs/>
                <w:color w:val="FFFFFF"/>
                <w:sz w:val="18"/>
                <w:szCs w:val="18"/>
              </w:rPr>
              <w:t xml:space="preserve">5-day dir</w:t>
            </w:r>
          </w:p>
        </w:tc>
        <w:tc>
          <w:tcPr>
            <w:tcW w:type="dxa" w:w="3200"/>
            <w:shd w:fill="1F3864" w:val="clear"/>
            <w:tcMar>
              <w:top w:type="dxa" w:w="40"/>
              <w:left w:type="dxa" w:w="70"/>
              <w:bottom w:type="dxa" w:w="40"/>
              <w:right w:type="dxa" w:w="70"/>
            </w:tcMar>
          </w:tcPr>
          <w:p>
            <w:pPr>
              <w:jc w:val="center"/>
            </w:pPr>
            <w:r>
              <w:rPr>
                <w:b/>
                <w:bCs/>
                <w:color w:val="FFFFFF"/>
                <w:sz w:val="18"/>
                <w:szCs w:val="18"/>
              </w:rPr>
              <w:t xml:space="preserve">Mechanism to FTSE</w:t>
            </w:r>
          </w:p>
        </w:tc>
        <w:tc>
          <w:tcPr>
            <w:tcW w:type="dxa" w:w="1400"/>
            <w:shd w:fill="1F3864" w:val="clear"/>
            <w:tcMar>
              <w:top w:type="dxa" w:w="40"/>
              <w:left w:type="dxa" w:w="70"/>
              <w:bottom w:type="dxa" w:w="40"/>
              <w:right w:type="dxa" w:w="70"/>
            </w:tcMar>
          </w:tcPr>
          <w:p>
            <w:pPr>
              <w:jc w:val="center"/>
            </w:pPr>
            <w:r>
              <w:rPr>
                <w:b/>
                <w:bCs/>
                <w:color w:val="FFFFFF"/>
                <w:sz w:val="18"/>
                <w:szCs w:val="18"/>
              </w:rPr>
              <w:t xml:space="preserve">Status</w:t>
            </w:r>
          </w:p>
        </w:tc>
        <w:tc>
          <w:tcPr>
            <w:tcW w:type="dxa" w:w="2000"/>
            <w:shd w:fill="1F3864" w:val="clear"/>
            <w:tcMar>
              <w:top w:type="dxa" w:w="40"/>
              <w:left w:type="dxa" w:w="70"/>
              <w:bottom w:type="dxa" w:w="40"/>
              <w:right w:type="dxa" w:w="70"/>
            </w:tcMar>
          </w:tcPr>
          <w:p>
            <w:pPr>
              <w:jc w:val="center"/>
            </w:pPr>
            <w:r>
              <w:rPr>
                <w:b/>
                <w:bCs/>
                <w:color w:val="FFFFFF"/>
                <w:sz w:val="18"/>
                <w:szCs w:val="18"/>
              </w:rPr>
              <w:t xml:space="preserve">Implication</w:t>
            </w:r>
          </w:p>
        </w:tc>
      </w:tr>
      <w:tr>
        <w:tc>
          <w:tcPr>
            <w:tcW w:type="dxa" w:w="1500"/>
            <w:tcMar>
              <w:top w:type="dxa" w:w="40"/>
              <w:left w:type="dxa" w:w="70"/>
              <w:bottom w:type="dxa" w:w="40"/>
              <w:right w:type="dxa" w:w="70"/>
            </w:tcMar>
          </w:tcPr>
          <w:p>
            <w:r>
              <w:rPr>
                <w:b w:val="false"/>
                <w:bCs w:val="false"/>
                <w:sz w:val="18"/>
                <w:szCs w:val="18"/>
              </w:rPr>
              <w:t xml:space="preserve">USDX / Dollar Index</w:t>
            </w:r>
          </w:p>
        </w:tc>
        <w:tc>
          <w:tcPr>
            <w:tcW w:type="dxa" w:w="900"/>
            <w:tcMar>
              <w:top w:type="dxa" w:w="40"/>
              <w:left w:type="dxa" w:w="70"/>
              <w:bottom w:type="dxa" w:w="40"/>
              <w:right w:type="dxa" w:w="70"/>
            </w:tcMar>
          </w:tcPr>
          <w:p>
            <w:r>
              <w:rPr>
                <w:b w:val="false"/>
                <w:bCs w:val="false"/>
                <w:sz w:val="18"/>
                <w:szCs w:val="18"/>
              </w:rPr>
              <w:t xml:space="preserve">Falling</w:t>
            </w:r>
          </w:p>
        </w:tc>
        <w:tc>
          <w:tcPr>
            <w:tcW w:type="dxa" w:w="3200"/>
            <w:tcMar>
              <w:top w:type="dxa" w:w="40"/>
              <w:left w:type="dxa" w:w="70"/>
              <w:bottom w:type="dxa" w:w="40"/>
              <w:right w:type="dxa" w:w="70"/>
            </w:tcMar>
          </w:tcPr>
          <w:p>
            <w:r>
              <w:rPr>
                <w:b w:val="false"/>
                <w:bCs w:val="false"/>
                <w:sz w:val="18"/>
                <w:szCs w:val="18"/>
              </w:rPr>
              <w:t xml:space="preserve">Softer USD (≈100.5→99.4) lifts GBP; a firmer pound is a mild headwind for FTSE's ~80% overseas earners on translation</w:t>
            </w:r>
          </w:p>
        </w:tc>
        <w:tc>
          <w:tcPr>
            <w:tcW w:type="dxa" w:w="1400"/>
            <w:tcMar>
              <w:top w:type="dxa" w:w="40"/>
              <w:left w:type="dxa" w:w="70"/>
              <w:bottom w:type="dxa" w:w="40"/>
              <w:right w:type="dxa" w:w="70"/>
            </w:tcMar>
          </w:tcPr>
          <w:p>
            <w:r>
              <w:rPr>
                <w:b w:val="false"/>
                <w:bCs w:val="false"/>
                <w:sz w:val="18"/>
                <w:szCs w:val="18"/>
              </w:rPr>
              <w:t xml:space="preserve">Contradicts (mild)</w:t>
            </w:r>
          </w:p>
        </w:tc>
        <w:tc>
          <w:tcPr>
            <w:tcW w:type="dxa" w:w="2000"/>
            <w:tcMar>
              <w:top w:type="dxa" w:w="40"/>
              <w:left w:type="dxa" w:w="70"/>
              <w:bottom w:type="dxa" w:w="40"/>
              <w:right w:type="dxa" w:w="70"/>
            </w:tcMar>
          </w:tcPr>
          <w:p>
            <w:r>
              <w:rPr>
                <w:b w:val="false"/>
                <w:bCs w:val="false"/>
                <w:sz w:val="18"/>
                <w:szCs w:val="18"/>
              </w:rPr>
              <w:t xml:space="preserve">Slight drag on the multinational-heavy index</w:t>
            </w:r>
          </w:p>
        </w:tc>
      </w:tr>
      <w:tr>
        <w:tc>
          <w:tcPr>
            <w:tcW w:type="dxa" w:w="1500"/>
            <w:tcMar>
              <w:top w:type="dxa" w:w="40"/>
              <w:left w:type="dxa" w:w="70"/>
              <w:bottom w:type="dxa" w:w="40"/>
              <w:right w:type="dxa" w:w="70"/>
            </w:tcMar>
          </w:tcPr>
          <w:p>
            <w:r>
              <w:rPr>
                <w:b w:val="false"/>
                <w:bCs w:val="false"/>
                <w:sz w:val="18"/>
                <w:szCs w:val="18"/>
              </w:rPr>
              <w:t xml:space="preserve">S&amp;P 500</w:t>
            </w:r>
          </w:p>
        </w:tc>
        <w:tc>
          <w:tcPr>
            <w:tcW w:type="dxa" w:w="900"/>
            <w:tcMar>
              <w:top w:type="dxa" w:w="40"/>
              <w:left w:type="dxa" w:w="70"/>
              <w:bottom w:type="dxa" w:w="40"/>
              <w:right w:type="dxa" w:w="70"/>
            </w:tcMar>
          </w:tcPr>
          <w:p>
            <w:r>
              <w:rPr>
                <w:b w:val="false"/>
                <w:bCs w:val="false"/>
                <w:sz w:val="18"/>
                <w:szCs w:val="18"/>
              </w:rPr>
              <w:t xml:space="preserve">Rising</w:t>
            </w:r>
          </w:p>
        </w:tc>
        <w:tc>
          <w:tcPr>
            <w:tcW w:type="dxa" w:w="3200"/>
            <w:tcMar>
              <w:top w:type="dxa" w:w="40"/>
              <w:left w:type="dxa" w:w="70"/>
              <w:bottom w:type="dxa" w:w="40"/>
              <w:right w:type="dxa" w:w="70"/>
            </w:tcMar>
          </w:tcPr>
          <w:p>
            <w:r>
              <w:rPr>
                <w:b w:val="false"/>
                <w:bCs w:val="false"/>
                <w:sz w:val="18"/>
                <w:szCs w:val="18"/>
              </w:rPr>
              <w:t xml:space="preserve">Cross-Atlantic risk beta; a firm Wall Street (7,537→7,575, +1% wk) is a common-factor tailwind for European equities</w:t>
            </w:r>
          </w:p>
        </w:tc>
        <w:tc>
          <w:tcPr>
            <w:tcW w:type="dxa" w:w="1400"/>
            <w:tcMar>
              <w:top w:type="dxa" w:w="40"/>
              <w:left w:type="dxa" w:w="70"/>
              <w:bottom w:type="dxa" w:w="40"/>
              <w:right w:type="dxa" w:w="70"/>
            </w:tcMar>
          </w:tcPr>
          <w:p>
            <w:r>
              <w:rPr>
                <w:b w:val="false"/>
                <w:bCs w:val="false"/>
                <w:sz w:val="18"/>
                <w:szCs w:val="18"/>
              </w:rPr>
              <w:t xml:space="preserve">Contradicts bearish read</w:t>
            </w:r>
          </w:p>
        </w:tc>
        <w:tc>
          <w:tcPr>
            <w:tcW w:type="dxa" w:w="2000"/>
            <w:tcMar>
              <w:top w:type="dxa" w:w="40"/>
              <w:left w:type="dxa" w:w="70"/>
              <w:bottom w:type="dxa" w:w="40"/>
              <w:right w:type="dxa" w:w="70"/>
            </w:tcMar>
          </w:tcPr>
          <w:p>
            <w:r>
              <w:rPr>
                <w:b w:val="false"/>
                <w:bCs w:val="false"/>
                <w:sz w:val="18"/>
                <w:szCs w:val="18"/>
              </w:rPr>
              <w:t xml:space="preserve">Risk-on backdrop cushions downside</w:t>
            </w:r>
          </w:p>
        </w:tc>
      </w:tr>
      <w:tr>
        <w:tc>
          <w:tcPr>
            <w:tcW w:type="dxa" w:w="1500"/>
            <w:tcMar>
              <w:top w:type="dxa" w:w="40"/>
              <w:left w:type="dxa" w:w="70"/>
              <w:bottom w:type="dxa" w:w="40"/>
              <w:right w:type="dxa" w:w="70"/>
            </w:tcMar>
          </w:tcPr>
          <w:p>
            <w:r>
              <w:rPr>
                <w:b w:val="false"/>
                <w:bCs w:val="false"/>
                <w:sz w:val="18"/>
                <w:szCs w:val="18"/>
              </w:rPr>
              <w:t xml:space="preserve">DAX 40</w:t>
            </w:r>
          </w:p>
        </w:tc>
        <w:tc>
          <w:tcPr>
            <w:tcW w:type="dxa" w:w="900"/>
            <w:tcMar>
              <w:top w:type="dxa" w:w="40"/>
              <w:left w:type="dxa" w:w="70"/>
              <w:bottom w:type="dxa" w:w="40"/>
              <w:right w:type="dxa" w:w="70"/>
            </w:tcMar>
          </w:tcPr>
          <w:p>
            <w:r>
              <w:rPr>
                <w:b w:val="false"/>
                <w:bCs w:val="false"/>
                <w:sz w:val="18"/>
                <w:szCs w:val="18"/>
              </w:rPr>
              <w:t xml:space="preserve">Flat-to-down</w:t>
            </w:r>
          </w:p>
        </w:tc>
        <w:tc>
          <w:tcPr>
            <w:tcW w:type="dxa" w:w="3200"/>
            <w:tcMar>
              <w:top w:type="dxa" w:w="40"/>
              <w:left w:type="dxa" w:w="70"/>
              <w:bottom w:type="dxa" w:w="40"/>
              <w:right w:type="dxa" w:w="70"/>
            </w:tcMar>
          </w:tcPr>
          <w:p>
            <w:r>
              <w:rPr>
                <w:b w:val="false"/>
                <w:bCs w:val="false"/>
                <w:sz w:val="18"/>
                <w:szCs w:val="18"/>
              </w:rPr>
              <w:t xml:space="preserve">Eurozone equity proxy; DAX slipped ~0.2% Fri and eased on the week from records</w:t>
            </w:r>
          </w:p>
        </w:tc>
        <w:tc>
          <w:tcPr>
            <w:tcW w:type="dxa" w:w="1400"/>
            <w:tcMar>
              <w:top w:type="dxa" w:w="40"/>
              <w:left w:type="dxa" w:w="70"/>
              <w:bottom w:type="dxa" w:w="40"/>
              <w:right w:type="dxa" w:w="70"/>
            </w:tcMar>
          </w:tcPr>
          <w:p>
            <w:r>
              <w:rPr>
                <w:b w:val="false"/>
                <w:bCs w:val="false"/>
                <w:sz w:val="18"/>
                <w:szCs w:val="18"/>
              </w:rPr>
              <w:t xml:space="preserve">Confirms</w:t>
            </w:r>
          </w:p>
        </w:tc>
        <w:tc>
          <w:tcPr>
            <w:tcW w:type="dxa" w:w="2000"/>
            <w:tcMar>
              <w:top w:type="dxa" w:w="40"/>
              <w:left w:type="dxa" w:w="70"/>
              <w:bottom w:type="dxa" w:w="40"/>
              <w:right w:type="dxa" w:w="70"/>
            </w:tcMar>
          </w:tcPr>
          <w:p>
            <w:r>
              <w:rPr>
                <w:b w:val="false"/>
                <w:bCs w:val="false"/>
                <w:sz w:val="18"/>
                <w:szCs w:val="18"/>
              </w:rPr>
              <w:t xml:space="preserve">Corroborates the European pullback</w:t>
            </w:r>
          </w:p>
        </w:tc>
      </w:tr>
    </w:tbl>
    <w:p>
      <w:pPr>
        <w:spacing w:after="90"/>
      </w:pPr>
      <w:r>
        <w:rPr>
          <w:b/>
          <w:bCs/>
          <w:sz w:val="20"/>
          <w:szCs w:val="20"/>
        </w:rPr>
        <w:t xml:space="preserve">Aggregate cross-asset read: </w:t>
      </w:r>
      <w:r>
        <w:rPr>
          <w:b/>
          <w:bCs/>
          <w:color w:val="AD1457"/>
          <w:sz w:val="20"/>
          <w:szCs w:val="20"/>
        </w:rPr>
        <w:t xml:space="preserve">MIXED</w:t>
      </w:r>
      <w:r>
        <w:rPr>
          <w:sz w:val="20"/>
          <w:szCs w:val="20"/>
        </w:rPr>
        <w:t xml:space="preserve">. S&amp;P 500 strength and a soft dollar pull against the bearish FTSE tape, while the DAX confirms it. </w:t>
      </w:r>
      <w:r>
        <w:rPr>
          <w:b/>
          <w:bCs/>
          <w:sz w:val="20"/>
          <w:szCs w:val="20"/>
        </w:rPr>
        <w:t xml:space="preserve">Contradiction flag:</w:t>
      </w:r>
      <w:r>
        <w:rPr>
          <w:sz w:val="20"/>
          <w:szCs w:val="20"/>
        </w:rPr>
        <w:t xml:space="preserve"> the risk-on S&amp;P signal is explicitly at odds with the domestic exhaustion read and is carried forward, unresolved, into §15 and §16.</w:t>
      </w:r>
    </w:p>
    <w:p>
      <w:pPr>
        <w:spacing w:after="110" w:before="220"/>
      </w:pPr>
      <w:r>
        <w:rPr>
          <w:b/>
          <w:bCs/>
          <w:color w:val="2E7D32"/>
          <w:sz w:val="26"/>
          <w:szCs w:val="26"/>
        </w:rPr>
        <w:t xml:space="preserve">11 · Floor Pivot Analysis</w:t>
      </w:r>
    </w:p>
    <w:p>
      <w:pPr>
        <w:spacing w:after="70" w:before="150"/>
      </w:pPr>
      <w:r>
        <w:rPr>
          <w:b/>
          <w:bCs/>
          <w:color w:val="1F3864"/>
          <w:sz w:val="22"/>
          <w:szCs w:val="22"/>
        </w:rPr>
        <w:t xml:space="preserve">Daily pivots — for Mon 13 Jul (from Fri 10 Jul H/L/C 10,513.9 / 10,462.8 / 10,497.29)</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tblGrid>
      <w:tr>
        <w:trPr>
          <w:tblHeader/>
        </w:trPr>
        <w:tc>
          <w:tcPr>
            <w:tcW w:type="dxa" w:w="1600"/>
            <w:shd w:fill="1F3864" w:val="clear"/>
            <w:tcMar>
              <w:top w:type="dxa" w:w="40"/>
              <w:left w:type="dxa" w:w="70"/>
              <w:bottom w:type="dxa" w:w="40"/>
              <w:right w:type="dxa" w:w="70"/>
            </w:tcMar>
          </w:tcPr>
          <w:p>
            <w:pPr>
              <w:jc w:val="center"/>
            </w:pPr>
            <w:r>
              <w:rPr>
                <w:b/>
                <w:bCs/>
                <w:color w:val="FFFFFF"/>
                <w:sz w:val="18"/>
                <w:szCs w:val="18"/>
              </w:rPr>
              <w:t xml:space="preserve">Level</w:t>
            </w:r>
          </w:p>
        </w:tc>
        <w:tc>
          <w:tcPr>
            <w:tcW w:type="dxa" w:w="2000"/>
            <w:shd w:fill="1F3864" w:val="clear"/>
            <w:tcMar>
              <w:top w:type="dxa" w:w="40"/>
              <w:left w:type="dxa" w:w="70"/>
              <w:bottom w:type="dxa" w:w="40"/>
              <w:right w:type="dxa" w:w="70"/>
            </w:tcMar>
          </w:tcPr>
          <w:p>
            <w:pPr>
              <w:jc w:val="center"/>
            </w:pPr>
            <w:r>
              <w:rPr>
                <w:b/>
                <w:bCs/>
                <w:color w:val="FFFFFF"/>
                <w:sz w:val="18"/>
                <w:szCs w:val="18"/>
              </w:rPr>
              <w:t xml:space="preserve">Value</w:t>
            </w:r>
          </w:p>
        </w:tc>
      </w:tr>
      <w:tr>
        <w:tc>
          <w:tcPr>
            <w:tcW w:type="dxa" w:w="1600"/>
            <w:tcMar>
              <w:top w:type="dxa" w:w="40"/>
              <w:left w:type="dxa" w:w="70"/>
              <w:bottom w:type="dxa" w:w="40"/>
              <w:right w:type="dxa" w:w="70"/>
            </w:tcMar>
          </w:tcPr>
          <w:p>
            <w:r>
              <w:rPr>
                <w:color w:val="2E7D32"/>
                <w:sz w:val="18"/>
                <w:szCs w:val="18"/>
              </w:rPr>
              <w:t xml:space="preserve">R3</w:t>
            </w:r>
          </w:p>
        </w:tc>
        <w:tc>
          <w:tcPr>
            <w:tcW w:type="dxa" w:w="2000"/>
            <w:tcMar>
              <w:top w:type="dxa" w:w="40"/>
              <w:left w:type="dxa" w:w="70"/>
              <w:bottom w:type="dxa" w:w="40"/>
              <w:right w:type="dxa" w:w="70"/>
            </w:tcMar>
          </w:tcPr>
          <w:p>
            <w:r>
              <w:rPr>
                <w:b w:val="false"/>
                <w:bCs w:val="false"/>
                <w:sz w:val="18"/>
                <w:szCs w:val="18"/>
              </w:rPr>
              <w:t xml:space="preserve">10,571.0</w:t>
            </w:r>
          </w:p>
        </w:tc>
      </w:tr>
      <w:tr>
        <w:tc>
          <w:tcPr>
            <w:tcW w:type="dxa" w:w="1600"/>
            <w:tcMar>
              <w:top w:type="dxa" w:w="40"/>
              <w:left w:type="dxa" w:w="70"/>
              <w:bottom w:type="dxa" w:w="40"/>
              <w:right w:type="dxa" w:w="70"/>
            </w:tcMar>
          </w:tcPr>
          <w:p>
            <w:r>
              <w:rPr>
                <w:color w:val="2E7D32"/>
                <w:sz w:val="18"/>
                <w:szCs w:val="18"/>
              </w:rPr>
              <w:t xml:space="preserve">R2</w:t>
            </w:r>
          </w:p>
        </w:tc>
        <w:tc>
          <w:tcPr>
            <w:tcW w:type="dxa" w:w="2000"/>
            <w:tcMar>
              <w:top w:type="dxa" w:w="40"/>
              <w:left w:type="dxa" w:w="70"/>
              <w:bottom w:type="dxa" w:w="40"/>
              <w:right w:type="dxa" w:w="70"/>
            </w:tcMar>
          </w:tcPr>
          <w:p>
            <w:r>
              <w:rPr>
                <w:b w:val="false"/>
                <w:bCs w:val="false"/>
                <w:sz w:val="18"/>
                <w:szCs w:val="18"/>
              </w:rPr>
              <w:t xml:space="preserve">10,542.5</w:t>
            </w:r>
          </w:p>
        </w:tc>
      </w:tr>
      <w:tr>
        <w:tc>
          <w:tcPr>
            <w:tcW w:type="dxa" w:w="1600"/>
            <w:tcMar>
              <w:top w:type="dxa" w:w="40"/>
              <w:left w:type="dxa" w:w="70"/>
              <w:bottom w:type="dxa" w:w="40"/>
              <w:right w:type="dxa" w:w="70"/>
            </w:tcMar>
          </w:tcPr>
          <w:p>
            <w:r>
              <w:rPr>
                <w:color w:val="2E7D32"/>
                <w:sz w:val="18"/>
                <w:szCs w:val="18"/>
              </w:rPr>
              <w:t xml:space="preserve">R1</w:t>
            </w:r>
          </w:p>
        </w:tc>
        <w:tc>
          <w:tcPr>
            <w:tcW w:type="dxa" w:w="2000"/>
            <w:tcMar>
              <w:top w:type="dxa" w:w="40"/>
              <w:left w:type="dxa" w:w="70"/>
              <w:bottom w:type="dxa" w:w="40"/>
              <w:right w:type="dxa" w:w="70"/>
            </w:tcMar>
          </w:tcPr>
          <w:p>
            <w:r>
              <w:rPr>
                <w:b w:val="false"/>
                <w:bCs w:val="false"/>
                <w:sz w:val="18"/>
                <w:szCs w:val="18"/>
              </w:rPr>
              <w:t xml:space="preserve">10,519.9</w:t>
            </w:r>
          </w:p>
        </w:tc>
      </w:tr>
      <w:tr>
        <w:tc>
          <w:tcPr>
            <w:tcW w:type="dxa" w:w="1600"/>
            <w:tcMar>
              <w:top w:type="dxa" w:w="40"/>
              <w:left w:type="dxa" w:w="70"/>
              <w:bottom w:type="dxa" w:w="40"/>
              <w:right w:type="dxa" w:w="70"/>
            </w:tcMar>
          </w:tcPr>
          <w:p>
            <w:r>
              <w:rPr>
                <w:b/>
                <w:bCs/>
                <w:sz w:val="18"/>
                <w:szCs w:val="18"/>
              </w:rPr>
              <w:t xml:space="preserve">P</w:t>
            </w:r>
          </w:p>
        </w:tc>
        <w:tc>
          <w:tcPr>
            <w:tcW w:type="dxa" w:w="2000"/>
            <w:tcMar>
              <w:top w:type="dxa" w:w="40"/>
              <w:left w:type="dxa" w:w="70"/>
              <w:bottom w:type="dxa" w:w="40"/>
              <w:right w:type="dxa" w:w="70"/>
            </w:tcMar>
          </w:tcPr>
          <w:p>
            <w:r>
              <w:rPr>
                <w:b/>
                <w:bCs/>
                <w:sz w:val="18"/>
                <w:szCs w:val="18"/>
              </w:rPr>
              <w:t xml:space="preserve">10,491.3</w:t>
            </w:r>
          </w:p>
        </w:tc>
      </w:tr>
      <w:tr>
        <w:tc>
          <w:tcPr>
            <w:tcW w:type="dxa" w:w="1600"/>
            <w:tcMar>
              <w:top w:type="dxa" w:w="40"/>
              <w:left w:type="dxa" w:w="70"/>
              <w:bottom w:type="dxa" w:w="40"/>
              <w:right w:type="dxa" w:w="70"/>
            </w:tcMar>
          </w:tcPr>
          <w:p>
            <w:r>
              <w:rPr>
                <w:color w:val="AD1457"/>
                <w:sz w:val="18"/>
                <w:szCs w:val="18"/>
              </w:rPr>
              <w:t xml:space="preserve">S1</w:t>
            </w:r>
          </w:p>
        </w:tc>
        <w:tc>
          <w:tcPr>
            <w:tcW w:type="dxa" w:w="2000"/>
            <w:tcMar>
              <w:top w:type="dxa" w:w="40"/>
              <w:left w:type="dxa" w:w="70"/>
              <w:bottom w:type="dxa" w:w="40"/>
              <w:right w:type="dxa" w:w="70"/>
            </w:tcMar>
          </w:tcPr>
          <w:p>
            <w:r>
              <w:rPr>
                <w:b w:val="false"/>
                <w:bCs w:val="false"/>
                <w:sz w:val="18"/>
                <w:szCs w:val="18"/>
              </w:rPr>
              <w:t xml:space="preserve">10,468.7</w:t>
            </w:r>
          </w:p>
        </w:tc>
      </w:tr>
      <w:tr>
        <w:tc>
          <w:tcPr>
            <w:tcW w:type="dxa" w:w="1600"/>
            <w:tcMar>
              <w:top w:type="dxa" w:w="40"/>
              <w:left w:type="dxa" w:w="70"/>
              <w:bottom w:type="dxa" w:w="40"/>
              <w:right w:type="dxa" w:w="70"/>
            </w:tcMar>
          </w:tcPr>
          <w:p>
            <w:r>
              <w:rPr>
                <w:color w:val="AD1457"/>
                <w:sz w:val="18"/>
                <w:szCs w:val="18"/>
              </w:rPr>
              <w:t xml:space="preserve">S2</w:t>
            </w:r>
          </w:p>
        </w:tc>
        <w:tc>
          <w:tcPr>
            <w:tcW w:type="dxa" w:w="2000"/>
            <w:tcMar>
              <w:top w:type="dxa" w:w="40"/>
              <w:left w:type="dxa" w:w="70"/>
              <w:bottom w:type="dxa" w:w="40"/>
              <w:right w:type="dxa" w:w="70"/>
            </w:tcMar>
          </w:tcPr>
          <w:p>
            <w:r>
              <w:rPr>
                <w:b w:val="false"/>
                <w:bCs w:val="false"/>
                <w:sz w:val="18"/>
                <w:szCs w:val="18"/>
              </w:rPr>
              <w:t xml:space="preserve">10,440.2</w:t>
            </w:r>
          </w:p>
        </w:tc>
      </w:tr>
      <w:tr>
        <w:tc>
          <w:tcPr>
            <w:tcW w:type="dxa" w:w="1600"/>
            <w:tcMar>
              <w:top w:type="dxa" w:w="40"/>
              <w:left w:type="dxa" w:w="70"/>
              <w:bottom w:type="dxa" w:w="40"/>
              <w:right w:type="dxa" w:w="70"/>
            </w:tcMar>
          </w:tcPr>
          <w:p>
            <w:r>
              <w:rPr>
                <w:color w:val="AD1457"/>
                <w:sz w:val="18"/>
                <w:szCs w:val="18"/>
              </w:rPr>
              <w:t xml:space="preserve">S3</w:t>
            </w:r>
          </w:p>
        </w:tc>
        <w:tc>
          <w:tcPr>
            <w:tcW w:type="dxa" w:w="2000"/>
            <w:tcMar>
              <w:top w:type="dxa" w:w="40"/>
              <w:left w:type="dxa" w:w="70"/>
              <w:bottom w:type="dxa" w:w="40"/>
              <w:right w:type="dxa" w:w="70"/>
            </w:tcMar>
          </w:tcPr>
          <w:p>
            <w:r>
              <w:rPr>
                <w:b w:val="false"/>
                <w:bCs w:val="false"/>
                <w:sz w:val="18"/>
                <w:szCs w:val="18"/>
              </w:rPr>
              <w:t xml:space="preserve">10,417.6</w:t>
            </w:r>
          </w:p>
        </w:tc>
      </w:tr>
    </w:tbl>
    <w:p>
      <w:pPr>
        <w:spacing w:after="90"/>
      </w:pPr>
      <w:r>
        <w:rPr>
          <w:b/>
          <w:bCs/>
          <w:sz w:val="20"/>
          <w:szCs w:val="20"/>
        </w:rPr>
        <w:t xml:space="preserve">Source status: </w:t>
      </w:r>
      <w:r>
        <w:rPr>
          <w:sz w:val="20"/>
          <w:szCs w:val="20"/>
        </w:rPr>
        <w:t xml:space="preserve">prior-session H/L/C corroborated (Yahoo × Investing/Trading Economics) — daily pivots are </w:t>
      </w:r>
      <w:r>
        <w:rPr>
          <w:b/>
          <w:bCs/>
          <w:sz w:val="20"/>
          <w:szCs w:val="20"/>
        </w:rPr>
        <w:t xml:space="preserve">CORROBORATED</w:t>
      </w:r>
      <w:r>
        <w:rPr>
          <w:sz w:val="20"/>
          <w:szCs w:val="20"/>
        </w:rPr>
        <w:t xml:space="preserve"> and usable for level-based orders.</w:t>
      </w:r>
    </w:p>
    <w:p>
      <w:pPr>
        <w:spacing w:after="70" w:before="150"/>
      </w:pPr>
      <w:r>
        <w:rPr>
          <w:b/>
          <w:bCs/>
          <w:color w:val="1F3864"/>
          <w:sz w:val="22"/>
          <w:szCs w:val="22"/>
        </w:rPr>
        <w:t xml:space="preserve">Weekly pivots — week of 13 Jul (from prior week 6–10 Jul H/L/C 10,717.8 / 10,397.5 / 10,497.29)</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tblGrid>
      <w:tr>
        <w:trPr>
          <w:tblHeader/>
        </w:trPr>
        <w:tc>
          <w:tcPr>
            <w:tcW w:type="dxa" w:w="1600"/>
            <w:shd w:fill="1F3864" w:val="clear"/>
            <w:tcMar>
              <w:top w:type="dxa" w:w="40"/>
              <w:left w:type="dxa" w:w="70"/>
              <w:bottom w:type="dxa" w:w="40"/>
              <w:right w:type="dxa" w:w="70"/>
            </w:tcMar>
          </w:tcPr>
          <w:p>
            <w:pPr>
              <w:jc w:val="center"/>
            </w:pPr>
            <w:r>
              <w:rPr>
                <w:b/>
                <w:bCs/>
                <w:color w:val="FFFFFF"/>
                <w:sz w:val="18"/>
                <w:szCs w:val="18"/>
              </w:rPr>
              <w:t xml:space="preserve">Level</w:t>
            </w:r>
          </w:p>
        </w:tc>
        <w:tc>
          <w:tcPr>
            <w:tcW w:type="dxa" w:w="2000"/>
            <w:shd w:fill="1F3864" w:val="clear"/>
            <w:tcMar>
              <w:top w:type="dxa" w:w="40"/>
              <w:left w:type="dxa" w:w="70"/>
              <w:bottom w:type="dxa" w:w="40"/>
              <w:right w:type="dxa" w:w="70"/>
            </w:tcMar>
          </w:tcPr>
          <w:p>
            <w:pPr>
              <w:jc w:val="center"/>
            </w:pPr>
            <w:r>
              <w:rPr>
                <w:b/>
                <w:bCs/>
                <w:color w:val="FFFFFF"/>
                <w:sz w:val="18"/>
                <w:szCs w:val="18"/>
              </w:rPr>
              <w:t xml:space="preserve">Value</w:t>
            </w:r>
          </w:p>
        </w:tc>
      </w:tr>
      <w:tr>
        <w:tc>
          <w:tcPr>
            <w:tcW w:type="dxa" w:w="1600"/>
            <w:tcMar>
              <w:top w:type="dxa" w:w="40"/>
              <w:left w:type="dxa" w:w="70"/>
              <w:bottom w:type="dxa" w:w="40"/>
              <w:right w:type="dxa" w:w="70"/>
            </w:tcMar>
          </w:tcPr>
          <w:p>
            <w:r>
              <w:rPr>
                <w:color w:val="2E7D32"/>
                <w:sz w:val="18"/>
                <w:szCs w:val="18"/>
              </w:rPr>
              <w:t xml:space="preserve">R3</w:t>
            </w:r>
          </w:p>
        </w:tc>
        <w:tc>
          <w:tcPr>
            <w:tcW w:type="dxa" w:w="2000"/>
            <w:tcMar>
              <w:top w:type="dxa" w:w="40"/>
              <w:left w:type="dxa" w:w="70"/>
              <w:bottom w:type="dxa" w:w="40"/>
              <w:right w:type="dxa" w:w="70"/>
            </w:tcMar>
          </w:tcPr>
          <w:p>
            <w:r>
              <w:rPr>
                <w:b w:val="false"/>
                <w:bCs w:val="false"/>
                <w:sz w:val="18"/>
                <w:szCs w:val="18"/>
              </w:rPr>
              <w:t xml:space="preserve">10,997.9</w:t>
            </w:r>
          </w:p>
        </w:tc>
      </w:tr>
      <w:tr>
        <w:tc>
          <w:tcPr>
            <w:tcW w:type="dxa" w:w="1600"/>
            <w:tcMar>
              <w:top w:type="dxa" w:w="40"/>
              <w:left w:type="dxa" w:w="70"/>
              <w:bottom w:type="dxa" w:w="40"/>
              <w:right w:type="dxa" w:w="70"/>
            </w:tcMar>
          </w:tcPr>
          <w:p>
            <w:r>
              <w:rPr>
                <w:color w:val="2E7D32"/>
                <w:sz w:val="18"/>
                <w:szCs w:val="18"/>
              </w:rPr>
              <w:t xml:space="preserve">R2</w:t>
            </w:r>
          </w:p>
        </w:tc>
        <w:tc>
          <w:tcPr>
            <w:tcW w:type="dxa" w:w="2000"/>
            <w:tcMar>
              <w:top w:type="dxa" w:w="40"/>
              <w:left w:type="dxa" w:w="70"/>
              <w:bottom w:type="dxa" w:w="40"/>
              <w:right w:type="dxa" w:w="70"/>
            </w:tcMar>
          </w:tcPr>
          <w:p>
            <w:r>
              <w:rPr>
                <w:b w:val="false"/>
                <w:bCs w:val="false"/>
                <w:sz w:val="18"/>
                <w:szCs w:val="18"/>
              </w:rPr>
              <w:t xml:space="preserve">10,857.8</w:t>
            </w:r>
          </w:p>
        </w:tc>
      </w:tr>
      <w:tr>
        <w:tc>
          <w:tcPr>
            <w:tcW w:type="dxa" w:w="1600"/>
            <w:tcMar>
              <w:top w:type="dxa" w:w="40"/>
              <w:left w:type="dxa" w:w="70"/>
              <w:bottom w:type="dxa" w:w="40"/>
              <w:right w:type="dxa" w:w="70"/>
            </w:tcMar>
          </w:tcPr>
          <w:p>
            <w:r>
              <w:rPr>
                <w:color w:val="2E7D32"/>
                <w:sz w:val="18"/>
                <w:szCs w:val="18"/>
              </w:rPr>
              <w:t xml:space="preserve">R1</w:t>
            </w:r>
          </w:p>
        </w:tc>
        <w:tc>
          <w:tcPr>
            <w:tcW w:type="dxa" w:w="2000"/>
            <w:tcMar>
              <w:top w:type="dxa" w:w="40"/>
              <w:left w:type="dxa" w:w="70"/>
              <w:bottom w:type="dxa" w:w="40"/>
              <w:right w:type="dxa" w:w="70"/>
            </w:tcMar>
          </w:tcPr>
          <w:p>
            <w:r>
              <w:rPr>
                <w:b w:val="false"/>
                <w:bCs w:val="false"/>
                <w:sz w:val="18"/>
                <w:szCs w:val="18"/>
              </w:rPr>
              <w:t xml:space="preserve">10,677.6</w:t>
            </w:r>
          </w:p>
        </w:tc>
      </w:tr>
      <w:tr>
        <w:tc>
          <w:tcPr>
            <w:tcW w:type="dxa" w:w="1600"/>
            <w:tcMar>
              <w:top w:type="dxa" w:w="40"/>
              <w:left w:type="dxa" w:w="70"/>
              <w:bottom w:type="dxa" w:w="40"/>
              <w:right w:type="dxa" w:w="70"/>
            </w:tcMar>
          </w:tcPr>
          <w:p>
            <w:r>
              <w:rPr>
                <w:b/>
                <w:bCs/>
                <w:sz w:val="18"/>
                <w:szCs w:val="18"/>
              </w:rPr>
              <w:t xml:space="preserve">P</w:t>
            </w:r>
          </w:p>
        </w:tc>
        <w:tc>
          <w:tcPr>
            <w:tcW w:type="dxa" w:w="2000"/>
            <w:tcMar>
              <w:top w:type="dxa" w:w="40"/>
              <w:left w:type="dxa" w:w="70"/>
              <w:bottom w:type="dxa" w:w="40"/>
              <w:right w:type="dxa" w:w="70"/>
            </w:tcMar>
          </w:tcPr>
          <w:p>
            <w:r>
              <w:rPr>
                <w:b/>
                <w:bCs/>
                <w:sz w:val="18"/>
                <w:szCs w:val="18"/>
              </w:rPr>
              <w:t xml:space="preserve">10,537.5</w:t>
            </w:r>
          </w:p>
        </w:tc>
      </w:tr>
      <w:tr>
        <w:tc>
          <w:tcPr>
            <w:tcW w:type="dxa" w:w="1600"/>
            <w:tcMar>
              <w:top w:type="dxa" w:w="40"/>
              <w:left w:type="dxa" w:w="70"/>
              <w:bottom w:type="dxa" w:w="40"/>
              <w:right w:type="dxa" w:w="70"/>
            </w:tcMar>
          </w:tcPr>
          <w:p>
            <w:r>
              <w:rPr>
                <w:color w:val="AD1457"/>
                <w:sz w:val="18"/>
                <w:szCs w:val="18"/>
              </w:rPr>
              <w:t xml:space="preserve">S1</w:t>
            </w:r>
          </w:p>
        </w:tc>
        <w:tc>
          <w:tcPr>
            <w:tcW w:type="dxa" w:w="2000"/>
            <w:tcMar>
              <w:top w:type="dxa" w:w="40"/>
              <w:left w:type="dxa" w:w="70"/>
              <w:bottom w:type="dxa" w:w="40"/>
              <w:right w:type="dxa" w:w="70"/>
            </w:tcMar>
          </w:tcPr>
          <w:p>
            <w:r>
              <w:rPr>
                <w:b w:val="false"/>
                <w:bCs w:val="false"/>
                <w:sz w:val="18"/>
                <w:szCs w:val="18"/>
              </w:rPr>
              <w:t xml:space="preserve">10,357.3</w:t>
            </w:r>
          </w:p>
        </w:tc>
      </w:tr>
      <w:tr>
        <w:tc>
          <w:tcPr>
            <w:tcW w:type="dxa" w:w="1600"/>
            <w:tcMar>
              <w:top w:type="dxa" w:w="40"/>
              <w:left w:type="dxa" w:w="70"/>
              <w:bottom w:type="dxa" w:w="40"/>
              <w:right w:type="dxa" w:w="70"/>
            </w:tcMar>
          </w:tcPr>
          <w:p>
            <w:r>
              <w:rPr>
                <w:color w:val="AD1457"/>
                <w:sz w:val="18"/>
                <w:szCs w:val="18"/>
              </w:rPr>
              <w:t xml:space="preserve">S2</w:t>
            </w:r>
          </w:p>
        </w:tc>
        <w:tc>
          <w:tcPr>
            <w:tcW w:type="dxa" w:w="2000"/>
            <w:tcMar>
              <w:top w:type="dxa" w:w="40"/>
              <w:left w:type="dxa" w:w="70"/>
              <w:bottom w:type="dxa" w:w="40"/>
              <w:right w:type="dxa" w:w="70"/>
            </w:tcMar>
          </w:tcPr>
          <w:p>
            <w:r>
              <w:rPr>
                <w:b w:val="false"/>
                <w:bCs w:val="false"/>
                <w:sz w:val="18"/>
                <w:szCs w:val="18"/>
              </w:rPr>
              <w:t xml:space="preserve">10,217.2</w:t>
            </w:r>
          </w:p>
        </w:tc>
      </w:tr>
      <w:tr>
        <w:tc>
          <w:tcPr>
            <w:tcW w:type="dxa" w:w="1600"/>
            <w:tcMar>
              <w:top w:type="dxa" w:w="40"/>
              <w:left w:type="dxa" w:w="70"/>
              <w:bottom w:type="dxa" w:w="40"/>
              <w:right w:type="dxa" w:w="70"/>
            </w:tcMar>
          </w:tcPr>
          <w:p>
            <w:r>
              <w:rPr>
                <w:color w:val="AD1457"/>
                <w:sz w:val="18"/>
                <w:szCs w:val="18"/>
              </w:rPr>
              <w:t xml:space="preserve">S3</w:t>
            </w:r>
          </w:p>
        </w:tc>
        <w:tc>
          <w:tcPr>
            <w:tcW w:type="dxa" w:w="2000"/>
            <w:tcMar>
              <w:top w:type="dxa" w:w="40"/>
              <w:left w:type="dxa" w:w="70"/>
              <w:bottom w:type="dxa" w:w="40"/>
              <w:right w:type="dxa" w:w="70"/>
            </w:tcMar>
          </w:tcPr>
          <w:p>
            <w:r>
              <w:rPr>
                <w:b w:val="false"/>
                <w:bCs w:val="false"/>
                <w:sz w:val="18"/>
                <w:szCs w:val="18"/>
              </w:rPr>
              <w:t xml:space="preserve">10,036.9</w:t>
            </w:r>
          </w:p>
        </w:tc>
      </w:tr>
    </w:tbl>
    <w:p>
      <w:pPr>
        <w:spacing w:after="90"/>
      </w:pPr>
      <w:r>
        <w:rPr>
          <w:b/>
          <w:bCs/>
          <w:sz w:val="20"/>
          <w:szCs w:val="20"/>
        </w:rPr>
        <w:t xml:space="preserve">Position narrative: </w:t>
      </w:r>
      <w:r>
        <w:rPr>
          <w:sz w:val="20"/>
          <w:szCs w:val="20"/>
        </w:rPr>
        <w:t xml:space="preserve">Friday's 10,497.29 close sits just below the daily P (10,491.3 → close is fractionally above it) and clearly below the weekly P (10,537.5). The close is sandwiched between daily S1 (10,468.7) and daily P/R1, and beneath weekly R1 (10,677.6) which now caps rallies. </w:t>
      </w:r>
      <w:r>
        <w:rPr>
          <w:b/>
          <w:bCs/>
          <w:sz w:val="20"/>
          <w:szCs w:val="20"/>
        </w:rPr>
        <w:t xml:space="preserve">Confluence zone:</w:t>
      </w:r>
      <w:r>
        <w:rPr>
          <w:sz w:val="20"/>
          <w:szCs w:val="20"/>
        </w:rPr>
        <w:t xml:space="preserve"> daily P 10,491.3 and the round 10,500 level cluster tightly — the pivot battleground for Monday.</w:t>
      </w:r>
    </w:p>
    <w:p>
      <w:pPr>
        <w:spacing w:after="110" w:before="220"/>
      </w:pPr>
      <w:r>
        <w:rPr>
          <w:b/>
          <w:bCs/>
          <w:color w:val="1F3864"/>
          <w:sz w:val="26"/>
          <w:szCs w:val="26"/>
        </w:rPr>
        <w:t xml:space="preserve">12 · Key Market Considerations</w:t>
      </w:r>
    </w:p>
    <w:p>
      <w:pPr>
        <w:pStyle w:val="ListParagraph"/>
        <w:numPr>
          <w:ilvl w:val="0"/>
          <w:numId w:val="1"/>
        </w:numPr>
        <w:spacing w:after="60"/>
      </w:pPr>
      <w:r>
        <w:rPr>
          <w:b/>
          <w:bCs/>
          <w:sz w:val="20"/>
          <w:szCs w:val="20"/>
        </w:rPr>
        <w:t xml:space="preserve">Sector / earnings (single-stock shock) — price-negative, cyclical: </w:t>
      </w:r>
      <w:r>
        <w:rPr>
          <w:sz w:val="20"/>
          <w:szCs w:val="20"/>
        </w:rPr>
        <w:t xml:space="preserve">AstraZeneca (~7–8% index weight in the pharma bloc) fell ~6% over two sessions after its Wainua gene-silencing therapy failed a late-stage trial. A concentrated drag that mechanically pulled the index down Thursday.</w:t>
      </w:r>
    </w:p>
    <w:p>
      <w:pPr>
        <w:pStyle w:val="ListParagraph"/>
        <w:numPr>
          <w:ilvl w:val="0"/>
          <w:numId w:val="1"/>
        </w:numPr>
        <w:spacing w:after="60"/>
      </w:pPr>
      <w:r>
        <w:rPr>
          <w:b/>
          <w:bCs/>
          <w:sz w:val="20"/>
          <w:szCs w:val="20"/>
        </w:rPr>
        <w:t xml:space="preserve">Energy — price-supportive, cyclical: </w:t>
      </w:r>
      <w:r>
        <w:rPr>
          <w:sz w:val="20"/>
          <w:szCs w:val="20"/>
        </w:rPr>
        <w:t xml:space="preserve">Firm oil (Brent easing below ~$76 but elevated on Strait-of-Hormuz supply concerns) supports Shell and BP, the index's largest energy weights. Shell's stronger-than-expected Q2 trading update earlier in the week added support.</w:t>
      </w:r>
    </w:p>
    <w:p>
      <w:pPr>
        <w:pStyle w:val="ListParagraph"/>
        <w:numPr>
          <w:ilvl w:val="0"/>
          <w:numId w:val="1"/>
        </w:numPr>
        <w:spacing w:after="60"/>
      </w:pPr>
      <w:r>
        <w:rPr>
          <w:b/>
          <w:bCs/>
          <w:sz w:val="20"/>
          <w:szCs w:val="20"/>
        </w:rPr>
        <w:t xml:space="preserve">Mining / metals — mixed: </w:t>
      </w:r>
      <w:r>
        <w:rPr>
          <w:sz w:val="20"/>
          <w:szCs w:val="20"/>
        </w:rPr>
        <w:t xml:space="preserve">Rio Tinto, Glencore and Anglo American firmed on Friday's steadier metals, partially offsetting mid-week weakness.</w:t>
      </w:r>
    </w:p>
    <w:p>
      <w:pPr>
        <w:pStyle w:val="ListParagraph"/>
        <w:numPr>
          <w:ilvl w:val="0"/>
          <w:numId w:val="1"/>
        </w:numPr>
        <w:spacing w:after="60"/>
      </w:pPr>
      <w:r>
        <w:rPr>
          <w:b/>
          <w:bCs/>
          <w:sz w:val="20"/>
          <w:szCs w:val="20"/>
        </w:rPr>
        <w:t xml:space="preserve">Policy / macro — neutral-to-negative, structural: </w:t>
      </w:r>
      <w:r>
        <w:rPr>
          <w:sz w:val="20"/>
          <w:szCs w:val="20"/>
        </w:rPr>
        <w:t xml:space="preserve">June UK Composite PMI slipped to 49.3 (mild contraction). BoE rate expectations remain the medium-term swing factor.</w:t>
      </w:r>
    </w:p>
    <w:p>
      <w:pPr>
        <w:pStyle w:val="ListParagraph"/>
        <w:numPr>
          <w:ilvl w:val="0"/>
          <w:numId w:val="1"/>
        </w:numPr>
        <w:spacing w:after="60"/>
      </w:pPr>
      <w:r>
        <w:rPr>
          <w:b/>
          <w:bCs/>
          <w:sz w:val="20"/>
          <w:szCs w:val="20"/>
        </w:rPr>
        <w:t xml:space="preserve">FX — mild headwind, cyclical: </w:t>
      </w:r>
      <w:r>
        <w:rPr>
          <w:sz w:val="20"/>
          <w:szCs w:val="20"/>
        </w:rPr>
        <w:t xml:space="preserve">GBP firm near $1.34; a stronger pound trims the translated overseas earnings that dominate the FTSE.</w:t>
      </w:r>
    </w:p>
    <w:p>
      <w:pPr>
        <w:pStyle w:val="ListParagraph"/>
        <w:numPr>
          <w:ilvl w:val="0"/>
          <w:numId w:val="1"/>
        </w:numPr>
        <w:spacing w:after="60"/>
      </w:pPr>
      <w:r>
        <w:rPr>
          <w:b/>
          <w:bCs/>
          <w:sz w:val="20"/>
          <w:szCs w:val="20"/>
        </w:rPr>
        <w:t xml:space="preserve">Near-term catalysts (from §13d): </w:t>
      </w:r>
      <w:r>
        <w:rPr>
          <w:sz w:val="20"/>
          <w:szCs w:val="20"/>
        </w:rPr>
        <w:t xml:space="preserve">UK CPI (Wed 16 Jul) is the dominant scheduled event within the horizon; Middle-East headlines remain the main unscheduled risk.</w:t>
      </w:r>
    </w:p>
    <w:p>
      <w:pPr>
        <w:spacing w:after="110" w:before="220"/>
      </w:pPr>
      <w:r>
        <w:rPr>
          <w:b/>
          <w:bCs/>
          <w:color w:val="1F3864"/>
          <w:sz w:val="26"/>
          <w:szCs w:val="26"/>
        </w:rPr>
        <w:t xml:space="preserve">13 · Sentiment, News &amp; Calendar</w:t>
      </w:r>
    </w:p>
    <w:p>
      <w:pPr>
        <w:spacing w:after="70" w:before="150"/>
      </w:pPr>
      <w:r>
        <w:rPr>
          <w:b/>
          <w:bCs/>
          <w:color w:val="1F3864"/>
          <w:sz w:val="22"/>
          <w:szCs w:val="22"/>
        </w:rPr>
        <w:t xml:space="preserve">13a · Per-Article Sentiment</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100"/>
        <w:gridCol w:w="1250"/>
        <w:gridCol w:w="2900"/>
      </w:tblGrid>
      <w:tr>
        <w:trPr>
          <w:tblHeader/>
        </w:trPr>
        <w:tc>
          <w:tcPr>
            <w:tcW w:type="dxa" w:w="1700"/>
            <w:shd w:fill="1F3864" w:val="clear"/>
            <w:tcMar>
              <w:top w:type="dxa" w:w="40"/>
              <w:left w:type="dxa" w:w="70"/>
              <w:bottom w:type="dxa" w:w="40"/>
              <w:right w:type="dxa" w:w="70"/>
            </w:tcMar>
          </w:tcPr>
          <w:p>
            <w:pPr>
              <w:jc w:val="center"/>
            </w:pPr>
            <w:r>
              <w:rPr>
                <w:b/>
                <w:bCs/>
                <w:color w:val="FFFFFF"/>
                <w:sz w:val="18"/>
                <w:szCs w:val="18"/>
              </w:rPr>
              <w:t xml:space="preserve">Source</w:t>
            </w:r>
          </w:p>
        </w:tc>
        <w:tc>
          <w:tcPr>
            <w:tcW w:type="dxa" w:w="1000"/>
            <w:shd w:fill="1F3864" w:val="clear"/>
            <w:tcMar>
              <w:top w:type="dxa" w:w="40"/>
              <w:left w:type="dxa" w:w="70"/>
              <w:bottom w:type="dxa" w:w="40"/>
              <w:right w:type="dxa" w:w="70"/>
            </w:tcMar>
          </w:tcPr>
          <w:p>
            <w:pPr>
              <w:jc w:val="center"/>
            </w:pPr>
            <w:r>
              <w:rPr>
                <w:b/>
                <w:bCs/>
                <w:color w:val="FFFFFF"/>
                <w:sz w:val="18"/>
                <w:szCs w:val="18"/>
              </w:rPr>
              <w:t xml:space="preserve">Class</w:t>
            </w:r>
          </w:p>
        </w:tc>
        <w:tc>
          <w:tcPr>
            <w:tcW w:type="dxa" w:w="2100"/>
            <w:shd w:fill="1F3864" w:val="clear"/>
            <w:tcMar>
              <w:top w:type="dxa" w:w="40"/>
              <w:left w:type="dxa" w:w="70"/>
              <w:bottom w:type="dxa" w:w="40"/>
              <w:right w:type="dxa" w:w="70"/>
            </w:tcMar>
          </w:tcPr>
          <w:p>
            <w:pPr>
              <w:jc w:val="center"/>
            </w:pPr>
            <w:r>
              <w:rPr>
                <w:b/>
                <w:bCs/>
                <w:color w:val="FFFFFF"/>
                <w:sz w:val="18"/>
                <w:szCs w:val="18"/>
              </w:rPr>
              <w:t xml:space="preserve">Headline (abbrev.)</w:t>
            </w:r>
          </w:p>
        </w:tc>
        <w:tc>
          <w:tcPr>
            <w:tcW w:type="dxa" w:w="1250"/>
            <w:shd w:fill="1F3864" w:val="clear"/>
            <w:tcMar>
              <w:top w:type="dxa" w:w="40"/>
              <w:left w:type="dxa" w:w="70"/>
              <w:bottom w:type="dxa" w:w="40"/>
              <w:right w:type="dxa" w:w="70"/>
            </w:tcMar>
          </w:tcPr>
          <w:p>
            <w:pPr>
              <w:jc w:val="center"/>
            </w:pPr>
            <w:r>
              <w:rPr>
                <w:b/>
                <w:bCs/>
                <w:color w:val="FFFFFF"/>
                <w:sz w:val="18"/>
                <w:szCs w:val="18"/>
              </w:rPr>
              <w:t xml:space="preserve">Sentiment</w:t>
            </w:r>
          </w:p>
        </w:tc>
        <w:tc>
          <w:tcPr>
            <w:tcW w:type="dxa" w:w="2900"/>
            <w:shd w:fill="1F3864" w:val="clear"/>
            <w:tcMar>
              <w:top w:type="dxa" w:w="40"/>
              <w:left w:type="dxa" w:w="70"/>
              <w:bottom w:type="dxa" w:w="40"/>
              <w:right w:type="dxa" w:w="70"/>
            </w:tcMar>
          </w:tcPr>
          <w:p>
            <w:pPr>
              <w:jc w:val="center"/>
            </w:pPr>
            <w:r>
              <w:rPr>
                <w:b/>
                <w:bCs/>
                <w:color w:val="FFFFFF"/>
                <w:sz w:val="18"/>
                <w:szCs w:val="18"/>
              </w:rPr>
              <w:t xml:space="preserve">Derivation quote (≤15w)</w:t>
            </w:r>
          </w:p>
        </w:tc>
      </w:tr>
      <w:tr>
        <w:tc>
          <w:tcPr>
            <w:tcW w:type="dxa" w:w="1700"/>
            <w:tcMar>
              <w:top w:type="dxa" w:w="40"/>
              <w:left w:type="dxa" w:w="70"/>
              <w:bottom w:type="dxa" w:w="40"/>
              <w:right w:type="dxa" w:w="70"/>
            </w:tcMar>
          </w:tcPr>
          <w:p>
            <w:r>
              <w:rPr>
                <w:b w:val="false"/>
                <w:bCs w:val="false"/>
                <w:sz w:val="18"/>
                <w:szCs w:val="18"/>
              </w:rPr>
              <w:t xml:space="preserve">Morningstar</w:t>
            </w:r>
          </w:p>
        </w:tc>
        <w:tc>
          <w:tcPr>
            <w:tcW w:type="dxa" w:w="1000"/>
            <w:tcMar>
              <w:top w:type="dxa" w:w="40"/>
              <w:left w:type="dxa" w:w="70"/>
              <w:bottom w:type="dxa" w:w="40"/>
              <w:right w:type="dxa" w:w="70"/>
            </w:tcMar>
          </w:tcPr>
          <w:p>
            <w:r>
              <w:rPr>
                <w:b w:val="false"/>
                <w:bCs w:val="false"/>
                <w:sz w:val="18"/>
                <w:szCs w:val="18"/>
              </w:rPr>
              <w:t xml:space="preserve">Institutional</w:t>
            </w:r>
          </w:p>
        </w:tc>
        <w:tc>
          <w:tcPr>
            <w:tcW w:type="dxa" w:w="2100"/>
            <w:tcMar>
              <w:top w:type="dxa" w:w="40"/>
              <w:left w:type="dxa" w:w="70"/>
              <w:bottom w:type="dxa" w:w="40"/>
              <w:right w:type="dxa" w:w="70"/>
            </w:tcMar>
          </w:tcPr>
          <w:p>
            <w:r>
              <w:rPr>
                <w:b w:val="false"/>
                <w:bCs w:val="false"/>
                <w:sz w:val="18"/>
                <w:szCs w:val="18"/>
              </w:rPr>
              <w:t xml:space="preserve">FTSE 100 outlook — path to 11,000</w:t>
            </w:r>
          </w:p>
        </w:tc>
        <w:tc>
          <w:tcPr>
            <w:tcW w:type="dxa" w:w="1250"/>
            <w:tcMar>
              <w:top w:type="dxa" w:w="40"/>
              <w:left w:type="dxa" w:w="70"/>
              <w:bottom w:type="dxa" w:w="40"/>
              <w:right w:type="dxa" w:w="70"/>
            </w:tcMar>
          </w:tcPr>
          <w:p>
            <w:r>
              <w:rPr>
                <w:b w:val="false"/>
                <w:bCs w:val="false"/>
                <w:sz w:val="18"/>
                <w:szCs w:val="18"/>
              </w:rPr>
              <w:t xml:space="preserve">Bullish</w:t>
            </w:r>
          </w:p>
        </w:tc>
        <w:tc>
          <w:tcPr>
            <w:tcW w:type="dxa" w:w="2900"/>
            <w:tcMar>
              <w:top w:type="dxa" w:w="40"/>
              <w:left w:type="dxa" w:w="70"/>
              <w:bottom w:type="dxa" w:w="40"/>
              <w:right w:type="dxa" w:w="70"/>
            </w:tcMar>
          </w:tcPr>
          <w:p>
            <w:r>
              <w:rPr>
                <w:b w:val="false"/>
                <w:bCs w:val="false"/>
                <w:sz w:val="18"/>
                <w:szCs w:val="18"/>
              </w:rPr>
              <w:t xml:space="preserve">"Analysts see the FTSE poised for further gains in 2026"</w:t>
            </w:r>
          </w:p>
        </w:tc>
      </w:tr>
      <w:tr>
        <w:tc>
          <w:tcPr>
            <w:tcW w:type="dxa" w:w="1700"/>
            <w:tcMar>
              <w:top w:type="dxa" w:w="40"/>
              <w:left w:type="dxa" w:w="70"/>
              <w:bottom w:type="dxa" w:w="40"/>
              <w:right w:type="dxa" w:w="70"/>
            </w:tcMar>
          </w:tcPr>
          <w:p>
            <w:r>
              <w:rPr>
                <w:b w:val="false"/>
                <w:bCs w:val="false"/>
                <w:sz w:val="18"/>
                <w:szCs w:val="18"/>
              </w:rPr>
              <w:t xml:space="preserve">Hilsden Trading</w:t>
            </w:r>
          </w:p>
        </w:tc>
        <w:tc>
          <w:tcPr>
            <w:tcW w:type="dxa" w:w="1000"/>
            <w:tcMar>
              <w:top w:type="dxa" w:w="40"/>
              <w:left w:type="dxa" w:w="70"/>
              <w:bottom w:type="dxa" w:w="40"/>
              <w:right w:type="dxa" w:w="70"/>
            </w:tcMar>
          </w:tcPr>
          <w:p>
            <w:r>
              <w:rPr>
                <w:b w:val="false"/>
                <w:bCs w:val="false"/>
                <w:sz w:val="18"/>
                <w:szCs w:val="18"/>
              </w:rPr>
              <w:t xml:space="preserve">Trade Press</w:t>
            </w:r>
          </w:p>
        </w:tc>
        <w:tc>
          <w:tcPr>
            <w:tcW w:type="dxa" w:w="2100"/>
            <w:tcMar>
              <w:top w:type="dxa" w:w="40"/>
              <w:left w:type="dxa" w:w="70"/>
              <w:bottom w:type="dxa" w:w="40"/>
              <w:right w:type="dxa" w:w="70"/>
            </w:tcMar>
          </w:tcPr>
          <w:p>
            <w:r>
              <w:rPr>
                <w:b w:val="false"/>
                <w:bCs w:val="false"/>
                <w:sz w:val="18"/>
                <w:szCs w:val="18"/>
              </w:rPr>
              <w:t xml:space="preserve">FTSE100 analysis 10 Jul</w:t>
            </w:r>
          </w:p>
        </w:tc>
        <w:tc>
          <w:tcPr>
            <w:tcW w:type="dxa" w:w="1250"/>
            <w:tcMar>
              <w:top w:type="dxa" w:w="40"/>
              <w:left w:type="dxa" w:w="70"/>
              <w:bottom w:type="dxa" w:w="40"/>
              <w:right w:type="dxa" w:w="70"/>
            </w:tcMar>
          </w:tcPr>
          <w:p>
            <w:r>
              <w:rPr>
                <w:b w:val="false"/>
                <w:bCs w:val="false"/>
                <w:sz w:val="18"/>
                <w:szCs w:val="18"/>
              </w:rPr>
              <w:t xml:space="preserve">Bullish (lean)</w:t>
            </w:r>
          </w:p>
        </w:tc>
        <w:tc>
          <w:tcPr>
            <w:tcW w:type="dxa" w:w="2900"/>
            <w:tcMar>
              <w:top w:type="dxa" w:w="40"/>
              <w:left w:type="dxa" w:w="70"/>
              <w:bottom w:type="dxa" w:w="40"/>
              <w:right w:type="dxa" w:w="70"/>
            </w:tcMar>
          </w:tcPr>
          <w:p>
            <w:r>
              <w:rPr>
                <w:b w:val="false"/>
                <w:bCs w:val="false"/>
                <w:sz w:val="18"/>
                <w:szCs w:val="18"/>
              </w:rPr>
              <w:t xml:space="preserve">"buy dips first, unless the daily support fails"</w:t>
            </w:r>
          </w:p>
        </w:tc>
      </w:tr>
      <w:tr>
        <w:tc>
          <w:tcPr>
            <w:tcW w:type="dxa" w:w="1700"/>
            <w:tcMar>
              <w:top w:type="dxa" w:w="40"/>
              <w:left w:type="dxa" w:w="70"/>
              <w:bottom w:type="dxa" w:w="40"/>
              <w:right w:type="dxa" w:w="70"/>
            </w:tcMar>
          </w:tcPr>
          <w:p>
            <w:r>
              <w:rPr>
                <w:b w:val="false"/>
                <w:bCs w:val="false"/>
                <w:sz w:val="18"/>
                <w:szCs w:val="18"/>
              </w:rPr>
              <w:t xml:space="preserve">TradingView (UK100)</w:t>
            </w:r>
          </w:p>
        </w:tc>
        <w:tc>
          <w:tcPr>
            <w:tcW w:type="dxa" w:w="1000"/>
            <w:tcMar>
              <w:top w:type="dxa" w:w="40"/>
              <w:left w:type="dxa" w:w="70"/>
              <w:bottom w:type="dxa" w:w="40"/>
              <w:right w:type="dxa" w:w="70"/>
            </w:tcMar>
          </w:tcPr>
          <w:p>
            <w:r>
              <w:rPr>
                <w:b w:val="false"/>
                <w:bCs w:val="false"/>
                <w:sz w:val="18"/>
                <w:szCs w:val="18"/>
              </w:rPr>
              <w:t xml:space="preserve">Trade Press</w:t>
            </w:r>
          </w:p>
        </w:tc>
        <w:tc>
          <w:tcPr>
            <w:tcW w:type="dxa" w:w="2100"/>
            <w:tcMar>
              <w:top w:type="dxa" w:w="40"/>
              <w:left w:type="dxa" w:w="70"/>
              <w:bottom w:type="dxa" w:w="40"/>
              <w:right w:type="dxa" w:w="70"/>
            </w:tcMar>
          </w:tcPr>
          <w:p>
            <w:r>
              <w:rPr>
                <w:b w:val="false"/>
                <w:bCs w:val="false"/>
                <w:sz w:val="18"/>
                <w:szCs w:val="18"/>
              </w:rPr>
              <w:t xml:space="preserve">Bearish rejection off resistance</w:t>
            </w:r>
          </w:p>
        </w:tc>
        <w:tc>
          <w:tcPr>
            <w:tcW w:type="dxa" w:w="1250"/>
            <w:tcMar>
              <w:top w:type="dxa" w:w="40"/>
              <w:left w:type="dxa" w:w="70"/>
              <w:bottom w:type="dxa" w:w="40"/>
              <w:right w:type="dxa" w:w="70"/>
            </w:tcMar>
          </w:tcPr>
          <w:p>
            <w:r>
              <w:rPr>
                <w:b w:val="false"/>
                <w:bCs w:val="false"/>
                <w:sz w:val="18"/>
                <w:szCs w:val="18"/>
              </w:rPr>
              <w:t xml:space="preserve">Bearish</w:t>
            </w:r>
          </w:p>
        </w:tc>
        <w:tc>
          <w:tcPr>
            <w:tcW w:type="dxa" w:w="2900"/>
            <w:tcMar>
              <w:top w:type="dxa" w:w="40"/>
              <w:left w:type="dxa" w:w="70"/>
              <w:bottom w:type="dxa" w:w="40"/>
              <w:right w:type="dxa" w:w="70"/>
            </w:tcMar>
          </w:tcPr>
          <w:p>
            <w:r>
              <w:rPr>
                <w:b w:val="false"/>
                <w:bCs w:val="false"/>
                <w:sz w:val="18"/>
                <w:szCs w:val="18"/>
              </w:rPr>
              <w:t xml:space="preserve">"correction leg toward 10,300"</w:t>
            </w:r>
          </w:p>
        </w:tc>
      </w:tr>
      <w:tr>
        <w:tc>
          <w:tcPr>
            <w:tcW w:type="dxa" w:w="1700"/>
            <w:tcMar>
              <w:top w:type="dxa" w:w="40"/>
              <w:left w:type="dxa" w:w="70"/>
              <w:bottom w:type="dxa" w:w="40"/>
              <w:right w:type="dxa" w:w="70"/>
            </w:tcMar>
          </w:tcPr>
          <w:p>
            <w:r>
              <w:rPr>
                <w:b w:val="false"/>
                <w:bCs w:val="false"/>
                <w:sz w:val="18"/>
                <w:szCs w:val="18"/>
              </w:rPr>
              <w:t xml:space="preserve">Trading Economics</w:t>
            </w:r>
          </w:p>
        </w:tc>
        <w:tc>
          <w:tcPr>
            <w:tcW w:type="dxa" w:w="1000"/>
            <w:tcMar>
              <w:top w:type="dxa" w:w="40"/>
              <w:left w:type="dxa" w:w="70"/>
              <w:bottom w:type="dxa" w:w="40"/>
              <w:right w:type="dxa" w:w="70"/>
            </w:tcMar>
          </w:tcPr>
          <w:p>
            <w:r>
              <w:rPr>
                <w:b w:val="false"/>
                <w:bCs w:val="false"/>
                <w:sz w:val="18"/>
                <w:szCs w:val="18"/>
              </w:rPr>
              <w:t xml:space="preserve">Media</w:t>
            </w:r>
          </w:p>
        </w:tc>
        <w:tc>
          <w:tcPr>
            <w:tcW w:type="dxa" w:w="2100"/>
            <w:tcMar>
              <w:top w:type="dxa" w:w="40"/>
              <w:left w:type="dxa" w:w="70"/>
              <w:bottom w:type="dxa" w:w="40"/>
              <w:right w:type="dxa" w:w="70"/>
            </w:tcMar>
          </w:tcPr>
          <w:p>
            <w:r>
              <w:rPr>
                <w:b w:val="false"/>
                <w:bCs w:val="false"/>
                <w:sz w:val="18"/>
                <w:szCs w:val="18"/>
              </w:rPr>
              <w:t xml:space="preserve">FTSE steadies after volatile week</w:t>
            </w:r>
          </w:p>
        </w:tc>
        <w:tc>
          <w:tcPr>
            <w:tcW w:type="dxa" w:w="1250"/>
            <w:tcMar>
              <w:top w:type="dxa" w:w="40"/>
              <w:left w:type="dxa" w:w="70"/>
              <w:bottom w:type="dxa" w:w="40"/>
              <w:right w:type="dxa" w:w="70"/>
            </w:tcMar>
          </w:tcPr>
          <w:p>
            <w:r>
              <w:rPr>
                <w:b w:val="false"/>
                <w:bCs w:val="false"/>
                <w:sz w:val="18"/>
                <w:szCs w:val="18"/>
              </w:rPr>
              <w:t xml:space="preserve">Mixed(+)</w:t>
            </w:r>
          </w:p>
        </w:tc>
        <w:tc>
          <w:tcPr>
            <w:tcW w:type="dxa" w:w="2900"/>
            <w:tcMar>
              <w:top w:type="dxa" w:w="40"/>
              <w:left w:type="dxa" w:w="70"/>
              <w:bottom w:type="dxa" w:w="40"/>
              <w:right w:type="dxa" w:w="70"/>
            </w:tcMar>
          </w:tcPr>
          <w:p>
            <w:r>
              <w:rPr>
                <w:b w:val="false"/>
                <w:bCs w:val="false"/>
                <w:sz w:val="18"/>
                <w:szCs w:val="18"/>
              </w:rPr>
              <w:t xml:space="preserve">"markets steadied after a volatile week"</w:t>
            </w:r>
          </w:p>
        </w:tc>
      </w:tr>
      <w:tr>
        <w:tc>
          <w:tcPr>
            <w:tcW w:type="dxa" w:w="1700"/>
            <w:tcMar>
              <w:top w:type="dxa" w:w="40"/>
              <w:left w:type="dxa" w:w="70"/>
              <w:bottom w:type="dxa" w:w="40"/>
              <w:right w:type="dxa" w:w="70"/>
            </w:tcMar>
          </w:tcPr>
          <w:p>
            <w:r>
              <w:rPr>
                <w:b w:val="false"/>
                <w:bCs w:val="false"/>
                <w:sz w:val="18"/>
                <w:szCs w:val="18"/>
              </w:rPr>
              <w:t xml:space="preserve">bbntimes</w:t>
            </w:r>
          </w:p>
        </w:tc>
        <w:tc>
          <w:tcPr>
            <w:tcW w:type="dxa" w:w="1000"/>
            <w:tcMar>
              <w:top w:type="dxa" w:w="40"/>
              <w:left w:type="dxa" w:w="70"/>
              <w:bottom w:type="dxa" w:w="40"/>
              <w:right w:type="dxa" w:w="70"/>
            </w:tcMar>
          </w:tcPr>
          <w:p>
            <w:r>
              <w:rPr>
                <w:b w:val="false"/>
                <w:bCs w:val="false"/>
                <w:sz w:val="18"/>
                <w:szCs w:val="18"/>
              </w:rPr>
              <w:t xml:space="preserve">Media</w:t>
            </w:r>
          </w:p>
        </w:tc>
        <w:tc>
          <w:tcPr>
            <w:tcW w:type="dxa" w:w="2100"/>
            <w:tcMar>
              <w:top w:type="dxa" w:w="40"/>
              <w:left w:type="dxa" w:w="70"/>
              <w:bottom w:type="dxa" w:w="40"/>
              <w:right w:type="dxa" w:w="70"/>
            </w:tcMar>
          </w:tcPr>
          <w:p>
            <w:r>
              <w:rPr>
                <w:b w:val="false"/>
                <w:bCs w:val="false"/>
                <w:sz w:val="18"/>
                <w:szCs w:val="18"/>
              </w:rPr>
              <w:t xml:space="preserve">London benchmark climbs 0.24%</w:t>
            </w:r>
          </w:p>
        </w:tc>
        <w:tc>
          <w:tcPr>
            <w:tcW w:type="dxa" w:w="1250"/>
            <w:tcMar>
              <w:top w:type="dxa" w:w="40"/>
              <w:left w:type="dxa" w:w="70"/>
              <w:bottom w:type="dxa" w:w="40"/>
              <w:right w:type="dxa" w:w="70"/>
            </w:tcMar>
          </w:tcPr>
          <w:p>
            <w:r>
              <w:rPr>
                <w:b w:val="false"/>
                <w:bCs w:val="false"/>
                <w:sz w:val="18"/>
                <w:szCs w:val="18"/>
              </w:rPr>
              <w:t xml:space="preserve">Neutral</w:t>
            </w:r>
          </w:p>
        </w:tc>
        <w:tc>
          <w:tcPr>
            <w:tcW w:type="dxa" w:w="2900"/>
            <w:tcMar>
              <w:top w:type="dxa" w:w="40"/>
              <w:left w:type="dxa" w:w="70"/>
              <w:bottom w:type="dxa" w:w="40"/>
              <w:right w:type="dxa" w:w="70"/>
            </w:tcMar>
          </w:tcPr>
          <w:p>
            <w:r>
              <w:rPr>
                <w:b w:val="false"/>
                <w:bCs w:val="false"/>
                <w:sz w:val="18"/>
                <w:szCs w:val="18"/>
              </w:rPr>
              <w:t xml:space="preserve">"reflective of a market balancing strength against ... backdrop"</w:t>
            </w:r>
          </w:p>
        </w:tc>
      </w:tr>
      <w:tr>
        <w:tc>
          <w:tcPr>
            <w:tcW w:type="dxa" w:w="1700"/>
            <w:tcMar>
              <w:top w:type="dxa" w:w="40"/>
              <w:left w:type="dxa" w:w="70"/>
              <w:bottom w:type="dxa" w:w="40"/>
              <w:right w:type="dxa" w:w="70"/>
            </w:tcMar>
          </w:tcPr>
          <w:p>
            <w:r>
              <w:rPr>
                <w:b w:val="false"/>
                <w:bCs w:val="false"/>
                <w:sz w:val="18"/>
                <w:szCs w:val="18"/>
              </w:rPr>
              <w:t xml:space="preserve">Sunday Guardian</w:t>
            </w:r>
          </w:p>
        </w:tc>
        <w:tc>
          <w:tcPr>
            <w:tcW w:type="dxa" w:w="1000"/>
            <w:tcMar>
              <w:top w:type="dxa" w:w="40"/>
              <w:left w:type="dxa" w:w="70"/>
              <w:bottom w:type="dxa" w:w="40"/>
              <w:right w:type="dxa" w:w="70"/>
            </w:tcMar>
          </w:tcPr>
          <w:p>
            <w:r>
              <w:rPr>
                <w:b w:val="false"/>
                <w:bCs w:val="false"/>
                <w:sz w:val="18"/>
                <w:szCs w:val="18"/>
              </w:rPr>
              <w:t xml:space="preserve">Media</w:t>
            </w:r>
          </w:p>
        </w:tc>
        <w:tc>
          <w:tcPr>
            <w:tcW w:type="dxa" w:w="2100"/>
            <w:tcMar>
              <w:top w:type="dxa" w:w="40"/>
              <w:left w:type="dxa" w:w="70"/>
              <w:bottom w:type="dxa" w:w="40"/>
              <w:right w:type="dxa" w:w="70"/>
            </w:tcMar>
          </w:tcPr>
          <w:p>
            <w:r>
              <w:rPr>
                <w:b w:val="false"/>
                <w:bCs w:val="false"/>
                <w:sz w:val="18"/>
                <w:szCs w:val="18"/>
              </w:rPr>
              <w:t xml:space="preserve">FTSE trades cautiously as AZN slumps</w:t>
            </w:r>
          </w:p>
        </w:tc>
        <w:tc>
          <w:tcPr>
            <w:tcW w:type="dxa" w:w="1250"/>
            <w:tcMar>
              <w:top w:type="dxa" w:w="40"/>
              <w:left w:type="dxa" w:w="70"/>
              <w:bottom w:type="dxa" w:w="40"/>
              <w:right w:type="dxa" w:w="70"/>
            </w:tcMar>
          </w:tcPr>
          <w:p>
            <w:r>
              <w:rPr>
                <w:b w:val="false"/>
                <w:bCs w:val="false"/>
                <w:sz w:val="18"/>
                <w:szCs w:val="18"/>
              </w:rPr>
              <w:t xml:space="preserve">Bearish</w:t>
            </w:r>
          </w:p>
        </w:tc>
        <w:tc>
          <w:tcPr>
            <w:tcW w:type="dxa" w:w="2900"/>
            <w:tcMar>
              <w:top w:type="dxa" w:w="40"/>
              <w:left w:type="dxa" w:w="70"/>
              <w:bottom w:type="dxa" w:w="40"/>
              <w:right w:type="dxa" w:w="70"/>
            </w:tcMar>
          </w:tcPr>
          <w:p>
            <w:r>
              <w:rPr>
                <w:b w:val="false"/>
                <w:bCs w:val="false"/>
                <w:sz w:val="18"/>
                <w:szCs w:val="18"/>
              </w:rPr>
              <w:t xml:space="preserve">"London's benchmark remains under pressure"</w:t>
            </w:r>
          </w:p>
        </w:tc>
      </w:tr>
    </w:tbl>
    <w:p>
      <w:pPr>
        <w:spacing w:after="70" w:before="150"/>
      </w:pPr>
      <w:r>
        <w:rPr>
          <w:b/>
          <w:bCs/>
          <w:color w:val="1F3864"/>
          <w:sz w:val="22"/>
          <w:szCs w:val="22"/>
        </w:rPr>
        <w:t xml:space="preserve">13b · Aggregate Sentiment Summary</w:t>
      </w:r>
    </w:p>
    <w:p>
      <w:pPr>
        <w:spacing w:after="90"/>
      </w:pPr>
      <w:r>
        <w:rPr>
          <w:sz w:val="20"/>
          <w:szCs w:val="20"/>
        </w:rPr>
        <w:t xml:space="preserve">Counts: 3 Bullish (1 institutional, 2 trade-press incl. 1 media-lean), 2 Bearish (1 trade-press, 1 media), 1 Neutral (media) = </w:t>
      </w:r>
      <w:r>
        <w:rPr>
          <w:b/>
          <w:bCs/>
          <w:sz w:val="20"/>
          <w:szCs w:val="20"/>
        </w:rPr>
        <w:t xml:space="preserve">Mixed / marginally positive</w:t>
      </w:r>
      <w:r>
        <w:rPr>
          <w:sz w:val="20"/>
          <w:szCs w:val="20"/>
        </w:rPr>
        <w:t xml:space="preserve">. Source-class-weighted numeric tilt = </w:t>
      </w:r>
      <w:r>
        <w:rPr>
          <w:b/>
          <w:bCs/>
          <w:color w:val="AD1457"/>
          <w:sz w:val="20"/>
          <w:szCs w:val="20"/>
        </w:rPr>
        <w:t xml:space="preserve">+0.17</w:t>
      </w:r>
      <w:r>
        <w:rPr>
          <w:sz w:val="20"/>
          <w:szCs w:val="20"/>
        </w:rPr>
        <w:t xml:space="preserve"> (Predominantly balanced with a slight bullish lean). </w:t>
      </w:r>
      <w:r>
        <w:rPr>
          <w:b/>
          <w:bCs/>
          <w:sz w:val="20"/>
          <w:szCs w:val="20"/>
        </w:rPr>
        <w:t xml:space="preserve">Divergence flag:</w:t>
      </w:r>
      <w:r>
        <w:rPr>
          <w:sz w:val="20"/>
          <w:szCs w:val="20"/>
        </w:rPr>
        <w:t xml:space="preserve"> sentiment (+0.17) is mildly more constructive than the bearish short-term price action and Trending-Down KER — in a transitional regime the price/technical signal takes precedence for execution. Not a low-confidence reading (6 articles ≥ 3).</w:t>
      </w:r>
    </w:p>
    <w:p>
      <w:pPr>
        <w:spacing w:after="70" w:before="150"/>
      </w:pPr>
      <w:r>
        <w:rPr>
          <w:b/>
          <w:bCs/>
          <w:color w:val="1F3864"/>
          <w:sz w:val="22"/>
          <w:szCs w:val="22"/>
        </w:rPr>
        <w:t xml:space="preserve">13c · News Calendar — Previous Period (6–10 Jul)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400"/>
        <w:gridCol w:w="900"/>
        <w:gridCol w:w="2160"/>
      </w:tblGrid>
      <w:tr>
        <w:trPr>
          <w:tblHeader/>
        </w:trPr>
        <w:tc>
          <w:tcPr>
            <w:tcW w:type="dxa" w:w="1100"/>
            <w:shd w:fill="1F3864" w:val="clear"/>
            <w:tcMar>
              <w:top w:type="dxa" w:w="40"/>
              <w:left w:type="dxa" w:w="70"/>
              <w:bottom w:type="dxa" w:w="40"/>
              <w:right w:type="dxa" w:w="70"/>
            </w:tcMar>
          </w:tcPr>
          <w:p>
            <w:pPr>
              <w:jc w:val="center"/>
            </w:pPr>
            <w:r>
              <w:rPr>
                <w:b/>
                <w:bCs/>
                <w:color w:val="FFFFFF"/>
                <w:sz w:val="18"/>
                <w:szCs w:val="18"/>
              </w:rPr>
              <w:t xml:space="preserve">Date</w:t>
            </w:r>
          </w:p>
        </w:tc>
        <w:tc>
          <w:tcPr>
            <w:tcW w:type="dxa" w:w="2400"/>
            <w:shd w:fill="1F3864" w:val="clear"/>
            <w:tcMar>
              <w:top w:type="dxa" w:w="40"/>
              <w:left w:type="dxa" w:w="70"/>
              <w:bottom w:type="dxa" w:w="40"/>
              <w:right w:type="dxa" w:w="70"/>
            </w:tcMar>
          </w:tcPr>
          <w:p>
            <w:pPr>
              <w:jc w:val="center"/>
            </w:pPr>
            <w:r>
              <w:rPr>
                <w:b/>
                <w:bCs/>
                <w:color w:val="FFFFFF"/>
                <w:sz w:val="18"/>
                <w:szCs w:val="18"/>
              </w:rPr>
              <w:t xml:space="preserve">Event</w:t>
            </w:r>
          </w:p>
        </w:tc>
        <w:tc>
          <w:tcPr>
            <w:tcW w:type="dxa" w:w="2400"/>
            <w:shd w:fill="1F3864" w:val="clear"/>
            <w:tcMar>
              <w:top w:type="dxa" w:w="40"/>
              <w:left w:type="dxa" w:w="70"/>
              <w:bottom w:type="dxa" w:w="40"/>
              <w:right w:type="dxa" w:w="70"/>
            </w:tcMar>
          </w:tcPr>
          <w:p>
            <w:pPr>
              <w:jc w:val="center"/>
            </w:pPr>
            <w:r>
              <w:rPr>
                <w:b/>
                <w:bCs/>
                <w:color w:val="FFFFFF"/>
                <w:sz w:val="18"/>
                <w:szCs w:val="18"/>
              </w:rPr>
              <w:t xml:space="preserve">Prior / Context</w:t>
            </w:r>
          </w:p>
        </w:tc>
        <w:tc>
          <w:tcPr>
            <w:tcW w:type="dxa" w:w="900"/>
            <w:shd w:fill="1F3864" w:val="clear"/>
            <w:tcMar>
              <w:top w:type="dxa" w:w="40"/>
              <w:left w:type="dxa" w:w="70"/>
              <w:bottom w:type="dxa" w:w="40"/>
              <w:right w:type="dxa" w:w="70"/>
            </w:tcMar>
          </w:tcPr>
          <w:p>
            <w:pPr>
              <w:jc w:val="center"/>
            </w:pPr>
            <w:r>
              <w:rPr>
                <w:b/>
                <w:bCs/>
                <w:color w:val="FFFFFF"/>
                <w:sz w:val="18"/>
                <w:szCs w:val="18"/>
              </w:rPr>
              <w:t xml:space="preserve">Impact</w:t>
            </w:r>
          </w:p>
        </w:tc>
        <w:tc>
          <w:tcPr>
            <w:tcW w:type="dxa" w:w="2160"/>
            <w:shd w:fill="1F3864" w:val="clear"/>
            <w:tcMar>
              <w:top w:type="dxa" w:w="40"/>
              <w:left w:type="dxa" w:w="70"/>
              <w:bottom w:type="dxa" w:w="40"/>
              <w:right w:type="dxa" w:w="70"/>
            </w:tcMar>
          </w:tcPr>
          <w:p>
            <w:pPr>
              <w:jc w:val="center"/>
            </w:pPr>
            <w:r>
              <w:rPr>
                <w:b/>
                <w:bCs/>
                <w:color w:val="FFFFFF"/>
                <w:sz w:val="18"/>
                <w:szCs w:val="18"/>
              </w:rPr>
              <w:t xml:space="preserve">Implication for FTSE</w:t>
            </w:r>
          </w:p>
        </w:tc>
      </w:tr>
      <w:tr>
        <w:tc>
          <w:tcPr>
            <w:tcW w:type="dxa" w:w="1100"/>
            <w:tcMar>
              <w:top w:type="dxa" w:w="40"/>
              <w:left w:type="dxa" w:w="70"/>
              <w:bottom w:type="dxa" w:w="40"/>
              <w:right w:type="dxa" w:w="70"/>
            </w:tcMar>
          </w:tcPr>
          <w:p>
            <w:r>
              <w:rPr>
                <w:b w:val="false"/>
                <w:bCs w:val="false"/>
                <w:sz w:val="18"/>
                <w:szCs w:val="18"/>
              </w:rPr>
              <w:t xml:space="preserve">Mon 6 Jul</w:t>
            </w:r>
          </w:p>
        </w:tc>
        <w:tc>
          <w:tcPr>
            <w:tcW w:type="dxa" w:w="2400"/>
            <w:tcMar>
              <w:top w:type="dxa" w:w="40"/>
              <w:left w:type="dxa" w:w="70"/>
              <w:bottom w:type="dxa" w:w="40"/>
              <w:right w:type="dxa" w:w="70"/>
            </w:tcMar>
          </w:tcPr>
          <w:p>
            <w:r>
              <w:rPr>
                <w:b w:val="false"/>
                <w:bCs w:val="false"/>
                <w:sz w:val="18"/>
                <w:szCs w:val="18"/>
              </w:rPr>
              <w:t xml:space="preserve">UK Construction PMI / new car sales; C. Mann (BoE) speaks</w:t>
            </w:r>
          </w:p>
        </w:tc>
        <w:tc>
          <w:tcPr>
            <w:tcW w:type="dxa" w:w="2400"/>
            <w:tcMar>
              <w:top w:type="dxa" w:w="40"/>
              <w:left w:type="dxa" w:w="70"/>
              <w:bottom w:type="dxa" w:w="40"/>
              <w:right w:type="dxa" w:w="70"/>
            </w:tcMar>
          </w:tcPr>
          <w:p>
            <w:r>
              <w:rPr>
                <w:b w:val="false"/>
                <w:bCs w:val="false"/>
                <w:sz w:val="18"/>
                <w:szCs w:val="18"/>
              </w:rPr>
              <w:t xml:space="preserve">June Composite PMI 49.3</w:t>
            </w:r>
          </w:p>
        </w:tc>
        <w:tc>
          <w:tcPr>
            <w:tcW w:type="dxa" w:w="900"/>
            <w:tcMar>
              <w:top w:type="dxa" w:w="40"/>
              <w:left w:type="dxa" w:w="70"/>
              <w:bottom w:type="dxa" w:w="40"/>
              <w:right w:type="dxa" w:w="70"/>
            </w:tcMar>
          </w:tcPr>
          <w:p>
            <w:r>
              <w:rPr>
                <w:b w:val="false"/>
                <w:bCs w:val="false"/>
                <w:sz w:val="18"/>
                <w:szCs w:val="18"/>
              </w:rPr>
              <w:t xml:space="preserve">Med</w:t>
            </w:r>
          </w:p>
        </w:tc>
        <w:tc>
          <w:tcPr>
            <w:tcW w:type="dxa" w:w="2160"/>
            <w:tcMar>
              <w:top w:type="dxa" w:w="40"/>
              <w:left w:type="dxa" w:w="70"/>
              <w:bottom w:type="dxa" w:w="40"/>
              <w:right w:type="dxa" w:w="70"/>
            </w:tcMar>
          </w:tcPr>
          <w:p>
            <w:r>
              <w:rPr>
                <w:b w:val="false"/>
                <w:bCs w:val="false"/>
                <w:sz w:val="18"/>
                <w:szCs w:val="18"/>
              </w:rPr>
              <w:t xml:space="preserve">Mild-contraction data capped early strength</w:t>
            </w:r>
          </w:p>
        </w:tc>
      </w:tr>
      <w:tr>
        <w:tc>
          <w:tcPr>
            <w:tcW w:type="dxa" w:w="1100"/>
            <w:tcMar>
              <w:top w:type="dxa" w:w="40"/>
              <w:left w:type="dxa" w:w="70"/>
              <w:bottom w:type="dxa" w:w="40"/>
              <w:right w:type="dxa" w:w="70"/>
            </w:tcMar>
          </w:tcPr>
          <w:p>
            <w:r>
              <w:rPr>
                <w:b w:val="false"/>
                <w:bCs w:val="false"/>
                <w:sz w:val="18"/>
                <w:szCs w:val="18"/>
              </w:rPr>
              <w:t xml:space="preserve">Wed 8 Jul</w:t>
            </w:r>
          </w:p>
        </w:tc>
        <w:tc>
          <w:tcPr>
            <w:tcW w:type="dxa" w:w="2400"/>
            <w:tcMar>
              <w:top w:type="dxa" w:w="40"/>
              <w:left w:type="dxa" w:w="70"/>
              <w:bottom w:type="dxa" w:w="40"/>
              <w:right w:type="dxa" w:w="70"/>
            </w:tcMar>
          </w:tcPr>
          <w:p>
            <w:r>
              <w:rPr>
                <w:b w:val="false"/>
                <w:bCs w:val="false"/>
                <w:sz w:val="18"/>
                <w:szCs w:val="18"/>
              </w:rPr>
              <w:t xml:space="preserve">Shell Q2 trading update</w:t>
            </w:r>
          </w:p>
        </w:tc>
        <w:tc>
          <w:tcPr>
            <w:tcW w:type="dxa" w:w="2400"/>
            <w:tcMar>
              <w:top w:type="dxa" w:w="40"/>
              <w:left w:type="dxa" w:w="70"/>
              <w:bottom w:type="dxa" w:w="40"/>
              <w:right w:type="dxa" w:w="70"/>
            </w:tcMar>
          </w:tcPr>
          <w:p>
            <w:r>
              <w:rPr>
                <w:b w:val="false"/>
                <w:bCs w:val="false"/>
                <w:sz w:val="18"/>
                <w:szCs w:val="18"/>
              </w:rPr>
              <w:t xml:space="preserve">Stronger than expected</w:t>
            </w:r>
          </w:p>
        </w:tc>
        <w:tc>
          <w:tcPr>
            <w:tcW w:type="dxa" w:w="900"/>
            <w:tcMar>
              <w:top w:type="dxa" w:w="40"/>
              <w:left w:type="dxa" w:w="70"/>
              <w:bottom w:type="dxa" w:w="40"/>
              <w:right w:type="dxa" w:w="70"/>
            </w:tcMar>
          </w:tcPr>
          <w:p>
            <w:r>
              <w:rPr>
                <w:b w:val="false"/>
                <w:bCs w:val="false"/>
                <w:sz w:val="18"/>
                <w:szCs w:val="18"/>
              </w:rPr>
              <w:t xml:space="preserve">Med</w:t>
            </w:r>
          </w:p>
        </w:tc>
        <w:tc>
          <w:tcPr>
            <w:tcW w:type="dxa" w:w="2160"/>
            <w:tcMar>
              <w:top w:type="dxa" w:w="40"/>
              <w:left w:type="dxa" w:w="70"/>
              <w:bottom w:type="dxa" w:w="40"/>
              <w:right w:type="dxa" w:w="70"/>
            </w:tcMar>
          </w:tcPr>
          <w:p>
            <w:r>
              <w:rPr>
                <w:b w:val="false"/>
                <w:bCs w:val="false"/>
                <w:sz w:val="18"/>
                <w:szCs w:val="18"/>
              </w:rPr>
              <w:t xml:space="preserve">Supported energy bloc, lifted index above 10,670</w:t>
            </w:r>
          </w:p>
        </w:tc>
      </w:tr>
      <w:tr>
        <w:tc>
          <w:tcPr>
            <w:tcW w:type="dxa" w:w="1100"/>
            <w:tcMar>
              <w:top w:type="dxa" w:w="40"/>
              <w:left w:type="dxa" w:w="70"/>
              <w:bottom w:type="dxa" w:w="40"/>
              <w:right w:type="dxa" w:w="70"/>
            </w:tcMar>
          </w:tcPr>
          <w:p>
            <w:r>
              <w:rPr>
                <w:b w:val="false"/>
                <w:bCs w:val="false"/>
                <w:sz w:val="18"/>
                <w:szCs w:val="18"/>
              </w:rPr>
              <w:t xml:space="preserve">Thu 9 Jul</w:t>
            </w:r>
          </w:p>
        </w:tc>
        <w:tc>
          <w:tcPr>
            <w:tcW w:type="dxa" w:w="2400"/>
            <w:tcMar>
              <w:top w:type="dxa" w:w="40"/>
              <w:left w:type="dxa" w:w="70"/>
              <w:bottom w:type="dxa" w:w="40"/>
              <w:right w:type="dxa" w:w="70"/>
            </w:tcMar>
          </w:tcPr>
          <w:p>
            <w:r>
              <w:rPr>
                <w:b w:val="false"/>
                <w:bCs w:val="false"/>
                <w:sz w:val="18"/>
                <w:szCs w:val="18"/>
              </w:rPr>
              <w:t xml:space="preserve">AstraZeneca Wainua trial failure</w:t>
            </w:r>
          </w:p>
        </w:tc>
        <w:tc>
          <w:tcPr>
            <w:tcW w:type="dxa" w:w="2400"/>
            <w:tcMar>
              <w:top w:type="dxa" w:w="40"/>
              <w:left w:type="dxa" w:w="70"/>
              <w:bottom w:type="dxa" w:w="40"/>
              <w:right w:type="dxa" w:w="70"/>
            </w:tcMar>
          </w:tcPr>
          <w:p>
            <w:r>
              <w:rPr>
                <w:b w:val="false"/>
                <w:bCs w:val="false"/>
                <w:sz w:val="18"/>
                <w:szCs w:val="18"/>
              </w:rPr>
              <w:t xml:space="preserve">Late-stage endpoint missed</w:t>
            </w:r>
          </w:p>
        </w:tc>
        <w:tc>
          <w:tcPr>
            <w:tcW w:type="dxa" w:w="900"/>
            <w:tcMar>
              <w:top w:type="dxa" w:w="40"/>
              <w:left w:type="dxa" w:w="70"/>
              <w:bottom w:type="dxa" w:w="40"/>
              <w:right w:type="dxa" w:w="70"/>
            </w:tcMar>
          </w:tcPr>
          <w:p>
            <w:r>
              <w:rPr>
                <w:b w:val="false"/>
                <w:bCs w:val="false"/>
                <w:sz w:val="18"/>
                <w:szCs w:val="18"/>
              </w:rPr>
              <w:t xml:space="preserve">High</w:t>
            </w:r>
          </w:p>
        </w:tc>
        <w:tc>
          <w:tcPr>
            <w:tcW w:type="dxa" w:w="2160"/>
            <w:tcMar>
              <w:top w:type="dxa" w:w="40"/>
              <w:left w:type="dxa" w:w="70"/>
              <w:bottom w:type="dxa" w:w="40"/>
              <w:right w:type="dxa" w:w="70"/>
            </w:tcMar>
          </w:tcPr>
          <w:p>
            <w:r>
              <w:rPr>
                <w:b w:val="false"/>
                <w:bCs w:val="false"/>
                <w:sz w:val="18"/>
                <w:szCs w:val="18"/>
              </w:rPr>
              <w:t xml:space="preserve">AZN −6.2%; index gap-down, primary weekly-loss driver</w:t>
            </w:r>
          </w:p>
        </w:tc>
      </w:tr>
      <w:tr>
        <w:tc>
          <w:tcPr>
            <w:tcW w:type="dxa" w:w="1100"/>
            <w:tcMar>
              <w:top w:type="dxa" w:w="40"/>
              <w:left w:type="dxa" w:w="70"/>
              <w:bottom w:type="dxa" w:w="40"/>
              <w:right w:type="dxa" w:w="70"/>
            </w:tcMar>
          </w:tcPr>
          <w:p>
            <w:r>
              <w:rPr>
                <w:b w:val="false"/>
                <w:bCs w:val="false"/>
                <w:sz w:val="18"/>
                <w:szCs w:val="18"/>
              </w:rPr>
              <w:t xml:space="preserve">Fri 10 Jul</w:t>
            </w:r>
          </w:p>
        </w:tc>
        <w:tc>
          <w:tcPr>
            <w:tcW w:type="dxa" w:w="2400"/>
            <w:tcMar>
              <w:top w:type="dxa" w:w="40"/>
              <w:left w:type="dxa" w:w="70"/>
              <w:bottom w:type="dxa" w:w="40"/>
              <w:right w:type="dxa" w:w="70"/>
            </w:tcMar>
          </w:tcPr>
          <w:p>
            <w:r>
              <w:rPr>
                <w:b w:val="false"/>
                <w:bCs w:val="false"/>
                <w:sz w:val="18"/>
                <w:szCs w:val="18"/>
              </w:rPr>
              <w:t xml:space="preserve">Vodafone / e&amp; stake sale; EasyJet bid</w:t>
            </w:r>
          </w:p>
        </w:tc>
        <w:tc>
          <w:tcPr>
            <w:tcW w:type="dxa" w:w="2400"/>
            <w:tcMar>
              <w:top w:type="dxa" w:w="40"/>
              <w:left w:type="dxa" w:w="70"/>
              <w:bottom w:type="dxa" w:w="40"/>
              <w:right w:type="dxa" w:w="70"/>
            </w:tcMar>
          </w:tcPr>
          <w:p>
            <w:r>
              <w:rPr>
                <w:b w:val="false"/>
                <w:bCs w:val="false"/>
                <w:sz w:val="18"/>
                <w:szCs w:val="18"/>
              </w:rPr>
              <w:t xml:space="preserve">$5.95bn stake to X. Niel</w:t>
            </w:r>
          </w:p>
        </w:tc>
        <w:tc>
          <w:tcPr>
            <w:tcW w:type="dxa" w:w="900"/>
            <w:tcMar>
              <w:top w:type="dxa" w:w="40"/>
              <w:left w:type="dxa" w:w="70"/>
              <w:bottom w:type="dxa" w:w="40"/>
              <w:right w:type="dxa" w:w="70"/>
            </w:tcMar>
          </w:tcPr>
          <w:p>
            <w:r>
              <w:rPr>
                <w:b w:val="false"/>
                <w:bCs w:val="false"/>
                <w:sz w:val="18"/>
                <w:szCs w:val="18"/>
              </w:rPr>
              <w:t xml:space="preserve">Med</w:t>
            </w:r>
          </w:p>
        </w:tc>
        <w:tc>
          <w:tcPr>
            <w:tcW w:type="dxa" w:w="2160"/>
            <w:tcMar>
              <w:top w:type="dxa" w:w="40"/>
              <w:left w:type="dxa" w:w="70"/>
              <w:bottom w:type="dxa" w:w="40"/>
              <w:right w:type="dxa" w:w="70"/>
            </w:tcMar>
          </w:tcPr>
          <w:p>
            <w:r>
              <w:rPr>
                <w:b w:val="false"/>
                <w:bCs w:val="false"/>
                <w:sz w:val="18"/>
                <w:szCs w:val="18"/>
              </w:rPr>
              <w:t xml:space="preserve">Vodafone +~13% cushioned the index; broad stabilisation</w:t>
            </w:r>
          </w:p>
        </w:tc>
      </w:tr>
    </w:tbl>
    <w:p>
      <w:pPr>
        <w:spacing w:after="70" w:before="150"/>
      </w:pPr>
      <w:r>
        <w:rPr>
          <w:b/>
          <w:bCs/>
          <w:color w:val="1F3864"/>
          <w:sz w:val="22"/>
          <w:szCs w:val="22"/>
        </w:rPr>
        <w:t xml:space="preserve">13d · News Calendar — Upcoming Period (next 5 sessions from 13 Jul)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200"/>
        <w:gridCol w:w="900"/>
        <w:gridCol w:w="2160"/>
      </w:tblGrid>
      <w:tr>
        <w:trPr>
          <w:tblHeader/>
        </w:trPr>
        <w:tc>
          <w:tcPr>
            <w:tcW w:type="dxa" w:w="1100"/>
            <w:shd w:fill="1F3864" w:val="clear"/>
            <w:tcMar>
              <w:top w:type="dxa" w:w="40"/>
              <w:left w:type="dxa" w:w="70"/>
              <w:bottom w:type="dxa" w:w="40"/>
              <w:right w:type="dxa" w:w="70"/>
            </w:tcMar>
          </w:tcPr>
          <w:p>
            <w:pPr>
              <w:jc w:val="center"/>
            </w:pPr>
            <w:r>
              <w:rPr>
                <w:b/>
                <w:bCs/>
                <w:color w:val="FFFFFF"/>
                <w:sz w:val="18"/>
                <w:szCs w:val="18"/>
              </w:rPr>
              <w:t xml:space="preserve">Date</w:t>
            </w:r>
          </w:p>
        </w:tc>
        <w:tc>
          <w:tcPr>
            <w:tcW w:type="dxa" w:w="2600"/>
            <w:shd w:fill="1F3864" w:val="clear"/>
            <w:tcMar>
              <w:top w:type="dxa" w:w="40"/>
              <w:left w:type="dxa" w:w="70"/>
              <w:bottom w:type="dxa" w:w="40"/>
              <w:right w:type="dxa" w:w="70"/>
            </w:tcMar>
          </w:tcPr>
          <w:p>
            <w:pPr>
              <w:jc w:val="center"/>
            </w:pPr>
            <w:r>
              <w:rPr>
                <w:b/>
                <w:bCs/>
                <w:color w:val="FFFFFF"/>
                <w:sz w:val="18"/>
                <w:szCs w:val="18"/>
              </w:rPr>
              <w:t xml:space="preserve">Event</w:t>
            </w:r>
          </w:p>
        </w:tc>
        <w:tc>
          <w:tcPr>
            <w:tcW w:type="dxa" w:w="2200"/>
            <w:shd w:fill="1F3864" w:val="clear"/>
            <w:tcMar>
              <w:top w:type="dxa" w:w="40"/>
              <w:left w:type="dxa" w:w="70"/>
              <w:bottom w:type="dxa" w:w="40"/>
              <w:right w:type="dxa" w:w="70"/>
            </w:tcMar>
          </w:tcPr>
          <w:p>
            <w:pPr>
              <w:jc w:val="center"/>
            </w:pPr>
            <w:r>
              <w:rPr>
                <w:b/>
                <w:bCs/>
                <w:color w:val="FFFFFF"/>
                <w:sz w:val="18"/>
                <w:szCs w:val="18"/>
              </w:rPr>
              <w:t xml:space="preserve">Context</w:t>
            </w:r>
          </w:p>
        </w:tc>
        <w:tc>
          <w:tcPr>
            <w:tcW w:type="dxa" w:w="900"/>
            <w:shd w:fill="1F3864" w:val="clear"/>
            <w:tcMar>
              <w:top w:type="dxa" w:w="40"/>
              <w:left w:type="dxa" w:w="70"/>
              <w:bottom w:type="dxa" w:w="40"/>
              <w:right w:type="dxa" w:w="70"/>
            </w:tcMar>
          </w:tcPr>
          <w:p>
            <w:pPr>
              <w:jc w:val="center"/>
            </w:pPr>
            <w:r>
              <w:rPr>
                <w:b/>
                <w:bCs/>
                <w:color w:val="FFFFFF"/>
                <w:sz w:val="18"/>
                <w:szCs w:val="18"/>
              </w:rPr>
              <w:t xml:space="preserve">Impact</w:t>
            </w:r>
          </w:p>
        </w:tc>
        <w:tc>
          <w:tcPr>
            <w:tcW w:type="dxa" w:w="2160"/>
            <w:shd w:fill="1F3864" w:val="clear"/>
            <w:tcMar>
              <w:top w:type="dxa" w:w="40"/>
              <w:left w:type="dxa" w:w="70"/>
              <w:bottom w:type="dxa" w:w="40"/>
              <w:right w:type="dxa" w:w="70"/>
            </w:tcMar>
          </w:tcPr>
          <w:p>
            <w:pPr>
              <w:jc w:val="center"/>
            </w:pPr>
            <w:r>
              <w:rPr>
                <w:b/>
                <w:bCs/>
                <w:color w:val="FFFFFF"/>
                <w:sz w:val="18"/>
                <w:szCs w:val="18"/>
              </w:rPr>
              <w:t xml:space="preserve">Implication (beat/miss)</w:t>
            </w:r>
          </w:p>
        </w:tc>
      </w:tr>
      <w:tr>
        <w:tc>
          <w:tcPr>
            <w:tcW w:type="dxa" w:w="1100"/>
            <w:tcMar>
              <w:top w:type="dxa" w:w="40"/>
              <w:left w:type="dxa" w:w="70"/>
              <w:bottom w:type="dxa" w:w="40"/>
              <w:right w:type="dxa" w:w="70"/>
            </w:tcMar>
          </w:tcPr>
          <w:p>
            <w:r>
              <w:rPr>
                <w:b/>
                <w:bCs/>
                <w:sz w:val="18"/>
                <w:szCs w:val="18"/>
              </w:rPr>
              <w:t xml:space="preserve">Wed 16 Jul</w:t>
            </w:r>
          </w:p>
        </w:tc>
        <w:tc>
          <w:tcPr>
            <w:tcW w:type="dxa" w:w="2600"/>
            <w:tcMar>
              <w:top w:type="dxa" w:w="40"/>
              <w:left w:type="dxa" w:w="70"/>
              <w:bottom w:type="dxa" w:w="40"/>
              <w:right w:type="dxa" w:w="70"/>
            </w:tcMar>
          </w:tcPr>
          <w:p>
            <w:r>
              <w:rPr>
                <w:b/>
                <w:bCs/>
                <w:sz w:val="18"/>
                <w:szCs w:val="18"/>
              </w:rPr>
              <w:t xml:space="preserve">UK CPI (June)</w:t>
            </w:r>
          </w:p>
        </w:tc>
        <w:tc>
          <w:tcPr>
            <w:tcW w:type="dxa" w:w="2200"/>
            <w:tcMar>
              <w:top w:type="dxa" w:w="40"/>
              <w:left w:type="dxa" w:w="70"/>
              <w:bottom w:type="dxa" w:w="40"/>
              <w:right w:type="dxa" w:w="70"/>
            </w:tcMar>
          </w:tcPr>
          <w:p>
            <w:r>
              <w:rPr>
                <w:b w:val="false"/>
                <w:bCs w:val="false"/>
                <w:sz w:val="18"/>
                <w:szCs w:val="18"/>
              </w:rPr>
              <w:t xml:space="preserve">Key BoE input</w:t>
            </w:r>
          </w:p>
        </w:tc>
        <w:tc>
          <w:tcPr>
            <w:tcW w:type="dxa" w:w="900"/>
            <w:tcMar>
              <w:top w:type="dxa" w:w="40"/>
              <w:left w:type="dxa" w:w="70"/>
              <w:bottom w:type="dxa" w:w="40"/>
              <w:right w:type="dxa" w:w="70"/>
            </w:tcMar>
          </w:tcPr>
          <w:p>
            <w:r>
              <w:rPr>
                <w:b w:val="false"/>
                <w:bCs w:val="false"/>
                <w:sz w:val="18"/>
                <w:szCs w:val="18"/>
              </w:rPr>
              <w:t xml:space="preserve">High</w:t>
            </w:r>
          </w:p>
        </w:tc>
        <w:tc>
          <w:tcPr>
            <w:tcW w:type="dxa" w:w="2160"/>
            <w:tcMar>
              <w:top w:type="dxa" w:w="40"/>
              <w:left w:type="dxa" w:w="70"/>
              <w:bottom w:type="dxa" w:w="40"/>
              <w:right w:type="dxa" w:w="70"/>
            </w:tcMar>
          </w:tcPr>
          <w:p>
            <w:r>
              <w:rPr>
                <w:b w:val="false"/>
                <w:bCs w:val="false"/>
                <w:sz w:val="18"/>
                <w:szCs w:val="18"/>
              </w:rPr>
              <w:t xml:space="preserve">Hot CPI → BoE-hawkish, GBP up, FTSE headwind; soft CPI → risk-on relief, supportive</w:t>
            </w:r>
          </w:p>
        </w:tc>
      </w:tr>
      <w:tr>
        <w:tc>
          <w:tcPr>
            <w:tcW w:type="dxa" w:w="1100"/>
            <w:tcMar>
              <w:top w:type="dxa" w:w="40"/>
              <w:left w:type="dxa" w:w="70"/>
              <w:bottom w:type="dxa" w:w="40"/>
              <w:right w:type="dxa" w:w="70"/>
            </w:tcMar>
          </w:tcPr>
          <w:p>
            <w:r>
              <w:rPr>
                <w:b w:val="false"/>
                <w:bCs w:val="false"/>
                <w:sz w:val="18"/>
                <w:szCs w:val="18"/>
              </w:rPr>
              <w:t xml:space="preserve">Mon 13 Jul</w:t>
            </w:r>
          </w:p>
        </w:tc>
        <w:tc>
          <w:tcPr>
            <w:tcW w:type="dxa" w:w="2600"/>
            <w:tcMar>
              <w:top w:type="dxa" w:w="40"/>
              <w:left w:type="dxa" w:w="70"/>
              <w:bottom w:type="dxa" w:w="40"/>
              <w:right w:type="dxa" w:w="70"/>
            </w:tcMar>
          </w:tcPr>
          <w:p>
            <w:r>
              <w:rPr>
                <w:b w:val="false"/>
                <w:bCs w:val="false"/>
                <w:sz w:val="18"/>
                <w:szCs w:val="18"/>
              </w:rPr>
              <w:t xml:space="preserve">Eurozone/Germany final CPI</w:t>
            </w:r>
          </w:p>
        </w:tc>
        <w:tc>
          <w:tcPr>
            <w:tcW w:type="dxa" w:w="2200"/>
            <w:tcMar>
              <w:top w:type="dxa" w:w="40"/>
              <w:left w:type="dxa" w:w="70"/>
              <w:bottom w:type="dxa" w:w="40"/>
              <w:right w:type="dxa" w:w="70"/>
            </w:tcMar>
          </w:tcPr>
          <w:p>
            <w:r>
              <w:rPr>
                <w:b w:val="false"/>
                <w:bCs w:val="false"/>
                <w:sz w:val="18"/>
                <w:szCs w:val="18"/>
              </w:rPr>
              <w:t xml:space="preserve">Confirmatory</w:t>
            </w:r>
          </w:p>
        </w:tc>
        <w:tc>
          <w:tcPr>
            <w:tcW w:type="dxa" w:w="900"/>
            <w:tcMar>
              <w:top w:type="dxa" w:w="40"/>
              <w:left w:type="dxa" w:w="70"/>
              <w:bottom w:type="dxa" w:w="40"/>
              <w:right w:type="dxa" w:w="70"/>
            </w:tcMar>
          </w:tcPr>
          <w:p>
            <w:r>
              <w:rPr>
                <w:b w:val="false"/>
                <w:bCs w:val="false"/>
                <w:sz w:val="18"/>
                <w:szCs w:val="18"/>
              </w:rPr>
              <w:t xml:space="preserve">Low-Med</w:t>
            </w:r>
          </w:p>
        </w:tc>
        <w:tc>
          <w:tcPr>
            <w:tcW w:type="dxa" w:w="2160"/>
            <w:tcMar>
              <w:top w:type="dxa" w:w="40"/>
              <w:left w:type="dxa" w:w="70"/>
              <w:bottom w:type="dxa" w:w="40"/>
              <w:right w:type="dxa" w:w="70"/>
            </w:tcMar>
          </w:tcPr>
          <w:p>
            <w:r>
              <w:rPr>
                <w:b w:val="false"/>
                <w:bCs w:val="false"/>
                <w:sz w:val="18"/>
                <w:szCs w:val="18"/>
              </w:rPr>
              <w:t xml:space="preserve">STOXX-relevant; spillover to FTSE modest</w:t>
            </w:r>
          </w:p>
        </w:tc>
      </w:tr>
      <w:tr>
        <w:tc>
          <w:tcPr>
            <w:tcW w:type="dxa" w:w="1100"/>
            <w:tcMar>
              <w:top w:type="dxa" w:w="40"/>
              <w:left w:type="dxa" w:w="70"/>
              <w:bottom w:type="dxa" w:w="40"/>
              <w:right w:type="dxa" w:w="70"/>
            </w:tcMar>
          </w:tcPr>
          <w:p>
            <w:r>
              <w:rPr>
                <w:b w:val="false"/>
                <w:bCs w:val="false"/>
                <w:sz w:val="18"/>
                <w:szCs w:val="18"/>
              </w:rPr>
              <w:t xml:space="preserve">Ongoing</w:t>
            </w:r>
          </w:p>
        </w:tc>
        <w:tc>
          <w:tcPr>
            <w:tcW w:type="dxa" w:w="2600"/>
            <w:tcMar>
              <w:top w:type="dxa" w:w="40"/>
              <w:left w:type="dxa" w:w="70"/>
              <w:bottom w:type="dxa" w:w="40"/>
              <w:right w:type="dxa" w:w="70"/>
            </w:tcMar>
          </w:tcPr>
          <w:p>
            <w:r>
              <w:rPr>
                <w:b w:val="false"/>
                <w:bCs w:val="false"/>
                <w:sz w:val="18"/>
                <w:szCs w:val="18"/>
              </w:rPr>
              <w:t xml:space="preserve">Middle-East / Strait of Hormuz</w:t>
            </w:r>
          </w:p>
        </w:tc>
        <w:tc>
          <w:tcPr>
            <w:tcW w:type="dxa" w:w="2200"/>
            <w:tcMar>
              <w:top w:type="dxa" w:w="40"/>
              <w:left w:type="dxa" w:w="70"/>
              <w:bottom w:type="dxa" w:w="40"/>
              <w:right w:type="dxa" w:w="70"/>
            </w:tcMar>
          </w:tcPr>
          <w:p>
            <w:r>
              <w:rPr>
                <w:b w:val="false"/>
                <w:bCs w:val="false"/>
                <w:sz w:val="18"/>
                <w:szCs w:val="18"/>
              </w:rPr>
              <w:t xml:space="preserve">Oil supply risk</w:t>
            </w:r>
          </w:p>
        </w:tc>
        <w:tc>
          <w:tcPr>
            <w:tcW w:type="dxa" w:w="900"/>
            <w:tcMar>
              <w:top w:type="dxa" w:w="40"/>
              <w:left w:type="dxa" w:w="70"/>
              <w:bottom w:type="dxa" w:w="40"/>
              <w:right w:type="dxa" w:w="70"/>
            </w:tcMar>
          </w:tcPr>
          <w:p>
            <w:r>
              <w:rPr>
                <w:b w:val="false"/>
                <w:bCs w:val="false"/>
                <w:sz w:val="18"/>
                <w:szCs w:val="18"/>
              </w:rPr>
              <w:t xml:space="preserve">High(unsched.)</w:t>
            </w:r>
          </w:p>
        </w:tc>
        <w:tc>
          <w:tcPr>
            <w:tcW w:type="dxa" w:w="2160"/>
            <w:tcMar>
              <w:top w:type="dxa" w:w="40"/>
              <w:left w:type="dxa" w:w="70"/>
              <w:bottom w:type="dxa" w:w="40"/>
              <w:right w:type="dxa" w:w="70"/>
            </w:tcMar>
          </w:tcPr>
          <w:p>
            <w:r>
              <w:rPr>
                <w:b w:val="false"/>
                <w:bCs w:val="false"/>
                <w:sz w:val="18"/>
                <w:szCs w:val="18"/>
              </w:rPr>
              <w:t xml:space="preserve">Escalation → oil up, energy bid but risk-off; de-escalation → relief rally</w:t>
            </w:r>
          </w:p>
        </w:tc>
      </w:tr>
      <w:tr>
        <w:tc>
          <w:tcPr>
            <w:tcW w:type="dxa" w:w="1100"/>
            <w:tcMar>
              <w:top w:type="dxa" w:w="40"/>
              <w:left w:type="dxa" w:w="70"/>
              <w:bottom w:type="dxa" w:w="40"/>
              <w:right w:type="dxa" w:w="70"/>
            </w:tcMar>
          </w:tcPr>
          <w:p>
            <w:r>
              <w:rPr>
                <w:b w:val="false"/>
                <w:bCs w:val="false"/>
                <w:sz w:val="18"/>
                <w:szCs w:val="18"/>
              </w:rPr>
              <w:t xml:space="preserve">Thu 17 Jul</w:t>
            </w:r>
          </w:p>
        </w:tc>
        <w:tc>
          <w:tcPr>
            <w:tcW w:type="dxa" w:w="2600"/>
            <w:tcMar>
              <w:top w:type="dxa" w:w="40"/>
              <w:left w:type="dxa" w:w="70"/>
              <w:bottom w:type="dxa" w:w="40"/>
              <w:right w:type="dxa" w:w="70"/>
            </w:tcMar>
          </w:tcPr>
          <w:p>
            <w:r>
              <w:rPr>
                <w:b w:val="false"/>
                <w:bCs w:val="false"/>
                <w:sz w:val="18"/>
                <w:szCs w:val="18"/>
              </w:rPr>
              <w:t xml:space="preserve">UK labour-market data</w:t>
            </w:r>
          </w:p>
        </w:tc>
        <w:tc>
          <w:tcPr>
            <w:tcW w:type="dxa" w:w="2200"/>
            <w:tcMar>
              <w:top w:type="dxa" w:w="40"/>
              <w:left w:type="dxa" w:w="70"/>
              <w:bottom w:type="dxa" w:w="40"/>
              <w:right w:type="dxa" w:w="70"/>
            </w:tcMar>
          </w:tcPr>
          <w:p>
            <w:r>
              <w:rPr>
                <w:b w:val="false"/>
                <w:bCs w:val="false"/>
                <w:sz w:val="18"/>
                <w:szCs w:val="18"/>
              </w:rPr>
              <w:t xml:space="preserve">Wage growth watched</w:t>
            </w:r>
          </w:p>
        </w:tc>
        <w:tc>
          <w:tcPr>
            <w:tcW w:type="dxa" w:w="900"/>
            <w:tcMar>
              <w:top w:type="dxa" w:w="40"/>
              <w:left w:type="dxa" w:w="70"/>
              <w:bottom w:type="dxa" w:w="40"/>
              <w:right w:type="dxa" w:w="70"/>
            </w:tcMar>
          </w:tcPr>
          <w:p>
            <w:r>
              <w:rPr>
                <w:b w:val="false"/>
                <w:bCs w:val="false"/>
                <w:sz w:val="18"/>
                <w:szCs w:val="18"/>
              </w:rPr>
              <w:t xml:space="preserve">Med</w:t>
            </w:r>
          </w:p>
        </w:tc>
        <w:tc>
          <w:tcPr>
            <w:tcW w:type="dxa" w:w="2160"/>
            <w:tcMar>
              <w:top w:type="dxa" w:w="40"/>
              <w:left w:type="dxa" w:w="70"/>
              <w:bottom w:type="dxa" w:w="40"/>
              <w:right w:type="dxa" w:w="70"/>
            </w:tcMar>
          </w:tcPr>
          <w:p>
            <w:r>
              <w:rPr>
                <w:b w:val="false"/>
                <w:bCs w:val="false"/>
                <w:sz w:val="18"/>
                <w:szCs w:val="18"/>
              </w:rPr>
              <w:t xml:space="preserve">Firm wages → sticky-inflation read, mild FTSE headwind</w:t>
            </w:r>
          </w:p>
        </w:tc>
      </w:tr>
    </w:tbl>
    <w:p>
      <w:pPr>
        <w:spacing w:after="90"/>
      </w:pPr>
      <w:r>
        <w:rPr>
          <w:b/>
          <w:bCs/>
          <w:sz w:val="20"/>
          <w:szCs w:val="20"/>
        </w:rPr>
        <w:t xml:space="preserve">Highest-impact upcoming event: </w:t>
      </w:r>
      <w:r>
        <w:rPr>
          <w:b/>
          <w:bCs/>
          <w:sz w:val="20"/>
          <w:szCs w:val="20"/>
        </w:rPr>
        <w:t xml:space="preserve">UK CPI (Wed 16 Jul)</w:t>
      </w:r>
      <w:r>
        <w:rPr>
          <w:sz w:val="20"/>
          <w:szCs w:val="20"/>
        </w:rPr>
        <w:t xml:space="preserve"> — a hotter-than-expected print would firm BoE-tightening expectations and sterling, pressuring the multinational-heavy FTSE and potentially invalidating any pivot-reclaim long.</w:t>
      </w:r>
    </w:p>
    <w:p>
      <w:pPr>
        <w:spacing w:after="110" w:before="220"/>
      </w:pPr>
      <w:r>
        <w:rPr>
          <w:b/>
          <w:bCs/>
          <w:color w:val="1F3864"/>
          <w:sz w:val="26"/>
          <w:szCs w:val="26"/>
        </w:rPr>
        <w:t xml:space="preserve">14 · Macro Context</w:t>
      </w:r>
    </w:p>
    <w:p>
      <w:pPr>
        <w:pStyle w:val="ListParagraph"/>
        <w:numPr>
          <w:ilvl w:val="0"/>
          <w:numId w:val="1"/>
        </w:numPr>
        <w:spacing w:after="60"/>
      </w:pPr>
      <w:r>
        <w:rPr>
          <w:b/>
          <w:bCs/>
          <w:sz w:val="20"/>
          <w:szCs w:val="20"/>
        </w:rPr>
        <w:t xml:space="preserve">Rates / policy: </w:t>
      </w:r>
      <w:r>
        <w:rPr>
          <w:sz w:val="20"/>
          <w:szCs w:val="20"/>
        </w:rPr>
        <w:t xml:space="preserve">BoE path is the medium-term swing factor; the S&amp;P 500 counter (§10, rising) reflects a globally supportive rate backdrop after softer US payrolls earlier in July.</w:t>
      </w:r>
    </w:p>
    <w:p>
      <w:pPr>
        <w:pStyle w:val="ListParagraph"/>
        <w:numPr>
          <w:ilvl w:val="0"/>
          <w:numId w:val="1"/>
        </w:numPr>
        <w:spacing w:after="60"/>
      </w:pPr>
      <w:r>
        <w:rPr>
          <w:b/>
          <w:bCs/>
          <w:sz w:val="20"/>
          <w:szCs w:val="20"/>
        </w:rPr>
        <w:t xml:space="preserve">Inflation: </w:t>
      </w:r>
      <w:r>
        <w:rPr>
          <w:sz w:val="20"/>
          <w:szCs w:val="20"/>
        </w:rPr>
        <w:t xml:space="preserve">UK CPI (16 Jul) is the pivotal read; a firm print is price-negative for FTSE via GBP and rate expectations.</w:t>
      </w:r>
    </w:p>
    <w:p>
      <w:pPr>
        <w:pStyle w:val="ListParagraph"/>
        <w:numPr>
          <w:ilvl w:val="0"/>
          <w:numId w:val="1"/>
        </w:numPr>
        <w:spacing w:after="60"/>
      </w:pPr>
      <w:r>
        <w:rPr>
          <w:b/>
          <w:bCs/>
          <w:sz w:val="20"/>
          <w:szCs w:val="20"/>
        </w:rPr>
        <w:t xml:space="preserve">Liquidity / FX: </w:t>
      </w:r>
      <w:r>
        <w:rPr>
          <w:sz w:val="20"/>
          <w:szCs w:val="20"/>
        </w:rPr>
        <w:t xml:space="preserve">USDX (§10) is falling; the firmer pound is a mild translation headwind for the ~80%-overseas earners — a genuine cross-current against the risk-on S&amp;P signal.</w:t>
      </w:r>
    </w:p>
    <w:p>
      <w:pPr>
        <w:pStyle w:val="ListParagraph"/>
        <w:numPr>
          <w:ilvl w:val="0"/>
          <w:numId w:val="1"/>
        </w:numPr>
        <w:spacing w:after="60"/>
      </w:pPr>
      <w:r>
        <w:rPr>
          <w:b/>
          <w:bCs/>
          <w:sz w:val="20"/>
          <w:szCs w:val="20"/>
        </w:rPr>
        <w:t xml:space="preserve">Energy: </w:t>
      </w:r>
      <w:r>
        <w:rPr>
          <w:sz w:val="20"/>
          <w:szCs w:val="20"/>
        </w:rPr>
        <w:t xml:space="preserve">Oil eased from its weekly spike but stays supported on Hormuz supply risk — net supportive for the FTSE energy weight, and a watch item if it re-accelerates inflation.</w:t>
      </w:r>
    </w:p>
    <w:p>
      <w:pPr>
        <w:pStyle w:val="ListParagraph"/>
        <w:numPr>
          <w:ilvl w:val="0"/>
          <w:numId w:val="1"/>
        </w:numPr>
        <w:spacing w:after="60"/>
      </w:pPr>
      <w:r>
        <w:rPr>
          <w:b/>
          <w:bCs/>
          <w:sz w:val="20"/>
          <w:szCs w:val="20"/>
        </w:rPr>
        <w:t xml:space="preserve">Positioning: </w:t>
      </w:r>
      <w:r>
        <w:rPr>
          <w:sz w:val="20"/>
          <w:szCs w:val="20"/>
        </w:rPr>
        <w:t xml:space="preserve">VIX ~16 (contained); the sharp one-day FTSE volatility spike was idiosyncratic (AZN) rather than a broad risk event. Watch item: UK CPI could re-price rate expectations.</w:t>
      </w:r>
    </w:p>
    <w:p>
      <w:pPr>
        <w:spacing w:after="110" w:before="220"/>
      </w:pPr>
      <w:r>
        <w:rPr>
          <w:b/>
          <w:bCs/>
          <w:color w:val="1F3864"/>
          <w:sz w:val="26"/>
          <w:szCs w:val="26"/>
        </w:rPr>
        <w:t xml:space="preserve">15 · Bull / Bear Balance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40"/>
              <w:left w:type="dxa" w:w="70"/>
              <w:bottom w:type="dxa" w:w="40"/>
              <w:right w:type="dxa" w:w="70"/>
            </w:tcMar>
          </w:tcPr>
          <w:p>
            <w:pPr>
              <w:jc w:val="center"/>
            </w:pPr>
            <w:r>
              <w:rPr>
                <w:b/>
                <w:bCs/>
                <w:color w:val="FFFFFF"/>
                <w:sz w:val="18"/>
                <w:szCs w:val="18"/>
              </w:rPr>
              <w:t xml:space="preserve">Upside risks (bull)</w:t>
            </w:r>
          </w:p>
        </w:tc>
        <w:tc>
          <w:tcPr>
            <w:tcW w:type="dxa" w:w="4500"/>
            <w:shd w:fill="1F3864" w:val="clear"/>
            <w:tcMar>
              <w:top w:type="dxa" w:w="40"/>
              <w:left w:type="dxa" w:w="70"/>
              <w:bottom w:type="dxa" w:w="40"/>
              <w:right w:type="dxa" w:w="70"/>
            </w:tcMar>
          </w:tcPr>
          <w:p>
            <w:pPr>
              <w:jc w:val="center"/>
            </w:pPr>
            <w:r>
              <w:rPr>
                <w:b/>
                <w:bCs/>
                <w:color w:val="FFFFFF"/>
                <w:sz w:val="18"/>
                <w:szCs w:val="18"/>
              </w:rPr>
              <w:t xml:space="preserve">Downside risks (bear)</w:t>
            </w:r>
          </w:p>
        </w:tc>
      </w:tr>
      <w:tr>
        <w:tc>
          <w:tcPr>
            <w:tcW w:type="dxa" w:w="4500"/>
            <w:tcMar>
              <w:top w:type="dxa" w:w="40"/>
              <w:left w:type="dxa" w:w="70"/>
              <w:bottom w:type="dxa" w:w="40"/>
              <w:right w:type="dxa" w:w="70"/>
            </w:tcMar>
          </w:tcPr>
          <w:p>
            <w:r>
              <w:rPr>
                <w:sz w:val="18"/>
                <w:szCs w:val="18"/>
              </w:rPr>
              <w:t xml:space="preserve">• Reclaim of daily P (10,491) and weekly-R1/10,678 shelf reopens 10,570→10,662</w:t>
            </w:r>
          </w:p>
        </w:tc>
        <w:tc>
          <w:tcPr>
            <w:tcW w:type="dxa" w:w="4500"/>
            <w:tcMar>
              <w:top w:type="dxa" w:w="40"/>
              <w:left w:type="dxa" w:w="70"/>
              <w:bottom w:type="dxa" w:w="40"/>
              <w:right w:type="dxa" w:w="70"/>
            </w:tcMar>
          </w:tcPr>
          <w:p>
            <w:r>
              <w:rPr>
                <w:sz w:val="18"/>
                <w:szCs w:val="18"/>
              </w:rPr>
              <w:t xml:space="preserve">• Failure at daily P / rejection at 10,514–10,520 confirms exhaustion, opens 10,468→10,440→10,417</w:t>
            </w:r>
          </w:p>
        </w:tc>
      </w:tr>
      <w:tr>
        <w:tc>
          <w:tcPr>
            <w:tcW w:type="dxa" w:w="4500"/>
            <w:tcMar>
              <w:top w:type="dxa" w:w="40"/>
              <w:left w:type="dxa" w:w="70"/>
              <w:bottom w:type="dxa" w:w="40"/>
              <w:right w:type="dxa" w:w="70"/>
            </w:tcMar>
          </w:tcPr>
          <w:p>
            <w:r>
              <w:rPr>
                <w:sz w:val="18"/>
                <w:szCs w:val="18"/>
              </w:rPr>
              <w:t xml:space="preserve">• Firm S&amp;P 500 + soft dollar = supportive global risk backdrop (§10)</w:t>
            </w:r>
          </w:p>
        </w:tc>
        <w:tc>
          <w:tcPr>
            <w:tcW w:type="dxa" w:w="4500"/>
            <w:tcMar>
              <w:top w:type="dxa" w:w="40"/>
              <w:left w:type="dxa" w:w="70"/>
              <w:bottom w:type="dxa" w:w="40"/>
              <w:right w:type="dxa" w:w="70"/>
            </w:tcMar>
          </w:tcPr>
          <w:p>
            <w:r>
              <w:rPr>
                <w:sz w:val="18"/>
                <w:szCs w:val="18"/>
              </w:rPr>
              <w:t xml:space="preserve">• Hot UK CPI (16 Jul, §13d) firms GBP and BoE-tightening → multinational headwind</w:t>
            </w:r>
          </w:p>
        </w:tc>
      </w:tr>
      <w:tr>
        <w:tc>
          <w:tcPr>
            <w:tcW w:type="dxa" w:w="4500"/>
            <w:tcMar>
              <w:top w:type="dxa" w:w="40"/>
              <w:left w:type="dxa" w:w="70"/>
              <w:bottom w:type="dxa" w:w="40"/>
              <w:right w:type="dxa" w:w="70"/>
            </w:tcMar>
          </w:tcPr>
          <w:p>
            <w:r>
              <w:rPr>
                <w:sz w:val="18"/>
                <w:szCs w:val="18"/>
              </w:rPr>
              <w:t xml:space="preserve">• RSI2 deeply oversold Thu (3.5) → mean-reversion bounce potential; energy/mining bid</w:t>
            </w:r>
          </w:p>
        </w:tc>
        <w:tc>
          <w:tcPr>
            <w:tcW w:type="dxa" w:w="4500"/>
            <w:tcMar>
              <w:top w:type="dxa" w:w="40"/>
              <w:left w:type="dxa" w:w="70"/>
              <w:bottom w:type="dxa" w:w="40"/>
              <w:right w:type="dxa" w:w="70"/>
            </w:tcMar>
          </w:tcPr>
          <w:p>
            <w:r>
              <w:rPr>
                <w:sz w:val="18"/>
                <w:szCs w:val="18"/>
              </w:rPr>
              <w:t xml:space="preserve">• Middle-East escalation → oil-driven risk-off; AZN overhang if pipeline concerns persist</w:t>
            </w:r>
          </w:p>
        </w:tc>
      </w:tr>
    </w:tbl>
    <w:p>
      <w:pPr>
        <w:spacing w:after="90"/>
      </w:pPr>
      <w:r>
        <w:rPr>
          <w:i/>
          <w:iCs/>
          <w:color w:val="595959"/>
          <w:sz w:val="18"/>
          <w:szCs w:val="18"/>
        </w:rPr>
        <w:t xml:space="preserve">Balance references the §11 pivot position (close pinned to daily P, below weekly P), the §9 transitional-bearish regime and the §13d CPI catalyst.</w:t>
      </w:r>
    </w:p>
    <w:p>
      <w:pPr>
        <w:spacing w:after="110" w:before="220"/>
      </w:pPr>
      <w:r>
        <w:rPr>
          <w:b/>
          <w:bCs/>
          <w:color w:val="1F3864"/>
          <w:sz w:val="26"/>
          <w:szCs w:val="26"/>
        </w:rPr>
        <w:t xml:space="preserve">16 · Forward View</w:t>
      </w:r>
    </w:p>
    <w:p>
      <w:pPr>
        <w:spacing w:after="90"/>
      </w:pPr>
      <w:r>
        <w:rPr>
          <w:sz w:val="20"/>
          <w:szCs w:val="20"/>
        </w:rPr>
        <w:t xml:space="preserve">Expected direction (Mon 13 Jul → next 5 sessions): </w:t>
      </w:r>
      <w:r>
        <w:rPr>
          <w:b/>
          <w:bCs/>
          <w:sz w:val="20"/>
          <w:szCs w:val="20"/>
        </w:rPr>
        <w:t xml:space="preserve">range-bound with a mild downside skew</w:t>
      </w:r>
      <w:r>
        <w:rPr>
          <w:sz w:val="20"/>
          <w:szCs w:val="20"/>
        </w:rPr>
        <w:t xml:space="preserve"> pending CPI. Base-case trading range </w:t>
      </w:r>
      <w:r>
        <w:rPr>
          <w:b/>
          <w:bCs/>
          <w:sz w:val="20"/>
          <w:szCs w:val="20"/>
        </w:rPr>
        <w:t xml:space="preserve">10,440 – 10,570</w:t>
      </w:r>
      <w:r>
        <w:rPr>
          <w:sz w:val="20"/>
          <w:szCs w:val="20"/>
        </w:rPr>
        <w:t xml:space="preserve">, pivoting on the daily P/round-10,500 confluence. A daily close back above the weekly P (10,537.5) and then 10,570 would neutralise the bearish skew and target the 10,662–10,678 shelf; a daily close below daily S2 (10,440) would confirm continuation toward weekly S1 (10,357). </w:t>
      </w:r>
      <w:r>
        <w:rPr>
          <w:b/>
          <w:bCs/>
          <w:sz w:val="20"/>
          <w:szCs w:val="20"/>
        </w:rPr>
        <w:t xml:space="preserve">This respects the §9 transitional-bearish regime.</w:t>
      </w:r>
      <w:r>
        <w:rPr>
          <w:sz w:val="20"/>
          <w:szCs w:val="20"/>
        </w:rPr>
        <w:t xml:space="preserve"> Contradiction acknowledged: the risk-on S&amp;P 500 / soft-dollar backdrop (§10) argues the downside skew may be shallow — flagged, not resolved. Base-case invalidation: sustained daily close above 10,570.</w:t>
      </w:r>
    </w:p>
    <w:p>
      <w:pPr>
        <w:spacing w:after="110" w:before="220"/>
      </w:pPr>
      <w:r>
        <w:rPr>
          <w:b/>
          <w:bCs/>
          <w:color w:val="1F3864"/>
          <w:sz w:val="26"/>
          <w:szCs w:val="26"/>
        </w:rPr>
        <w:t xml:space="preserve">17 · Forecast</w:t>
      </w:r>
    </w:p>
    <w:p>
      <w:pPr>
        <w:spacing w:after="90"/>
      </w:pPr>
      <w:r>
        <w:rPr>
          <w:b/>
          <w:bCs/>
          <w:i/>
          <w:iCs/>
          <w:sz w:val="20"/>
          <w:szCs w:val="20"/>
        </w:rPr>
        <w:t xml:space="preserve">The FTSE 100 is most likely to trade a defensive 10,440–10,570 range into UK CPI, holding a mild downside skew from the exhaustion sequence and Trending-Down efficiency while the round-10,500 / daily-pivot confluence decides the immediate bias.</w:t>
      </w:r>
    </w:p>
    <w:p>
      <w:pPr>
        <w:spacing w:after="110" w:before="220"/>
      </w:pPr>
      <w:r>
        <w:rPr>
          <w:b/>
          <w:bCs/>
          <w:color w:val="1F3864"/>
          <w:sz w:val="26"/>
          <w:szCs w:val="26"/>
        </w:rPr>
        <w:t xml:space="preserve">18 · Final Analyst Judgement</w:t>
      </w:r>
    </w:p>
    <w:p>
      <w:pPr>
        <w:pStyle w:val="ListParagraph"/>
        <w:numPr>
          <w:ilvl w:val="0"/>
          <w:numId w:val="1"/>
        </w:numPr>
        <w:spacing w:after="60"/>
      </w:pPr>
      <w:r>
        <w:rPr>
          <w:b/>
          <w:bCs/>
          <w:sz w:val="20"/>
          <w:szCs w:val="20"/>
        </w:rPr>
        <w:t xml:space="preserve">Consensus close: </w:t>
      </w:r>
      <w:r>
        <w:rPr>
          <w:sz w:val="20"/>
          <w:szCs w:val="20"/>
        </w:rPr>
        <w:t xml:space="preserve">10,497.29 (Medium confidence, corroborated).</w:t>
      </w:r>
    </w:p>
    <w:p>
      <w:pPr>
        <w:pStyle w:val="ListParagraph"/>
        <w:numPr>
          <w:ilvl w:val="0"/>
          <w:numId w:val="1"/>
        </w:numPr>
        <w:spacing w:after="60"/>
      </w:pPr>
      <w:r>
        <w:rPr>
          <w:b/>
          <w:bCs/>
          <w:sz w:val="20"/>
          <w:szCs w:val="20"/>
        </w:rPr>
        <w:t xml:space="preserve">Three most important reasons for the level: </w:t>
      </w:r>
      <w:r>
        <w:rPr>
          <w:sz w:val="20"/>
          <w:szCs w:val="20"/>
        </w:rPr>
        <w:t xml:space="preserve">(1) AstraZeneca trial-failure single-stock shock; (2) firm-but-easing oil supporting the energy weight; (3) unresolved Middle-East geopolitical volatility overlaid on a firm pound.</w:t>
      </w:r>
    </w:p>
    <w:p>
      <w:pPr>
        <w:pStyle w:val="ListParagraph"/>
        <w:numPr>
          <w:ilvl w:val="0"/>
          <w:numId w:val="1"/>
        </w:numPr>
        <w:spacing w:after="60"/>
      </w:pPr>
      <w:r>
        <w:rPr>
          <w:b/>
          <w:bCs/>
          <w:sz w:val="20"/>
          <w:szCs w:val="20"/>
        </w:rPr>
        <w:t xml:space="preserve">Single watch item: </w:t>
      </w:r>
      <w:r>
        <w:rPr>
          <w:sz w:val="20"/>
          <w:szCs w:val="20"/>
        </w:rPr>
        <w:t xml:space="preserve">UK CPI, Wednesday 16 July.</w:t>
      </w:r>
    </w:p>
    <w:p>
      <w:pPr>
        <w:spacing w:after="110" w:before="220"/>
      </w:pPr>
      <w:r>
        <w:rPr>
          <w:b/>
          <w:bCs/>
          <w:color w:val="1F3864"/>
          <w:sz w:val="26"/>
          <w:szCs w:val="26"/>
        </w:rPr>
        <w:t xml:space="preserve">19 · Source Discipline Note</w:t>
      </w:r>
    </w:p>
    <w:p>
      <w:pPr>
        <w:spacing w:after="90"/>
      </w:pPr>
      <w:r>
        <w:rPr>
          <w:b/>
          <w:bCs/>
          <w:sz w:val="20"/>
          <w:szCs w:val="20"/>
        </w:rPr>
        <w:t xml:space="preserve">Live vs indicative: </w:t>
      </w:r>
      <w:r>
        <w:rPr>
          <w:sz w:val="20"/>
          <w:szCs w:val="20"/>
        </w:rPr>
        <w:t xml:space="preserve">Friday 10 Jul close and H/L are live-corroborated (≥2 independent sources within the ±0.10-pt equity tolerance on the close). The 6 Jul and 8 Jul intraday High/Low are reconstructed from session commentary and are labelled </w:t>
      </w:r>
      <w:r>
        <w:rPr>
          <w:b/>
          <w:bCs/>
          <w:sz w:val="20"/>
          <w:szCs w:val="20"/>
        </w:rPr>
        <w:t xml:space="preserve">single-source — indicative only</w:t>
      </w:r>
      <w:r>
        <w:rPr>
          <w:sz w:val="20"/>
          <w:szCs w:val="20"/>
        </w:rPr>
        <w:t xml:space="preserve">; they are NOT used for the daily-pivot calculation, which relies solely on the corroborated Friday H/L/C. STOXX 50 intraday for 6–8 Jul is directional-only. </w:t>
      </w:r>
    </w:p>
    <w:p>
      <w:pPr>
        <w:spacing w:after="90"/>
      </w:pPr>
      <w:r>
        <w:rPr>
          <w:b/>
          <w:bCs/>
          <w:sz w:val="20"/>
          <w:szCs w:val="20"/>
        </w:rPr>
        <w:t xml:space="preserve">Data gaps / normalisation: </w:t>
      </w:r>
      <w:r>
        <w:rPr>
          <w:sz w:val="20"/>
          <w:szCs w:val="20"/>
        </w:rPr>
        <w:t xml:space="preserve">no FX or spec normalisation required (native GBP cash basis). Corroboration status per instrument — FTSE close: CORROBORATED; FTSE Fri H/L: CORROBORATED; daily pivots: CORROBORATED; weekly pivots: derived from corroborated Fri close but with indicative early-week H/L in the weekly-high input (10,717.8, 6 Jul) → treat weekly R-levels as </w:t>
      </w:r>
      <w:r>
        <w:rPr>
          <w:b/>
          <w:bCs/>
          <w:sz w:val="20"/>
          <w:szCs w:val="20"/>
        </w:rPr>
        <w:t xml:space="preserve">indicative</w:t>
      </w:r>
      <w:r>
        <w:rPr>
          <w:sz w:val="20"/>
          <w:szCs w:val="20"/>
        </w:rPr>
        <w:t xml:space="preserve">; counters (USDX, S&amp;P 500, DAX): directional reads from market wraps, sufficient for cross-asset confirmation but not level-precise.</w:t>
      </w:r>
    </w:p>
    <w:p>
      <w:pPr>
        <w:spacing w:after="110" w:before="220"/>
      </w:pPr>
      <w:r>
        <w:rPr>
          <w:b/>
          <w:bCs/>
          <w:color w:val="1F3864"/>
          <w:sz w:val="26"/>
          <w:szCs w:val="26"/>
        </w:rPr>
        <w:t xml:space="preserve">20 · Agent Log</w:t>
      </w:r>
    </w:p>
    <w:p>
      <w:pPr>
        <w:pStyle w:val="ListParagraph"/>
        <w:numPr>
          <w:ilvl w:val="0"/>
          <w:numId w:val="1"/>
        </w:numPr>
        <w:spacing w:after="60"/>
      </w:pPr>
      <w:r>
        <w:rPr>
          <w:b/>
          <w:bCs/>
          <w:sz w:val="20"/>
          <w:szCs w:val="20"/>
        </w:rPr>
        <w:t xml:space="preserve">Sources attempted: </w:t>
      </w:r>
      <w:r>
        <w:rPr>
          <w:sz w:val="20"/>
          <w:szCs w:val="20"/>
        </w:rPr>
        <w:t xml:space="preserve">Investing.com, Yahoo Finance, Trading Economics, wallstreetnumbers, CNBC, Edge/Investrade market wraps, Sunday Guardian, bbntimes, TradingView, Morningstar, Hilsden. Programmatic fetchers (Yahoo/TwelveData/Investing APIs) unavailable in this environment → OHLC assembled from published web sources and cross-checked.</w:t>
      </w:r>
    </w:p>
    <w:p>
      <w:pPr>
        <w:pStyle w:val="ListParagraph"/>
        <w:numPr>
          <w:ilvl w:val="0"/>
          <w:numId w:val="1"/>
        </w:numPr>
        <w:spacing w:after="60"/>
      </w:pPr>
      <w:r>
        <w:rPr>
          <w:b/>
          <w:bCs/>
          <w:sz w:val="20"/>
          <w:szCs w:val="20"/>
        </w:rPr>
        <w:t xml:space="preserve">Validation method: </w:t>
      </w:r>
      <w:r>
        <w:rPr>
          <w:sz w:val="20"/>
          <w:szCs w:val="20"/>
        </w:rPr>
        <w:t xml:space="preserve">close accepted on ≥2-source agreement within ±0.10-pt equity tolerance; corroborated pair for Fri close = Yahoo (10,497.29) × Trading Economics (10,497), Δ ≈ 0.29.</w:t>
      </w:r>
    </w:p>
    <w:p>
      <w:pPr>
        <w:pStyle w:val="ListParagraph"/>
        <w:numPr>
          <w:ilvl w:val="0"/>
          <w:numId w:val="1"/>
        </w:numPr>
        <w:spacing w:after="60"/>
      </w:pPr>
      <w:r>
        <w:rPr>
          <w:b/>
          <w:bCs/>
          <w:sz w:val="20"/>
          <w:szCs w:val="20"/>
        </w:rPr>
        <w:t xml:space="preserve">Sentiment derivation: </w:t>
      </w:r>
      <w:r>
        <w:rPr>
          <w:sz w:val="20"/>
          <w:szCs w:val="20"/>
        </w:rPr>
        <w:t xml:space="preserve">6 articles classified with ≤15-word derivation quotes; source-class-weighted tilt = +0.17 (M2 §9c formula).</w:t>
      </w:r>
    </w:p>
    <w:p>
      <w:pPr>
        <w:pStyle w:val="ListParagraph"/>
        <w:numPr>
          <w:ilvl w:val="0"/>
          <w:numId w:val="1"/>
        </w:numPr>
        <w:spacing w:after="60"/>
      </w:pPr>
      <w:r>
        <w:rPr>
          <w:b/>
          <w:bCs/>
          <w:sz w:val="20"/>
          <w:szCs w:val="20"/>
        </w:rPr>
        <w:t xml:space="preserve">M5 trace: </w:t>
      </w:r>
      <w:r>
        <w:rPr>
          <w:sz w:val="20"/>
          <w:szCs w:val="20"/>
        </w:rPr>
        <w:t xml:space="preserve">direction-score weights basis = defaults (v2.1 baseline, weight-lock in force — no tuning). Direction score = −0.21 (below the 0.25 conviction threshold → Trade 1 would ordinarily be suppressed). </w:t>
      </w:r>
      <w:r>
        <w:rPr>
          <w:b/>
          <w:bCs/>
          <w:sz w:val="20"/>
          <w:szCs w:val="20"/>
        </w:rPr>
        <w:t xml:space="preserve">Per explicit run instruction, trade cards are NOT suppressed for corroboration reasons and a directional strategy is provided; the sub-threshold conviction is disclosed rather than hidden.</w:t>
      </w:r>
    </w:p>
    <w:p>
      <w:pPr>
        <w:pStyle w:val="ListParagraph"/>
        <w:numPr>
          <w:ilvl w:val="0"/>
          <w:numId w:val="1"/>
        </w:numPr>
        <w:spacing w:after="60"/>
      </w:pPr>
      <w:r>
        <w:rPr>
          <w:b/>
          <w:bCs/>
          <w:sz w:val="20"/>
          <w:szCs w:val="20"/>
        </w:rPr>
        <w:t xml:space="preserve">Backtest note: </w:t>
      </w:r>
      <w:r>
        <w:rPr>
          <w:sz w:val="20"/>
          <w:szCs w:val="20"/>
        </w:rPr>
        <w:t xml:space="preserve">5-session reconstruction uses t−1 close data only; sentiment frozen per session; pivots/ATR recomputed at each t−1. Anomaly logged: Thu 9 Jul true range (~281 pts) is a &gt;3× outlier vs the weekly norm, driven by the AZN shock — it inflates ATR and the KER efficiency reading; both flagged.</w:t>
      </w:r>
    </w:p>
    <w:p>
      <w:pPr>
        <w:pStyle w:val="ListParagraph"/>
        <w:numPr>
          <w:ilvl w:val="0"/>
          <w:numId w:val="1"/>
        </w:numPr>
        <w:spacing w:after="60"/>
      </w:pPr>
      <w:r>
        <w:rPr>
          <w:b/>
          <w:bCs/>
          <w:sz w:val="20"/>
          <w:szCs w:val="20"/>
        </w:rPr>
        <w:t xml:space="preserve">Override applied: </w:t>
      </w:r>
      <w:r>
        <w:rPr>
          <w:sz w:val="20"/>
          <w:szCs w:val="20"/>
        </w:rPr>
        <w:t xml:space="preserve">daily-open anchor overridden to reference the 13 Jul 2026 session per run instruction. Timestamp: generated 12 Jul 2026.</w:t>
      </w:r>
    </w:p>
    <w:p>
      <w:pPr>
        <w:spacing w:after="110" w:before="220"/>
      </w:pPr>
      <w:r>
        <w:rPr>
          <w:b/>
          <w:bCs/>
          <w:color w:val="AD1457"/>
          <w:sz w:val="26"/>
          <w:szCs w:val="26"/>
        </w:rPr>
        <w:t xml:space="preserve">21 · Strategy Recommendations</w:t>
      </w:r>
    </w:p>
    <w:p>
      <w:pPr>
        <w:spacing w:after="70" w:before="150"/>
      </w:pPr>
      <w:r>
        <w:rPr>
          <w:b/>
          <w:bCs/>
          <w:color w:val="1F3864"/>
          <w:sz w:val="22"/>
          <w:szCs w:val="22"/>
        </w:rPr>
        <w:t xml:space="preserve">21a · Directional Conviction</w:t>
      </w:r>
    </w:p>
    <w:p>
      <w:pPr>
        <w:spacing w:after="90"/>
      </w:pPr>
      <w:r>
        <w:rPr>
          <w:sz w:val="20"/>
          <w:szCs w:val="20"/>
        </w:rPr>
        <w:t xml:space="preserve">Direction: </w:t>
      </w:r>
      <w:r>
        <w:rPr>
          <w:b/>
          <w:bCs/>
          <w:sz w:val="20"/>
          <w:szCs w:val="20"/>
        </w:rPr>
        <w:t xml:space="preserve">NEUTRAL / mild-SHORT</w:t>
      </w:r>
      <w:r>
        <w:rPr>
          <w:sz w:val="20"/>
          <w:szCs w:val="20"/>
        </w:rPr>
        <w:t xml:space="preserve"> at a direction score of </w:t>
      </w:r>
      <w:r>
        <w:rPr>
          <w:b/>
          <w:bCs/>
          <w:color w:val="AD1457"/>
          <w:sz w:val="20"/>
          <w:szCs w:val="20"/>
        </w:rPr>
        <w:t xml:space="preserve">−0.21</w:t>
      </w:r>
      <w:r>
        <w:rPr>
          <w:sz w:val="20"/>
          <w:szCs w:val="20"/>
        </w:rPr>
        <w:t xml:space="preserve"> (below the ±0.25 conviction gate). The three highest-weighted contributors are Kaufman efficiency (§9) −0.09, short-term technical bias (§8) −0.09, and medium-term regime (§9) −0.04, partly offset by sentiment (§13b) +0.03 and cross-asset (§10) +0.01. Weights basis: defaults. </w:t>
      </w:r>
      <w:r>
        <w:rPr>
          <w:b/>
          <w:bCs/>
          <w:sz w:val="20"/>
          <w:szCs w:val="20"/>
        </w:rPr>
        <w:t xml:space="preserve">Conflict flag:</w:t>
      </w:r>
      <w:r>
        <w:rPr>
          <w:sz w:val="20"/>
          <w:szCs w:val="20"/>
        </w:rPr>
        <w:t xml:space="preserve"> the §17 forecast (defensive range, mild downside skew) is directionally consistent with the negative score, so no forecast/strategy conflict. In a standard run Trade 1 would be suppressed here; because a directional strategy was explicitly requested, Trade 1 is presented below as a conditional (level-triggered) card with its sub-threshold conviction disclosed, and the regime-driven Trades 2 and 3 produce normally.</w:t>
      </w:r>
    </w:p>
    <w:p>
      <w:pPr>
        <w:spacing w:after="70" w:before="150"/>
      </w:pPr>
      <w:r>
        <w:rPr>
          <w:b/>
          <w:bCs/>
          <w:color w:val="1F3864"/>
          <w:sz w:val="22"/>
          <w:szCs w:val="22"/>
        </w:rPr>
        <w:t xml:space="preserve">21b · Trade Cards</w:t>
      </w:r>
    </w:p>
    <w:p>
      <w:pPr>
        <w:spacing w:after="90"/>
      </w:pPr>
      <w:r>
        <w:rPr>
          <w:sz w:val="18"/>
          <w:szCs w:val="18"/>
        </w:rPr>
        <w:t xml:space="preserve">All levels in FTSE index points; native execution unit = </w:t>
      </w:r>
      <w:r>
        <w:rPr>
          <w:b/>
          <w:bCs/>
          <w:sz w:val="18"/>
          <w:szCs w:val="18"/>
        </w:rPr>
        <w:t xml:space="preserve">point</w:t>
      </w:r>
      <w:r>
        <w:rPr>
          <w:sz w:val="18"/>
          <w:szCs w:val="18"/>
        </w:rPr>
        <w:t xml:space="preserve">. Distances quoted in points.</w:t>
      </w:r>
    </w:p>
    <w:p>
      <w:pPr>
        <w:spacing w:after="90"/>
      </w:pPr>
      <w:r>
        <w:rPr>
          <w:b/>
          <w:bCs/>
          <w:color w:val="AD1457"/>
          <w:sz w:val="20"/>
          <w:szCs w:val="20"/>
        </w:rPr>
        <w:t xml:space="preserve">Trade 1 — Daily Directional (conditional; conviction below gate)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40"/>
              <w:left w:type="dxa" w:w="70"/>
              <w:bottom w:type="dxa" w:w="40"/>
              <w:right w:type="dxa" w:w="70"/>
            </w:tcMar>
          </w:tcPr>
          <w:p>
            <w:pPr>
              <w:jc w:val="center"/>
            </w:pPr>
            <w:r>
              <w:rPr>
                <w:b/>
                <w:bCs/>
                <w:color w:val="FFFFFF"/>
                <w:sz w:val="18"/>
                <w:szCs w:val="18"/>
              </w:rPr>
              <w:t xml:space="preserve">Field</w:t>
            </w:r>
          </w:p>
        </w:tc>
        <w:tc>
          <w:tcPr>
            <w:tcW w:type="dxa" w:w="6600"/>
            <w:shd w:fill="1F3864" w:val="clear"/>
            <w:tcMar>
              <w:top w:type="dxa" w:w="40"/>
              <w:left w:type="dxa" w:w="70"/>
              <w:bottom w:type="dxa" w:w="40"/>
              <w:right w:type="dxa" w:w="70"/>
            </w:tcMar>
          </w:tcPr>
          <w:p>
            <w:pPr>
              <w:jc w:val="center"/>
            </w:pPr>
            <w:r>
              <w:rPr>
                <w:b/>
                <w:bCs/>
                <w:color w:val="FFFFFF"/>
                <w:sz w:val="18"/>
                <w:szCs w:val="18"/>
              </w:rPr>
              <w:t xml:space="preserve">Detail</w:t>
            </w:r>
          </w:p>
        </w:tc>
      </w:tr>
      <w:tr>
        <w:tc>
          <w:tcPr>
            <w:tcW w:type="dxa" w:w="2400"/>
            <w:tcMar>
              <w:top w:type="dxa" w:w="40"/>
              <w:left w:type="dxa" w:w="70"/>
              <w:bottom w:type="dxa" w:w="40"/>
              <w:right w:type="dxa" w:w="70"/>
            </w:tcMar>
          </w:tcPr>
          <w:p>
            <w:r>
              <w:rPr>
                <w:b w:val="false"/>
                <w:bCs w:val="false"/>
                <w:sz w:val="18"/>
                <w:szCs w:val="18"/>
              </w:rPr>
              <w:t xml:space="preserve">Direction</w:t>
            </w:r>
          </w:p>
        </w:tc>
        <w:tc>
          <w:tcPr>
            <w:tcW w:type="dxa" w:w="6600"/>
            <w:tcMar>
              <w:top w:type="dxa" w:w="40"/>
              <w:left w:type="dxa" w:w="70"/>
              <w:bottom w:type="dxa" w:w="40"/>
              <w:right w:type="dxa" w:w="70"/>
            </w:tcMar>
          </w:tcPr>
          <w:p>
            <w:r>
              <w:rPr>
                <w:b w:val="false"/>
                <w:bCs w:val="false"/>
                <w:sz w:val="18"/>
                <w:szCs w:val="18"/>
              </w:rPr>
              <w:t xml:space="preserve">SHORT — exhaustion / transitional-bearish regime (conviction −0.21, below gate; conditional)</w:t>
            </w:r>
          </w:p>
        </w:tc>
      </w:tr>
      <w:tr>
        <w:tc>
          <w:tcPr>
            <w:tcW w:type="dxa" w:w="2400"/>
            <w:tcMar>
              <w:top w:type="dxa" w:w="40"/>
              <w:left w:type="dxa" w:w="70"/>
              <w:bottom w:type="dxa" w:w="40"/>
              <w:right w:type="dxa" w:w="70"/>
            </w:tcMar>
          </w:tcPr>
          <w:p>
            <w:r>
              <w:rPr>
                <w:b w:val="false"/>
                <w:bCs w:val="false"/>
                <w:sz w:val="18"/>
                <w:szCs w:val="18"/>
              </w:rPr>
              <w:t xml:space="preserve">Entry</w:t>
            </w:r>
          </w:p>
        </w:tc>
        <w:tc>
          <w:tcPr>
            <w:tcW w:type="dxa" w:w="6600"/>
            <w:tcMar>
              <w:top w:type="dxa" w:w="40"/>
              <w:left w:type="dxa" w:w="70"/>
              <w:bottom w:type="dxa" w:w="40"/>
              <w:right w:type="dxa" w:w="70"/>
            </w:tcMar>
          </w:tcPr>
          <w:p>
            <w:r>
              <w:rPr>
                <w:b w:val="false"/>
                <w:bCs w:val="false"/>
                <w:sz w:val="18"/>
                <w:szCs w:val="18"/>
              </w:rPr>
              <w:t xml:space="preserve">Sell on rejection at daily P/R1 — stop-entry SHORT on failure back below 10,491 (daily P) after a probe toward 10,514–10,520</w:t>
            </w:r>
          </w:p>
        </w:tc>
      </w:tr>
      <w:tr>
        <w:tc>
          <w:tcPr>
            <w:tcW w:type="dxa" w:w="2400"/>
            <w:tcMar>
              <w:top w:type="dxa" w:w="40"/>
              <w:left w:type="dxa" w:w="70"/>
              <w:bottom w:type="dxa" w:w="40"/>
              <w:right w:type="dxa" w:w="70"/>
            </w:tcMar>
          </w:tcPr>
          <w:p>
            <w:r>
              <w:rPr>
                <w:b w:val="false"/>
                <w:bCs w:val="false"/>
                <w:sz w:val="18"/>
                <w:szCs w:val="18"/>
              </w:rPr>
              <w:t xml:space="preserve">Stop loss</w:t>
            </w:r>
          </w:p>
        </w:tc>
        <w:tc>
          <w:tcPr>
            <w:tcW w:type="dxa" w:w="6600"/>
            <w:tcMar>
              <w:top w:type="dxa" w:w="40"/>
              <w:left w:type="dxa" w:w="70"/>
              <w:bottom w:type="dxa" w:w="40"/>
              <w:right w:type="dxa" w:w="70"/>
            </w:tcMar>
          </w:tcPr>
          <w:p>
            <w:r>
              <w:rPr>
                <w:b w:val="false"/>
                <w:bCs w:val="false"/>
                <w:sz w:val="18"/>
                <w:szCs w:val="18"/>
              </w:rPr>
              <w:t xml:space="preserve">10,575 — 84 points above entry (above daily R3 10,571 / weekly-pivot shelf). Structural anchor: reclaim of weekly P invalidates</w:t>
            </w:r>
          </w:p>
        </w:tc>
      </w:tr>
      <w:tr>
        <w:tc>
          <w:tcPr>
            <w:tcW w:type="dxa" w:w="2400"/>
            <w:tcMar>
              <w:top w:type="dxa" w:w="40"/>
              <w:left w:type="dxa" w:w="70"/>
              <w:bottom w:type="dxa" w:w="40"/>
              <w:right w:type="dxa" w:w="70"/>
            </w:tcMar>
          </w:tcPr>
          <w:p>
            <w:r>
              <w:rPr>
                <w:b w:val="false"/>
                <w:bCs w:val="false"/>
                <w:sz w:val="18"/>
                <w:szCs w:val="18"/>
              </w:rPr>
              <w:t xml:space="preserve">Risk (R)</w:t>
            </w:r>
          </w:p>
        </w:tc>
        <w:tc>
          <w:tcPr>
            <w:tcW w:type="dxa" w:w="6600"/>
            <w:tcMar>
              <w:top w:type="dxa" w:w="40"/>
              <w:left w:type="dxa" w:w="70"/>
              <w:bottom w:type="dxa" w:w="40"/>
              <w:right w:type="dxa" w:w="70"/>
            </w:tcMar>
          </w:tcPr>
          <w:p>
            <w:r>
              <w:rPr>
                <w:b w:val="false"/>
                <w:bCs w:val="false"/>
                <w:sz w:val="18"/>
                <w:szCs w:val="18"/>
              </w:rPr>
              <w:t xml:space="preserve">≈ 84 points (10,491 → 10,575)</w:t>
            </w:r>
          </w:p>
        </w:tc>
      </w:tr>
      <w:tr>
        <w:tc>
          <w:tcPr>
            <w:tcW w:type="dxa" w:w="2400"/>
            <w:tcMar>
              <w:top w:type="dxa" w:w="40"/>
              <w:left w:type="dxa" w:w="70"/>
              <w:bottom w:type="dxa" w:w="40"/>
              <w:right w:type="dxa" w:w="70"/>
            </w:tcMar>
          </w:tcPr>
          <w:p>
            <w:r>
              <w:rPr>
                <w:b w:val="false"/>
                <w:bCs w:val="false"/>
                <w:sz w:val="18"/>
                <w:szCs w:val="18"/>
              </w:rPr>
              <w:t xml:space="preserve">TP1 (Unit 1)</w:t>
            </w:r>
          </w:p>
        </w:tc>
        <w:tc>
          <w:tcPr>
            <w:tcW w:type="dxa" w:w="6600"/>
            <w:tcMar>
              <w:top w:type="dxa" w:w="40"/>
              <w:left w:type="dxa" w:w="70"/>
              <w:bottom w:type="dxa" w:w="40"/>
              <w:right w:type="dxa" w:w="70"/>
            </w:tcMar>
          </w:tcPr>
          <w:p>
            <w:r>
              <w:rPr>
                <w:b w:val="false"/>
                <w:bCs w:val="false"/>
                <w:sz w:val="18"/>
                <w:szCs w:val="18"/>
              </w:rPr>
              <w:t xml:space="preserve">10,441 (+1R, ≈ 50 pts to daily S2) — booked at daily S2 confluence</w:t>
            </w:r>
          </w:p>
        </w:tc>
      </w:tr>
      <w:tr>
        <w:tc>
          <w:tcPr>
            <w:tcW w:type="dxa" w:w="2400"/>
            <w:tcMar>
              <w:top w:type="dxa" w:w="40"/>
              <w:left w:type="dxa" w:w="70"/>
              <w:bottom w:type="dxa" w:w="40"/>
              <w:right w:type="dxa" w:w="70"/>
            </w:tcMar>
          </w:tcPr>
          <w:p>
            <w:r>
              <w:rPr>
                <w:b w:val="false"/>
                <w:bCs w:val="false"/>
                <w:sz w:val="18"/>
                <w:szCs w:val="18"/>
              </w:rPr>
              <w:t xml:space="preserve">TP2 (Unit 2)</w:t>
            </w:r>
          </w:p>
        </w:tc>
        <w:tc>
          <w:tcPr>
            <w:tcW w:type="dxa" w:w="6600"/>
            <w:tcMar>
              <w:top w:type="dxa" w:w="40"/>
              <w:left w:type="dxa" w:w="70"/>
              <w:bottom w:type="dxa" w:w="40"/>
              <w:right w:type="dxa" w:w="70"/>
            </w:tcMar>
          </w:tcPr>
          <w:p>
            <w:r>
              <w:rPr>
                <w:b w:val="false"/>
                <w:bCs w:val="false"/>
                <w:sz w:val="18"/>
                <w:szCs w:val="18"/>
              </w:rPr>
              <w:t xml:space="preserve">10,357 (+~1.6R, weekly S1)</w:t>
            </w:r>
          </w:p>
        </w:tc>
      </w:tr>
      <w:tr>
        <w:tc>
          <w:tcPr>
            <w:tcW w:type="dxa" w:w="2400"/>
            <w:tcMar>
              <w:top w:type="dxa" w:w="40"/>
              <w:left w:type="dxa" w:w="70"/>
              <w:bottom w:type="dxa" w:w="40"/>
              <w:right w:type="dxa" w:w="70"/>
            </w:tcMar>
          </w:tcPr>
          <w:p>
            <w:r>
              <w:rPr>
                <w:b w:val="false"/>
                <w:bCs w:val="false"/>
                <w:sz w:val="18"/>
                <w:szCs w:val="18"/>
              </w:rPr>
              <w:t xml:space="preserve">TP3 (runner)</w:t>
            </w:r>
          </w:p>
        </w:tc>
        <w:tc>
          <w:tcPr>
            <w:tcW w:type="dxa" w:w="6600"/>
            <w:tcMar>
              <w:top w:type="dxa" w:w="40"/>
              <w:left w:type="dxa" w:w="70"/>
              <w:bottom w:type="dxa" w:w="40"/>
              <w:right w:type="dxa" w:w="70"/>
            </w:tcMar>
          </w:tcPr>
          <w:p>
            <w:r>
              <w:rPr>
                <w:b w:val="false"/>
                <w:bCs w:val="false"/>
                <w:sz w:val="18"/>
                <w:szCs w:val="18"/>
              </w:rPr>
              <w:t xml:space="preserve">10,300 (TradingView correction target); time-stop at session close; 3×ATR cap applied</w:t>
            </w:r>
          </w:p>
        </w:tc>
      </w:tr>
      <w:tr>
        <w:tc>
          <w:tcPr>
            <w:tcW w:type="dxa" w:w="2400"/>
            <w:tcMar>
              <w:top w:type="dxa" w:w="40"/>
              <w:left w:type="dxa" w:w="70"/>
              <w:bottom w:type="dxa" w:w="40"/>
              <w:right w:type="dxa" w:w="70"/>
            </w:tcMar>
          </w:tcPr>
          <w:p>
            <w:r>
              <w:rPr>
                <w:b w:val="false"/>
                <w:bCs w:val="false"/>
                <w:sz w:val="18"/>
                <w:szCs w:val="18"/>
              </w:rPr>
              <w:t xml:space="preserve">Tranche mgmt</w:t>
            </w:r>
          </w:p>
        </w:tc>
        <w:tc>
          <w:tcPr>
            <w:tcW w:type="dxa" w:w="6600"/>
            <w:tcMar>
              <w:top w:type="dxa" w:w="40"/>
              <w:left w:type="dxa" w:w="70"/>
              <w:bottom w:type="dxa" w:w="40"/>
              <w:right w:type="dxa" w:w="70"/>
            </w:tcMar>
          </w:tcPr>
          <w:p>
            <w:r>
              <w:rPr>
                <w:b w:val="false"/>
                <w:bCs w:val="false"/>
                <w:sz w:val="18"/>
                <w:szCs w:val="18"/>
              </w:rPr>
              <w:t xml:space="preserve">3 equal units; U1 exits TP1, U2 exits TP2; on U2 fill, U3 stop → entry ± 0.2R (≈17 pts)</w:t>
            </w:r>
          </w:p>
        </w:tc>
      </w:tr>
      <w:tr>
        <w:tc>
          <w:tcPr>
            <w:tcW w:type="dxa" w:w="2400"/>
            <w:tcMar>
              <w:top w:type="dxa" w:w="40"/>
              <w:left w:type="dxa" w:w="70"/>
              <w:bottom w:type="dxa" w:w="40"/>
              <w:right w:type="dxa" w:w="70"/>
            </w:tcMar>
          </w:tcPr>
          <w:p>
            <w:r>
              <w:rPr>
                <w:b w:val="false"/>
                <w:bCs w:val="false"/>
                <w:sz w:val="18"/>
                <w:szCs w:val="18"/>
              </w:rPr>
              <w:t xml:space="preserve">Confluences</w:t>
            </w:r>
          </w:p>
        </w:tc>
        <w:tc>
          <w:tcPr>
            <w:tcW w:type="dxa" w:w="6600"/>
            <w:tcMar>
              <w:top w:type="dxa" w:w="40"/>
              <w:left w:type="dxa" w:w="70"/>
              <w:bottom w:type="dxa" w:w="40"/>
              <w:right w:type="dxa" w:w="70"/>
            </w:tcMar>
          </w:tcPr>
          <w:p>
            <w:r>
              <w:rPr>
                <w:b w:val="false"/>
                <w:bCs w:val="false"/>
                <w:sz w:val="18"/>
                <w:szCs w:val="18"/>
              </w:rPr>
              <w:t xml:space="preserve">Entry: daily P 10,491 + round 10,500. TP1: daily S2 10,440. TP2: weekly S1 10,357 (strong confluence)</w:t>
            </w:r>
          </w:p>
        </w:tc>
      </w:tr>
      <w:tr>
        <w:tc>
          <w:tcPr>
            <w:tcW w:type="dxa" w:w="2400"/>
            <w:tcMar>
              <w:top w:type="dxa" w:w="40"/>
              <w:left w:type="dxa" w:w="70"/>
              <w:bottom w:type="dxa" w:w="40"/>
              <w:right w:type="dxa" w:w="70"/>
            </w:tcMar>
          </w:tcPr>
          <w:p>
            <w:r>
              <w:rPr>
                <w:b w:val="false"/>
                <w:bCs w:val="false"/>
                <w:sz w:val="18"/>
                <w:szCs w:val="18"/>
              </w:rPr>
              <w:t xml:space="preserve">Thesis invalidation</w:t>
            </w:r>
          </w:p>
        </w:tc>
        <w:tc>
          <w:tcPr>
            <w:tcW w:type="dxa" w:w="6600"/>
            <w:tcMar>
              <w:top w:type="dxa" w:w="40"/>
              <w:left w:type="dxa" w:w="70"/>
              <w:bottom w:type="dxa" w:w="40"/>
              <w:right w:type="dxa" w:w="70"/>
            </w:tcMar>
          </w:tcPr>
          <w:p>
            <w:r>
              <w:rPr>
                <w:b w:val="false"/>
                <w:bCs w:val="false"/>
                <w:sz w:val="18"/>
                <w:szCs w:val="18"/>
              </w:rPr>
              <w:t xml:space="preserve">Daily close back above weekly P 10,537.5 (distinct from stop)</w:t>
            </w:r>
          </w:p>
        </w:tc>
      </w:tr>
      <w:tr>
        <w:tc>
          <w:tcPr>
            <w:tcW w:type="dxa" w:w="2400"/>
            <w:tcMar>
              <w:top w:type="dxa" w:w="40"/>
              <w:left w:type="dxa" w:w="70"/>
              <w:bottom w:type="dxa" w:w="40"/>
              <w:right w:type="dxa" w:w="70"/>
            </w:tcMar>
          </w:tcPr>
          <w:p>
            <w:r>
              <w:rPr>
                <w:b w:val="false"/>
                <w:bCs w:val="false"/>
                <w:sz w:val="18"/>
                <w:szCs w:val="18"/>
              </w:rPr>
              <w:t xml:space="preserve">Caveats</w:t>
            </w:r>
          </w:p>
        </w:tc>
        <w:tc>
          <w:tcPr>
            <w:tcW w:type="dxa" w:w="6600"/>
            <w:tcMar>
              <w:top w:type="dxa" w:w="40"/>
              <w:left w:type="dxa" w:w="70"/>
              <w:bottom w:type="dxa" w:w="40"/>
              <w:right w:type="dxa" w:w="70"/>
            </w:tcMar>
          </w:tcPr>
          <w:p>
            <w:r>
              <w:rPr>
                <w:b w:val="false"/>
                <w:bCs w:val="false"/>
                <w:sz w:val="18"/>
                <w:szCs w:val="18"/>
              </w:rPr>
              <w:t xml:space="preserve">Sub-threshold conviction (disclosed); ATR inflated by 9 Jul gap; holding period collides with UK CPI 16 Jul (Tier-1); soft-dollar/S&amp;P risk-on cross-current</w:t>
            </w:r>
          </w:p>
        </w:tc>
      </w:tr>
    </w:tbl>
    <w:p>
      <w:pPr>
        <w:spacing w:after="90"/>
      </w:pPr>
      <w:r>
        <w:rPr>
          <w:b/>
          <w:bCs/>
          <w:color w:val="AD1457"/>
          <w:sz w:val="20"/>
          <w:szCs w:val="20"/>
        </w:rPr>
        <w:t xml:space="preserve">Trade 2 — Pivot (regime-aware: TRANSITION → breakout-side fade)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40"/>
              <w:left w:type="dxa" w:w="70"/>
              <w:bottom w:type="dxa" w:w="40"/>
              <w:right w:type="dxa" w:w="70"/>
            </w:tcMar>
          </w:tcPr>
          <w:p>
            <w:pPr>
              <w:jc w:val="center"/>
            </w:pPr>
            <w:r>
              <w:rPr>
                <w:b/>
                <w:bCs/>
                <w:color w:val="FFFFFF"/>
                <w:sz w:val="18"/>
                <w:szCs w:val="18"/>
              </w:rPr>
              <w:t xml:space="preserve">Field</w:t>
            </w:r>
          </w:p>
        </w:tc>
        <w:tc>
          <w:tcPr>
            <w:tcW w:type="dxa" w:w="6600"/>
            <w:shd w:fill="1F3864" w:val="clear"/>
            <w:tcMar>
              <w:top w:type="dxa" w:w="40"/>
              <w:left w:type="dxa" w:w="70"/>
              <w:bottom w:type="dxa" w:w="40"/>
              <w:right w:type="dxa" w:w="70"/>
            </w:tcMar>
          </w:tcPr>
          <w:p>
            <w:pPr>
              <w:jc w:val="center"/>
            </w:pPr>
            <w:r>
              <w:rPr>
                <w:b/>
                <w:bCs/>
                <w:color w:val="FFFFFF"/>
                <w:sz w:val="18"/>
                <w:szCs w:val="18"/>
              </w:rPr>
              <w:t xml:space="preserve">Detail</w:t>
            </w:r>
          </w:p>
        </w:tc>
      </w:tr>
      <w:tr>
        <w:tc>
          <w:tcPr>
            <w:tcW w:type="dxa" w:w="2400"/>
            <w:tcMar>
              <w:top w:type="dxa" w:w="40"/>
              <w:left w:type="dxa" w:w="70"/>
              <w:bottom w:type="dxa" w:w="40"/>
              <w:right w:type="dxa" w:w="70"/>
            </w:tcMar>
          </w:tcPr>
          <w:p>
            <w:r>
              <w:rPr>
                <w:b w:val="false"/>
                <w:bCs w:val="false"/>
                <w:sz w:val="18"/>
                <w:szCs w:val="18"/>
              </w:rPr>
              <w:t xml:space="preserve">Direction</w:t>
            </w:r>
          </w:p>
        </w:tc>
        <w:tc>
          <w:tcPr>
            <w:tcW w:type="dxa" w:w="6600"/>
            <w:tcMar>
              <w:top w:type="dxa" w:w="40"/>
              <w:left w:type="dxa" w:w="70"/>
              <w:bottom w:type="dxa" w:w="40"/>
              <w:right w:type="dxa" w:w="70"/>
            </w:tcMar>
          </w:tcPr>
          <w:p>
            <w:r>
              <w:rPr>
                <w:b w:val="false"/>
                <w:bCs w:val="false"/>
                <w:sz w:val="18"/>
                <w:szCs w:val="18"/>
              </w:rPr>
              <w:t xml:space="preserve">SHORT-biased pivot fade — sell resistance in a transitional/range tape (daily pivots CORROBORATED)</w:t>
            </w:r>
          </w:p>
        </w:tc>
      </w:tr>
      <w:tr>
        <w:tc>
          <w:tcPr>
            <w:tcW w:type="dxa" w:w="2400"/>
            <w:tcMar>
              <w:top w:type="dxa" w:w="40"/>
              <w:left w:type="dxa" w:w="70"/>
              <w:bottom w:type="dxa" w:w="40"/>
              <w:right w:type="dxa" w:w="70"/>
            </w:tcMar>
          </w:tcPr>
          <w:p>
            <w:r>
              <w:rPr>
                <w:b w:val="false"/>
                <w:bCs w:val="false"/>
                <w:sz w:val="18"/>
                <w:szCs w:val="18"/>
              </w:rPr>
              <w:t xml:space="preserve">Entry</w:t>
            </w:r>
          </w:p>
        </w:tc>
        <w:tc>
          <w:tcPr>
            <w:tcW w:type="dxa" w:w="6600"/>
            <w:tcMar>
              <w:top w:type="dxa" w:w="40"/>
              <w:left w:type="dxa" w:w="70"/>
              <w:bottom w:type="dxa" w:w="40"/>
              <w:right w:type="dxa" w:w="70"/>
            </w:tcMar>
          </w:tcPr>
          <w:p>
            <w:r>
              <w:rPr>
                <w:b w:val="false"/>
                <w:bCs w:val="false"/>
                <w:sz w:val="18"/>
                <w:szCs w:val="18"/>
              </w:rPr>
              <w:t xml:space="preserve">Sell limit 10,519 at daily R1 (secondary 10,542 at R2)</w:t>
            </w:r>
          </w:p>
        </w:tc>
      </w:tr>
      <w:tr>
        <w:tc>
          <w:tcPr>
            <w:tcW w:type="dxa" w:w="2400"/>
            <w:tcMar>
              <w:top w:type="dxa" w:w="40"/>
              <w:left w:type="dxa" w:w="70"/>
              <w:bottom w:type="dxa" w:w="40"/>
              <w:right w:type="dxa" w:w="70"/>
            </w:tcMar>
          </w:tcPr>
          <w:p>
            <w:r>
              <w:rPr>
                <w:b w:val="false"/>
                <w:bCs w:val="false"/>
                <w:sz w:val="18"/>
                <w:szCs w:val="18"/>
              </w:rPr>
              <w:t xml:space="preserve">Stop loss</w:t>
            </w:r>
          </w:p>
        </w:tc>
        <w:tc>
          <w:tcPr>
            <w:tcW w:type="dxa" w:w="6600"/>
            <w:tcMar>
              <w:top w:type="dxa" w:w="40"/>
              <w:left w:type="dxa" w:w="70"/>
              <w:bottom w:type="dxa" w:w="40"/>
              <w:right w:type="dxa" w:w="70"/>
            </w:tcMar>
          </w:tcPr>
          <w:p>
            <w:r>
              <w:rPr>
                <w:b w:val="false"/>
                <w:bCs w:val="false"/>
                <w:sz w:val="18"/>
                <w:szCs w:val="18"/>
              </w:rPr>
              <w:t xml:space="preserve">10,548 — 29 points above R1 entry (above R2). Anchor: daily R2</w:t>
            </w:r>
          </w:p>
        </w:tc>
      </w:tr>
      <w:tr>
        <w:tc>
          <w:tcPr>
            <w:tcW w:type="dxa" w:w="2400"/>
            <w:tcMar>
              <w:top w:type="dxa" w:w="40"/>
              <w:left w:type="dxa" w:w="70"/>
              <w:bottom w:type="dxa" w:w="40"/>
              <w:right w:type="dxa" w:w="70"/>
            </w:tcMar>
          </w:tcPr>
          <w:p>
            <w:r>
              <w:rPr>
                <w:b w:val="false"/>
                <w:bCs w:val="false"/>
                <w:sz w:val="18"/>
                <w:szCs w:val="18"/>
              </w:rPr>
              <w:t xml:space="preserve">Risk (R)</w:t>
            </w:r>
          </w:p>
        </w:tc>
        <w:tc>
          <w:tcPr>
            <w:tcW w:type="dxa" w:w="6600"/>
            <w:tcMar>
              <w:top w:type="dxa" w:w="40"/>
              <w:left w:type="dxa" w:w="70"/>
              <w:bottom w:type="dxa" w:w="40"/>
              <w:right w:type="dxa" w:w="70"/>
            </w:tcMar>
          </w:tcPr>
          <w:p>
            <w:r>
              <w:rPr>
                <w:b w:val="false"/>
                <w:bCs w:val="false"/>
                <w:sz w:val="18"/>
                <w:szCs w:val="18"/>
              </w:rPr>
              <w:t xml:space="preserve">≈ 29 points</w:t>
            </w:r>
          </w:p>
        </w:tc>
      </w:tr>
      <w:tr>
        <w:tc>
          <w:tcPr>
            <w:tcW w:type="dxa" w:w="2400"/>
            <w:tcMar>
              <w:top w:type="dxa" w:w="40"/>
              <w:left w:type="dxa" w:w="70"/>
              <w:bottom w:type="dxa" w:w="40"/>
              <w:right w:type="dxa" w:w="70"/>
            </w:tcMar>
          </w:tcPr>
          <w:p>
            <w:r>
              <w:rPr>
                <w:b w:val="false"/>
                <w:bCs w:val="false"/>
                <w:sz w:val="18"/>
                <w:szCs w:val="18"/>
              </w:rPr>
              <w:t xml:space="preserve">TP1 (Unit 1)</w:t>
            </w:r>
          </w:p>
        </w:tc>
        <w:tc>
          <w:tcPr>
            <w:tcW w:type="dxa" w:w="6600"/>
            <w:tcMar>
              <w:top w:type="dxa" w:w="40"/>
              <w:left w:type="dxa" w:w="70"/>
              <w:bottom w:type="dxa" w:w="40"/>
              <w:right w:type="dxa" w:w="70"/>
            </w:tcMar>
          </w:tcPr>
          <w:p>
            <w:r>
              <w:rPr>
                <w:b w:val="false"/>
                <w:bCs w:val="false"/>
                <w:sz w:val="18"/>
                <w:szCs w:val="18"/>
              </w:rPr>
              <w:t xml:space="preserve">10,491 (daily P, +1R ≈ 28 pts)</w:t>
            </w:r>
          </w:p>
        </w:tc>
      </w:tr>
      <w:tr>
        <w:tc>
          <w:tcPr>
            <w:tcW w:type="dxa" w:w="2400"/>
            <w:tcMar>
              <w:top w:type="dxa" w:w="40"/>
              <w:left w:type="dxa" w:w="70"/>
              <w:bottom w:type="dxa" w:w="40"/>
              <w:right w:type="dxa" w:w="70"/>
            </w:tcMar>
          </w:tcPr>
          <w:p>
            <w:r>
              <w:rPr>
                <w:b w:val="false"/>
                <w:bCs w:val="false"/>
                <w:sz w:val="18"/>
                <w:szCs w:val="18"/>
              </w:rPr>
              <w:t xml:space="preserve">TP2 (Unit 2)</w:t>
            </w:r>
          </w:p>
        </w:tc>
        <w:tc>
          <w:tcPr>
            <w:tcW w:type="dxa" w:w="6600"/>
            <w:tcMar>
              <w:top w:type="dxa" w:w="40"/>
              <w:left w:type="dxa" w:w="70"/>
              <w:bottom w:type="dxa" w:w="40"/>
              <w:right w:type="dxa" w:w="70"/>
            </w:tcMar>
          </w:tcPr>
          <w:p>
            <w:r>
              <w:rPr>
                <w:b w:val="false"/>
                <w:bCs w:val="false"/>
                <w:sz w:val="18"/>
                <w:szCs w:val="18"/>
              </w:rPr>
              <w:t xml:space="preserve">10,469 (daily S1, +~1.7R)</w:t>
            </w:r>
          </w:p>
        </w:tc>
      </w:tr>
      <w:tr>
        <w:tc>
          <w:tcPr>
            <w:tcW w:type="dxa" w:w="2400"/>
            <w:tcMar>
              <w:top w:type="dxa" w:w="40"/>
              <w:left w:type="dxa" w:w="70"/>
              <w:bottom w:type="dxa" w:w="40"/>
              <w:right w:type="dxa" w:w="70"/>
            </w:tcMar>
          </w:tcPr>
          <w:p>
            <w:r>
              <w:rPr>
                <w:b w:val="false"/>
                <w:bCs w:val="false"/>
                <w:sz w:val="18"/>
                <w:szCs w:val="18"/>
              </w:rPr>
              <w:t xml:space="preserve">TP3 (runner)</w:t>
            </w:r>
          </w:p>
        </w:tc>
        <w:tc>
          <w:tcPr>
            <w:tcW w:type="dxa" w:w="6600"/>
            <w:tcMar>
              <w:top w:type="dxa" w:w="40"/>
              <w:left w:type="dxa" w:w="70"/>
              <w:bottom w:type="dxa" w:w="40"/>
              <w:right w:type="dxa" w:w="70"/>
            </w:tcMar>
          </w:tcPr>
          <w:p>
            <w:r>
              <w:rPr>
                <w:b w:val="false"/>
                <w:bCs w:val="false"/>
                <w:sz w:val="18"/>
                <w:szCs w:val="18"/>
              </w:rPr>
              <w:t xml:space="preserve">10,440 (daily S2); runner exit at pivot P per protocol</w:t>
            </w:r>
          </w:p>
        </w:tc>
      </w:tr>
      <w:tr>
        <w:tc>
          <w:tcPr>
            <w:tcW w:type="dxa" w:w="2400"/>
            <w:tcMar>
              <w:top w:type="dxa" w:w="40"/>
              <w:left w:type="dxa" w:w="70"/>
              <w:bottom w:type="dxa" w:w="40"/>
              <w:right w:type="dxa" w:w="70"/>
            </w:tcMar>
          </w:tcPr>
          <w:p>
            <w:r>
              <w:rPr>
                <w:b w:val="false"/>
                <w:bCs w:val="false"/>
                <w:sz w:val="18"/>
                <w:szCs w:val="18"/>
              </w:rPr>
              <w:t xml:space="preserve">Tranche mgmt</w:t>
            </w:r>
          </w:p>
        </w:tc>
        <w:tc>
          <w:tcPr>
            <w:tcW w:type="dxa" w:w="6600"/>
            <w:tcMar>
              <w:top w:type="dxa" w:w="40"/>
              <w:left w:type="dxa" w:w="70"/>
              <w:bottom w:type="dxa" w:w="40"/>
              <w:right w:type="dxa" w:w="70"/>
            </w:tcMar>
          </w:tcPr>
          <w:p>
            <w:r>
              <w:rPr>
                <w:b w:val="false"/>
                <w:bCs w:val="false"/>
                <w:sz w:val="18"/>
                <w:szCs w:val="18"/>
              </w:rPr>
              <w:t xml:space="preserve">3 equal units; U1→TP1, U2→TP2; on U2 fill U3 stop → entry ± 0.2R (≈6 pts)</w:t>
            </w:r>
          </w:p>
        </w:tc>
      </w:tr>
      <w:tr>
        <w:tc>
          <w:tcPr>
            <w:tcW w:type="dxa" w:w="2400"/>
            <w:tcMar>
              <w:top w:type="dxa" w:w="40"/>
              <w:left w:type="dxa" w:w="70"/>
              <w:bottom w:type="dxa" w:w="40"/>
              <w:right w:type="dxa" w:w="70"/>
            </w:tcMar>
          </w:tcPr>
          <w:p>
            <w:r>
              <w:rPr>
                <w:b w:val="false"/>
                <w:bCs w:val="false"/>
                <w:sz w:val="18"/>
                <w:szCs w:val="18"/>
              </w:rPr>
              <w:t xml:space="preserve">Confluences</w:t>
            </w:r>
          </w:p>
        </w:tc>
        <w:tc>
          <w:tcPr>
            <w:tcW w:type="dxa" w:w="6600"/>
            <w:tcMar>
              <w:top w:type="dxa" w:w="40"/>
              <w:left w:type="dxa" w:w="70"/>
              <w:bottom w:type="dxa" w:w="40"/>
              <w:right w:type="dxa" w:w="70"/>
            </w:tcMar>
          </w:tcPr>
          <w:p>
            <w:r>
              <w:rPr>
                <w:b w:val="false"/>
                <w:bCs w:val="false"/>
                <w:sz w:val="18"/>
                <w:szCs w:val="18"/>
              </w:rPr>
              <w:t xml:space="preserve">Entry: daily R1 10,519 + Fri high 10,514 (strong confluence). TP1: daily P + round 10,500</w:t>
            </w:r>
          </w:p>
        </w:tc>
      </w:tr>
      <w:tr>
        <w:tc>
          <w:tcPr>
            <w:tcW w:type="dxa" w:w="2400"/>
            <w:tcMar>
              <w:top w:type="dxa" w:w="40"/>
              <w:left w:type="dxa" w:w="70"/>
              <w:bottom w:type="dxa" w:w="40"/>
              <w:right w:type="dxa" w:w="70"/>
            </w:tcMar>
          </w:tcPr>
          <w:p>
            <w:r>
              <w:rPr>
                <w:b w:val="false"/>
                <w:bCs w:val="false"/>
                <w:sz w:val="18"/>
                <w:szCs w:val="18"/>
              </w:rPr>
              <w:t xml:space="preserve">Thesis invalidation</w:t>
            </w:r>
          </w:p>
        </w:tc>
        <w:tc>
          <w:tcPr>
            <w:tcW w:type="dxa" w:w="6600"/>
            <w:tcMar>
              <w:top w:type="dxa" w:w="40"/>
              <w:left w:type="dxa" w:w="70"/>
              <w:bottom w:type="dxa" w:w="40"/>
              <w:right w:type="dxa" w:w="70"/>
            </w:tcMar>
          </w:tcPr>
          <w:p>
            <w:r>
              <w:rPr>
                <w:b w:val="false"/>
                <w:bCs w:val="false"/>
                <w:sz w:val="18"/>
                <w:szCs w:val="18"/>
              </w:rPr>
              <w:t xml:space="preserve">15-min close above 10,548 (daily R2)</w:t>
            </w:r>
          </w:p>
        </w:tc>
      </w:tr>
      <w:tr>
        <w:tc>
          <w:tcPr>
            <w:tcW w:type="dxa" w:w="2400"/>
            <w:tcMar>
              <w:top w:type="dxa" w:w="40"/>
              <w:left w:type="dxa" w:w="70"/>
              <w:bottom w:type="dxa" w:w="40"/>
              <w:right w:type="dxa" w:w="70"/>
            </w:tcMar>
          </w:tcPr>
          <w:p>
            <w:r>
              <w:rPr>
                <w:b w:val="false"/>
                <w:bCs w:val="false"/>
                <w:sz w:val="18"/>
                <w:szCs w:val="18"/>
              </w:rPr>
              <w:t xml:space="preserve">Caveats</w:t>
            </w:r>
          </w:p>
        </w:tc>
        <w:tc>
          <w:tcPr>
            <w:tcW w:type="dxa" w:w="6600"/>
            <w:tcMar>
              <w:top w:type="dxa" w:w="40"/>
              <w:left w:type="dxa" w:w="70"/>
              <w:bottom w:type="dxa" w:w="40"/>
              <w:right w:type="dxa" w:w="70"/>
            </w:tcMar>
          </w:tcPr>
          <w:p>
            <w:r>
              <w:rPr>
                <w:b w:val="false"/>
                <w:bCs w:val="false"/>
                <w:sz w:val="18"/>
                <w:szCs w:val="18"/>
              </w:rPr>
              <w:t xml:space="preserve">Weekly R-levels indicative (early-week H input); tight stop → whipsaw risk; CPI 16 Jul collision</w:t>
            </w:r>
          </w:p>
        </w:tc>
      </w:tr>
    </w:tbl>
    <w:p>
      <w:pPr>
        <w:spacing w:after="90"/>
      </w:pPr>
      <w:r>
        <w:rPr>
          <w:b/>
          <w:bCs/>
          <w:color w:val="AD1457"/>
          <w:sz w:val="20"/>
          <w:szCs w:val="20"/>
        </w:rPr>
        <w:t xml:space="preserve">Trade 3 — Momentum-Pullback (3A): long the reclaim (regime fork = TRANSITION → breakout-side long)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40"/>
              <w:left w:type="dxa" w:w="70"/>
              <w:bottom w:type="dxa" w:w="40"/>
              <w:right w:type="dxa" w:w="70"/>
            </w:tcMar>
          </w:tcPr>
          <w:p>
            <w:pPr>
              <w:jc w:val="center"/>
            </w:pPr>
            <w:r>
              <w:rPr>
                <w:b/>
                <w:bCs/>
                <w:color w:val="FFFFFF"/>
                <w:sz w:val="18"/>
                <w:szCs w:val="18"/>
              </w:rPr>
              <w:t xml:space="preserve">Field</w:t>
            </w:r>
          </w:p>
        </w:tc>
        <w:tc>
          <w:tcPr>
            <w:tcW w:type="dxa" w:w="6600"/>
            <w:shd w:fill="1F3864" w:val="clear"/>
            <w:tcMar>
              <w:top w:type="dxa" w:w="40"/>
              <w:left w:type="dxa" w:w="70"/>
              <w:bottom w:type="dxa" w:w="40"/>
              <w:right w:type="dxa" w:w="70"/>
            </w:tcMar>
          </w:tcPr>
          <w:p>
            <w:pPr>
              <w:jc w:val="center"/>
            </w:pPr>
            <w:r>
              <w:rPr>
                <w:b/>
                <w:bCs/>
                <w:color w:val="FFFFFF"/>
                <w:sz w:val="18"/>
                <w:szCs w:val="18"/>
              </w:rPr>
              <w:t xml:space="preserve">Detail</w:t>
            </w:r>
          </w:p>
        </w:tc>
      </w:tr>
      <w:tr>
        <w:tc>
          <w:tcPr>
            <w:tcW w:type="dxa" w:w="2400"/>
            <w:tcMar>
              <w:top w:type="dxa" w:w="40"/>
              <w:left w:type="dxa" w:w="70"/>
              <w:bottom w:type="dxa" w:w="40"/>
              <w:right w:type="dxa" w:w="70"/>
            </w:tcMar>
          </w:tcPr>
          <w:p>
            <w:r>
              <w:rPr>
                <w:b w:val="false"/>
                <w:bCs w:val="false"/>
                <w:sz w:val="18"/>
                <w:szCs w:val="18"/>
              </w:rPr>
              <w:t xml:space="preserve">Direction</w:t>
            </w:r>
          </w:p>
        </w:tc>
        <w:tc>
          <w:tcPr>
            <w:tcW w:type="dxa" w:w="6600"/>
            <w:tcMar>
              <w:top w:type="dxa" w:w="40"/>
              <w:left w:type="dxa" w:w="70"/>
              <w:bottom w:type="dxa" w:w="40"/>
              <w:right w:type="dxa" w:w="70"/>
            </w:tcMar>
          </w:tcPr>
          <w:p>
            <w:r>
              <w:rPr>
                <w:b w:val="false"/>
                <w:bCs w:val="false"/>
                <w:sz w:val="18"/>
                <w:szCs w:val="18"/>
              </w:rPr>
              <w:t xml:space="preserve">LONG — countertrend reclaim play if the pivot confluence holds (RSI2 deeply oversold Thu → mean-reversion; S&amp;P/soft-dollar tailwind)</w:t>
            </w:r>
          </w:p>
        </w:tc>
      </w:tr>
      <w:tr>
        <w:tc>
          <w:tcPr>
            <w:tcW w:type="dxa" w:w="2400"/>
            <w:tcMar>
              <w:top w:type="dxa" w:w="40"/>
              <w:left w:type="dxa" w:w="70"/>
              <w:bottom w:type="dxa" w:w="40"/>
              <w:right w:type="dxa" w:w="70"/>
            </w:tcMar>
          </w:tcPr>
          <w:p>
            <w:r>
              <w:rPr>
                <w:b w:val="false"/>
                <w:bCs w:val="false"/>
                <w:sz w:val="18"/>
                <w:szCs w:val="18"/>
              </w:rPr>
              <w:t xml:space="preserve">Entry</w:t>
            </w:r>
          </w:p>
        </w:tc>
        <w:tc>
          <w:tcPr>
            <w:tcW w:type="dxa" w:w="6600"/>
            <w:tcMar>
              <w:top w:type="dxa" w:w="40"/>
              <w:left w:type="dxa" w:w="70"/>
              <w:bottom w:type="dxa" w:w="40"/>
              <w:right w:type="dxa" w:w="70"/>
            </w:tcMar>
          </w:tcPr>
          <w:p>
            <w:r>
              <w:rPr>
                <w:b w:val="false"/>
                <w:bCs w:val="false"/>
                <w:sz w:val="18"/>
                <w:szCs w:val="18"/>
              </w:rPr>
              <w:t xml:space="preserve">Stop-entry LONG at 10,540 on a confirmed daily-close reclaim of weekly P 10,537.5</w:t>
            </w:r>
          </w:p>
        </w:tc>
      </w:tr>
      <w:tr>
        <w:tc>
          <w:tcPr>
            <w:tcW w:type="dxa" w:w="2400"/>
            <w:tcMar>
              <w:top w:type="dxa" w:w="40"/>
              <w:left w:type="dxa" w:w="70"/>
              <w:bottom w:type="dxa" w:w="40"/>
              <w:right w:type="dxa" w:w="70"/>
            </w:tcMar>
          </w:tcPr>
          <w:p>
            <w:r>
              <w:rPr>
                <w:b w:val="false"/>
                <w:bCs w:val="false"/>
                <w:sz w:val="18"/>
                <w:szCs w:val="18"/>
              </w:rPr>
              <w:t xml:space="preserve">Stop loss</w:t>
            </w:r>
          </w:p>
        </w:tc>
        <w:tc>
          <w:tcPr>
            <w:tcW w:type="dxa" w:w="6600"/>
            <w:tcMar>
              <w:top w:type="dxa" w:w="40"/>
              <w:left w:type="dxa" w:w="70"/>
              <w:bottom w:type="dxa" w:w="40"/>
              <w:right w:type="dxa" w:w="70"/>
            </w:tcMar>
          </w:tcPr>
          <w:p>
            <w:r>
              <w:rPr>
                <w:b w:val="false"/>
                <w:bCs w:val="false"/>
                <w:sz w:val="18"/>
                <w:szCs w:val="18"/>
              </w:rPr>
              <w:t xml:space="preserve">10,468 — 72 points below entry (below daily S1 / Fri low band). Anchor: 5-day structure / Fri low 10,462.8</w:t>
            </w:r>
          </w:p>
        </w:tc>
      </w:tr>
      <w:tr>
        <w:tc>
          <w:tcPr>
            <w:tcW w:type="dxa" w:w="2400"/>
            <w:tcMar>
              <w:top w:type="dxa" w:w="40"/>
              <w:left w:type="dxa" w:w="70"/>
              <w:bottom w:type="dxa" w:w="40"/>
              <w:right w:type="dxa" w:w="70"/>
            </w:tcMar>
          </w:tcPr>
          <w:p>
            <w:r>
              <w:rPr>
                <w:b w:val="false"/>
                <w:bCs w:val="false"/>
                <w:sz w:val="18"/>
                <w:szCs w:val="18"/>
              </w:rPr>
              <w:t xml:space="preserve">Risk (R)</w:t>
            </w:r>
          </w:p>
        </w:tc>
        <w:tc>
          <w:tcPr>
            <w:tcW w:type="dxa" w:w="6600"/>
            <w:tcMar>
              <w:top w:type="dxa" w:w="40"/>
              <w:left w:type="dxa" w:w="70"/>
              <w:bottom w:type="dxa" w:w="40"/>
              <w:right w:type="dxa" w:w="70"/>
            </w:tcMar>
          </w:tcPr>
          <w:p>
            <w:r>
              <w:rPr>
                <w:b w:val="false"/>
                <w:bCs w:val="false"/>
                <w:sz w:val="18"/>
                <w:szCs w:val="18"/>
              </w:rPr>
              <w:t xml:space="preserve">≈ 72 points</w:t>
            </w:r>
          </w:p>
        </w:tc>
      </w:tr>
      <w:tr>
        <w:tc>
          <w:tcPr>
            <w:tcW w:type="dxa" w:w="2400"/>
            <w:tcMar>
              <w:top w:type="dxa" w:w="40"/>
              <w:left w:type="dxa" w:w="70"/>
              <w:bottom w:type="dxa" w:w="40"/>
              <w:right w:type="dxa" w:w="70"/>
            </w:tcMar>
          </w:tcPr>
          <w:p>
            <w:r>
              <w:rPr>
                <w:b w:val="false"/>
                <w:bCs w:val="false"/>
                <w:sz w:val="18"/>
                <w:szCs w:val="18"/>
              </w:rPr>
              <w:t xml:space="preserve">TP1 (Unit 1)</w:t>
            </w:r>
          </w:p>
        </w:tc>
        <w:tc>
          <w:tcPr>
            <w:tcW w:type="dxa" w:w="6600"/>
            <w:tcMar>
              <w:top w:type="dxa" w:w="40"/>
              <w:left w:type="dxa" w:w="70"/>
              <w:bottom w:type="dxa" w:w="40"/>
              <w:right w:type="dxa" w:w="70"/>
            </w:tcMar>
          </w:tcPr>
          <w:p>
            <w:r>
              <w:rPr>
                <w:b w:val="false"/>
                <w:bCs w:val="false"/>
                <w:sz w:val="18"/>
                <w:szCs w:val="18"/>
              </w:rPr>
              <w:t xml:space="preserve">10,570 (+~0.4R, daily R3) — first structural target (38.2% of the 10,397→10,718 range ≈ 10,520; extended to R3)</w:t>
            </w:r>
          </w:p>
        </w:tc>
      </w:tr>
      <w:tr>
        <w:tc>
          <w:tcPr>
            <w:tcW w:type="dxa" w:w="2400"/>
            <w:tcMar>
              <w:top w:type="dxa" w:w="40"/>
              <w:left w:type="dxa" w:w="70"/>
              <w:bottom w:type="dxa" w:w="40"/>
              <w:right w:type="dxa" w:w="70"/>
            </w:tcMar>
          </w:tcPr>
          <w:p>
            <w:r>
              <w:rPr>
                <w:b w:val="false"/>
                <w:bCs w:val="false"/>
                <w:sz w:val="18"/>
                <w:szCs w:val="18"/>
              </w:rPr>
              <w:t xml:space="preserve">TP2 (Unit 2)</w:t>
            </w:r>
          </w:p>
        </w:tc>
        <w:tc>
          <w:tcPr>
            <w:tcW w:type="dxa" w:w="6600"/>
            <w:tcMar>
              <w:top w:type="dxa" w:w="40"/>
              <w:left w:type="dxa" w:w="70"/>
              <w:bottom w:type="dxa" w:w="40"/>
              <w:right w:type="dxa" w:w="70"/>
            </w:tcMar>
          </w:tcPr>
          <w:p>
            <w:r>
              <w:rPr>
                <w:b w:val="false"/>
                <w:bCs w:val="false"/>
                <w:sz w:val="18"/>
                <w:szCs w:val="18"/>
              </w:rPr>
              <w:t xml:space="preserve">10,662 (+~1.7R, lower edge of the 10,662–10,712 shelf)</w:t>
            </w:r>
          </w:p>
        </w:tc>
      </w:tr>
      <w:tr>
        <w:tc>
          <w:tcPr>
            <w:tcW w:type="dxa" w:w="2400"/>
            <w:tcMar>
              <w:top w:type="dxa" w:w="40"/>
              <w:left w:type="dxa" w:w="70"/>
              <w:bottom w:type="dxa" w:w="40"/>
              <w:right w:type="dxa" w:w="70"/>
            </w:tcMar>
          </w:tcPr>
          <w:p>
            <w:r>
              <w:rPr>
                <w:b w:val="false"/>
                <w:bCs w:val="false"/>
                <w:sz w:val="18"/>
                <w:szCs w:val="18"/>
              </w:rPr>
              <w:t xml:space="preserve">TP3 (runner)</w:t>
            </w:r>
          </w:p>
        </w:tc>
        <w:tc>
          <w:tcPr>
            <w:tcW w:type="dxa" w:w="6600"/>
            <w:tcMar>
              <w:top w:type="dxa" w:w="40"/>
              <w:left w:type="dxa" w:w="70"/>
              <w:bottom w:type="dxa" w:w="40"/>
              <w:right w:type="dxa" w:w="70"/>
            </w:tcMar>
          </w:tcPr>
          <w:p>
            <w:r>
              <w:rPr>
                <w:b w:val="false"/>
                <w:bCs w:val="false"/>
                <w:sz w:val="18"/>
                <w:szCs w:val="18"/>
              </w:rPr>
              <w:t xml:space="preserve">10,712 (shelf top) then weekly R1 10,678 area; runner on 100%+ extension / shelf breakout</w:t>
            </w:r>
          </w:p>
        </w:tc>
      </w:tr>
      <w:tr>
        <w:tc>
          <w:tcPr>
            <w:tcW w:type="dxa" w:w="2400"/>
            <w:tcMar>
              <w:top w:type="dxa" w:w="40"/>
              <w:left w:type="dxa" w:w="70"/>
              <w:bottom w:type="dxa" w:w="40"/>
              <w:right w:type="dxa" w:w="70"/>
            </w:tcMar>
          </w:tcPr>
          <w:p>
            <w:r>
              <w:rPr>
                <w:b w:val="false"/>
                <w:bCs w:val="false"/>
                <w:sz w:val="18"/>
                <w:szCs w:val="18"/>
              </w:rPr>
              <w:t xml:space="preserve">Tranche mgmt</w:t>
            </w:r>
          </w:p>
        </w:tc>
        <w:tc>
          <w:tcPr>
            <w:tcW w:type="dxa" w:w="6600"/>
            <w:tcMar>
              <w:top w:type="dxa" w:w="40"/>
              <w:left w:type="dxa" w:w="70"/>
              <w:bottom w:type="dxa" w:w="40"/>
              <w:right w:type="dxa" w:w="70"/>
            </w:tcMar>
          </w:tcPr>
          <w:p>
            <w:r>
              <w:rPr>
                <w:b w:val="false"/>
                <w:bCs w:val="false"/>
                <w:sz w:val="18"/>
                <w:szCs w:val="18"/>
              </w:rPr>
              <w:t xml:space="preserve">3 equal units; U1→TP1, U2→TP2; on U2 fill U3 stop → entry ± 0.2R (≈14 pts); 3A structural override on shelf break → SL to halfway entry/anchor</w:t>
            </w:r>
          </w:p>
        </w:tc>
      </w:tr>
      <w:tr>
        <w:tc>
          <w:tcPr>
            <w:tcW w:type="dxa" w:w="2400"/>
            <w:tcMar>
              <w:top w:type="dxa" w:w="40"/>
              <w:left w:type="dxa" w:w="70"/>
              <w:bottom w:type="dxa" w:w="40"/>
              <w:right w:type="dxa" w:w="70"/>
            </w:tcMar>
          </w:tcPr>
          <w:p>
            <w:r>
              <w:rPr>
                <w:b w:val="false"/>
                <w:bCs w:val="false"/>
                <w:sz w:val="18"/>
                <w:szCs w:val="18"/>
              </w:rPr>
              <w:t xml:space="preserve">Confluences</w:t>
            </w:r>
          </w:p>
        </w:tc>
        <w:tc>
          <w:tcPr>
            <w:tcW w:type="dxa" w:w="6600"/>
            <w:tcMar>
              <w:top w:type="dxa" w:w="40"/>
              <w:left w:type="dxa" w:w="70"/>
              <w:bottom w:type="dxa" w:w="40"/>
              <w:right w:type="dxa" w:w="70"/>
            </w:tcMar>
          </w:tcPr>
          <w:p>
            <w:r>
              <w:rPr>
                <w:b w:val="false"/>
                <w:bCs w:val="false"/>
                <w:sz w:val="18"/>
                <w:szCs w:val="18"/>
              </w:rPr>
              <w:t xml:space="preserve">Entry: weekly P 10,537.5 + round 10,540. TP1: daily R3 10,571. TP2: prior shelf 10,662 (strong confluence)</w:t>
            </w:r>
          </w:p>
        </w:tc>
      </w:tr>
      <w:tr>
        <w:tc>
          <w:tcPr>
            <w:tcW w:type="dxa" w:w="2400"/>
            <w:tcMar>
              <w:top w:type="dxa" w:w="40"/>
              <w:left w:type="dxa" w:w="70"/>
              <w:bottom w:type="dxa" w:w="40"/>
              <w:right w:type="dxa" w:w="70"/>
            </w:tcMar>
          </w:tcPr>
          <w:p>
            <w:r>
              <w:rPr>
                <w:b w:val="false"/>
                <w:bCs w:val="false"/>
                <w:sz w:val="18"/>
                <w:szCs w:val="18"/>
              </w:rPr>
              <w:t xml:space="preserve">Thesis invalidation</w:t>
            </w:r>
          </w:p>
        </w:tc>
        <w:tc>
          <w:tcPr>
            <w:tcW w:type="dxa" w:w="6600"/>
            <w:tcMar>
              <w:top w:type="dxa" w:w="40"/>
              <w:left w:type="dxa" w:w="70"/>
              <w:bottom w:type="dxa" w:w="40"/>
              <w:right w:type="dxa" w:w="70"/>
            </w:tcMar>
          </w:tcPr>
          <w:p>
            <w:r>
              <w:rPr>
                <w:b w:val="false"/>
                <w:bCs w:val="false"/>
                <w:sz w:val="18"/>
                <w:szCs w:val="18"/>
              </w:rPr>
              <w:t xml:space="preserve">Daily close back below daily P 10,491</w:t>
            </w:r>
          </w:p>
        </w:tc>
      </w:tr>
      <w:tr>
        <w:tc>
          <w:tcPr>
            <w:tcW w:type="dxa" w:w="2400"/>
            <w:tcMar>
              <w:top w:type="dxa" w:w="40"/>
              <w:left w:type="dxa" w:w="70"/>
              <w:bottom w:type="dxa" w:w="40"/>
              <w:right w:type="dxa" w:w="70"/>
            </w:tcMar>
          </w:tcPr>
          <w:p>
            <w:r>
              <w:rPr>
                <w:b w:val="false"/>
                <w:bCs w:val="false"/>
                <w:sz w:val="18"/>
                <w:szCs w:val="18"/>
              </w:rPr>
              <w:t xml:space="preserve">Caveats</w:t>
            </w:r>
          </w:p>
        </w:tc>
        <w:tc>
          <w:tcPr>
            <w:tcW w:type="dxa" w:w="6600"/>
            <w:tcMar>
              <w:top w:type="dxa" w:w="40"/>
              <w:left w:type="dxa" w:w="70"/>
              <w:bottom w:type="dxa" w:w="40"/>
              <w:right w:type="dxa" w:w="70"/>
            </w:tcMar>
          </w:tcPr>
          <w:p>
            <w:r>
              <w:rPr>
                <w:b w:val="false"/>
                <w:bCs w:val="false"/>
                <w:sz w:val="18"/>
                <w:szCs w:val="18"/>
              </w:rPr>
              <w:t xml:space="preserve">Countertrend vs bearish regime/KER (§9); needs confirmed reclaim; CPI 16 Jul collision; opposes Trade 1/2 direction (permitted — simultaneous long/short enabled)</w:t>
            </w:r>
          </w:p>
        </w:tc>
      </w:tr>
    </w:tbl>
    <w:p>
      <w:pPr>
        <w:spacing w:after="70" w:before="150"/>
      </w:pPr>
      <w:r>
        <w:rPr>
          <w:b/>
          <w:bCs/>
          <w:color w:val="1F3864"/>
          <w:sz w:val="22"/>
          <w:szCs w:val="22"/>
        </w:rPr>
        <w:t xml:space="preserve">21c · 5-Session No-Leakage Backtest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000"/>
        <w:gridCol w:w="1900"/>
        <w:gridCol w:w="1200"/>
        <w:gridCol w:w="1000"/>
      </w:tblGrid>
      <w:tr>
        <w:trPr>
          <w:tblHeader/>
        </w:trPr>
        <w:tc>
          <w:tcPr>
            <w:tcW w:type="dxa" w:w="1500"/>
            <w:shd w:fill="1F3864" w:val="clear"/>
            <w:tcMar>
              <w:top w:type="dxa" w:w="40"/>
              <w:left w:type="dxa" w:w="70"/>
              <w:bottom w:type="dxa" w:w="40"/>
              <w:right w:type="dxa" w:w="70"/>
            </w:tcMar>
          </w:tcPr>
          <w:p>
            <w:pPr>
              <w:jc w:val="center"/>
            </w:pPr>
            <w:r>
              <w:rPr>
                <w:b/>
                <w:bCs/>
                <w:color w:val="FFFFFF"/>
                <w:sz w:val="18"/>
                <w:szCs w:val="18"/>
              </w:rPr>
              <w:t xml:space="preserve">Date (t−N)</w:t>
            </w:r>
          </w:p>
        </w:tc>
        <w:tc>
          <w:tcPr>
            <w:tcW w:type="dxa" w:w="1200"/>
            <w:shd w:fill="1F3864" w:val="clear"/>
            <w:tcMar>
              <w:top w:type="dxa" w:w="40"/>
              <w:left w:type="dxa" w:w="70"/>
              <w:bottom w:type="dxa" w:w="40"/>
              <w:right w:type="dxa" w:w="70"/>
            </w:tcMar>
          </w:tcPr>
          <w:p>
            <w:pPr>
              <w:jc w:val="center"/>
            </w:pPr>
            <w:r>
              <w:rPr>
                <w:b/>
                <w:bCs/>
                <w:color w:val="FFFFFF"/>
                <w:sz w:val="18"/>
                <w:szCs w:val="18"/>
              </w:rPr>
              <w:t xml:space="preserve">Strategy</w:t>
            </w:r>
          </w:p>
        </w:tc>
        <w:tc>
          <w:tcPr>
            <w:tcW w:type="dxa" w:w="1200"/>
            <w:shd w:fill="1F3864" w:val="clear"/>
            <w:tcMar>
              <w:top w:type="dxa" w:w="40"/>
              <w:left w:type="dxa" w:w="70"/>
              <w:bottom w:type="dxa" w:w="40"/>
              <w:right w:type="dxa" w:w="70"/>
            </w:tcMar>
          </w:tcPr>
          <w:p>
            <w:pPr>
              <w:jc w:val="center"/>
            </w:pPr>
            <w:r>
              <w:rPr>
                <w:b/>
                <w:bCs/>
                <w:color w:val="FFFFFF"/>
                <w:sz w:val="18"/>
                <w:szCs w:val="18"/>
              </w:rPr>
              <w:t xml:space="preserve">Direction</w:t>
            </w:r>
          </w:p>
        </w:tc>
        <w:tc>
          <w:tcPr>
            <w:tcW w:type="dxa" w:w="1000"/>
            <w:shd w:fill="1F3864" w:val="clear"/>
            <w:tcMar>
              <w:top w:type="dxa" w:w="40"/>
              <w:left w:type="dxa" w:w="70"/>
              <w:bottom w:type="dxa" w:w="40"/>
              <w:right w:type="dxa" w:w="70"/>
            </w:tcMar>
          </w:tcPr>
          <w:p>
            <w:pPr>
              <w:jc w:val="center"/>
            </w:pPr>
            <w:r>
              <w:rPr>
                <w:b/>
                <w:bCs/>
                <w:color w:val="FFFFFF"/>
                <w:sz w:val="18"/>
                <w:szCs w:val="18"/>
              </w:rPr>
              <w:t xml:space="preserve">Triggered</w:t>
            </w:r>
          </w:p>
        </w:tc>
        <w:tc>
          <w:tcPr>
            <w:tcW w:type="dxa" w:w="1900"/>
            <w:shd w:fill="1F3864" w:val="clear"/>
            <w:tcMar>
              <w:top w:type="dxa" w:w="40"/>
              <w:left w:type="dxa" w:w="70"/>
              <w:bottom w:type="dxa" w:w="40"/>
              <w:right w:type="dxa" w:w="70"/>
            </w:tcMar>
          </w:tcPr>
          <w:p>
            <w:pPr>
              <w:jc w:val="center"/>
            </w:pPr>
            <w:r>
              <w:rPr>
                <w:b/>
                <w:bCs/>
                <w:color w:val="FFFFFF"/>
                <w:sz w:val="18"/>
                <w:szCs w:val="18"/>
              </w:rPr>
              <w:t xml:space="preserve">Entry/Exit</w:t>
            </w:r>
          </w:p>
        </w:tc>
        <w:tc>
          <w:tcPr>
            <w:tcW w:type="dxa" w:w="1200"/>
            <w:shd w:fill="1F3864" w:val="clear"/>
            <w:tcMar>
              <w:top w:type="dxa" w:w="40"/>
              <w:left w:type="dxa" w:w="70"/>
              <w:bottom w:type="dxa" w:w="40"/>
              <w:right w:type="dxa" w:w="70"/>
            </w:tcMar>
          </w:tcPr>
          <w:p>
            <w:pPr>
              <w:jc w:val="center"/>
            </w:pPr>
            <w:r>
              <w:rPr>
                <w:b/>
                <w:bCs/>
                <w:color w:val="FFFFFF"/>
                <w:sz w:val="18"/>
                <w:szCs w:val="18"/>
              </w:rPr>
              <w:t xml:space="preserve">Outcome (R)</w:t>
            </w:r>
          </w:p>
        </w:tc>
        <w:tc>
          <w:tcPr>
            <w:tcW w:type="dxa" w:w="1000"/>
            <w:shd w:fill="1F3864" w:val="clear"/>
            <w:tcMar>
              <w:top w:type="dxa" w:w="40"/>
              <w:left w:type="dxa" w:w="70"/>
              <w:bottom w:type="dxa" w:w="40"/>
              <w:right w:type="dxa" w:w="70"/>
            </w:tcMar>
          </w:tcPr>
          <w:p>
            <w:pPr>
              <w:jc w:val="center"/>
            </w:pPr>
            <w:r>
              <w:rPr>
                <w:b/>
                <w:bCs/>
                <w:color w:val="FFFFFF"/>
                <w:sz w:val="18"/>
                <w:szCs w:val="18"/>
              </w:rPr>
              <w:t xml:space="preserve">Days</w:t>
            </w:r>
          </w:p>
        </w:tc>
      </w:tr>
      <w:tr>
        <w:tc>
          <w:tcPr>
            <w:tcW w:type="dxa" w:w="1500"/>
            <w:tcMar>
              <w:top w:type="dxa" w:w="40"/>
              <w:left w:type="dxa" w:w="70"/>
              <w:bottom w:type="dxa" w:w="40"/>
              <w:right w:type="dxa" w:w="70"/>
            </w:tcMar>
          </w:tcPr>
          <w:p>
            <w:r>
              <w:rPr>
                <w:b w:val="false"/>
                <w:bCs w:val="false"/>
                <w:sz w:val="18"/>
                <w:szCs w:val="18"/>
              </w:rPr>
              <w:t xml:space="preserve">Tue 7 Jul (t−4)</w:t>
            </w:r>
          </w:p>
        </w:tc>
        <w:tc>
          <w:tcPr>
            <w:tcW w:type="dxa" w:w="1200"/>
            <w:tcMar>
              <w:top w:type="dxa" w:w="40"/>
              <w:left w:type="dxa" w:w="70"/>
              <w:bottom w:type="dxa" w:w="40"/>
              <w:right w:type="dxa" w:w="70"/>
            </w:tcMar>
          </w:tcPr>
          <w:p>
            <w:r>
              <w:rPr>
                <w:b w:val="false"/>
                <w:bCs w:val="false"/>
                <w:sz w:val="18"/>
                <w:szCs w:val="18"/>
              </w:rPr>
              <w:t xml:space="preserve">Trade 2</w:t>
            </w:r>
          </w:p>
        </w:tc>
        <w:tc>
          <w:tcPr>
            <w:tcW w:type="dxa" w:w="1200"/>
            <w:tcMar>
              <w:top w:type="dxa" w:w="40"/>
              <w:left w:type="dxa" w:w="70"/>
              <w:bottom w:type="dxa" w:w="40"/>
              <w:right w:type="dxa" w:w="70"/>
            </w:tcMar>
          </w:tcPr>
          <w:p>
            <w:r>
              <w:rPr>
                <w:b w:val="false"/>
                <w:bCs w:val="false"/>
                <w:sz w:val="18"/>
                <w:szCs w:val="18"/>
              </w:rPr>
              <w:t xml:space="preserve">SHORT</w:t>
            </w:r>
          </w:p>
        </w:tc>
        <w:tc>
          <w:tcPr>
            <w:tcW w:type="dxa" w:w="1000"/>
            <w:tcMar>
              <w:top w:type="dxa" w:w="40"/>
              <w:left w:type="dxa" w:w="70"/>
              <w:bottom w:type="dxa" w:w="40"/>
              <w:right w:type="dxa" w:w="70"/>
            </w:tcMar>
          </w:tcPr>
          <w:p>
            <w:r>
              <w:rPr>
                <w:b w:val="false"/>
                <w:bCs w:val="false"/>
                <w:sz w:val="18"/>
                <w:szCs w:val="18"/>
              </w:rPr>
              <w:t xml:space="preserve">YES</w:t>
            </w:r>
          </w:p>
        </w:tc>
        <w:tc>
          <w:tcPr>
            <w:tcW w:type="dxa" w:w="1900"/>
            <w:tcMar>
              <w:top w:type="dxa" w:w="40"/>
              <w:left w:type="dxa" w:w="70"/>
              <w:bottom w:type="dxa" w:w="40"/>
              <w:right w:type="dxa" w:w="70"/>
            </w:tcMar>
          </w:tcPr>
          <w:p>
            <w:r>
              <w:rPr>
                <w:b w:val="false"/>
                <w:bCs w:val="false"/>
                <w:sz w:val="18"/>
                <w:szCs w:val="18"/>
              </w:rPr>
              <w:t xml:space="preserve">10,705→10,660</w:t>
            </w:r>
          </w:p>
        </w:tc>
        <w:tc>
          <w:tcPr>
            <w:tcW w:type="dxa" w:w="1200"/>
            <w:tcMar>
              <w:top w:type="dxa" w:w="40"/>
              <w:left w:type="dxa" w:w="70"/>
              <w:bottom w:type="dxa" w:w="40"/>
              <w:right w:type="dxa" w:w="70"/>
            </w:tcMar>
          </w:tcPr>
          <w:p>
            <w:r>
              <w:rPr>
                <w:b w:val="false"/>
                <w:bCs w:val="false"/>
                <w:sz w:val="18"/>
                <w:szCs w:val="18"/>
              </w:rPr>
              <w:t xml:space="preserve">+0.9R</w:t>
            </w:r>
          </w:p>
        </w:tc>
        <w:tc>
          <w:tcPr>
            <w:tcW w:type="dxa" w:w="1000"/>
            <w:tcMar>
              <w:top w:type="dxa" w:w="40"/>
              <w:left w:type="dxa" w:w="70"/>
              <w:bottom w:type="dxa" w:w="40"/>
              <w:right w:type="dxa" w:w="70"/>
            </w:tcMar>
          </w:tcPr>
          <w:p>
            <w:r>
              <w:rPr>
                <w:b w:val="false"/>
                <w:bCs w:val="false"/>
                <w:sz w:val="18"/>
                <w:szCs w:val="18"/>
              </w:rPr>
              <w:t xml:space="preserve">1</w:t>
            </w:r>
          </w:p>
        </w:tc>
      </w:tr>
      <w:tr>
        <w:tc>
          <w:tcPr>
            <w:tcW w:type="dxa" w:w="1500"/>
            <w:tcMar>
              <w:top w:type="dxa" w:w="40"/>
              <w:left w:type="dxa" w:w="70"/>
              <w:bottom w:type="dxa" w:w="40"/>
              <w:right w:type="dxa" w:w="70"/>
            </w:tcMar>
          </w:tcPr>
          <w:p>
            <w:r>
              <w:rPr>
                <w:b w:val="false"/>
                <w:bCs w:val="false"/>
                <w:sz w:val="18"/>
                <w:szCs w:val="18"/>
              </w:rPr>
              <w:t xml:space="preserve">Tue 7 Jul (t−4)</w:t>
            </w:r>
          </w:p>
        </w:tc>
        <w:tc>
          <w:tcPr>
            <w:tcW w:type="dxa" w:w="1200"/>
            <w:tcMar>
              <w:top w:type="dxa" w:w="40"/>
              <w:left w:type="dxa" w:w="70"/>
              <w:bottom w:type="dxa" w:w="40"/>
              <w:right w:type="dxa" w:w="70"/>
            </w:tcMar>
          </w:tcPr>
          <w:p>
            <w:r>
              <w:rPr>
                <w:b w:val="false"/>
                <w:bCs w:val="false"/>
                <w:sz w:val="18"/>
                <w:szCs w:val="18"/>
              </w:rPr>
              <w:t xml:space="preserve">Trade 3A</w:t>
            </w:r>
          </w:p>
        </w:tc>
        <w:tc>
          <w:tcPr>
            <w:tcW w:type="dxa" w:w="1200"/>
            <w:tcMar>
              <w:top w:type="dxa" w:w="40"/>
              <w:left w:type="dxa" w:w="70"/>
              <w:bottom w:type="dxa" w:w="40"/>
              <w:right w:type="dxa" w:w="70"/>
            </w:tcMar>
          </w:tcPr>
          <w:p>
            <w:r>
              <w:rPr>
                <w:b w:val="false"/>
                <w:bCs w:val="false"/>
                <w:sz w:val="18"/>
                <w:szCs w:val="18"/>
              </w:rPr>
              <w:t xml:space="preserve">LONG</w:t>
            </w:r>
          </w:p>
        </w:tc>
        <w:tc>
          <w:tcPr>
            <w:tcW w:type="dxa" w:w="1000"/>
            <w:tcMar>
              <w:top w:type="dxa" w:w="40"/>
              <w:left w:type="dxa" w:w="70"/>
              <w:bottom w:type="dxa" w:w="40"/>
              <w:right w:type="dxa" w:w="70"/>
            </w:tcMar>
          </w:tcPr>
          <w:p>
            <w:r>
              <w:rPr>
                <w:b w:val="false"/>
                <w:bCs w:val="false"/>
                <w:sz w:val="18"/>
                <w:szCs w:val="18"/>
              </w:rPr>
              <w:t xml:space="preserve">NO</w:t>
            </w:r>
          </w:p>
        </w:tc>
        <w:tc>
          <w:tcPr>
            <w:tcW w:type="dxa" w:w="1900"/>
            <w:tcMar>
              <w:top w:type="dxa" w:w="40"/>
              <w:left w:type="dxa" w:w="70"/>
              <w:bottom w:type="dxa" w:w="40"/>
              <w:right w:type="dxa" w:w="70"/>
            </w:tcMar>
          </w:tcPr>
          <w:p>
            <w:r>
              <w:rPr>
                <w:b w:val="false"/>
                <w:bCs w:val="false"/>
                <w:sz w:val="18"/>
                <w:szCs w:val="18"/>
              </w:rPr>
              <w:t xml:space="preserve">no reclaim trigger</w:t>
            </w:r>
          </w:p>
        </w:tc>
        <w:tc>
          <w:tcPr>
            <w:tcW w:type="dxa" w:w="1200"/>
            <w:tcMar>
              <w:top w:type="dxa" w:w="40"/>
              <w:left w:type="dxa" w:w="70"/>
              <w:bottom w:type="dxa" w:w="40"/>
              <w:right w:type="dxa" w:w="70"/>
            </w:tcMar>
          </w:tcPr>
          <w:p>
            <w:r>
              <w:rPr>
                <w:b w:val="false"/>
                <w:bCs w:val="false"/>
                <w:sz w:val="18"/>
                <w:szCs w:val="18"/>
              </w:rPr>
              <w:t xml:space="preserve">—</w:t>
            </w:r>
          </w:p>
        </w:tc>
        <w:tc>
          <w:tcPr>
            <w:tcW w:type="dxa" w:w="1000"/>
            <w:tcMar>
              <w:top w:type="dxa" w:w="40"/>
              <w:left w:type="dxa" w:w="70"/>
              <w:bottom w:type="dxa" w:w="40"/>
              <w:right w:type="dxa" w:w="70"/>
            </w:tcMar>
          </w:tcPr>
          <w:p>
            <w:r>
              <w:rPr>
                <w:b w:val="false"/>
                <w:bCs w:val="false"/>
                <w:sz w:val="18"/>
                <w:szCs w:val="18"/>
              </w:rPr>
              <w:t xml:space="preserve">—</w:t>
            </w:r>
          </w:p>
        </w:tc>
      </w:tr>
      <w:tr>
        <w:tc>
          <w:tcPr>
            <w:tcW w:type="dxa" w:w="1500"/>
            <w:tcMar>
              <w:top w:type="dxa" w:w="40"/>
              <w:left w:type="dxa" w:w="70"/>
              <w:bottom w:type="dxa" w:w="40"/>
              <w:right w:type="dxa" w:w="70"/>
            </w:tcMar>
          </w:tcPr>
          <w:p>
            <w:r>
              <w:rPr>
                <w:b w:val="false"/>
                <w:bCs w:val="false"/>
                <w:sz w:val="18"/>
                <w:szCs w:val="18"/>
              </w:rPr>
              <w:t xml:space="preserve">Wed 8 Jul (t−3)</w:t>
            </w:r>
          </w:p>
        </w:tc>
        <w:tc>
          <w:tcPr>
            <w:tcW w:type="dxa" w:w="1200"/>
            <w:tcMar>
              <w:top w:type="dxa" w:w="40"/>
              <w:left w:type="dxa" w:w="70"/>
              <w:bottom w:type="dxa" w:w="40"/>
              <w:right w:type="dxa" w:w="70"/>
            </w:tcMar>
          </w:tcPr>
          <w:p>
            <w:r>
              <w:rPr>
                <w:b w:val="false"/>
                <w:bCs w:val="false"/>
                <w:sz w:val="18"/>
                <w:szCs w:val="18"/>
              </w:rPr>
              <w:t xml:space="preserve">Trade 2</w:t>
            </w:r>
          </w:p>
        </w:tc>
        <w:tc>
          <w:tcPr>
            <w:tcW w:type="dxa" w:w="1200"/>
            <w:tcMar>
              <w:top w:type="dxa" w:w="40"/>
              <w:left w:type="dxa" w:w="70"/>
              <w:bottom w:type="dxa" w:w="40"/>
              <w:right w:type="dxa" w:w="70"/>
            </w:tcMar>
          </w:tcPr>
          <w:p>
            <w:r>
              <w:rPr>
                <w:b w:val="false"/>
                <w:bCs w:val="false"/>
                <w:sz w:val="18"/>
                <w:szCs w:val="18"/>
              </w:rPr>
              <w:t xml:space="preserve">SHORT</w:t>
            </w:r>
          </w:p>
        </w:tc>
        <w:tc>
          <w:tcPr>
            <w:tcW w:type="dxa" w:w="1000"/>
            <w:tcMar>
              <w:top w:type="dxa" w:w="40"/>
              <w:left w:type="dxa" w:w="70"/>
              <w:bottom w:type="dxa" w:w="40"/>
              <w:right w:type="dxa" w:w="70"/>
            </w:tcMar>
          </w:tcPr>
          <w:p>
            <w:r>
              <w:rPr>
                <w:b w:val="false"/>
                <w:bCs w:val="false"/>
                <w:sz w:val="18"/>
                <w:szCs w:val="18"/>
              </w:rPr>
              <w:t xml:space="preserve">YES</w:t>
            </w:r>
          </w:p>
        </w:tc>
        <w:tc>
          <w:tcPr>
            <w:tcW w:type="dxa" w:w="1900"/>
            <w:tcMar>
              <w:top w:type="dxa" w:w="40"/>
              <w:left w:type="dxa" w:w="70"/>
              <w:bottom w:type="dxa" w:w="40"/>
              <w:right w:type="dxa" w:w="70"/>
            </w:tcMar>
          </w:tcPr>
          <w:p>
            <w:r>
              <w:rPr>
                <w:b w:val="false"/>
                <w:bCs w:val="false"/>
                <w:sz w:val="18"/>
                <w:szCs w:val="18"/>
              </w:rPr>
              <w:t xml:space="preserve">10,712→10,679</w:t>
            </w:r>
          </w:p>
        </w:tc>
        <w:tc>
          <w:tcPr>
            <w:tcW w:type="dxa" w:w="1200"/>
            <w:tcMar>
              <w:top w:type="dxa" w:w="40"/>
              <w:left w:type="dxa" w:w="70"/>
              <w:bottom w:type="dxa" w:w="40"/>
              <w:right w:type="dxa" w:w="70"/>
            </w:tcMar>
          </w:tcPr>
          <w:p>
            <w:r>
              <w:rPr>
                <w:b w:val="false"/>
                <w:bCs w:val="false"/>
                <w:sz w:val="18"/>
                <w:szCs w:val="18"/>
              </w:rPr>
              <w:t xml:space="preserve">+0.7R</w:t>
            </w:r>
          </w:p>
        </w:tc>
        <w:tc>
          <w:tcPr>
            <w:tcW w:type="dxa" w:w="1000"/>
            <w:tcMar>
              <w:top w:type="dxa" w:w="40"/>
              <w:left w:type="dxa" w:w="70"/>
              <w:bottom w:type="dxa" w:w="40"/>
              <w:right w:type="dxa" w:w="70"/>
            </w:tcMar>
          </w:tcPr>
          <w:p>
            <w:r>
              <w:rPr>
                <w:b w:val="false"/>
                <w:bCs w:val="false"/>
                <w:sz w:val="18"/>
                <w:szCs w:val="18"/>
              </w:rPr>
              <w:t xml:space="preserve">1</w:t>
            </w:r>
          </w:p>
        </w:tc>
      </w:tr>
      <w:tr>
        <w:tc>
          <w:tcPr>
            <w:tcW w:type="dxa" w:w="1500"/>
            <w:tcMar>
              <w:top w:type="dxa" w:w="40"/>
              <w:left w:type="dxa" w:w="70"/>
              <w:bottom w:type="dxa" w:w="40"/>
              <w:right w:type="dxa" w:w="70"/>
            </w:tcMar>
          </w:tcPr>
          <w:p>
            <w:r>
              <w:rPr>
                <w:b w:val="false"/>
                <w:bCs w:val="false"/>
                <w:sz w:val="18"/>
                <w:szCs w:val="18"/>
              </w:rPr>
              <w:t xml:space="preserve">Wed 8 Jul (t−3)</w:t>
            </w:r>
          </w:p>
        </w:tc>
        <w:tc>
          <w:tcPr>
            <w:tcW w:type="dxa" w:w="1200"/>
            <w:tcMar>
              <w:top w:type="dxa" w:w="40"/>
              <w:left w:type="dxa" w:w="70"/>
              <w:bottom w:type="dxa" w:w="40"/>
              <w:right w:type="dxa" w:w="70"/>
            </w:tcMar>
          </w:tcPr>
          <w:p>
            <w:r>
              <w:rPr>
                <w:b w:val="false"/>
                <w:bCs w:val="false"/>
                <w:sz w:val="18"/>
                <w:szCs w:val="18"/>
              </w:rPr>
              <w:t xml:space="preserve">Trade 1</w:t>
            </w:r>
          </w:p>
        </w:tc>
        <w:tc>
          <w:tcPr>
            <w:tcW w:type="dxa" w:w="1200"/>
            <w:tcMar>
              <w:top w:type="dxa" w:w="40"/>
              <w:left w:type="dxa" w:w="70"/>
              <w:bottom w:type="dxa" w:w="40"/>
              <w:right w:type="dxa" w:w="70"/>
            </w:tcMar>
          </w:tcPr>
          <w:p>
            <w:r>
              <w:rPr>
                <w:b w:val="false"/>
                <w:bCs w:val="false"/>
                <w:sz w:val="18"/>
                <w:szCs w:val="18"/>
              </w:rPr>
              <w:t xml:space="preserve">SHORT</w:t>
            </w:r>
          </w:p>
        </w:tc>
        <w:tc>
          <w:tcPr>
            <w:tcW w:type="dxa" w:w="1000"/>
            <w:tcMar>
              <w:top w:type="dxa" w:w="40"/>
              <w:left w:type="dxa" w:w="70"/>
              <w:bottom w:type="dxa" w:w="40"/>
              <w:right w:type="dxa" w:w="70"/>
            </w:tcMar>
          </w:tcPr>
          <w:p>
            <w:r>
              <w:rPr>
                <w:b w:val="false"/>
                <w:bCs w:val="false"/>
                <w:sz w:val="18"/>
                <w:szCs w:val="18"/>
              </w:rPr>
              <w:t xml:space="preserve">YES</w:t>
            </w:r>
          </w:p>
        </w:tc>
        <w:tc>
          <w:tcPr>
            <w:tcW w:type="dxa" w:w="1900"/>
            <w:tcMar>
              <w:top w:type="dxa" w:w="40"/>
              <w:left w:type="dxa" w:w="70"/>
              <w:bottom w:type="dxa" w:w="40"/>
              <w:right w:type="dxa" w:w="70"/>
            </w:tcMar>
          </w:tcPr>
          <w:p>
            <w:r>
              <w:rPr>
                <w:b w:val="false"/>
                <w:bCs w:val="false"/>
                <w:sz w:val="18"/>
                <w:szCs w:val="18"/>
              </w:rPr>
              <w:t xml:space="preserve">10,691→10,472 (gap)</w:t>
            </w:r>
          </w:p>
        </w:tc>
        <w:tc>
          <w:tcPr>
            <w:tcW w:type="dxa" w:w="1200"/>
            <w:tcMar>
              <w:top w:type="dxa" w:w="40"/>
              <w:left w:type="dxa" w:w="70"/>
              <w:bottom w:type="dxa" w:w="40"/>
              <w:right w:type="dxa" w:w="70"/>
            </w:tcMar>
          </w:tcPr>
          <w:p>
            <w:r>
              <w:rPr>
                <w:b w:val="false"/>
                <w:bCs w:val="false"/>
                <w:sz w:val="18"/>
                <w:szCs w:val="18"/>
              </w:rPr>
              <w:t xml:space="preserve">+2.0R (capped)</w:t>
            </w:r>
          </w:p>
        </w:tc>
        <w:tc>
          <w:tcPr>
            <w:tcW w:type="dxa" w:w="1000"/>
            <w:tcMar>
              <w:top w:type="dxa" w:w="40"/>
              <w:left w:type="dxa" w:w="70"/>
              <w:bottom w:type="dxa" w:w="40"/>
              <w:right w:type="dxa" w:w="70"/>
            </w:tcMar>
          </w:tcPr>
          <w:p>
            <w:r>
              <w:rPr>
                <w:b w:val="false"/>
                <w:bCs w:val="false"/>
                <w:sz w:val="18"/>
                <w:szCs w:val="18"/>
              </w:rPr>
              <w:t xml:space="preserve">1</w:t>
            </w:r>
          </w:p>
        </w:tc>
      </w:tr>
      <w:tr>
        <w:tc>
          <w:tcPr>
            <w:tcW w:type="dxa" w:w="1500"/>
            <w:tcMar>
              <w:top w:type="dxa" w:w="40"/>
              <w:left w:type="dxa" w:w="70"/>
              <w:bottom w:type="dxa" w:w="40"/>
              <w:right w:type="dxa" w:w="70"/>
            </w:tcMar>
          </w:tcPr>
          <w:p>
            <w:r>
              <w:rPr>
                <w:b w:val="false"/>
                <w:bCs w:val="false"/>
                <w:sz w:val="18"/>
                <w:szCs w:val="18"/>
              </w:rPr>
              <w:t xml:space="preserve">Thu 9 Jul (t−2)</w:t>
            </w:r>
          </w:p>
        </w:tc>
        <w:tc>
          <w:tcPr>
            <w:tcW w:type="dxa" w:w="1200"/>
            <w:tcMar>
              <w:top w:type="dxa" w:w="40"/>
              <w:left w:type="dxa" w:w="70"/>
              <w:bottom w:type="dxa" w:w="40"/>
              <w:right w:type="dxa" w:w="70"/>
            </w:tcMar>
          </w:tcPr>
          <w:p>
            <w:r>
              <w:rPr>
                <w:b w:val="false"/>
                <w:bCs w:val="false"/>
                <w:sz w:val="18"/>
                <w:szCs w:val="18"/>
              </w:rPr>
              <w:t xml:space="preserve">Trade 3A</w:t>
            </w:r>
          </w:p>
        </w:tc>
        <w:tc>
          <w:tcPr>
            <w:tcW w:type="dxa" w:w="1200"/>
            <w:tcMar>
              <w:top w:type="dxa" w:w="40"/>
              <w:left w:type="dxa" w:w="70"/>
              <w:bottom w:type="dxa" w:w="40"/>
              <w:right w:type="dxa" w:w="70"/>
            </w:tcMar>
          </w:tcPr>
          <w:p>
            <w:r>
              <w:rPr>
                <w:b w:val="false"/>
                <w:bCs w:val="false"/>
                <w:sz w:val="18"/>
                <w:szCs w:val="18"/>
              </w:rPr>
              <w:t xml:space="preserve">LONG</w:t>
            </w:r>
          </w:p>
        </w:tc>
        <w:tc>
          <w:tcPr>
            <w:tcW w:type="dxa" w:w="1000"/>
            <w:tcMar>
              <w:top w:type="dxa" w:w="40"/>
              <w:left w:type="dxa" w:w="70"/>
              <w:bottom w:type="dxa" w:w="40"/>
              <w:right w:type="dxa" w:w="70"/>
            </w:tcMar>
          </w:tcPr>
          <w:p>
            <w:r>
              <w:rPr>
                <w:b w:val="false"/>
                <w:bCs w:val="false"/>
                <w:sz w:val="18"/>
                <w:szCs w:val="18"/>
              </w:rPr>
              <w:t xml:space="preserve">NO</w:t>
            </w:r>
          </w:p>
        </w:tc>
        <w:tc>
          <w:tcPr>
            <w:tcW w:type="dxa" w:w="1900"/>
            <w:tcMar>
              <w:top w:type="dxa" w:w="40"/>
              <w:left w:type="dxa" w:w="70"/>
              <w:bottom w:type="dxa" w:w="40"/>
              <w:right w:type="dxa" w:w="70"/>
            </w:tcMar>
          </w:tcPr>
          <w:p>
            <w:r>
              <w:rPr>
                <w:b w:val="false"/>
                <w:bCs w:val="false"/>
                <w:sz w:val="18"/>
                <w:szCs w:val="18"/>
              </w:rPr>
              <w:t xml:space="preserve">gap-down, no reclaim</w:t>
            </w:r>
          </w:p>
        </w:tc>
        <w:tc>
          <w:tcPr>
            <w:tcW w:type="dxa" w:w="1200"/>
            <w:tcMar>
              <w:top w:type="dxa" w:w="40"/>
              <w:left w:type="dxa" w:w="70"/>
              <w:bottom w:type="dxa" w:w="40"/>
              <w:right w:type="dxa" w:w="70"/>
            </w:tcMar>
          </w:tcPr>
          <w:p>
            <w:r>
              <w:rPr>
                <w:b w:val="false"/>
                <w:bCs w:val="false"/>
                <w:sz w:val="18"/>
                <w:szCs w:val="18"/>
              </w:rPr>
              <w:t xml:space="preserve">—</w:t>
            </w:r>
          </w:p>
        </w:tc>
        <w:tc>
          <w:tcPr>
            <w:tcW w:type="dxa" w:w="1000"/>
            <w:tcMar>
              <w:top w:type="dxa" w:w="40"/>
              <w:left w:type="dxa" w:w="70"/>
              <w:bottom w:type="dxa" w:w="40"/>
              <w:right w:type="dxa" w:w="70"/>
            </w:tcMar>
          </w:tcPr>
          <w:p>
            <w:r>
              <w:rPr>
                <w:b w:val="false"/>
                <w:bCs w:val="false"/>
                <w:sz w:val="18"/>
                <w:szCs w:val="18"/>
              </w:rPr>
              <w:t xml:space="preserve">—</w:t>
            </w:r>
          </w:p>
        </w:tc>
      </w:tr>
      <w:tr>
        <w:tc>
          <w:tcPr>
            <w:tcW w:type="dxa" w:w="1500"/>
            <w:tcMar>
              <w:top w:type="dxa" w:w="40"/>
              <w:left w:type="dxa" w:w="70"/>
              <w:bottom w:type="dxa" w:w="40"/>
              <w:right w:type="dxa" w:w="70"/>
            </w:tcMar>
          </w:tcPr>
          <w:p>
            <w:r>
              <w:rPr>
                <w:b w:val="false"/>
                <w:bCs w:val="false"/>
                <w:sz w:val="18"/>
                <w:szCs w:val="18"/>
              </w:rPr>
              <w:t xml:space="preserve">Thu 9 Jul (t−2)</w:t>
            </w:r>
          </w:p>
        </w:tc>
        <w:tc>
          <w:tcPr>
            <w:tcW w:type="dxa" w:w="1200"/>
            <w:tcMar>
              <w:top w:type="dxa" w:w="40"/>
              <w:left w:type="dxa" w:w="70"/>
              <w:bottom w:type="dxa" w:w="40"/>
              <w:right w:type="dxa" w:w="70"/>
            </w:tcMar>
          </w:tcPr>
          <w:p>
            <w:r>
              <w:rPr>
                <w:b w:val="false"/>
                <w:bCs w:val="false"/>
                <w:sz w:val="18"/>
                <w:szCs w:val="18"/>
              </w:rPr>
              <w:t xml:space="preserve">Trade 2</w:t>
            </w:r>
          </w:p>
        </w:tc>
        <w:tc>
          <w:tcPr>
            <w:tcW w:type="dxa" w:w="1200"/>
            <w:tcMar>
              <w:top w:type="dxa" w:w="40"/>
              <w:left w:type="dxa" w:w="70"/>
              <w:bottom w:type="dxa" w:w="40"/>
              <w:right w:type="dxa" w:w="70"/>
            </w:tcMar>
          </w:tcPr>
          <w:p>
            <w:r>
              <w:rPr>
                <w:b w:val="false"/>
                <w:bCs w:val="false"/>
                <w:sz w:val="18"/>
                <w:szCs w:val="18"/>
              </w:rPr>
              <w:t xml:space="preserve">SHORT</w:t>
            </w:r>
          </w:p>
        </w:tc>
        <w:tc>
          <w:tcPr>
            <w:tcW w:type="dxa" w:w="1000"/>
            <w:tcMar>
              <w:top w:type="dxa" w:w="40"/>
              <w:left w:type="dxa" w:w="70"/>
              <w:bottom w:type="dxa" w:w="40"/>
              <w:right w:type="dxa" w:w="70"/>
            </w:tcMar>
          </w:tcPr>
          <w:p>
            <w:r>
              <w:rPr>
                <w:b w:val="false"/>
                <w:bCs w:val="false"/>
                <w:sz w:val="18"/>
                <w:szCs w:val="18"/>
              </w:rPr>
              <w:t xml:space="preserve">NO</w:t>
            </w:r>
          </w:p>
        </w:tc>
        <w:tc>
          <w:tcPr>
            <w:tcW w:type="dxa" w:w="1900"/>
            <w:tcMar>
              <w:top w:type="dxa" w:w="40"/>
              <w:left w:type="dxa" w:w="70"/>
              <w:bottom w:type="dxa" w:w="40"/>
              <w:right w:type="dxa" w:w="70"/>
            </w:tcMar>
          </w:tcPr>
          <w:p>
            <w:r>
              <w:rPr>
                <w:b w:val="false"/>
                <w:bCs w:val="false"/>
                <w:sz w:val="18"/>
                <w:szCs w:val="18"/>
              </w:rPr>
              <w:t xml:space="preserve">no R1 tag (gap)</w:t>
            </w:r>
          </w:p>
        </w:tc>
        <w:tc>
          <w:tcPr>
            <w:tcW w:type="dxa" w:w="1200"/>
            <w:tcMar>
              <w:top w:type="dxa" w:w="40"/>
              <w:left w:type="dxa" w:w="70"/>
              <w:bottom w:type="dxa" w:w="40"/>
              <w:right w:type="dxa" w:w="70"/>
            </w:tcMar>
          </w:tcPr>
          <w:p>
            <w:r>
              <w:rPr>
                <w:b w:val="false"/>
                <w:bCs w:val="false"/>
                <w:sz w:val="18"/>
                <w:szCs w:val="18"/>
              </w:rPr>
              <w:t xml:space="preserve">—</w:t>
            </w:r>
          </w:p>
        </w:tc>
        <w:tc>
          <w:tcPr>
            <w:tcW w:type="dxa" w:w="1000"/>
            <w:tcMar>
              <w:top w:type="dxa" w:w="40"/>
              <w:left w:type="dxa" w:w="70"/>
              <w:bottom w:type="dxa" w:w="40"/>
              <w:right w:type="dxa" w:w="70"/>
            </w:tcMar>
          </w:tcPr>
          <w:p>
            <w:r>
              <w:rPr>
                <w:b w:val="false"/>
                <w:bCs w:val="false"/>
                <w:sz w:val="18"/>
                <w:szCs w:val="18"/>
              </w:rPr>
              <w:t xml:space="preserve">—</w:t>
            </w:r>
          </w:p>
        </w:tc>
      </w:tr>
      <w:tr>
        <w:tc>
          <w:tcPr>
            <w:tcW w:type="dxa" w:w="1500"/>
            <w:tcMar>
              <w:top w:type="dxa" w:w="40"/>
              <w:left w:type="dxa" w:w="70"/>
              <w:bottom w:type="dxa" w:w="40"/>
              <w:right w:type="dxa" w:w="70"/>
            </w:tcMar>
          </w:tcPr>
          <w:p>
            <w:r>
              <w:rPr>
                <w:b w:val="false"/>
                <w:bCs w:val="false"/>
                <w:sz w:val="18"/>
                <w:szCs w:val="18"/>
              </w:rPr>
              <w:t xml:space="preserve">Fri 10 Jul (t−1)</w:t>
            </w:r>
          </w:p>
        </w:tc>
        <w:tc>
          <w:tcPr>
            <w:tcW w:type="dxa" w:w="1200"/>
            <w:tcMar>
              <w:top w:type="dxa" w:w="40"/>
              <w:left w:type="dxa" w:w="70"/>
              <w:bottom w:type="dxa" w:w="40"/>
              <w:right w:type="dxa" w:w="70"/>
            </w:tcMar>
          </w:tcPr>
          <w:p>
            <w:r>
              <w:rPr>
                <w:b w:val="false"/>
                <w:bCs w:val="false"/>
                <w:sz w:val="18"/>
                <w:szCs w:val="18"/>
              </w:rPr>
              <w:t xml:space="preserve">Trade 3A</w:t>
            </w:r>
          </w:p>
        </w:tc>
        <w:tc>
          <w:tcPr>
            <w:tcW w:type="dxa" w:w="1200"/>
            <w:tcMar>
              <w:top w:type="dxa" w:w="40"/>
              <w:left w:type="dxa" w:w="70"/>
              <w:bottom w:type="dxa" w:w="40"/>
              <w:right w:type="dxa" w:w="70"/>
            </w:tcMar>
          </w:tcPr>
          <w:p>
            <w:r>
              <w:rPr>
                <w:b w:val="false"/>
                <w:bCs w:val="false"/>
                <w:sz w:val="18"/>
                <w:szCs w:val="18"/>
              </w:rPr>
              <w:t xml:space="preserve">LONG</w:t>
            </w:r>
          </w:p>
        </w:tc>
        <w:tc>
          <w:tcPr>
            <w:tcW w:type="dxa" w:w="1000"/>
            <w:tcMar>
              <w:top w:type="dxa" w:w="40"/>
              <w:left w:type="dxa" w:w="70"/>
              <w:bottom w:type="dxa" w:w="40"/>
              <w:right w:type="dxa" w:w="70"/>
            </w:tcMar>
          </w:tcPr>
          <w:p>
            <w:r>
              <w:rPr>
                <w:b w:val="false"/>
                <w:bCs w:val="false"/>
                <w:sz w:val="18"/>
                <w:szCs w:val="18"/>
              </w:rPr>
              <w:t xml:space="preserve">YES</w:t>
            </w:r>
          </w:p>
        </w:tc>
        <w:tc>
          <w:tcPr>
            <w:tcW w:type="dxa" w:w="1900"/>
            <w:tcMar>
              <w:top w:type="dxa" w:w="40"/>
              <w:left w:type="dxa" w:w="70"/>
              <w:bottom w:type="dxa" w:w="40"/>
              <w:right w:type="dxa" w:w="70"/>
            </w:tcMar>
          </w:tcPr>
          <w:p>
            <w:r>
              <w:rPr>
                <w:b w:val="false"/>
                <w:bCs w:val="false"/>
                <w:sz w:val="18"/>
                <w:szCs w:val="18"/>
              </w:rPr>
              <w:t xml:space="preserve">10,472→10,497</w:t>
            </w:r>
          </w:p>
        </w:tc>
        <w:tc>
          <w:tcPr>
            <w:tcW w:type="dxa" w:w="1200"/>
            <w:tcMar>
              <w:top w:type="dxa" w:w="40"/>
              <w:left w:type="dxa" w:w="70"/>
              <w:bottom w:type="dxa" w:w="40"/>
              <w:right w:type="dxa" w:w="70"/>
            </w:tcMar>
          </w:tcPr>
          <w:p>
            <w:r>
              <w:rPr>
                <w:b w:val="false"/>
                <w:bCs w:val="false"/>
                <w:sz w:val="18"/>
                <w:szCs w:val="18"/>
              </w:rPr>
              <w:t xml:space="preserve">+0.3R (open)</w:t>
            </w:r>
          </w:p>
        </w:tc>
        <w:tc>
          <w:tcPr>
            <w:tcW w:type="dxa" w:w="1000"/>
            <w:tcMar>
              <w:top w:type="dxa" w:w="40"/>
              <w:left w:type="dxa" w:w="70"/>
              <w:bottom w:type="dxa" w:w="40"/>
              <w:right w:type="dxa" w:w="70"/>
            </w:tcMar>
          </w:tcPr>
          <w:p>
            <w:r>
              <w:rPr>
                <w:b w:val="false"/>
                <w:bCs w:val="false"/>
                <w:sz w:val="18"/>
                <w:szCs w:val="18"/>
              </w:rPr>
              <w:t xml:space="preserve">1</w:t>
            </w:r>
          </w:p>
        </w:tc>
      </w:tr>
      <w:tr>
        <w:tc>
          <w:tcPr>
            <w:tcW w:type="dxa" w:w="1500"/>
            <w:tcMar>
              <w:top w:type="dxa" w:w="40"/>
              <w:left w:type="dxa" w:w="70"/>
              <w:bottom w:type="dxa" w:w="40"/>
              <w:right w:type="dxa" w:w="70"/>
            </w:tcMar>
          </w:tcPr>
          <w:p>
            <w:r>
              <w:rPr>
                <w:b w:val="false"/>
                <w:bCs w:val="false"/>
                <w:sz w:val="18"/>
                <w:szCs w:val="18"/>
              </w:rPr>
              <w:t xml:space="preserve">Fri 10 Jul (t−1)</w:t>
            </w:r>
          </w:p>
        </w:tc>
        <w:tc>
          <w:tcPr>
            <w:tcW w:type="dxa" w:w="1200"/>
            <w:tcMar>
              <w:top w:type="dxa" w:w="40"/>
              <w:left w:type="dxa" w:w="70"/>
              <w:bottom w:type="dxa" w:w="40"/>
              <w:right w:type="dxa" w:w="70"/>
            </w:tcMar>
          </w:tcPr>
          <w:p>
            <w:r>
              <w:rPr>
                <w:b w:val="false"/>
                <w:bCs w:val="false"/>
                <w:sz w:val="18"/>
                <w:szCs w:val="18"/>
              </w:rPr>
              <w:t xml:space="preserve">Trade 1</w:t>
            </w:r>
          </w:p>
        </w:tc>
        <w:tc>
          <w:tcPr>
            <w:tcW w:type="dxa" w:w="1200"/>
            <w:tcMar>
              <w:top w:type="dxa" w:w="40"/>
              <w:left w:type="dxa" w:w="70"/>
              <w:bottom w:type="dxa" w:w="40"/>
              <w:right w:type="dxa" w:w="70"/>
            </w:tcMar>
          </w:tcPr>
          <w:p>
            <w:r>
              <w:rPr>
                <w:b w:val="false"/>
                <w:bCs w:val="false"/>
                <w:sz w:val="18"/>
                <w:szCs w:val="18"/>
              </w:rPr>
              <w:t xml:space="preserve">SHORT</w:t>
            </w:r>
          </w:p>
        </w:tc>
        <w:tc>
          <w:tcPr>
            <w:tcW w:type="dxa" w:w="1000"/>
            <w:tcMar>
              <w:top w:type="dxa" w:w="40"/>
              <w:left w:type="dxa" w:w="70"/>
              <w:bottom w:type="dxa" w:w="40"/>
              <w:right w:type="dxa" w:w="70"/>
            </w:tcMar>
          </w:tcPr>
          <w:p>
            <w:r>
              <w:rPr>
                <w:b w:val="false"/>
                <w:bCs w:val="false"/>
                <w:sz w:val="18"/>
                <w:szCs w:val="18"/>
              </w:rPr>
              <w:t xml:space="preserve">SUPPRESSED</w:t>
            </w:r>
          </w:p>
        </w:tc>
        <w:tc>
          <w:tcPr>
            <w:tcW w:type="dxa" w:w="1900"/>
            <w:tcMar>
              <w:top w:type="dxa" w:w="40"/>
              <w:left w:type="dxa" w:w="70"/>
              <w:bottom w:type="dxa" w:w="40"/>
              <w:right w:type="dxa" w:w="70"/>
            </w:tcMar>
          </w:tcPr>
          <w:p>
            <w:r>
              <w:rPr>
                <w:b w:val="false"/>
                <w:bCs w:val="false"/>
                <w:sz w:val="18"/>
                <w:szCs w:val="18"/>
              </w:rPr>
              <w:t xml:space="preserve">conviction &lt; gate</w:t>
            </w:r>
          </w:p>
        </w:tc>
        <w:tc>
          <w:tcPr>
            <w:tcW w:type="dxa" w:w="1200"/>
            <w:tcMar>
              <w:top w:type="dxa" w:w="40"/>
              <w:left w:type="dxa" w:w="70"/>
              <w:bottom w:type="dxa" w:w="40"/>
              <w:right w:type="dxa" w:w="70"/>
            </w:tcMar>
          </w:tcPr>
          <w:p>
            <w:r>
              <w:rPr>
                <w:b w:val="false"/>
                <w:bCs w:val="false"/>
                <w:sz w:val="18"/>
                <w:szCs w:val="18"/>
              </w:rPr>
              <w:t xml:space="preserve">—</w:t>
            </w:r>
          </w:p>
        </w:tc>
        <w:tc>
          <w:tcPr>
            <w:tcW w:type="dxa" w:w="1000"/>
            <w:tcMar>
              <w:top w:type="dxa" w:w="40"/>
              <w:left w:type="dxa" w:w="70"/>
              <w:bottom w:type="dxa" w:w="40"/>
              <w:right w:type="dxa" w:w="70"/>
            </w:tcMar>
          </w:tcPr>
          <w:p>
            <w:r>
              <w:rPr>
                <w:b w:val="false"/>
                <w:bCs w:val="false"/>
                <w:sz w:val="18"/>
                <w:szCs w:val="18"/>
              </w:rPr>
              <w:t xml:space="preserve">—</w:t>
            </w:r>
          </w:p>
        </w:tc>
      </w:tr>
    </w:tbl>
    <w:p>
      <w:pPr>
        <w:spacing w:after="90"/>
      </w:pPr>
      <w:r>
        <w:rPr>
          <w:i/>
          <w:iCs/>
          <w:color w:val="595959"/>
          <w:sz w:val="18"/>
          <w:szCs w:val="18"/>
        </w:rPr>
        <w:t xml:space="preserve">SL-first tick-priority applied where both SL and TP could fill in-bar; slippage = 0. Reconstructions use t−1 data only.</w:t>
      </w:r>
    </w:p>
    <w:p>
      <w:pPr>
        <w:spacing w:after="70" w:before="150"/>
      </w:pPr>
      <w:r>
        <w:rPr>
          <w:b/>
          <w:bCs/>
          <w:color w:val="1F3864"/>
          <w:sz w:val="22"/>
          <w:szCs w:val="22"/>
        </w:rPr>
        <w:t xml:space="preserve">21d · 'What Is Working' Aggregate</w:t>
      </w:r>
    </w:p>
    <w:p>
      <w:pPr>
        <w:spacing w:after="90"/>
      </w:pPr>
      <w:r>
        <w:rPr>
          <w:sz w:val="20"/>
          <w:szCs w:val="20"/>
        </w:rPr>
        <w:t xml:space="preserve">Over the last 5 sessions: </w:t>
      </w:r>
      <w:r>
        <w:rPr>
          <w:b/>
          <w:bCs/>
          <w:sz w:val="20"/>
          <w:szCs w:val="20"/>
        </w:rPr>
        <w:t xml:space="preserve">Trade 2 (pivot fade)</w:t>
      </w:r>
      <w:r>
        <w:rPr>
          <w:sz w:val="20"/>
          <w:szCs w:val="20"/>
        </w:rPr>
        <w:t xml:space="preserve"> triggered 2/4 times, mean R = +0.80, hit rates TP1/TP2/TP3 = 100%/0%/0% — the strongest performer, well-suited to the choppy transitional tape. </w:t>
      </w:r>
      <w:r>
        <w:rPr>
          <w:b/>
          <w:bCs/>
          <w:sz w:val="20"/>
          <w:szCs w:val="20"/>
        </w:rPr>
        <w:t xml:space="preserve">Trade 1 (directional)</w:t>
      </w:r>
      <w:r>
        <w:rPr>
          <w:sz w:val="20"/>
          <w:szCs w:val="20"/>
        </w:rPr>
        <w:t xml:space="preserve"> triggered 1/2 (one suppressed), mean R = +2.00 (single capped gap-day win — not repeatable). </w:t>
      </w:r>
      <w:r>
        <w:rPr>
          <w:b/>
          <w:bCs/>
          <w:sz w:val="20"/>
          <w:szCs w:val="20"/>
        </w:rPr>
        <w:t xml:space="preserve">Trade 3A (reclaim long)</w:t>
      </w:r>
      <w:r>
        <w:rPr>
          <w:sz w:val="20"/>
          <w:szCs w:val="20"/>
        </w:rPr>
        <w:t xml:space="preserve"> triggered 1/3, mean R = +0.30 (open) — weakest, as reclaims kept failing in the down-week. Strongest: Trade 2. Weakest: Trade 3A. </w:t>
      </w:r>
    </w:p>
    <w:p>
      <w:pPr>
        <w:spacing w:after="90"/>
      </w:pPr>
      <w:r>
        <w:rPr>
          <w:i/>
          <w:iCs/>
          <w:sz w:val="18"/>
          <w:szCs w:val="18"/>
        </w:rPr>
        <w:t xml:space="preserve">Five-session windows are too small to support statistical claims. The backtest cannot model intraday tick-level fills, slippage, or commission. Treat as a directional sanity-check, not a strategy-validation framework.</w:t>
      </w:r>
    </w:p>
    <w:p>
      <w:pPr>
        <w:pBdr>
          <w:bottom w:val="single" w:color="BBBBBB" w:sz="6"/>
        </w:pBdr>
        <w:spacing w:after="80"/>
      </w:pPr>
      <w:r>
        <w:rPr>
          <w:sz w:val="2"/>
          <w:szCs w:val="2"/>
        </w:rPr>
        <w:t xml:space="preserve"/>
      </w:r>
    </w:p>
    <w:p>
      <w:pPr>
        <w:spacing w:before="80"/>
      </w:pPr>
      <w:r>
        <w:rPr>
          <w:i/>
          <w:iCs/>
          <w:color w:val="595959"/>
          <w:sz w:val="16"/>
          <w:szCs w:val="16"/>
        </w:rPr>
        <w:t xml:space="preserve">FTSE 100 Daily Report │ 10 July 2026 (fwd 13 July 2026) │ Senior European Equity Strategist</w:t>
      </w:r>
    </w:p>
    <w:p>
      <w:pPr>
        <w:spacing w:before="60"/>
      </w:pPr>
      <w:r>
        <w:rPr>
          <w:i/>
          <w:iCs/>
          <w:color w:val="595959"/>
          <w:sz w:val="15"/>
          <w:szCs w:val="15"/>
        </w:rPr>
        <w:t xml:space="preserve">Informational analysis only; not investment advice. Price data assembled from public web sources and cross-checked where possible; some intraday levels are indicative as flagged in §19. This analyst is not a financial adviser — verify all levels against a primary feed before trading.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2026-07-12T21:53:26.913Z</dcterms:created>
  <dcterms:modified xsi:type="dcterms:W3CDTF">2026-07-12T21:53:26.928Z</dcterms:modified>
</cp:coreProperties>
</file>

<file path=docProps/custom.xml><?xml version="1.0" encoding="utf-8"?>
<Properties xmlns="http://schemas.openxmlformats.org/officeDocument/2006/custom-properties" xmlns:vt="http://schemas.openxmlformats.org/officeDocument/2006/docPropsVTypes"/>
</file>