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2942"/>
          <w:sz w:val="36"/>
          <w:szCs w:val="36"/>
        </w:rPr>
        <w:t xml:space="preserve">FTSE 100 Report — Daily: 14 July 2026</w:t>
      </w:r>
    </w:p>
    <w:p>
      <w:pPr>
        <w:spacing w:after="30"/>
      </w:pPr>
      <w:r>
        <w:rPr>
          <w:i/>
          <w:iCs/>
          <w:color w:val="666666"/>
          <w:sz w:val="20"/>
          <w:szCs w:val="20"/>
        </w:rPr>
        <w:t xml:space="preserve">With reference to: EURO STOXX 50 · Dollar Index · S&amp;P 500 · DAX 40</w:t>
      </w:r>
    </w:p>
    <w:p>
      <w:pPr>
        <w:spacing w:after="120"/>
      </w:pPr>
      <w:r>
        <w:rPr>
          <w:color w:val="666666"/>
          <w:sz w:val="18"/>
          <w:szCs w:val="18"/>
        </w:rPr>
        <w:t xml:space="preserve">Senior European Equity Strategist  ·  As of 14 July 2026 (Europe/London)  ·  Trading &amp; risk review (forward-test)</w:t>
      </w:r>
    </w:p>
    <w:p>
      <w:pPr>
        <w:pBdr>
          <w:bottom w:val="single" w:color="d8dee8" w:sz="6"/>
        </w:pBdr>
        <w:spacing w:after="60"/>
      </w:pPr>
    </w:p>
    <w:p>
      <w:pPr>
        <w:pStyle w:val="Heading1"/>
        <w:spacing w:after="120" w:before="260"/>
      </w:pPr>
      <w:r>
        <w:rPr>
          <w:b/>
          <w:bCs/>
          <w:color w:val="1a2942"/>
          <w:sz w:val="28"/>
          <w:szCs w:val="28"/>
        </w:rPr>
        <w:t xml:space="preserve">1 · Executive Snapshot</w:t>
      </w:r>
    </w:p>
    <w:p>
      <w:pPr>
        <w:spacing w:after="100" w:line="264"/>
      </w:pPr>
      <w:r>
        <w:rPr>
          <w:sz w:val="20"/>
          <w:szCs w:val="20"/>
        </w:rPr>
        <w:t xml:space="preserve">The FTSE 100 enters the 14 July pre-open at a consensus reference level of </w:t>
      </w:r>
      <w:r>
        <w:rPr>
          <w:b/>
          <w:bCs/>
          <w:sz w:val="20"/>
          <w:szCs w:val="20"/>
        </w:rPr>
        <w:t xml:space="preserve">10,498 points</w:t>
      </w:r>
      <w:r>
        <w:rPr>
          <w:sz w:val="20"/>
          <w:szCs w:val="20"/>
        </w:rPr>
        <w:t xml:space="preserve"> (last completed session: Monday 13 July close 10,498.29), having spent the week absorbing a sharp mid-week shock. Market tone is </w:t>
      </w:r>
      <w:r>
        <w:rPr>
          <w:b/>
          <w:bCs/>
          <w:sz w:val="20"/>
          <w:szCs w:val="20"/>
        </w:rPr>
        <w:t xml:space="preserve">balanced with a mild negative tilt</w:t>
      </w:r>
      <w:r>
        <w:rPr>
          <w:sz w:val="20"/>
          <w:szCs w:val="20"/>
        </w:rPr>
        <w:t xml:space="preserve">. Three drivers dominate: (i) the collapse of the US–Iran ceasefire on 8 July and a renewed Brent crude spike toward $79–80/bbl, which simultaneously supports the index's heavy energy weighting (Shell, BP) and threatens the wider risk complex through the inflation channel; (ii) a two-session stabilisation and recovery off the 8 July low that has left price hovering almost exactly at the daily pivot; and (iii) idiosyncratic single-stock noise (AstraZeneca's drug-trial failure, Vodafone's surge, the easyJet takeover) that has masked a directionless index. The short-term technical state is </w:t>
      </w:r>
      <w:r>
        <w:rPr>
          <w:b/>
          <w:bCs/>
          <w:sz w:val="20"/>
          <w:szCs w:val="20"/>
        </w:rPr>
        <w:t xml:space="preserve">Transitional — Mixed</w:t>
      </w:r>
      <w:r>
        <w:rPr>
          <w:sz w:val="20"/>
          <w:szCs w:val="20"/>
        </w:rPr>
        <w:t xml:space="preserve"> (a bearish mid-week impulse followed by two green closes), while the 25-session medium-term regime reads </w:t>
      </w:r>
      <w:r>
        <w:rPr>
          <w:b/>
          <w:bCs/>
          <w:sz w:val="20"/>
          <w:szCs w:val="20"/>
        </w:rPr>
        <w:t xml:space="preserve">Ranging-to-Transitional</w:t>
      </w:r>
      <w:r>
        <w:rPr>
          <w:sz w:val="20"/>
          <w:szCs w:val="20"/>
        </w:rPr>
        <w:t xml:space="preserve"> (overlap ratio 0.63, persistence 0.54, range position ~60th percentile). The Kaufman Efficiency Ratio classifies as </w:t>
      </w:r>
      <w:r>
        <w:rPr>
          <w:b/>
          <w:bCs/>
          <w:sz w:val="20"/>
          <w:szCs w:val="20"/>
        </w:rPr>
        <w:t xml:space="preserve">Trending Down — Moderate</w:t>
      </w:r>
      <w:r>
        <w:rPr>
          <w:sz w:val="20"/>
          <w:szCs w:val="20"/>
        </w:rPr>
        <w:t xml:space="preserve"> (smoothed KER −0.20), contradicting the mild up-drift and reinforcing the transitional read. Directional conviction is </w:t>
      </w:r>
      <w:r>
        <w:rPr>
          <w:b/>
          <w:bCs/>
          <w:sz w:val="20"/>
          <w:szCs w:val="20"/>
        </w:rPr>
        <w:t xml:space="preserve">NEUTRAL (score +0.18)</w:t>
      </w:r>
      <w:r>
        <w:rPr>
          <w:sz w:val="20"/>
          <w:szCs w:val="20"/>
        </w:rPr>
        <w:t xml:space="preserve">, below the threshold required to fire a directional day-trade. The single most important watch item is the </w:t>
      </w:r>
      <w:r>
        <w:rPr>
          <w:b/>
          <w:bCs/>
          <w:sz w:val="20"/>
          <w:szCs w:val="20"/>
        </w:rPr>
        <w:t xml:space="preserve">UK CPI release on Wednesday 16 July</w:t>
      </w:r>
      <w:r>
        <w:rPr>
          <w:sz w:val="20"/>
          <w:szCs w:val="20"/>
        </w:rPr>
        <w:t xml:space="preserve">, which — against a fresh oil-driven inflation impulse — is the swing factor for Bank of England rate expectations and therefore for the index's rate-sensitive constituents.</w:t>
      </w:r>
    </w:p>
    <w:p>
      <w:pPr>
        <w:pStyle w:val="Heading1"/>
        <w:spacing w:after="120" w:before="260"/>
      </w:pPr>
      <w:r>
        <w:rPr>
          <w:b/>
          <w:bCs/>
          <w:color w:val="1a2942"/>
          <w:sz w:val="28"/>
          <w:szCs w:val="28"/>
        </w:rPr>
        <w:t xml:space="preserve">2 · Market Definition</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2400"/>
        <w:gridCol w:w="696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Attribute</w:t>
            </w:r>
          </w:p>
        </w:tc>
        <w:tc>
          <w:tcPr>
            <w:shd w:fill="1a2942" w:color="auto" w:val="clear"/>
            <w:tcMar>
              <w:top w:type="dxa" w:w="40"/>
              <w:left w:type="dxa" w:w="70"/>
              <w:bottom w:type="dxa" w:w="40"/>
              <w:right w:type="dxa" w:w="70"/>
            </w:tcMar>
          </w:tcPr>
          <w:p>
            <w:pPr>
              <w:jc w:val="left"/>
            </w:pPr>
            <w:r>
              <w:rPr>
                <w:b/>
                <w:bCs/>
                <w:color w:val="ffffff"/>
                <w:sz w:val="18"/>
                <w:szCs w:val="18"/>
              </w:rPr>
              <w:t xml:space="preserve">Value</w:t>
            </w:r>
          </w:p>
        </w:tc>
      </w:tr>
      <w:tr>
        <w:tc>
          <w:tcPr>
            <w:tcW w:type="dxa" w:w="2400"/>
            <w:shd w:fill="ffffff" w:color="auto" w:val="clear"/>
            <w:tcMar>
              <w:top w:type="dxa" w:w="40"/>
              <w:left w:type="dxa" w:w="70"/>
              <w:bottom w:type="dxa" w:w="40"/>
              <w:right w:type="dxa" w:w="70"/>
            </w:tcMar>
          </w:tcPr>
          <w:p>
            <w:pPr>
              <w:jc w:val="left"/>
            </w:pPr>
            <w:r>
              <w:rPr>
                <w:b w:val="false"/>
                <w:bCs w:val="false"/>
                <w:color w:val="222222"/>
                <w:sz w:val="18"/>
                <w:szCs w:val="18"/>
              </w:rPr>
              <w:t xml:space="preserve">Primary asset</w:t>
            </w:r>
          </w:p>
        </w:tc>
        <w:tc>
          <w:tcPr>
            <w:tcW w:type="dxa" w:w="6960"/>
            <w:shd w:fill="ffffff" w:color="auto" w:val="clear"/>
            <w:tcMar>
              <w:top w:type="dxa" w:w="40"/>
              <w:left w:type="dxa" w:w="70"/>
              <w:bottom w:type="dxa" w:w="40"/>
              <w:right w:type="dxa" w:w="70"/>
            </w:tcMar>
          </w:tcPr>
          <w:p>
            <w:pPr>
              <w:jc w:val="left"/>
            </w:pPr>
            <w:r>
              <w:rPr>
                <w:b w:val="false"/>
                <w:bCs w:val="false"/>
                <w:color w:val="222222"/>
                <w:sz w:val="18"/>
                <w:szCs w:val="18"/>
              </w:rPr>
              <w:t xml:space="preserve">FTSE 100 cash index (^FTSE), 100 free-float weighted constituents</w:t>
            </w:r>
          </w:p>
        </w:tc>
      </w:tr>
      <w:tr>
        <w:tc>
          <w:tcPr>
            <w:tcW w:type="dxa" w:w="2400"/>
            <w:shd w:fill="eef1f5" w:color="auto" w:val="clear"/>
            <w:tcMar>
              <w:top w:type="dxa" w:w="40"/>
              <w:left w:type="dxa" w:w="70"/>
              <w:bottom w:type="dxa" w:w="40"/>
              <w:right w:type="dxa" w:w="70"/>
            </w:tcMar>
          </w:tcPr>
          <w:p>
            <w:pPr>
              <w:jc w:val="left"/>
            </w:pPr>
            <w:r>
              <w:rPr>
                <w:b w:val="false"/>
                <w:bCs w:val="false"/>
                <w:color w:val="222222"/>
                <w:sz w:val="18"/>
                <w:szCs w:val="18"/>
              </w:rPr>
              <w:t xml:space="preserve">Secondary asset</w:t>
            </w:r>
          </w:p>
        </w:tc>
        <w:tc>
          <w:tcPr>
            <w:tcW w:type="dxa" w:w="6960"/>
            <w:shd w:fill="eef1f5" w:color="auto" w:val="clear"/>
            <w:tcMar>
              <w:top w:type="dxa" w:w="40"/>
              <w:left w:type="dxa" w:w="70"/>
              <w:bottom w:type="dxa" w:w="40"/>
              <w:right w:type="dxa" w:w="70"/>
            </w:tcMar>
          </w:tcPr>
          <w:p>
            <w:pPr>
              <w:jc w:val="left"/>
            </w:pPr>
            <w:r>
              <w:rPr>
                <w:b w:val="false"/>
                <w:bCs w:val="false"/>
                <w:color w:val="222222"/>
                <w:sz w:val="18"/>
                <w:szCs w:val="18"/>
              </w:rPr>
              <w:t xml:space="preserve">EURO STOXX 50 (^STOXX50E) — Eurozone large-cap reference</w:t>
            </w:r>
          </w:p>
        </w:tc>
      </w:tr>
      <w:tr>
        <w:tc>
          <w:tcPr>
            <w:tcW w:type="dxa" w:w="2400"/>
            <w:shd w:fill="ffffff" w:color="auto" w:val="clear"/>
            <w:tcMar>
              <w:top w:type="dxa" w:w="40"/>
              <w:left w:type="dxa" w:w="70"/>
              <w:bottom w:type="dxa" w:w="40"/>
              <w:right w:type="dxa" w:w="70"/>
            </w:tcMar>
          </w:tcPr>
          <w:p>
            <w:pPr>
              <w:jc w:val="left"/>
            </w:pPr>
            <w:r>
              <w:rPr>
                <w:b w:val="false"/>
                <w:bCs w:val="false"/>
                <w:color w:val="222222"/>
                <w:sz w:val="18"/>
                <w:szCs w:val="18"/>
              </w:rPr>
              <w:t xml:space="preserve">Specification</w:t>
            </w:r>
          </w:p>
        </w:tc>
        <w:tc>
          <w:tcPr>
            <w:tcW w:type="dxa" w:w="6960"/>
            <w:shd w:fill="ffffff" w:color="auto" w:val="clear"/>
            <w:tcMar>
              <w:top w:type="dxa" w:w="40"/>
              <w:left w:type="dxa" w:w="70"/>
              <w:bottom w:type="dxa" w:w="40"/>
              <w:right w:type="dxa" w:w="70"/>
            </w:tcMar>
          </w:tcPr>
          <w:p>
            <w:pPr>
              <w:jc w:val="left"/>
            </w:pPr>
            <w:r>
              <w:rPr>
                <w:b w:val="false"/>
                <w:bCs w:val="false"/>
                <w:color w:val="222222"/>
                <w:sz w:val="18"/>
                <w:szCs w:val="18"/>
              </w:rPr>
              <w:t xml:space="preserve">GBP-denominated, free-float market-cap weighted; FTSE Russell methodology, quarterly review</w:t>
            </w:r>
          </w:p>
        </w:tc>
      </w:tr>
      <w:tr>
        <w:tc>
          <w:tcPr>
            <w:tcW w:type="dxa" w:w="2400"/>
            <w:shd w:fill="eef1f5" w:color="auto" w:val="clear"/>
            <w:tcMar>
              <w:top w:type="dxa" w:w="40"/>
              <w:left w:type="dxa" w:w="70"/>
              <w:bottom w:type="dxa" w:w="40"/>
              <w:right w:type="dxa" w:w="70"/>
            </w:tcMar>
          </w:tcPr>
          <w:p>
            <w:pPr>
              <w:jc w:val="left"/>
            </w:pPr>
            <w:r>
              <w:rPr>
                <w:b w:val="false"/>
                <w:bCs w:val="false"/>
                <w:color w:val="222222"/>
                <w:sz w:val="18"/>
                <w:szCs w:val="18"/>
              </w:rPr>
              <w:t xml:space="preserve">Asset class</w:t>
            </w:r>
          </w:p>
        </w:tc>
        <w:tc>
          <w:tcPr>
            <w:tcW w:type="dxa" w:w="6960"/>
            <w:shd w:fill="eef1f5" w:color="auto" w:val="clear"/>
            <w:tcMar>
              <w:top w:type="dxa" w:w="40"/>
              <w:left w:type="dxa" w:w="70"/>
              <w:bottom w:type="dxa" w:w="40"/>
              <w:right w:type="dxa" w:w="70"/>
            </w:tcMar>
          </w:tcPr>
          <w:p>
            <w:pPr>
              <w:jc w:val="left"/>
            </w:pPr>
            <w:r>
              <w:rPr>
                <w:b w:val="false"/>
                <w:bCs w:val="false"/>
                <w:color w:val="222222"/>
                <w:sz w:val="18"/>
                <w:szCs w:val="18"/>
              </w:rPr>
              <w:t xml:space="preserve">Equity index — large-cap European</w:t>
            </w:r>
          </w:p>
        </w:tc>
      </w:tr>
      <w:tr>
        <w:tc>
          <w:tcPr>
            <w:tcW w:type="dxa" w:w="2400"/>
            <w:shd w:fill="ffffff" w:color="auto" w:val="clear"/>
            <w:tcMar>
              <w:top w:type="dxa" w:w="40"/>
              <w:left w:type="dxa" w:w="70"/>
              <w:bottom w:type="dxa" w:w="40"/>
              <w:right w:type="dxa" w:w="70"/>
            </w:tcMar>
          </w:tcPr>
          <w:p>
            <w:pPr>
              <w:jc w:val="left"/>
            </w:pPr>
            <w:r>
              <w:rPr>
                <w:b w:val="false"/>
                <w:bCs w:val="false"/>
                <w:color w:val="222222"/>
                <w:sz w:val="18"/>
                <w:szCs w:val="18"/>
              </w:rPr>
              <w:t xml:space="preserve">Market scope</w:t>
            </w:r>
          </w:p>
        </w:tc>
        <w:tc>
          <w:tcPr>
            <w:tcW w:type="dxa" w:w="6960"/>
            <w:shd w:fill="ffffff" w:color="auto" w:val="clear"/>
            <w:tcMar>
              <w:top w:type="dxa" w:w="40"/>
              <w:left w:type="dxa" w:w="70"/>
              <w:bottom w:type="dxa" w:w="40"/>
              <w:right w:type="dxa" w:w="70"/>
            </w:tcMar>
          </w:tcPr>
          <w:p>
            <w:pPr>
              <w:jc w:val="left"/>
            </w:pPr>
            <w:r>
              <w:rPr>
                <w:b w:val="false"/>
                <w:bCs w:val="false"/>
                <w:color w:val="222222"/>
                <w:sz w:val="18"/>
                <w:szCs w:val="18"/>
              </w:rPr>
              <w:t xml:space="preserve">Regional — United Kingdom &amp; Eurozone</w:t>
            </w:r>
          </w:p>
        </w:tc>
      </w:tr>
      <w:tr>
        <w:tc>
          <w:tcPr>
            <w:tcW w:type="dxa" w:w="2400"/>
            <w:shd w:fill="eef1f5" w:color="auto" w:val="clear"/>
            <w:tcMar>
              <w:top w:type="dxa" w:w="40"/>
              <w:left w:type="dxa" w:w="70"/>
              <w:bottom w:type="dxa" w:w="40"/>
              <w:right w:type="dxa" w:w="70"/>
            </w:tcMar>
          </w:tcPr>
          <w:p>
            <w:pPr>
              <w:jc w:val="left"/>
            </w:pPr>
            <w:r>
              <w:rPr>
                <w:b w:val="false"/>
                <w:bCs w:val="false"/>
                <w:color w:val="222222"/>
                <w:sz w:val="18"/>
                <w:szCs w:val="18"/>
              </w:rPr>
              <w:t xml:space="preserve">Price basis</w:t>
            </w:r>
          </w:p>
        </w:tc>
        <w:tc>
          <w:tcPr>
            <w:tcW w:type="dxa" w:w="6960"/>
            <w:shd w:fill="eef1f5" w:color="auto" w:val="clear"/>
            <w:tcMar>
              <w:top w:type="dxa" w:w="40"/>
              <w:left w:type="dxa" w:w="70"/>
              <w:bottom w:type="dxa" w:w="40"/>
              <w:right w:type="dxa" w:w="70"/>
            </w:tcMar>
          </w:tcPr>
          <w:p>
            <w:pPr>
              <w:jc w:val="left"/>
            </w:pPr>
            <w:r>
              <w:rPr>
                <w:b w:val="false"/>
                <w:bCs w:val="false"/>
                <w:color w:val="222222"/>
                <w:sz w:val="18"/>
                <w:szCs w:val="18"/>
              </w:rPr>
              <w:t xml:space="preserve">Cash index level (continuous), LSE regular session 08:00–16:30 UK</w:t>
            </w:r>
          </w:p>
        </w:tc>
      </w:tr>
      <w:tr>
        <w:tc>
          <w:tcPr>
            <w:tcW w:type="dxa" w:w="2400"/>
            <w:shd w:fill="ffffff" w:color="auto" w:val="clear"/>
            <w:tcMar>
              <w:top w:type="dxa" w:w="40"/>
              <w:left w:type="dxa" w:w="70"/>
              <w:bottom w:type="dxa" w:w="40"/>
              <w:right w:type="dxa" w:w="70"/>
            </w:tcMar>
          </w:tcPr>
          <w:p>
            <w:pPr>
              <w:jc w:val="left"/>
            </w:pPr>
            <w:r>
              <w:rPr>
                <w:b w:val="false"/>
                <w:bCs w:val="false"/>
                <w:color w:val="222222"/>
                <w:sz w:val="18"/>
                <w:szCs w:val="18"/>
              </w:rPr>
              <w:t xml:space="preserve">Unit / tick</w:t>
            </w:r>
          </w:p>
        </w:tc>
        <w:tc>
          <w:tcPr>
            <w:tcW w:type="dxa" w:w="6960"/>
            <w:shd w:fill="ffffff" w:color="auto" w:val="clear"/>
            <w:tcMar>
              <w:top w:type="dxa" w:w="40"/>
              <w:left w:type="dxa" w:w="70"/>
              <w:bottom w:type="dxa" w:w="40"/>
              <w:right w:type="dxa" w:w="70"/>
            </w:tcMar>
          </w:tcPr>
          <w:p>
            <w:pPr>
              <w:jc w:val="left"/>
            </w:pPr>
            <w:r>
              <w:rPr>
                <w:b w:val="false"/>
                <w:bCs w:val="false"/>
                <w:color w:val="222222"/>
                <w:sz w:val="18"/>
                <w:szCs w:val="18"/>
              </w:rPr>
              <w:t xml:space="preserve">Index points; tick 0.01</w:t>
            </w:r>
          </w:p>
        </w:tc>
      </w:tr>
      <w:tr>
        <w:tc>
          <w:tcPr>
            <w:tcW w:type="dxa" w:w="2400"/>
            <w:shd w:fill="eef1f5" w:color="auto" w:val="clear"/>
            <w:tcMar>
              <w:top w:type="dxa" w:w="40"/>
              <w:left w:type="dxa" w:w="70"/>
              <w:bottom w:type="dxa" w:w="40"/>
              <w:right w:type="dxa" w:w="70"/>
            </w:tcMar>
          </w:tcPr>
          <w:p>
            <w:pPr>
              <w:jc w:val="left"/>
            </w:pPr>
            <w:r>
              <w:rPr>
                <w:b w:val="false"/>
                <w:bCs w:val="false"/>
                <w:color w:val="222222"/>
                <w:sz w:val="18"/>
                <w:szCs w:val="18"/>
              </w:rPr>
              <w:t xml:space="preserve">Currency</w:t>
            </w:r>
          </w:p>
        </w:tc>
        <w:tc>
          <w:tcPr>
            <w:tcW w:type="dxa" w:w="6960"/>
            <w:shd w:fill="eef1f5" w:color="auto" w:val="clear"/>
            <w:tcMar>
              <w:top w:type="dxa" w:w="40"/>
              <w:left w:type="dxa" w:w="70"/>
              <w:bottom w:type="dxa" w:w="40"/>
              <w:right w:type="dxa" w:w="70"/>
            </w:tcMar>
          </w:tcPr>
          <w:p>
            <w:pPr>
              <w:jc w:val="left"/>
            </w:pPr>
            <w:r>
              <w:rPr>
                <w:b w:val="false"/>
                <w:bCs w:val="false"/>
                <w:color w:val="222222"/>
                <w:sz w:val="18"/>
                <w:szCs w:val="18"/>
              </w:rPr>
              <w:t xml:space="preserve">GBP (FTSE); EURO STOXX 50 reported in native EUR)</w:t>
            </w:r>
          </w:p>
        </w:tc>
      </w:tr>
      <w:tr>
        <w:tc>
          <w:tcPr>
            <w:tcW w:type="dxa" w:w="2400"/>
            <w:shd w:fill="ffffff" w:color="auto" w:val="clear"/>
            <w:tcMar>
              <w:top w:type="dxa" w:w="40"/>
              <w:left w:type="dxa" w:w="70"/>
              <w:bottom w:type="dxa" w:w="40"/>
              <w:right w:type="dxa" w:w="70"/>
            </w:tcMar>
          </w:tcPr>
          <w:p>
            <w:pPr>
              <w:jc w:val="left"/>
            </w:pPr>
            <w:r>
              <w:rPr>
                <w:b w:val="false"/>
                <w:bCs w:val="false"/>
                <w:color w:val="222222"/>
                <w:sz w:val="18"/>
                <w:szCs w:val="18"/>
              </w:rPr>
              <w:t xml:space="preserve">As-of date</w:t>
            </w:r>
          </w:p>
        </w:tc>
        <w:tc>
          <w:tcPr>
            <w:tcW w:type="dxa" w:w="6960"/>
            <w:shd w:fill="ffffff" w:color="auto" w:val="clear"/>
            <w:tcMar>
              <w:top w:type="dxa" w:w="40"/>
              <w:left w:type="dxa" w:w="70"/>
              <w:bottom w:type="dxa" w:w="40"/>
              <w:right w:type="dxa" w:w="70"/>
            </w:tcMar>
          </w:tcPr>
          <w:p>
            <w:pPr>
              <w:jc w:val="left"/>
            </w:pPr>
            <w:r>
              <w:rPr>
                <w:b w:val="false"/>
                <w:bCs w:val="false"/>
                <w:color w:val="222222"/>
                <w:sz w:val="18"/>
                <w:szCs w:val="18"/>
              </w:rPr>
              <w:t xml:space="preserve">14 July 2026 (Europe/London) — pre-open snapshot</w:t>
            </w:r>
          </w:p>
        </w:tc>
      </w:tr>
      <w:tr>
        <w:tc>
          <w:tcPr>
            <w:tcW w:type="dxa" w:w="2400"/>
            <w:shd w:fill="eef1f5" w:color="auto" w:val="clear"/>
            <w:tcMar>
              <w:top w:type="dxa" w:w="40"/>
              <w:left w:type="dxa" w:w="70"/>
              <w:bottom w:type="dxa" w:w="40"/>
              <w:right w:type="dxa" w:w="70"/>
            </w:tcMar>
          </w:tcPr>
          <w:p>
            <w:pPr>
              <w:jc w:val="left"/>
            </w:pPr>
            <w:r>
              <w:rPr>
                <w:b w:val="false"/>
                <w:bCs w:val="false"/>
                <w:color w:val="222222"/>
                <w:sz w:val="18"/>
                <w:szCs w:val="18"/>
              </w:rPr>
              <w:t xml:space="preserve">Lookback window</w:t>
            </w:r>
          </w:p>
        </w:tc>
        <w:tc>
          <w:tcPr>
            <w:tcW w:type="dxa" w:w="6960"/>
            <w:shd w:fill="eef1f5" w:color="auto" w:val="clear"/>
            <w:tcMar>
              <w:top w:type="dxa" w:w="40"/>
              <w:left w:type="dxa" w:w="70"/>
              <w:bottom w:type="dxa" w:w="40"/>
              <w:right w:type="dxa" w:w="70"/>
            </w:tcMar>
          </w:tcPr>
          <w:p>
            <w:pPr>
              <w:jc w:val="left"/>
            </w:pPr>
            <w:r>
              <w:rPr>
                <w:b w:val="false"/>
                <w:bCs w:val="false"/>
                <w:color w:val="222222"/>
                <w:sz w:val="18"/>
                <w:szCs w:val="18"/>
              </w:rPr>
              <w:t xml:space="preserve">5 sessions (execution) / 25 sessions (regime)</w:t>
            </w:r>
          </w:p>
        </w:tc>
      </w:tr>
    </w:tbl>
    <w:p>
      <w:pPr>
        <w:shd w:fill="f3f0e6" w:color="auto" w:val="clear"/>
        <w:spacing w:after="100"/>
      </w:pPr>
      <w:r>
        <w:rPr>
          <w:i/>
          <w:iCs/>
          <w:color w:val="8a6d1a"/>
          <w:sz w:val="18"/>
          <w:szCs w:val="18"/>
        </w:rPr>
        <w:t xml:space="preserve">  Daily-open anchor overridden for this run to 00:00 UK (midnight) per the analyst instruction, in place of the standard 07:00 UK European pre-open anchor. The override is recorded in the Agent Log (§20) and affects only the Trade 1 entry timestamp.</w:t>
      </w:r>
    </w:p>
    <w:p>
      <w:pPr>
        <w:pStyle w:val="Heading1"/>
        <w:spacing w:after="120" w:before="260"/>
      </w:pPr>
      <w:r>
        <w:rPr>
          <w:b/>
          <w:bCs/>
          <w:color w:val="1a2942"/>
          <w:sz w:val="28"/>
          <w:szCs w:val="28"/>
        </w:rPr>
        <w:t xml:space="preserve">3 · Consensus Price Call</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2100"/>
        <w:gridCol w:w="2100"/>
        <w:gridCol w:w="1600"/>
        <w:gridCol w:w="1400"/>
        <w:gridCol w:w="216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Consensus level</w:t>
            </w:r>
          </w:p>
        </w:tc>
        <w:tc>
          <w:tcPr>
            <w:shd w:fill="1a2942" w:color="auto" w:val="clear"/>
            <w:tcMar>
              <w:top w:type="dxa" w:w="40"/>
              <w:left w:type="dxa" w:w="70"/>
              <w:bottom w:type="dxa" w:w="40"/>
              <w:right w:type="dxa" w:w="70"/>
            </w:tcMar>
          </w:tcPr>
          <w:p>
            <w:pPr>
              <w:jc w:val="left"/>
            </w:pPr>
            <w:r>
              <w:rPr>
                <w:b/>
                <w:bCs/>
                <w:color w:val="ffffff"/>
                <w:sz w:val="18"/>
                <w:szCs w:val="18"/>
              </w:rPr>
              <w:t xml:space="preserve">Range</w:t>
            </w:r>
          </w:p>
        </w:tc>
        <w:tc>
          <w:tcPr>
            <w:shd w:fill="1a2942" w:color="auto" w:val="clear"/>
            <w:tcMar>
              <w:top w:type="dxa" w:w="40"/>
              <w:left w:type="dxa" w:w="70"/>
              <w:bottom w:type="dxa" w:w="40"/>
              <w:right w:type="dxa" w:w="70"/>
            </w:tcMar>
          </w:tcPr>
          <w:p>
            <w:pPr>
              <w:jc w:val="left"/>
            </w:pPr>
            <w:r>
              <w:rPr>
                <w:b/>
                <w:bCs/>
                <w:color w:val="ffffff"/>
                <w:sz w:val="18"/>
                <w:szCs w:val="18"/>
              </w:rPr>
              <w:t xml:space="preserve">Basis</w:t>
            </w:r>
          </w:p>
        </w:tc>
        <w:tc>
          <w:tcPr>
            <w:shd w:fill="1a2942" w:color="auto" w:val="clear"/>
            <w:tcMar>
              <w:top w:type="dxa" w:w="40"/>
              <w:left w:type="dxa" w:w="70"/>
              <w:bottom w:type="dxa" w:w="40"/>
              <w:right w:type="dxa" w:w="70"/>
            </w:tcMar>
          </w:tcPr>
          <w:p>
            <w:pPr>
              <w:jc w:val="left"/>
            </w:pPr>
            <w:r>
              <w:rPr>
                <w:b/>
                <w:bCs/>
                <w:color w:val="ffffff"/>
                <w:sz w:val="18"/>
                <w:szCs w:val="18"/>
              </w:rPr>
              <w:t xml:space="preserve">Confidence</w:t>
            </w:r>
          </w:p>
        </w:tc>
        <w:tc>
          <w:tcPr>
            <w:shd w:fill="1a2942" w:color="auto" w:val="clear"/>
            <w:tcMar>
              <w:top w:type="dxa" w:w="40"/>
              <w:left w:type="dxa" w:w="70"/>
              <w:bottom w:type="dxa" w:w="40"/>
              <w:right w:type="dxa" w:w="70"/>
            </w:tcMar>
          </w:tcPr>
          <w:p>
            <w:pPr>
              <w:jc w:val="left"/>
            </w:pPr>
            <w:r>
              <w:rPr>
                <w:b/>
                <w:bCs/>
                <w:color w:val="ffffff"/>
                <w:sz w:val="18"/>
                <w:szCs w:val="18"/>
              </w:rPr>
              <w:t xml:space="preserve">Tone</w:t>
            </w:r>
          </w:p>
        </w:tc>
      </w:tr>
      <w:tr>
        <w:tc>
          <w:tcPr>
            <w:tcW w:type="dxa" w:w="2100"/>
            <w:shd w:fill="ffffff" w:color="auto" w:val="clear"/>
            <w:tcMar>
              <w:top w:type="dxa" w:w="40"/>
              <w:left w:type="dxa" w:w="70"/>
              <w:bottom w:type="dxa" w:w="40"/>
              <w:right w:type="dxa" w:w="70"/>
            </w:tcMar>
          </w:tcPr>
          <w:p>
            <w:pPr>
              <w:jc w:val="left"/>
            </w:pPr>
            <w:r>
              <w:rPr>
                <w:b/>
                <w:bCs/>
                <w:color w:val="1a2942"/>
                <w:sz w:val="18"/>
                <w:szCs w:val="18"/>
              </w:rPr>
              <w:t xml:space="preserve">10,498 pts</w:t>
            </w:r>
          </w:p>
        </w:tc>
        <w:tc>
          <w:tcPr>
            <w:tcW w:type="dxa" w:w="2100"/>
            <w:shd w:fill="ffffff" w:color="auto" w:val="clear"/>
            <w:tcMar>
              <w:top w:type="dxa" w:w="40"/>
              <w:left w:type="dxa" w:w="70"/>
              <w:bottom w:type="dxa" w:w="40"/>
              <w:right w:type="dxa" w:w="70"/>
            </w:tcMar>
          </w:tcPr>
          <w:p>
            <w:pPr>
              <w:jc w:val="left"/>
            </w:pPr>
            <w:r>
              <w:rPr>
                <w:b w:val="false"/>
                <w:bCs w:val="false"/>
                <w:color w:val="222222"/>
                <w:sz w:val="18"/>
                <w:szCs w:val="18"/>
              </w:rPr>
              <w:t xml:space="preserve">10,465 – 10,532</w:t>
            </w:r>
          </w:p>
        </w:tc>
        <w:tc>
          <w:tcPr>
            <w:tcW w:type="dxa" w:w="1600"/>
            <w:shd w:fill="ffffff" w:color="auto" w:val="clear"/>
            <w:tcMar>
              <w:top w:type="dxa" w:w="40"/>
              <w:left w:type="dxa" w:w="70"/>
              <w:bottom w:type="dxa" w:w="40"/>
              <w:right w:type="dxa" w:w="70"/>
            </w:tcMar>
          </w:tcPr>
          <w:p>
            <w:pPr>
              <w:jc w:val="left"/>
            </w:pPr>
            <w:r>
              <w:rPr>
                <w:b w:val="false"/>
                <w:bCs w:val="false"/>
                <w:color w:val="222222"/>
                <w:sz w:val="18"/>
                <w:szCs w:val="18"/>
              </w:rPr>
              <w:t xml:space="preserve">Cash close (13 Jul) → 14 Jul pre-open</w:t>
            </w:r>
          </w:p>
        </w:tc>
        <w:tc>
          <w:tcPr>
            <w:tcW w:type="dxa" w:w="1400"/>
            <w:shd w:fill="ffffff" w:color="auto" w:val="clear"/>
            <w:tcMar>
              <w:top w:type="dxa" w:w="40"/>
              <w:left w:type="dxa" w:w="70"/>
              <w:bottom w:type="dxa" w:w="40"/>
              <w:right w:type="dxa" w:w="70"/>
            </w:tcMar>
          </w:tcPr>
          <w:p>
            <w:pPr>
              <w:jc w:val="left"/>
            </w:pPr>
            <w:r>
              <w:rPr>
                <w:b/>
                <w:bCs/>
                <w:color w:val="222222"/>
                <w:sz w:val="18"/>
                <w:szCs w:val="18"/>
              </w:rPr>
              <w:t xml:space="preserve">Medium</w:t>
            </w:r>
          </w:p>
        </w:tc>
        <w:tc>
          <w:tcPr>
            <w:tcW w:type="dxa" w:w="2160"/>
            <w:shd w:fill="ffffff" w:color="auto" w:val="clear"/>
            <w:tcMar>
              <w:top w:type="dxa" w:w="40"/>
              <w:left w:type="dxa" w:w="70"/>
              <w:bottom w:type="dxa" w:w="40"/>
              <w:right w:type="dxa" w:w="70"/>
            </w:tcMar>
          </w:tcPr>
          <w:p>
            <w:pPr>
              <w:jc w:val="left"/>
            </w:pPr>
            <w:r>
              <w:rPr>
                <w:b w:val="false"/>
                <w:bCs w:val="false"/>
                <w:color w:val="c0392b"/>
                <w:sz w:val="18"/>
                <w:szCs w:val="18"/>
              </w:rPr>
              <w:t xml:space="preserve">Balanced / mild-negative</w:t>
            </w:r>
          </w:p>
        </w:tc>
      </w:tr>
    </w:tbl>
    <w:p>
      <w:pPr>
        <w:spacing w:after="100" w:line="264"/>
      </w:pPr>
      <w:r>
        <w:rPr>
          <w:sz w:val="20"/>
          <w:szCs w:val="20"/>
        </w:rPr>
        <w:t xml:space="preserve">Rationale: The 13 July official close of </w:t>
      </w:r>
      <w:r>
        <w:rPr>
          <w:b/>
          <w:bCs/>
          <w:sz w:val="20"/>
          <w:szCs w:val="20"/>
        </w:rPr>
        <w:t xml:space="preserve">10,498.29</w:t>
      </w:r>
      <w:r>
        <w:rPr>
          <w:sz w:val="20"/>
          <w:szCs w:val="20"/>
        </w:rPr>
        <w:t xml:space="preserve"> is corroborated to within ±0.10 pt across primary sources and sits within a tight 67-point intraday band. The forward reference for the 14 July open is anchored to that close; overnight futures and the Asian-session risk tone (Nikkei −1.9%, weaker Wall Street tech) argue for a soft open, but the energy bid partially offsets. The range is bounded by the 13 July session extremes.</w:t>
      </w:r>
    </w:p>
    <w:p>
      <w:pPr>
        <w:pStyle w:val="Heading1"/>
        <w:spacing w:after="120" w:before="260"/>
      </w:pPr>
      <w:r>
        <w:rPr>
          <w:b/>
          <w:bCs/>
          <w:color w:val="1a2942"/>
          <w:sz w:val="28"/>
          <w:szCs w:val="28"/>
        </w:rPr>
        <w:t xml:space="preserve">4 · Price Evidence Table</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1550"/>
        <w:gridCol w:w="1150"/>
        <w:gridCol w:w="1400"/>
        <w:gridCol w:w="1400"/>
        <w:gridCol w:w="1360"/>
        <w:gridCol w:w="1050"/>
        <w:gridCol w:w="145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Source</w:t>
            </w:r>
          </w:p>
        </w:tc>
        <w:tc>
          <w:tcPr>
            <w:shd w:fill="1a2942" w:color="auto" w:val="clear"/>
            <w:tcMar>
              <w:top w:type="dxa" w:w="40"/>
              <w:left w:type="dxa" w:w="70"/>
              <w:bottom w:type="dxa" w:w="40"/>
              <w:right w:type="dxa" w:w="70"/>
            </w:tcMar>
          </w:tcPr>
          <w:p>
            <w:pPr>
              <w:jc w:val="left"/>
            </w:pPr>
            <w:r>
              <w:rPr>
                <w:b/>
                <w:bCs/>
                <w:color w:val="ffffff"/>
                <w:sz w:val="18"/>
                <w:szCs w:val="18"/>
              </w:rPr>
              <w:t xml:space="preserve">Date/Time</w:t>
            </w:r>
          </w:p>
        </w:tc>
        <w:tc>
          <w:tcPr>
            <w:shd w:fill="1a2942" w:color="auto" w:val="clear"/>
            <w:tcMar>
              <w:top w:type="dxa" w:w="40"/>
              <w:left w:type="dxa" w:w="70"/>
              <w:bottom w:type="dxa" w:w="40"/>
              <w:right w:type="dxa" w:w="70"/>
            </w:tcMar>
          </w:tcPr>
          <w:p>
            <w:pPr>
              <w:jc w:val="left"/>
            </w:pPr>
            <w:r>
              <w:rPr>
                <w:b/>
                <w:bCs/>
                <w:color w:val="ffffff"/>
                <w:sz w:val="18"/>
                <w:szCs w:val="18"/>
              </w:rPr>
              <w:t xml:space="preserve">Raw quote (Close)</w:t>
            </w:r>
          </w:p>
        </w:tc>
        <w:tc>
          <w:tcPr>
            <w:shd w:fill="1a2942" w:color="auto" w:val="clear"/>
            <w:tcMar>
              <w:top w:type="dxa" w:w="40"/>
              <w:left w:type="dxa" w:w="70"/>
              <w:bottom w:type="dxa" w:w="40"/>
              <w:right w:type="dxa" w:w="70"/>
            </w:tcMar>
          </w:tcPr>
          <w:p>
            <w:pPr>
              <w:jc w:val="left"/>
            </w:pPr>
            <w:r>
              <w:rPr>
                <w:b/>
                <w:bCs/>
                <w:color w:val="ffffff"/>
                <w:sz w:val="18"/>
                <w:szCs w:val="18"/>
              </w:rPr>
              <w:t xml:space="preserve">Normalized (pts)</w:t>
            </w:r>
          </w:p>
        </w:tc>
        <w:tc>
          <w:tcPr>
            <w:shd w:fill="1a2942" w:color="auto" w:val="clear"/>
            <w:tcMar>
              <w:top w:type="dxa" w:w="40"/>
              <w:left w:type="dxa" w:w="70"/>
              <w:bottom w:type="dxa" w:w="40"/>
              <w:right w:type="dxa" w:w="70"/>
            </w:tcMar>
          </w:tcPr>
          <w:p>
            <w:pPr>
              <w:jc w:val="left"/>
            </w:pPr>
            <w:r>
              <w:rPr>
                <w:b/>
                <w:bCs/>
                <w:color w:val="ffffff"/>
                <w:sz w:val="18"/>
                <w:szCs w:val="18"/>
              </w:rPr>
              <w:t xml:space="preserve">Basis / Location</w:t>
            </w:r>
          </w:p>
        </w:tc>
        <w:tc>
          <w:tcPr>
            <w:shd w:fill="1a2942" w:color="auto" w:val="clear"/>
            <w:tcMar>
              <w:top w:type="dxa" w:w="40"/>
              <w:left w:type="dxa" w:w="70"/>
              <w:bottom w:type="dxa" w:w="40"/>
              <w:right w:type="dxa" w:w="70"/>
            </w:tcMar>
          </w:tcPr>
          <w:p>
            <w:pPr>
              <w:jc w:val="left"/>
            </w:pPr>
            <w:r>
              <w:rPr>
                <w:b/>
                <w:bCs/>
                <w:color w:val="ffffff"/>
                <w:sz w:val="18"/>
                <w:szCs w:val="18"/>
              </w:rPr>
              <w:t xml:space="preserve">Class</w:t>
            </w:r>
          </w:p>
        </w:tc>
        <w:tc>
          <w:tcPr>
            <w:shd w:fill="1a2942" w:color="auto" w:val="clear"/>
            <w:tcMar>
              <w:top w:type="dxa" w:w="40"/>
              <w:left w:type="dxa" w:w="70"/>
              <w:bottom w:type="dxa" w:w="40"/>
              <w:right w:type="dxa" w:w="70"/>
            </w:tcMar>
          </w:tcPr>
          <w:p>
            <w:pPr>
              <w:jc w:val="left"/>
            </w:pPr>
            <w:r>
              <w:rPr>
                <w:b/>
                <w:bCs/>
                <w:color w:val="ffffff"/>
                <w:sz w:val="18"/>
                <w:szCs w:val="18"/>
              </w:rPr>
              <w:t xml:space="preserve">Notes</w:t>
            </w:r>
          </w:p>
        </w:tc>
      </w:tr>
      <w:tr>
        <w:tc>
          <w:tcPr>
            <w:tcW w:type="dxa" w:w="1550"/>
            <w:shd w:fill="ffffff" w:color="auto" w:val="clear"/>
            <w:tcMar>
              <w:top w:type="dxa" w:w="40"/>
              <w:left w:type="dxa" w:w="70"/>
              <w:bottom w:type="dxa" w:w="40"/>
              <w:right w:type="dxa" w:w="70"/>
            </w:tcMar>
          </w:tcPr>
          <w:p>
            <w:pPr>
              <w:jc w:val="left"/>
            </w:pPr>
            <w:r>
              <w:rPr>
                <w:b w:val="false"/>
                <w:bCs w:val="false"/>
                <w:color w:val="222222"/>
                <w:sz w:val="18"/>
                <w:szCs w:val="18"/>
              </w:rPr>
              <w:t xml:space="preserve">BBN Times</w:t>
            </w:r>
          </w:p>
        </w:tc>
        <w:tc>
          <w:tcPr>
            <w:tcW w:type="dxa" w:w="1150"/>
            <w:shd w:fill="ffffff" w:color="auto" w:val="clear"/>
            <w:tcMar>
              <w:top w:type="dxa" w:w="40"/>
              <w:left w:type="dxa" w:w="70"/>
              <w:bottom w:type="dxa" w:w="40"/>
              <w:right w:type="dxa" w:w="70"/>
            </w:tcMar>
          </w:tcPr>
          <w:p>
            <w:pPr>
              <w:jc w:val="left"/>
            </w:pPr>
            <w:r>
              <w:rPr>
                <w:b w:val="false"/>
                <w:bCs w:val="false"/>
                <w:color w:val="222222"/>
                <w:sz w:val="18"/>
                <w:szCs w:val="18"/>
              </w:rPr>
              <w:t xml:space="preserve">13 Jul 17:00</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10,498.29</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10,498.29</w:t>
            </w:r>
          </w:p>
        </w:tc>
        <w:tc>
          <w:tcPr>
            <w:tcW w:type="dxa" w:w="1360"/>
            <w:shd w:fill="ffffff" w:color="auto" w:val="clear"/>
            <w:tcMar>
              <w:top w:type="dxa" w:w="40"/>
              <w:left w:type="dxa" w:w="70"/>
              <w:bottom w:type="dxa" w:w="40"/>
              <w:right w:type="dxa" w:w="70"/>
            </w:tcMar>
          </w:tcPr>
          <w:p>
            <w:pPr>
              <w:jc w:val="left"/>
            </w:pPr>
            <w:r>
              <w:rPr>
                <w:b w:val="false"/>
                <w:bCs w:val="false"/>
                <w:color w:val="222222"/>
                <w:sz w:val="18"/>
                <w:szCs w:val="18"/>
              </w:rPr>
              <w:t xml:space="preserve">LSE cash close</w:t>
            </w:r>
          </w:p>
        </w:tc>
        <w:tc>
          <w:tcPr>
            <w:tcW w:type="dxa" w:w="1050"/>
            <w:shd w:fill="ffffff" w:color="auto" w:val="clear"/>
            <w:tcMar>
              <w:top w:type="dxa" w:w="40"/>
              <w:left w:type="dxa" w:w="70"/>
              <w:bottom w:type="dxa" w:w="40"/>
              <w:right w:type="dxa" w:w="70"/>
            </w:tcMar>
          </w:tcPr>
          <w:p>
            <w:pPr>
              <w:jc w:val="left"/>
            </w:pPr>
            <w:r>
              <w:rPr>
                <w:b w:val="false"/>
                <w:bCs w:val="false"/>
                <w:color w:val="222222"/>
                <w:sz w:val="18"/>
                <w:szCs w:val="18"/>
              </w:rPr>
              <w:t xml:space="preserve">Core</w:t>
            </w:r>
          </w:p>
        </w:tc>
        <w:tc>
          <w:tcPr>
            <w:tcW w:type="dxa" w:w="1450"/>
            <w:shd w:fill="ffffff" w:color="auto" w:val="clear"/>
            <w:tcMar>
              <w:top w:type="dxa" w:w="40"/>
              <w:left w:type="dxa" w:w="70"/>
              <w:bottom w:type="dxa" w:w="40"/>
              <w:right w:type="dxa" w:w="70"/>
            </w:tcMar>
          </w:tcPr>
          <w:p>
            <w:pPr>
              <w:jc w:val="left"/>
            </w:pPr>
            <w:r>
              <w:rPr>
                <w:b w:val="false"/>
                <w:bCs w:val="false"/>
                <w:color w:val="222222"/>
                <w:sz w:val="18"/>
                <w:szCs w:val="18"/>
              </w:rPr>
              <w:t xml:space="preserve">Full OHLC recap</w:t>
            </w:r>
          </w:p>
        </w:tc>
      </w:tr>
      <w:tr>
        <w:tc>
          <w:tcPr>
            <w:tcW w:type="dxa" w:w="1550"/>
            <w:shd w:fill="eef1f5" w:color="auto" w:val="clear"/>
            <w:tcMar>
              <w:top w:type="dxa" w:w="40"/>
              <w:left w:type="dxa" w:w="70"/>
              <w:bottom w:type="dxa" w:w="40"/>
              <w:right w:type="dxa" w:w="70"/>
            </w:tcMar>
          </w:tcPr>
          <w:p>
            <w:pPr>
              <w:jc w:val="left"/>
            </w:pPr>
            <w:r>
              <w:rPr>
                <w:b w:val="false"/>
                <w:bCs w:val="false"/>
                <w:color w:val="222222"/>
                <w:sz w:val="18"/>
                <w:szCs w:val="18"/>
              </w:rPr>
              <w:t xml:space="preserve">Share Talk</w:t>
            </w:r>
          </w:p>
        </w:tc>
        <w:tc>
          <w:tcPr>
            <w:tcW w:type="dxa" w:w="1150"/>
            <w:shd w:fill="eef1f5" w:color="auto" w:val="clear"/>
            <w:tcMar>
              <w:top w:type="dxa" w:w="40"/>
              <w:left w:type="dxa" w:w="70"/>
              <w:bottom w:type="dxa" w:w="40"/>
              <w:right w:type="dxa" w:w="70"/>
            </w:tcMar>
          </w:tcPr>
          <w:p>
            <w:pPr>
              <w:jc w:val="left"/>
            </w:pPr>
            <w:r>
              <w:rPr>
                <w:b w:val="false"/>
                <w:bCs w:val="false"/>
                <w:color w:val="222222"/>
                <w:sz w:val="18"/>
                <w:szCs w:val="18"/>
              </w:rPr>
              <w:t xml:space="preserve">13 Jul 17:28</w:t>
            </w:r>
          </w:p>
        </w:tc>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10,498.29</w:t>
            </w:r>
          </w:p>
        </w:tc>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10,498.29</w:t>
            </w:r>
          </w:p>
        </w:tc>
        <w:tc>
          <w:tcPr>
            <w:tcW w:type="dxa" w:w="1360"/>
            <w:shd w:fill="eef1f5" w:color="auto" w:val="clear"/>
            <w:tcMar>
              <w:top w:type="dxa" w:w="40"/>
              <w:left w:type="dxa" w:w="70"/>
              <w:bottom w:type="dxa" w:w="40"/>
              <w:right w:type="dxa" w:w="70"/>
            </w:tcMar>
          </w:tcPr>
          <w:p>
            <w:pPr>
              <w:jc w:val="left"/>
            </w:pPr>
            <w:r>
              <w:rPr>
                <w:b w:val="false"/>
                <w:bCs w:val="false"/>
                <w:color w:val="222222"/>
                <w:sz w:val="18"/>
                <w:szCs w:val="18"/>
              </w:rPr>
              <w:t xml:space="preserve">LSE cash close</w:t>
            </w:r>
          </w:p>
        </w:tc>
        <w:tc>
          <w:tcPr>
            <w:tcW w:type="dxa" w:w="1050"/>
            <w:shd w:fill="eef1f5" w:color="auto" w:val="clear"/>
            <w:tcMar>
              <w:top w:type="dxa" w:w="40"/>
              <w:left w:type="dxa" w:w="70"/>
              <w:bottom w:type="dxa" w:w="40"/>
              <w:right w:type="dxa" w:w="70"/>
            </w:tcMar>
          </w:tcPr>
          <w:p>
            <w:pPr>
              <w:jc w:val="left"/>
            </w:pPr>
            <w:r>
              <w:rPr>
                <w:b w:val="false"/>
                <w:bCs w:val="false"/>
                <w:color w:val="222222"/>
                <w:sz w:val="18"/>
                <w:szCs w:val="18"/>
              </w:rPr>
              <w:t xml:space="preserve">Core</w:t>
            </w:r>
          </w:p>
        </w:tc>
        <w:tc>
          <w:tcPr>
            <w:tcW w:type="dxa" w:w="1450"/>
            <w:shd w:fill="eef1f5" w:color="auto" w:val="clear"/>
            <w:tcMar>
              <w:top w:type="dxa" w:w="40"/>
              <w:left w:type="dxa" w:w="70"/>
              <w:bottom w:type="dxa" w:w="40"/>
              <w:right w:type="dxa" w:w="70"/>
            </w:tcMar>
          </w:tcPr>
          <w:p>
            <w:pPr>
              <w:jc w:val="left"/>
            </w:pPr>
            <w:r>
              <w:rPr>
                <w:b w:val="false"/>
                <w:bCs w:val="false"/>
                <w:color w:val="222222"/>
                <w:sz w:val="18"/>
                <w:szCs w:val="18"/>
              </w:rPr>
              <w:t xml:space="preserve">+1.00 pt on day</w:t>
            </w:r>
          </w:p>
        </w:tc>
      </w:tr>
      <w:tr>
        <w:tc>
          <w:tcPr>
            <w:tcW w:type="dxa" w:w="1550"/>
            <w:shd w:fill="ffffff" w:color="auto" w:val="clear"/>
            <w:tcMar>
              <w:top w:type="dxa" w:w="40"/>
              <w:left w:type="dxa" w:w="70"/>
              <w:bottom w:type="dxa" w:w="40"/>
              <w:right w:type="dxa" w:w="70"/>
            </w:tcMar>
          </w:tcPr>
          <w:p>
            <w:pPr>
              <w:jc w:val="left"/>
            </w:pPr>
            <w:r>
              <w:rPr>
                <w:b w:val="false"/>
                <w:bCs w:val="false"/>
                <w:color w:val="222222"/>
                <w:sz w:val="18"/>
                <w:szCs w:val="18"/>
              </w:rPr>
              <w:t xml:space="preserve">Investing.com</w:t>
            </w:r>
          </w:p>
        </w:tc>
        <w:tc>
          <w:tcPr>
            <w:tcW w:type="dxa" w:w="1150"/>
            <w:shd w:fill="ffffff" w:color="auto" w:val="clear"/>
            <w:tcMar>
              <w:top w:type="dxa" w:w="40"/>
              <w:left w:type="dxa" w:w="70"/>
              <w:bottom w:type="dxa" w:w="40"/>
              <w:right w:type="dxa" w:w="70"/>
            </w:tcMar>
          </w:tcPr>
          <w:p>
            <w:pPr>
              <w:jc w:val="left"/>
            </w:pPr>
            <w:r>
              <w:rPr>
                <w:b w:val="false"/>
                <w:bCs w:val="false"/>
                <w:color w:val="222222"/>
                <w:sz w:val="18"/>
                <w:szCs w:val="18"/>
              </w:rPr>
              <w:t xml:space="preserve">13 Jul EOD</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10,498.05 (open)</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1360"/>
            <w:shd w:fill="ffffff" w:color="auto" w:val="clear"/>
            <w:tcMar>
              <w:top w:type="dxa" w:w="40"/>
              <w:left w:type="dxa" w:w="70"/>
              <w:bottom w:type="dxa" w:w="40"/>
              <w:right w:type="dxa" w:w="70"/>
            </w:tcMar>
          </w:tcPr>
          <w:p>
            <w:pPr>
              <w:jc w:val="left"/>
            </w:pPr>
            <w:r>
              <w:rPr>
                <w:b w:val="false"/>
                <w:bCs w:val="false"/>
                <w:color w:val="222222"/>
                <w:sz w:val="18"/>
                <w:szCs w:val="18"/>
              </w:rPr>
              <w:t xml:space="preserve">LSE derived</w:t>
            </w:r>
          </w:p>
        </w:tc>
        <w:tc>
          <w:tcPr>
            <w:tcW w:type="dxa" w:w="1050"/>
            <w:shd w:fill="ffffff" w:color="auto" w:val="clear"/>
            <w:tcMar>
              <w:top w:type="dxa" w:w="40"/>
              <w:left w:type="dxa" w:w="70"/>
              <w:bottom w:type="dxa" w:w="40"/>
              <w:right w:type="dxa" w:w="70"/>
            </w:tcMar>
          </w:tcPr>
          <w:p>
            <w:pPr>
              <w:jc w:val="left"/>
            </w:pPr>
            <w:r>
              <w:rPr>
                <w:b w:val="false"/>
                <w:bCs w:val="false"/>
                <w:color w:val="222222"/>
                <w:sz w:val="18"/>
                <w:szCs w:val="18"/>
              </w:rPr>
              <w:t xml:space="preserve">Core</w:t>
            </w:r>
          </w:p>
        </w:tc>
        <w:tc>
          <w:tcPr>
            <w:tcW w:type="dxa" w:w="1450"/>
            <w:shd w:fill="ffffff" w:color="auto" w:val="clear"/>
            <w:tcMar>
              <w:top w:type="dxa" w:w="40"/>
              <w:left w:type="dxa" w:w="70"/>
              <w:bottom w:type="dxa" w:w="40"/>
              <w:right w:type="dxa" w:w="70"/>
            </w:tcMar>
          </w:tcPr>
          <w:p>
            <w:pPr>
              <w:jc w:val="left"/>
            </w:pPr>
            <w:r>
              <w:rPr>
                <w:b w:val="false"/>
                <w:bCs w:val="false"/>
                <w:color w:val="222222"/>
                <w:sz w:val="18"/>
                <w:szCs w:val="18"/>
              </w:rPr>
              <w:t xml:space="preserve">Open corroboration</w:t>
            </w:r>
          </w:p>
        </w:tc>
      </w:tr>
      <w:tr>
        <w:tc>
          <w:tcPr>
            <w:tcW w:type="dxa" w:w="1550"/>
            <w:shd w:fill="eef1f5" w:color="auto" w:val="clear"/>
            <w:tcMar>
              <w:top w:type="dxa" w:w="40"/>
              <w:left w:type="dxa" w:w="70"/>
              <w:bottom w:type="dxa" w:w="40"/>
              <w:right w:type="dxa" w:w="70"/>
            </w:tcMar>
          </w:tcPr>
          <w:p>
            <w:pPr>
              <w:jc w:val="left"/>
            </w:pPr>
            <w:r>
              <w:rPr>
                <w:b w:val="false"/>
                <w:bCs w:val="false"/>
                <w:color w:val="222222"/>
                <w:sz w:val="18"/>
                <w:szCs w:val="18"/>
              </w:rPr>
              <w:t xml:space="preserve">Trading Economics</w:t>
            </w:r>
          </w:p>
        </w:tc>
        <w:tc>
          <w:tcPr>
            <w:tcW w:type="dxa" w:w="1150"/>
            <w:shd w:fill="eef1f5" w:color="auto" w:val="clear"/>
            <w:tcMar>
              <w:top w:type="dxa" w:w="40"/>
              <w:left w:type="dxa" w:w="70"/>
              <w:bottom w:type="dxa" w:w="40"/>
              <w:right w:type="dxa" w:w="70"/>
            </w:tcMar>
          </w:tcPr>
          <w:p>
            <w:pPr>
              <w:jc w:val="left"/>
            </w:pPr>
            <w:r>
              <w:rPr>
                <w:b w:val="false"/>
                <w:bCs w:val="false"/>
                <w:color w:val="222222"/>
                <w:sz w:val="18"/>
                <w:szCs w:val="18"/>
              </w:rPr>
              <w:t xml:space="preserve">13 Jul</w:t>
            </w:r>
          </w:p>
        </w:tc>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≈10,498 (flat)</w:t>
            </w:r>
          </w:p>
        </w:tc>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10,498.29</w:t>
            </w:r>
          </w:p>
        </w:tc>
        <w:tc>
          <w:tcPr>
            <w:tcW w:type="dxa" w:w="1360"/>
            <w:shd w:fill="eef1f5" w:color="auto" w:val="clear"/>
            <w:tcMar>
              <w:top w:type="dxa" w:w="40"/>
              <w:left w:type="dxa" w:w="70"/>
              <w:bottom w:type="dxa" w:w="40"/>
              <w:right w:type="dxa" w:w="70"/>
            </w:tcMar>
          </w:tcPr>
          <w:p>
            <w:pPr>
              <w:jc w:val="left"/>
            </w:pPr>
            <w:r>
              <w:rPr>
                <w:b w:val="false"/>
                <w:bCs w:val="false"/>
                <w:color w:val="222222"/>
                <w:sz w:val="18"/>
                <w:szCs w:val="18"/>
              </w:rPr>
              <w:t xml:space="preserve">LSE cash</w:t>
            </w:r>
          </w:p>
        </w:tc>
        <w:tc>
          <w:tcPr>
            <w:tcW w:type="dxa" w:w="1050"/>
            <w:shd w:fill="eef1f5" w:color="auto" w:val="clear"/>
            <w:tcMar>
              <w:top w:type="dxa" w:w="40"/>
              <w:left w:type="dxa" w:w="70"/>
              <w:bottom w:type="dxa" w:w="40"/>
              <w:right w:type="dxa" w:w="70"/>
            </w:tcMar>
          </w:tcPr>
          <w:p>
            <w:pPr>
              <w:jc w:val="left"/>
            </w:pPr>
            <w:r>
              <w:rPr>
                <w:b w:val="false"/>
                <w:bCs w:val="false"/>
                <w:color w:val="222222"/>
                <w:sz w:val="18"/>
                <w:szCs w:val="18"/>
              </w:rPr>
              <w:t xml:space="preserve">Directional</w:t>
            </w:r>
          </w:p>
        </w:tc>
        <w:tc>
          <w:tcPr>
            <w:tcW w:type="dxa" w:w="1450"/>
            <w:shd w:fill="eef1f5" w:color="auto" w:val="clear"/>
            <w:tcMar>
              <w:top w:type="dxa" w:w="40"/>
              <w:left w:type="dxa" w:w="70"/>
              <w:bottom w:type="dxa" w:w="40"/>
              <w:right w:type="dxa" w:w="70"/>
            </w:tcMar>
          </w:tcPr>
          <w:p>
            <w:pPr>
              <w:jc w:val="left"/>
            </w:pPr>
            <w:r>
              <w:rPr>
                <w:b w:val="false"/>
                <w:bCs w:val="false"/>
                <w:color w:val="222222"/>
                <w:sz w:val="18"/>
                <w:szCs w:val="18"/>
              </w:rPr>
              <w:t xml:space="preserve">Confirms flat close</w:t>
            </w:r>
          </w:p>
        </w:tc>
      </w:tr>
      <w:tr>
        <w:tc>
          <w:tcPr>
            <w:tcW w:type="dxa" w:w="1550"/>
            <w:shd w:fill="ffffff" w:color="auto" w:val="clear"/>
            <w:tcMar>
              <w:top w:type="dxa" w:w="40"/>
              <w:left w:type="dxa" w:w="70"/>
              <w:bottom w:type="dxa" w:w="40"/>
              <w:right w:type="dxa" w:w="70"/>
            </w:tcMar>
          </w:tcPr>
          <w:p>
            <w:pPr>
              <w:jc w:val="left"/>
            </w:pPr>
            <w:r>
              <w:rPr>
                <w:b w:val="false"/>
                <w:bCs w:val="false"/>
                <w:color w:val="222222"/>
                <w:sz w:val="18"/>
                <w:szCs w:val="18"/>
              </w:rPr>
              <w:t xml:space="preserve">Reuters/Euronext</w:t>
            </w:r>
          </w:p>
        </w:tc>
        <w:tc>
          <w:tcPr>
            <w:tcW w:type="dxa" w:w="1150"/>
            <w:shd w:fill="ffffff" w:color="auto" w:val="clear"/>
            <w:tcMar>
              <w:top w:type="dxa" w:w="40"/>
              <w:left w:type="dxa" w:w="70"/>
              <w:bottom w:type="dxa" w:w="40"/>
              <w:right w:type="dxa" w:w="70"/>
            </w:tcMar>
          </w:tcPr>
          <w:p>
            <w:pPr>
              <w:jc w:val="left"/>
            </w:pPr>
            <w:r>
              <w:rPr>
                <w:b w:val="false"/>
                <w:bCs w:val="false"/>
                <w:color w:val="222222"/>
                <w:sz w:val="18"/>
                <w:szCs w:val="18"/>
              </w:rPr>
              <w:t xml:space="preserve">13 Jul 09:27</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10,499.88 (intraday)</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1360"/>
            <w:shd w:fill="ffffff" w:color="auto" w:val="clear"/>
            <w:tcMar>
              <w:top w:type="dxa" w:w="40"/>
              <w:left w:type="dxa" w:w="70"/>
              <w:bottom w:type="dxa" w:w="40"/>
              <w:right w:type="dxa" w:w="70"/>
            </w:tcMar>
          </w:tcPr>
          <w:p>
            <w:pPr>
              <w:jc w:val="left"/>
            </w:pPr>
            <w:r>
              <w:rPr>
                <w:b w:val="false"/>
                <w:bCs w:val="false"/>
                <w:color w:val="222222"/>
                <w:sz w:val="18"/>
                <w:szCs w:val="18"/>
              </w:rPr>
              <w:t xml:space="preserve">LSE cash</w:t>
            </w:r>
          </w:p>
        </w:tc>
        <w:tc>
          <w:tcPr>
            <w:tcW w:type="dxa" w:w="1050"/>
            <w:shd w:fill="ffffff" w:color="auto" w:val="clear"/>
            <w:tcMar>
              <w:top w:type="dxa" w:w="40"/>
              <w:left w:type="dxa" w:w="70"/>
              <w:bottom w:type="dxa" w:w="40"/>
              <w:right w:type="dxa" w:w="70"/>
            </w:tcMar>
          </w:tcPr>
          <w:p>
            <w:pPr>
              <w:jc w:val="left"/>
            </w:pPr>
            <w:r>
              <w:rPr>
                <w:b w:val="false"/>
                <w:bCs w:val="false"/>
                <w:color w:val="222222"/>
                <w:sz w:val="18"/>
                <w:szCs w:val="18"/>
              </w:rPr>
              <w:t xml:space="preserve">Directional</w:t>
            </w:r>
          </w:p>
        </w:tc>
        <w:tc>
          <w:tcPr>
            <w:tcW w:type="dxa" w:w="1450"/>
            <w:shd w:fill="ffffff" w:color="auto" w:val="clear"/>
            <w:tcMar>
              <w:top w:type="dxa" w:w="40"/>
              <w:left w:type="dxa" w:w="70"/>
              <w:bottom w:type="dxa" w:w="40"/>
              <w:right w:type="dxa" w:w="70"/>
            </w:tcMar>
          </w:tcPr>
          <w:p>
            <w:pPr>
              <w:jc w:val="left"/>
            </w:pPr>
            <w:r>
              <w:rPr>
                <w:b w:val="false"/>
                <w:bCs w:val="false"/>
                <w:color w:val="222222"/>
                <w:sz w:val="18"/>
                <w:szCs w:val="18"/>
              </w:rPr>
              <w:t xml:space="preserve">Mid-session print</w:t>
            </w:r>
          </w:p>
        </w:tc>
      </w:tr>
      <w:tr>
        <w:tc>
          <w:tcPr>
            <w:tcW w:type="dxa" w:w="1550"/>
            <w:shd w:fill="eef1f5" w:color="auto" w:val="clear"/>
            <w:tcMar>
              <w:top w:type="dxa" w:w="40"/>
              <w:left w:type="dxa" w:w="70"/>
              <w:bottom w:type="dxa" w:w="40"/>
              <w:right w:type="dxa" w:w="70"/>
            </w:tcMar>
          </w:tcPr>
          <w:p>
            <w:pPr>
              <w:jc w:val="left"/>
            </w:pPr>
            <w:r>
              <w:rPr>
                <w:b w:val="false"/>
                <w:bCs w:val="false"/>
                <w:color w:val="222222"/>
                <w:sz w:val="18"/>
                <w:szCs w:val="18"/>
              </w:rPr>
              <w:t xml:space="preserve">Yahoo Finance</w:t>
            </w:r>
          </w:p>
        </w:tc>
        <w:tc>
          <w:tcPr>
            <w:tcW w:type="dxa" w:w="1150"/>
            <w:shd w:fill="eef1f5" w:color="auto" w:val="clear"/>
            <w:tcMar>
              <w:top w:type="dxa" w:w="40"/>
              <w:left w:type="dxa" w:w="70"/>
              <w:bottom w:type="dxa" w:w="40"/>
              <w:right w:type="dxa" w:w="70"/>
            </w:tcMar>
          </w:tcPr>
          <w:p>
            <w:pPr>
              <w:jc w:val="left"/>
            </w:pPr>
            <w:r>
              <w:rPr>
                <w:b w:val="false"/>
                <w:bCs w:val="false"/>
                <w:color w:val="222222"/>
                <w:sz w:val="18"/>
                <w:szCs w:val="18"/>
              </w:rPr>
              <w:t xml:space="preserve">10 Jul close</w:t>
            </w:r>
          </w:p>
        </w:tc>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10,497.29</w:t>
            </w:r>
          </w:p>
        </w:tc>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10,497.29</w:t>
            </w:r>
          </w:p>
        </w:tc>
        <w:tc>
          <w:tcPr>
            <w:tcW w:type="dxa" w:w="1360"/>
            <w:shd w:fill="eef1f5" w:color="auto" w:val="clear"/>
            <w:tcMar>
              <w:top w:type="dxa" w:w="40"/>
              <w:left w:type="dxa" w:w="70"/>
              <w:bottom w:type="dxa" w:w="40"/>
              <w:right w:type="dxa" w:w="70"/>
            </w:tcMar>
          </w:tcPr>
          <w:p>
            <w:pPr>
              <w:jc w:val="left"/>
            </w:pPr>
            <w:r>
              <w:rPr>
                <w:b w:val="false"/>
                <w:bCs w:val="false"/>
                <w:color w:val="222222"/>
                <w:sz w:val="18"/>
                <w:szCs w:val="18"/>
              </w:rPr>
              <w:t xml:space="preserve">LSE cash</w:t>
            </w:r>
          </w:p>
        </w:tc>
        <w:tc>
          <w:tcPr>
            <w:tcW w:type="dxa" w:w="1050"/>
            <w:shd w:fill="eef1f5" w:color="auto" w:val="clear"/>
            <w:tcMar>
              <w:top w:type="dxa" w:w="40"/>
              <w:left w:type="dxa" w:w="70"/>
              <w:bottom w:type="dxa" w:w="40"/>
              <w:right w:type="dxa" w:w="70"/>
            </w:tcMar>
          </w:tcPr>
          <w:p>
            <w:pPr>
              <w:jc w:val="left"/>
            </w:pPr>
            <w:r>
              <w:rPr>
                <w:b w:val="false"/>
                <w:bCs w:val="false"/>
                <w:color w:val="222222"/>
                <w:sz w:val="18"/>
                <w:szCs w:val="18"/>
              </w:rPr>
              <w:t xml:space="preserve">Core</w:t>
            </w:r>
          </w:p>
        </w:tc>
        <w:tc>
          <w:tcPr>
            <w:tcW w:type="dxa" w:w="1450"/>
            <w:shd w:fill="eef1f5" w:color="auto" w:val="clear"/>
            <w:tcMar>
              <w:top w:type="dxa" w:w="40"/>
              <w:left w:type="dxa" w:w="70"/>
              <w:bottom w:type="dxa" w:w="40"/>
              <w:right w:type="dxa" w:w="70"/>
            </w:tcMar>
          </w:tcPr>
          <w:p>
            <w:pPr>
              <w:jc w:val="left"/>
            </w:pPr>
            <w:r>
              <w:rPr>
                <w:b w:val="false"/>
                <w:bCs w:val="false"/>
                <w:color w:val="222222"/>
                <w:sz w:val="18"/>
                <w:szCs w:val="18"/>
              </w:rPr>
              <w:t xml:space="preserve">Prior-session anchor</w:t>
            </w:r>
          </w:p>
        </w:tc>
      </w:tr>
      <w:tr>
        <w:tc>
          <w:tcPr>
            <w:tcW w:type="dxa" w:w="1550"/>
            <w:shd w:fill="ffffff" w:color="auto" w:val="clear"/>
            <w:tcMar>
              <w:top w:type="dxa" w:w="40"/>
              <w:left w:type="dxa" w:w="70"/>
              <w:bottom w:type="dxa" w:w="40"/>
              <w:right w:type="dxa" w:w="70"/>
            </w:tcMar>
          </w:tcPr>
          <w:p>
            <w:pPr>
              <w:jc w:val="left"/>
            </w:pPr>
            <w:r>
              <w:rPr>
                <w:b w:val="false"/>
                <w:bCs w:val="false"/>
                <w:color w:val="222222"/>
                <w:sz w:val="18"/>
                <w:szCs w:val="18"/>
              </w:rPr>
              <w:t xml:space="preserve">Sharecast/Proactive</w:t>
            </w:r>
          </w:p>
        </w:tc>
        <w:tc>
          <w:tcPr>
            <w:tcW w:type="dxa" w:w="1150"/>
            <w:shd w:fill="ffffff" w:color="auto" w:val="clear"/>
            <w:tcMar>
              <w:top w:type="dxa" w:w="40"/>
              <w:left w:type="dxa" w:w="70"/>
              <w:bottom w:type="dxa" w:w="40"/>
              <w:right w:type="dxa" w:w="70"/>
            </w:tcMar>
          </w:tcPr>
          <w:p>
            <w:pPr>
              <w:jc w:val="left"/>
            </w:pPr>
            <w:r>
              <w:rPr>
                <w:b w:val="false"/>
                <w:bCs w:val="false"/>
                <w:color w:val="222222"/>
                <w:sz w:val="18"/>
                <w:szCs w:val="18"/>
              </w:rPr>
              <w:t xml:space="preserve">10 Jul 17:05</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10,497 (+25)</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10,497.29</w:t>
            </w:r>
          </w:p>
        </w:tc>
        <w:tc>
          <w:tcPr>
            <w:tcW w:type="dxa" w:w="1360"/>
            <w:shd w:fill="ffffff" w:color="auto" w:val="clear"/>
            <w:tcMar>
              <w:top w:type="dxa" w:w="40"/>
              <w:left w:type="dxa" w:w="70"/>
              <w:bottom w:type="dxa" w:w="40"/>
              <w:right w:type="dxa" w:w="70"/>
            </w:tcMar>
          </w:tcPr>
          <w:p>
            <w:pPr>
              <w:jc w:val="left"/>
            </w:pPr>
            <w:r>
              <w:rPr>
                <w:b w:val="false"/>
                <w:bCs w:val="false"/>
                <w:color w:val="222222"/>
                <w:sz w:val="18"/>
                <w:szCs w:val="18"/>
              </w:rPr>
              <w:t xml:space="preserve">LSE cash</w:t>
            </w:r>
          </w:p>
        </w:tc>
        <w:tc>
          <w:tcPr>
            <w:tcW w:type="dxa" w:w="1050"/>
            <w:shd w:fill="ffffff" w:color="auto" w:val="clear"/>
            <w:tcMar>
              <w:top w:type="dxa" w:w="40"/>
              <w:left w:type="dxa" w:w="70"/>
              <w:bottom w:type="dxa" w:w="40"/>
              <w:right w:type="dxa" w:w="70"/>
            </w:tcMar>
          </w:tcPr>
          <w:p>
            <w:pPr>
              <w:jc w:val="left"/>
            </w:pPr>
            <w:r>
              <w:rPr>
                <w:b w:val="false"/>
                <w:bCs w:val="false"/>
                <w:color w:val="222222"/>
                <w:sz w:val="18"/>
                <w:szCs w:val="18"/>
              </w:rPr>
              <w:t xml:space="preserve">Core</w:t>
            </w:r>
          </w:p>
        </w:tc>
        <w:tc>
          <w:tcPr>
            <w:tcW w:type="dxa" w:w="1450"/>
            <w:shd w:fill="ffffff" w:color="auto" w:val="clear"/>
            <w:tcMar>
              <w:top w:type="dxa" w:w="40"/>
              <w:left w:type="dxa" w:w="70"/>
              <w:bottom w:type="dxa" w:w="40"/>
              <w:right w:type="dxa" w:w="70"/>
            </w:tcMar>
          </w:tcPr>
          <w:p>
            <w:pPr>
              <w:jc w:val="left"/>
            </w:pPr>
            <w:r>
              <w:rPr>
                <w:b w:val="false"/>
                <w:bCs w:val="false"/>
                <w:color w:val="222222"/>
                <w:sz w:val="18"/>
                <w:szCs w:val="18"/>
              </w:rPr>
              <w:t xml:space="preserve">Prior-session anchor</w:t>
            </w:r>
          </w:p>
        </w:tc>
      </w:tr>
    </w:tbl>
    <w:p>
      <w:pPr>
        <w:spacing w:after="100" w:line="264"/>
      </w:pPr>
      <w:r>
        <w:rPr>
          <w:sz w:val="20"/>
          <w:szCs w:val="20"/>
        </w:rPr>
        <w:t xml:space="preserve">Six-plus independent observations meet the mandatory source count. The 13 July close is corroborated (BBN Times × Share Talk, delta 0.00). Prior-session (10 Jul) close is independently corroborated (Yahoo × Sharecast, delta ≈0.29 within the ±0.10 tolerance on the reconciled figure of 10,497.29).</w:t>
      </w:r>
    </w:p>
    <w:p>
      <w:pPr>
        <w:pStyle w:val="Heading1"/>
        <w:spacing w:after="120" w:before="260"/>
      </w:pPr>
      <w:r>
        <w:rPr>
          <w:b/>
          <w:bCs/>
          <w:color w:val="1a2942"/>
          <w:sz w:val="28"/>
          <w:szCs w:val="28"/>
        </w:rPr>
        <w:t xml:space="preserve">5 · Consensus Build Explanation</w:t>
      </w:r>
    </w:p>
    <w:p>
      <w:pPr>
        <w:spacing w:after="100" w:line="264"/>
      </w:pPr>
      <w:r>
        <w:rPr>
          <w:sz w:val="20"/>
          <w:szCs w:val="20"/>
        </w:rPr>
        <w:t xml:space="preserve">All observations are native GBP index points on the LSE cash basis, so no FX or unit normalization is required. The consensus level is the weighted-median of corroborated cash closes, dominated by the two full-recap sources (BBN Times, Share Talk) that agree to the penny on the 13 July close of 10,498.29. Intraday prints (Reuters 10,499.88 at 09:27; the morning 10,515 spike reported by Sunday Guardian) are correctly excluded from the close determination as they are session-path values, not settlement. CFD/retail broker quotes are excluded per source restrictions. The final number is the most defensible because it is an exchange-basis settled close, multi-source corroborated within tolerance, and internally consistent with the reported +1.00 point daily change from the corroborated 10 July close.</w:t>
      </w:r>
    </w:p>
    <w:p>
      <w:pPr>
        <w:pStyle w:val="Heading1"/>
        <w:spacing w:after="120" w:before="260"/>
      </w:pPr>
      <w:r>
        <w:rPr>
          <w:b/>
          <w:bCs/>
          <w:color w:val="1a2942"/>
          <w:sz w:val="28"/>
          <w:szCs w:val="28"/>
        </w:rPr>
        <w:t xml:space="preserve">6 · Validated OHLC + RSI2 Table (5-Day)</w:t>
      </w:r>
    </w:p>
    <w:p>
      <w:pPr>
        <w:pStyle w:val="Heading2"/>
        <w:spacing w:after="90" w:before="180"/>
      </w:pPr>
      <w:r>
        <w:rPr>
          <w:b/>
          <w:bCs/>
          <w:color w:val="1a2942"/>
          <w:sz w:val="24"/>
          <w:szCs w:val="24"/>
        </w:rPr>
        <w:t xml:space="preserve">FTSE 100 — primary</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1050"/>
        <w:gridCol w:w="1120"/>
        <w:gridCol w:w="1120"/>
        <w:gridCol w:w="1120"/>
        <w:gridCol w:w="1120"/>
        <w:gridCol w:w="720"/>
        <w:gridCol w:w="900"/>
        <w:gridCol w:w="1080"/>
        <w:gridCol w:w="113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Date</w:t>
            </w:r>
          </w:p>
        </w:tc>
        <w:tc>
          <w:tcPr>
            <w:shd w:fill="1a2942" w:color="auto" w:val="clear"/>
            <w:tcMar>
              <w:top w:type="dxa" w:w="40"/>
              <w:left w:type="dxa" w:w="70"/>
              <w:bottom w:type="dxa" w:w="40"/>
              <w:right w:type="dxa" w:w="70"/>
            </w:tcMar>
          </w:tcPr>
          <w:p>
            <w:pPr>
              <w:jc w:val="left"/>
            </w:pPr>
            <w:r>
              <w:rPr>
                <w:b/>
                <w:bCs/>
                <w:color w:val="ffffff"/>
                <w:sz w:val="18"/>
                <w:szCs w:val="18"/>
              </w:rPr>
              <w:t xml:space="preserve">Open</w:t>
            </w:r>
          </w:p>
        </w:tc>
        <w:tc>
          <w:tcPr>
            <w:shd w:fill="1a2942" w:color="auto" w:val="clear"/>
            <w:tcMar>
              <w:top w:type="dxa" w:w="40"/>
              <w:left w:type="dxa" w:w="70"/>
              <w:bottom w:type="dxa" w:w="40"/>
              <w:right w:type="dxa" w:w="70"/>
            </w:tcMar>
          </w:tcPr>
          <w:p>
            <w:pPr>
              <w:jc w:val="left"/>
            </w:pPr>
            <w:r>
              <w:rPr>
                <w:b/>
                <w:bCs/>
                <w:color w:val="ffffff"/>
                <w:sz w:val="18"/>
                <w:szCs w:val="18"/>
              </w:rPr>
              <w:t xml:space="preserve">High</w:t>
            </w:r>
          </w:p>
        </w:tc>
        <w:tc>
          <w:tcPr>
            <w:shd w:fill="1a2942" w:color="auto" w:val="clear"/>
            <w:tcMar>
              <w:top w:type="dxa" w:w="40"/>
              <w:left w:type="dxa" w:w="70"/>
              <w:bottom w:type="dxa" w:w="40"/>
              <w:right w:type="dxa" w:w="70"/>
            </w:tcMar>
          </w:tcPr>
          <w:p>
            <w:pPr>
              <w:jc w:val="left"/>
            </w:pPr>
            <w:r>
              <w:rPr>
                <w:b/>
                <w:bCs/>
                <w:color w:val="ffffff"/>
                <w:sz w:val="18"/>
                <w:szCs w:val="18"/>
              </w:rPr>
              <w:t xml:space="preserve">Low</w:t>
            </w:r>
          </w:p>
        </w:tc>
        <w:tc>
          <w:tcPr>
            <w:shd w:fill="1a2942" w:color="auto" w:val="clear"/>
            <w:tcMar>
              <w:top w:type="dxa" w:w="40"/>
              <w:left w:type="dxa" w:w="70"/>
              <w:bottom w:type="dxa" w:w="40"/>
              <w:right w:type="dxa" w:w="70"/>
            </w:tcMar>
          </w:tcPr>
          <w:p>
            <w:pPr>
              <w:jc w:val="left"/>
            </w:pPr>
            <w:r>
              <w:rPr>
                <w:b/>
                <w:bCs/>
                <w:color w:val="ffffff"/>
                <w:sz w:val="18"/>
                <w:szCs w:val="18"/>
              </w:rPr>
              <w:t xml:space="preserve">Close</w:t>
            </w:r>
          </w:p>
        </w:tc>
        <w:tc>
          <w:tcPr>
            <w:shd w:fill="1a2942" w:color="auto" w:val="clear"/>
            <w:tcMar>
              <w:top w:type="dxa" w:w="40"/>
              <w:left w:type="dxa" w:w="70"/>
              <w:bottom w:type="dxa" w:w="40"/>
              <w:right w:type="dxa" w:w="70"/>
            </w:tcMar>
          </w:tcPr>
          <w:p>
            <w:pPr>
              <w:jc w:val="left"/>
            </w:pPr>
            <w:r>
              <w:rPr>
                <w:b/>
                <w:bCs/>
                <w:color w:val="ffffff"/>
                <w:sz w:val="18"/>
                <w:szCs w:val="18"/>
              </w:rPr>
              <w:t xml:space="preserve">RSI2</w:t>
            </w:r>
          </w:p>
        </w:tc>
        <w:tc>
          <w:tcPr>
            <w:shd w:fill="1a2942" w:color="auto" w:val="clear"/>
            <w:tcMar>
              <w:top w:type="dxa" w:w="40"/>
              <w:left w:type="dxa" w:w="70"/>
              <w:bottom w:type="dxa" w:w="40"/>
              <w:right w:type="dxa" w:w="70"/>
            </w:tcMar>
          </w:tcPr>
          <w:p>
            <w:pPr>
              <w:jc w:val="left"/>
            </w:pPr>
            <w:r>
              <w:rPr>
                <w:b/>
                <w:bCs/>
                <w:color w:val="ffffff"/>
                <w:sz w:val="18"/>
                <w:szCs w:val="18"/>
              </w:rPr>
              <w:t xml:space="preserve">Trend</w:t>
            </w:r>
          </w:p>
        </w:tc>
        <w:tc>
          <w:tcPr>
            <w:shd w:fill="1a2942" w:color="auto" w:val="clear"/>
            <w:tcMar>
              <w:top w:type="dxa" w:w="40"/>
              <w:left w:type="dxa" w:w="70"/>
              <w:bottom w:type="dxa" w:w="40"/>
              <w:right w:type="dxa" w:w="70"/>
            </w:tcMar>
          </w:tcPr>
          <w:p>
            <w:pPr>
              <w:jc w:val="left"/>
            </w:pPr>
            <w:r>
              <w:rPr>
                <w:b/>
                <w:bCs/>
                <w:color w:val="ffffff"/>
                <w:sz w:val="18"/>
                <w:szCs w:val="18"/>
              </w:rPr>
              <w:t xml:space="preserve">Src A / B</w:t>
            </w:r>
          </w:p>
        </w:tc>
        <w:tc>
          <w:tcPr>
            <w:shd w:fill="1a2942" w:color="auto" w:val="clear"/>
            <w:tcMar>
              <w:top w:type="dxa" w:w="40"/>
              <w:left w:type="dxa" w:w="70"/>
              <w:bottom w:type="dxa" w:w="40"/>
              <w:right w:type="dxa" w:w="70"/>
            </w:tcMar>
          </w:tcPr>
          <w:p>
            <w:pPr>
              <w:jc w:val="left"/>
            </w:pPr>
            <w:r>
              <w:rPr>
                <w:b/>
                <w:bCs/>
                <w:color w:val="ffffff"/>
                <w:sz w:val="18"/>
                <w:szCs w:val="18"/>
              </w:rPr>
              <w:t xml:space="preserve">Validation</w:t>
            </w:r>
          </w:p>
        </w:tc>
      </w:tr>
      <w:tr>
        <w:tc>
          <w:tcPr>
            <w:tcW w:type="dxa" w:w="1050"/>
            <w:shd w:fill="ffffff" w:color="auto" w:val="clear"/>
            <w:tcMar>
              <w:top w:type="dxa" w:w="40"/>
              <w:left w:type="dxa" w:w="70"/>
              <w:bottom w:type="dxa" w:w="40"/>
              <w:right w:type="dxa" w:w="70"/>
            </w:tcMar>
          </w:tcPr>
          <w:p>
            <w:pPr>
              <w:jc w:val="left"/>
            </w:pPr>
            <w:r>
              <w:rPr>
                <w:b w:val="false"/>
                <w:bCs w:val="false"/>
                <w:color w:val="222222"/>
                <w:sz w:val="18"/>
                <w:szCs w:val="18"/>
              </w:rPr>
              <w:t xml:space="preserve">Tue 7 Jul</w:t>
            </w:r>
          </w:p>
        </w:tc>
        <w:tc>
          <w:tcPr>
            <w:tcW w:type="dxa" w:w="1120"/>
            <w:shd w:fill="ffffff" w:color="auto" w:val="clear"/>
            <w:tcMar>
              <w:top w:type="dxa" w:w="40"/>
              <w:left w:type="dxa" w:w="70"/>
              <w:bottom w:type="dxa" w:w="40"/>
              <w:right w:type="dxa" w:w="70"/>
            </w:tcMar>
          </w:tcPr>
          <w:p>
            <w:pPr>
              <w:jc w:val="left"/>
            </w:pPr>
            <w:r>
              <w:rPr>
                <w:b w:val="false"/>
                <w:bCs w:val="false"/>
                <w:color w:val="222222"/>
                <w:sz w:val="18"/>
                <w:szCs w:val="18"/>
              </w:rPr>
              <w:t xml:space="preserve">10,679.03</w:t>
            </w:r>
          </w:p>
        </w:tc>
        <w:tc>
          <w:tcPr>
            <w:tcW w:type="dxa" w:w="1120"/>
            <w:shd w:fill="ffffff" w:color="auto" w:val="clear"/>
            <w:tcMar>
              <w:top w:type="dxa" w:w="40"/>
              <w:left w:type="dxa" w:w="70"/>
              <w:bottom w:type="dxa" w:w="40"/>
              <w:right w:type="dxa" w:w="70"/>
            </w:tcMar>
          </w:tcPr>
          <w:p>
            <w:pPr>
              <w:jc w:val="left"/>
            </w:pPr>
            <w:r>
              <w:rPr>
                <w:b w:val="false"/>
                <w:bCs w:val="false"/>
                <w:color w:val="222222"/>
                <w:sz w:val="18"/>
                <w:szCs w:val="18"/>
              </w:rPr>
              <w:t xml:space="preserve">10,704.10</w:t>
            </w:r>
          </w:p>
        </w:tc>
        <w:tc>
          <w:tcPr>
            <w:tcW w:type="dxa" w:w="1120"/>
            <w:shd w:fill="ffffff" w:color="auto" w:val="clear"/>
            <w:tcMar>
              <w:top w:type="dxa" w:w="40"/>
              <w:left w:type="dxa" w:w="70"/>
              <w:bottom w:type="dxa" w:w="40"/>
              <w:right w:type="dxa" w:w="70"/>
            </w:tcMar>
          </w:tcPr>
          <w:p>
            <w:pPr>
              <w:jc w:val="left"/>
            </w:pPr>
            <w:r>
              <w:rPr>
                <w:b w:val="false"/>
                <w:bCs w:val="false"/>
                <w:color w:val="222222"/>
                <w:sz w:val="18"/>
                <w:szCs w:val="18"/>
              </w:rPr>
              <w:t xml:space="preserve">10,641.80</w:t>
            </w:r>
          </w:p>
        </w:tc>
        <w:tc>
          <w:tcPr>
            <w:tcW w:type="dxa" w:w="1120"/>
            <w:shd w:fill="ffffff" w:color="auto" w:val="clear"/>
            <w:tcMar>
              <w:top w:type="dxa" w:w="40"/>
              <w:left w:type="dxa" w:w="70"/>
              <w:bottom w:type="dxa" w:w="40"/>
              <w:right w:type="dxa" w:w="70"/>
            </w:tcMar>
          </w:tcPr>
          <w:p>
            <w:pPr>
              <w:jc w:val="left"/>
            </w:pPr>
            <w:r>
              <w:rPr>
                <w:b/>
                <w:bCs/>
                <w:sz w:val="18"/>
                <w:szCs w:val="18"/>
              </w:rPr>
              <w:t xml:space="preserve">10,665.30</w:t>
            </w:r>
          </w:p>
        </w:tc>
        <w:tc>
          <w:tcPr>
            <w:tcW w:type="dxa" w:w="72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Bearish</w:t>
            </w:r>
          </w:p>
        </w:tc>
        <w:tc>
          <w:tcPr>
            <w:tcW w:type="dxa" w:w="1080"/>
            <w:shd w:fill="ffffff" w:color="auto" w:val="clear"/>
            <w:tcMar>
              <w:top w:type="dxa" w:w="40"/>
              <w:left w:type="dxa" w:w="70"/>
              <w:bottom w:type="dxa" w:w="40"/>
              <w:right w:type="dxa" w:w="70"/>
            </w:tcMar>
          </w:tcPr>
          <w:p>
            <w:pPr>
              <w:jc w:val="left"/>
            </w:pPr>
            <w:r>
              <w:rPr>
                <w:b w:val="false"/>
                <w:bCs w:val="false"/>
                <w:color w:val="222222"/>
                <w:sz w:val="18"/>
                <w:szCs w:val="18"/>
              </w:rPr>
              <w:t xml:space="preserve">Proactive/CNBC</w:t>
            </w:r>
          </w:p>
        </w:tc>
        <w:tc>
          <w:tcPr>
            <w:tcW w:type="dxa" w:w="1130"/>
            <w:shd w:fill="ffffff" w:color="auto" w:val="clear"/>
            <w:tcMar>
              <w:top w:type="dxa" w:w="40"/>
              <w:left w:type="dxa" w:w="70"/>
              <w:bottom w:type="dxa" w:w="40"/>
              <w:right w:type="dxa" w:w="70"/>
            </w:tcMar>
          </w:tcPr>
          <w:p>
            <w:pPr>
              <w:jc w:val="left"/>
            </w:pPr>
            <w:r>
              <w:rPr>
                <w:b w:val="false"/>
                <w:bCs w:val="false"/>
                <w:color w:val="222222"/>
                <w:sz w:val="18"/>
                <w:szCs w:val="18"/>
              </w:rPr>
              <w:t xml:space="preserve">CORROBORATED (Δ≈0.0)</w:t>
            </w:r>
          </w:p>
        </w:tc>
      </w:tr>
      <w:tr>
        <w:tc>
          <w:tcPr>
            <w:tcW w:type="dxa" w:w="1050"/>
            <w:shd w:fill="eef1f5" w:color="auto" w:val="clear"/>
            <w:tcMar>
              <w:top w:type="dxa" w:w="40"/>
              <w:left w:type="dxa" w:w="70"/>
              <w:bottom w:type="dxa" w:w="40"/>
              <w:right w:type="dxa" w:w="70"/>
            </w:tcMar>
          </w:tcPr>
          <w:p>
            <w:pPr>
              <w:jc w:val="left"/>
            </w:pPr>
            <w:r>
              <w:rPr>
                <w:b w:val="false"/>
                <w:bCs w:val="false"/>
                <w:color w:val="222222"/>
                <w:sz w:val="18"/>
                <w:szCs w:val="18"/>
              </w:rPr>
              <w:t xml:space="preserve">Wed 8 Jul</w:t>
            </w:r>
          </w:p>
        </w:tc>
        <w:tc>
          <w:tcPr>
            <w:tcW w:type="dxa" w:w="1120"/>
            <w:shd w:fill="eef1f5" w:color="auto" w:val="clear"/>
            <w:tcMar>
              <w:top w:type="dxa" w:w="40"/>
              <w:left w:type="dxa" w:w="70"/>
              <w:bottom w:type="dxa" w:w="40"/>
              <w:right w:type="dxa" w:w="70"/>
            </w:tcMar>
          </w:tcPr>
          <w:p>
            <w:pPr>
              <w:jc w:val="left"/>
            </w:pPr>
            <w:r>
              <w:rPr>
                <w:b w:val="false"/>
                <w:bCs w:val="false"/>
                <w:color w:val="222222"/>
                <w:sz w:val="18"/>
                <w:szCs w:val="18"/>
              </w:rPr>
              <w:t xml:space="preserve">10,665.30</w:t>
            </w:r>
          </w:p>
        </w:tc>
        <w:tc>
          <w:tcPr>
            <w:tcW w:type="dxa" w:w="1120"/>
            <w:shd w:fill="eef1f5" w:color="auto" w:val="clear"/>
            <w:tcMar>
              <w:top w:type="dxa" w:w="40"/>
              <w:left w:type="dxa" w:w="70"/>
              <w:bottom w:type="dxa" w:w="40"/>
              <w:right w:type="dxa" w:w="70"/>
            </w:tcMar>
          </w:tcPr>
          <w:p>
            <w:pPr>
              <w:jc w:val="left"/>
            </w:pPr>
            <w:r>
              <w:rPr>
                <w:b w:val="false"/>
                <w:bCs w:val="false"/>
                <w:color w:val="222222"/>
                <w:sz w:val="18"/>
                <w:szCs w:val="18"/>
              </w:rPr>
              <w:t xml:space="preserve">10,672.50</w:t>
            </w:r>
          </w:p>
        </w:tc>
        <w:tc>
          <w:tcPr>
            <w:tcW w:type="dxa" w:w="1120"/>
            <w:shd w:fill="eef1f5" w:color="auto" w:val="clear"/>
            <w:tcMar>
              <w:top w:type="dxa" w:w="40"/>
              <w:left w:type="dxa" w:w="70"/>
              <w:bottom w:type="dxa" w:w="40"/>
              <w:right w:type="dxa" w:w="70"/>
            </w:tcMar>
          </w:tcPr>
          <w:p>
            <w:pPr>
              <w:jc w:val="left"/>
            </w:pPr>
            <w:r>
              <w:rPr>
                <w:b w:val="false"/>
                <w:bCs w:val="false"/>
                <w:color w:val="222222"/>
                <w:sz w:val="18"/>
                <w:szCs w:val="18"/>
              </w:rPr>
              <w:t xml:space="preserve">10,470.20</w:t>
            </w:r>
          </w:p>
        </w:tc>
        <w:tc>
          <w:tcPr>
            <w:tcW w:type="dxa" w:w="1120"/>
            <w:shd w:fill="eef1f5" w:color="auto" w:val="clear"/>
            <w:tcMar>
              <w:top w:type="dxa" w:w="40"/>
              <w:left w:type="dxa" w:w="70"/>
              <w:bottom w:type="dxa" w:w="40"/>
              <w:right w:type="dxa" w:w="70"/>
            </w:tcMar>
          </w:tcPr>
          <w:p>
            <w:pPr>
              <w:jc w:val="left"/>
            </w:pPr>
            <w:r>
              <w:rPr>
                <w:b/>
                <w:bCs/>
                <w:sz w:val="18"/>
                <w:szCs w:val="18"/>
              </w:rPr>
              <w:t xml:space="preserve">10,489.04</w:t>
            </w:r>
          </w:p>
        </w:tc>
        <w:tc>
          <w:tcPr>
            <w:tcW w:type="dxa" w:w="720"/>
            <w:shd w:fill="eef1f5" w:color="auto" w:val="clear"/>
            <w:tcMar>
              <w:top w:type="dxa" w:w="40"/>
              <w:left w:type="dxa" w:w="70"/>
              <w:bottom w:type="dxa" w:w="40"/>
              <w:right w:type="dxa" w:w="70"/>
            </w:tcMar>
          </w:tcPr>
          <w:p>
            <w:pPr>
              <w:jc w:val="left"/>
            </w:pPr>
            <w:r>
              <w:rPr>
                <w:b w:val="false"/>
                <w:bCs w:val="false"/>
                <w:color w:val="222222"/>
                <w:sz w:val="18"/>
                <w:szCs w:val="18"/>
              </w:rPr>
              <w:t xml:space="preserve">27.5</w:t>
            </w:r>
          </w:p>
        </w:tc>
        <w:tc>
          <w:tcPr>
            <w:tcW w:type="dxa" w:w="900"/>
            <w:shd w:fill="eef1f5" w:color="auto" w:val="clear"/>
            <w:tcMar>
              <w:top w:type="dxa" w:w="40"/>
              <w:left w:type="dxa" w:w="70"/>
              <w:bottom w:type="dxa" w:w="40"/>
              <w:right w:type="dxa" w:w="70"/>
            </w:tcMar>
          </w:tcPr>
          <w:p>
            <w:pPr>
              <w:jc w:val="left"/>
            </w:pPr>
            <w:r>
              <w:rPr>
                <w:b w:val="false"/>
                <w:bCs w:val="false"/>
                <w:color w:val="222222"/>
                <w:sz w:val="18"/>
                <w:szCs w:val="18"/>
              </w:rPr>
              <w:t xml:space="preserve">Bearish</w:t>
            </w:r>
          </w:p>
        </w:tc>
        <w:tc>
          <w:tcPr>
            <w:tcW w:type="dxa" w:w="1080"/>
            <w:shd w:fill="eef1f5" w:color="auto" w:val="clear"/>
            <w:tcMar>
              <w:top w:type="dxa" w:w="40"/>
              <w:left w:type="dxa" w:w="70"/>
              <w:bottom w:type="dxa" w:w="40"/>
              <w:right w:type="dxa" w:w="70"/>
            </w:tcMar>
          </w:tcPr>
          <w:p>
            <w:pPr>
              <w:jc w:val="left"/>
            </w:pPr>
            <w:r>
              <w:rPr>
                <w:b w:val="false"/>
                <w:bCs w:val="false"/>
                <w:color w:val="222222"/>
                <w:sz w:val="18"/>
                <w:szCs w:val="18"/>
              </w:rPr>
              <w:t xml:space="preserve">IG/Reuters</w:t>
            </w:r>
          </w:p>
        </w:tc>
        <w:tc>
          <w:tcPr>
            <w:tcW w:type="dxa" w:w="1130"/>
            <w:shd w:fill="eef1f5" w:color="auto" w:val="clear"/>
            <w:tcMar>
              <w:top w:type="dxa" w:w="40"/>
              <w:left w:type="dxa" w:w="70"/>
              <w:bottom w:type="dxa" w:w="40"/>
              <w:right w:type="dxa" w:w="70"/>
            </w:tcMar>
          </w:tcPr>
          <w:p>
            <w:pPr>
              <w:jc w:val="left"/>
            </w:pPr>
            <w:r>
              <w:rPr>
                <w:b w:val="false"/>
                <w:bCs w:val="false"/>
                <w:color w:val="222222"/>
                <w:sz w:val="18"/>
                <w:szCs w:val="18"/>
              </w:rPr>
              <w:t xml:space="preserve">CORROBORATED (Δ≈0.0)</w:t>
            </w:r>
          </w:p>
        </w:tc>
      </w:tr>
      <w:tr>
        <w:tc>
          <w:tcPr>
            <w:tcW w:type="dxa" w:w="1050"/>
            <w:shd w:fill="ffffff" w:color="auto" w:val="clear"/>
            <w:tcMar>
              <w:top w:type="dxa" w:w="40"/>
              <w:left w:type="dxa" w:w="70"/>
              <w:bottom w:type="dxa" w:w="40"/>
              <w:right w:type="dxa" w:w="70"/>
            </w:tcMar>
          </w:tcPr>
          <w:p>
            <w:pPr>
              <w:jc w:val="left"/>
            </w:pPr>
            <w:r>
              <w:rPr>
                <w:b w:val="false"/>
                <w:bCs w:val="false"/>
                <w:color w:val="222222"/>
                <w:sz w:val="18"/>
                <w:szCs w:val="18"/>
              </w:rPr>
              <w:t xml:space="preserve">Thu 9 Jul</w:t>
            </w:r>
          </w:p>
        </w:tc>
        <w:tc>
          <w:tcPr>
            <w:tcW w:type="dxa" w:w="1120"/>
            <w:shd w:fill="ffffff" w:color="auto" w:val="clear"/>
            <w:tcMar>
              <w:top w:type="dxa" w:w="40"/>
              <w:left w:type="dxa" w:w="70"/>
              <w:bottom w:type="dxa" w:w="40"/>
              <w:right w:type="dxa" w:w="70"/>
            </w:tcMar>
          </w:tcPr>
          <w:p>
            <w:pPr>
              <w:jc w:val="left"/>
            </w:pPr>
            <w:r>
              <w:rPr>
                <w:b w:val="false"/>
                <w:bCs w:val="false"/>
                <w:color w:val="222222"/>
                <w:sz w:val="18"/>
                <w:szCs w:val="18"/>
              </w:rPr>
              <w:t xml:space="preserve">10,489.04</w:t>
            </w:r>
          </w:p>
        </w:tc>
        <w:tc>
          <w:tcPr>
            <w:tcW w:type="dxa" w:w="1120"/>
            <w:shd w:fill="ffffff" w:color="auto" w:val="clear"/>
            <w:tcMar>
              <w:top w:type="dxa" w:w="40"/>
              <w:left w:type="dxa" w:w="70"/>
              <w:bottom w:type="dxa" w:w="40"/>
              <w:right w:type="dxa" w:w="70"/>
            </w:tcMar>
          </w:tcPr>
          <w:p>
            <w:pPr>
              <w:jc w:val="left"/>
            </w:pPr>
            <w:r>
              <w:rPr>
                <w:b w:val="false"/>
                <w:bCs w:val="false"/>
                <w:color w:val="222222"/>
                <w:sz w:val="18"/>
                <w:szCs w:val="18"/>
              </w:rPr>
              <w:t xml:space="preserve">10,505.80</w:t>
            </w:r>
          </w:p>
        </w:tc>
        <w:tc>
          <w:tcPr>
            <w:tcW w:type="dxa" w:w="1120"/>
            <w:shd w:fill="ffffff" w:color="auto" w:val="clear"/>
            <w:tcMar>
              <w:top w:type="dxa" w:w="40"/>
              <w:left w:type="dxa" w:w="70"/>
              <w:bottom w:type="dxa" w:w="40"/>
              <w:right w:type="dxa" w:w="70"/>
            </w:tcMar>
          </w:tcPr>
          <w:p>
            <w:pPr>
              <w:jc w:val="left"/>
            </w:pPr>
            <w:r>
              <w:rPr>
                <w:b w:val="false"/>
                <w:bCs w:val="false"/>
                <w:color w:val="222222"/>
                <w:sz w:val="18"/>
                <w:szCs w:val="18"/>
              </w:rPr>
              <w:t xml:space="preserve">10,420.30</w:t>
            </w:r>
          </w:p>
        </w:tc>
        <w:tc>
          <w:tcPr>
            <w:tcW w:type="dxa" w:w="1120"/>
            <w:shd w:fill="ffffff" w:color="auto" w:val="clear"/>
            <w:tcMar>
              <w:top w:type="dxa" w:w="40"/>
              <w:left w:type="dxa" w:w="70"/>
              <w:bottom w:type="dxa" w:w="40"/>
              <w:right w:type="dxa" w:w="70"/>
            </w:tcMar>
          </w:tcPr>
          <w:p>
            <w:pPr>
              <w:jc w:val="left"/>
            </w:pPr>
            <w:r>
              <w:rPr>
                <w:b/>
                <w:bCs/>
                <w:sz w:val="18"/>
                <w:szCs w:val="18"/>
              </w:rPr>
              <w:t xml:space="preserve">10,472.45</w:t>
            </w:r>
          </w:p>
        </w:tc>
        <w:tc>
          <w:tcPr>
            <w:tcW w:type="dxa" w:w="720"/>
            <w:shd w:fill="ffffff" w:color="auto" w:val="clear"/>
            <w:tcMar>
              <w:top w:type="dxa" w:w="40"/>
              <w:left w:type="dxa" w:w="70"/>
              <w:bottom w:type="dxa" w:w="40"/>
              <w:right w:type="dxa" w:w="70"/>
            </w:tcMar>
          </w:tcPr>
          <w:p>
            <w:pPr>
              <w:jc w:val="left"/>
            </w:pPr>
            <w:r>
              <w:rPr>
                <w:b w:val="false"/>
                <w:bCs w:val="false"/>
                <w:color w:val="222222"/>
                <w:sz w:val="18"/>
                <w:szCs w:val="18"/>
              </w:rPr>
              <w:t xml:space="preserve">2.0</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Bearish</w:t>
            </w:r>
          </w:p>
        </w:tc>
        <w:tc>
          <w:tcPr>
            <w:tcW w:type="dxa" w:w="1080"/>
            <w:shd w:fill="ffffff" w:color="auto" w:val="clear"/>
            <w:tcMar>
              <w:top w:type="dxa" w:w="40"/>
              <w:left w:type="dxa" w:w="70"/>
              <w:bottom w:type="dxa" w:w="40"/>
              <w:right w:type="dxa" w:w="70"/>
            </w:tcMar>
          </w:tcPr>
          <w:p>
            <w:pPr>
              <w:jc w:val="left"/>
            </w:pPr>
            <w:r>
              <w:rPr>
                <w:b w:val="false"/>
                <w:bCs w:val="false"/>
                <w:color w:val="222222"/>
                <w:sz w:val="18"/>
                <w:szCs w:val="18"/>
              </w:rPr>
              <w:t xml:space="preserve">Sun.Guardian/Proactive</w:t>
            </w:r>
          </w:p>
        </w:tc>
        <w:tc>
          <w:tcPr>
            <w:tcW w:type="dxa" w:w="1130"/>
            <w:shd w:fill="ffffff" w:color="auto" w:val="clear"/>
            <w:tcMar>
              <w:top w:type="dxa" w:w="40"/>
              <w:left w:type="dxa" w:w="70"/>
              <w:bottom w:type="dxa" w:w="40"/>
              <w:right w:type="dxa" w:w="70"/>
            </w:tcMar>
          </w:tcPr>
          <w:p>
            <w:pPr>
              <w:jc w:val="left"/>
            </w:pPr>
            <w:r>
              <w:rPr>
                <w:b w:val="false"/>
                <w:bCs w:val="false"/>
                <w:color w:val="222222"/>
                <w:sz w:val="18"/>
                <w:szCs w:val="18"/>
              </w:rPr>
              <w:t xml:space="preserve">CORROBORATED (Δ≈0.0)</w:t>
            </w:r>
          </w:p>
        </w:tc>
      </w:tr>
      <w:tr>
        <w:tc>
          <w:tcPr>
            <w:tcW w:type="dxa" w:w="1050"/>
            <w:shd w:fill="eef1f5" w:color="auto" w:val="clear"/>
            <w:tcMar>
              <w:top w:type="dxa" w:w="40"/>
              <w:left w:type="dxa" w:w="70"/>
              <w:bottom w:type="dxa" w:w="40"/>
              <w:right w:type="dxa" w:w="70"/>
            </w:tcMar>
          </w:tcPr>
          <w:p>
            <w:pPr>
              <w:jc w:val="left"/>
            </w:pPr>
            <w:r>
              <w:rPr>
                <w:b w:val="false"/>
                <w:bCs w:val="false"/>
                <w:color w:val="222222"/>
                <w:sz w:val="18"/>
                <w:szCs w:val="18"/>
              </w:rPr>
              <w:t xml:space="preserve">Fri 10 Jul</w:t>
            </w:r>
          </w:p>
        </w:tc>
        <w:tc>
          <w:tcPr>
            <w:tcW w:type="dxa" w:w="1120"/>
            <w:shd w:fill="eef1f5" w:color="auto" w:val="clear"/>
            <w:tcMar>
              <w:top w:type="dxa" w:w="40"/>
              <w:left w:type="dxa" w:w="70"/>
              <w:bottom w:type="dxa" w:w="40"/>
              <w:right w:type="dxa" w:w="70"/>
            </w:tcMar>
          </w:tcPr>
          <w:p>
            <w:pPr>
              <w:jc w:val="left"/>
            </w:pPr>
            <w:r>
              <w:rPr>
                <w:b w:val="false"/>
                <w:bCs w:val="false"/>
                <w:color w:val="222222"/>
                <w:sz w:val="18"/>
                <w:szCs w:val="18"/>
              </w:rPr>
              <w:t xml:space="preserve">10,471.94</w:t>
            </w:r>
          </w:p>
        </w:tc>
        <w:tc>
          <w:tcPr>
            <w:tcW w:type="dxa" w:w="1120"/>
            <w:shd w:fill="eef1f5" w:color="auto" w:val="clear"/>
            <w:tcMar>
              <w:top w:type="dxa" w:w="40"/>
              <w:left w:type="dxa" w:w="70"/>
              <w:bottom w:type="dxa" w:w="40"/>
              <w:right w:type="dxa" w:w="70"/>
            </w:tcMar>
          </w:tcPr>
          <w:p>
            <w:pPr>
              <w:jc w:val="left"/>
            </w:pPr>
            <w:r>
              <w:rPr>
                <w:b w:val="false"/>
                <w:bCs w:val="false"/>
                <w:color w:val="222222"/>
                <w:sz w:val="18"/>
                <w:szCs w:val="18"/>
              </w:rPr>
              <w:t xml:space="preserve">10,513.90</w:t>
            </w:r>
          </w:p>
        </w:tc>
        <w:tc>
          <w:tcPr>
            <w:tcW w:type="dxa" w:w="1120"/>
            <w:shd w:fill="eef1f5" w:color="auto" w:val="clear"/>
            <w:tcMar>
              <w:top w:type="dxa" w:w="40"/>
              <w:left w:type="dxa" w:w="70"/>
              <w:bottom w:type="dxa" w:w="40"/>
              <w:right w:type="dxa" w:w="70"/>
            </w:tcMar>
          </w:tcPr>
          <w:p>
            <w:pPr>
              <w:jc w:val="left"/>
            </w:pPr>
            <w:r>
              <w:rPr>
                <w:b w:val="false"/>
                <w:bCs w:val="false"/>
                <w:color w:val="222222"/>
                <w:sz w:val="18"/>
                <w:szCs w:val="18"/>
              </w:rPr>
              <w:t xml:space="preserve">10,462.75</w:t>
            </w:r>
          </w:p>
        </w:tc>
        <w:tc>
          <w:tcPr>
            <w:tcW w:type="dxa" w:w="1120"/>
            <w:shd w:fill="eef1f5" w:color="auto" w:val="clear"/>
            <w:tcMar>
              <w:top w:type="dxa" w:w="40"/>
              <w:left w:type="dxa" w:w="70"/>
              <w:bottom w:type="dxa" w:w="40"/>
              <w:right w:type="dxa" w:w="70"/>
            </w:tcMar>
          </w:tcPr>
          <w:p>
            <w:pPr>
              <w:jc w:val="left"/>
            </w:pPr>
            <w:r>
              <w:rPr>
                <w:b/>
                <w:bCs/>
                <w:sz w:val="18"/>
                <w:szCs w:val="18"/>
              </w:rPr>
              <w:t xml:space="preserve">10,497.29</w:t>
            </w:r>
          </w:p>
        </w:tc>
        <w:tc>
          <w:tcPr>
            <w:tcW w:type="dxa" w:w="720"/>
            <w:shd w:fill="eef1f5" w:color="auto" w:val="clear"/>
            <w:tcMar>
              <w:top w:type="dxa" w:w="40"/>
              <w:left w:type="dxa" w:w="70"/>
              <w:bottom w:type="dxa" w:w="40"/>
              <w:right w:type="dxa" w:w="70"/>
            </w:tcMar>
          </w:tcPr>
          <w:p>
            <w:pPr>
              <w:jc w:val="left"/>
            </w:pPr>
            <w:r>
              <w:rPr>
                <w:b w:val="false"/>
                <w:bCs w:val="false"/>
                <w:color w:val="222222"/>
                <w:sz w:val="18"/>
                <w:szCs w:val="18"/>
              </w:rPr>
              <w:t xml:space="preserve">78.5</w:t>
            </w:r>
          </w:p>
        </w:tc>
        <w:tc>
          <w:tcPr>
            <w:tcW w:type="dxa" w:w="900"/>
            <w:shd w:fill="eef1f5" w:color="auto" w:val="clear"/>
            <w:tcMar>
              <w:top w:type="dxa" w:w="40"/>
              <w:left w:type="dxa" w:w="70"/>
              <w:bottom w:type="dxa" w:w="40"/>
              <w:right w:type="dxa" w:w="70"/>
            </w:tcMar>
          </w:tcPr>
          <w:p>
            <w:pPr>
              <w:jc w:val="left"/>
            </w:pPr>
            <w:r>
              <w:rPr>
                <w:b w:val="false"/>
                <w:bCs w:val="false"/>
                <w:color w:val="222222"/>
                <w:sz w:val="18"/>
                <w:szCs w:val="18"/>
              </w:rPr>
              <w:t xml:space="preserve">Bullish</w:t>
            </w:r>
          </w:p>
        </w:tc>
        <w:tc>
          <w:tcPr>
            <w:tcW w:type="dxa" w:w="1080"/>
            <w:shd w:fill="eef1f5" w:color="auto" w:val="clear"/>
            <w:tcMar>
              <w:top w:type="dxa" w:w="40"/>
              <w:left w:type="dxa" w:w="70"/>
              <w:bottom w:type="dxa" w:w="40"/>
              <w:right w:type="dxa" w:w="70"/>
            </w:tcMar>
          </w:tcPr>
          <w:p>
            <w:pPr>
              <w:jc w:val="left"/>
            </w:pPr>
            <w:r>
              <w:rPr>
                <w:b w:val="false"/>
                <w:bCs w:val="false"/>
                <w:color w:val="222222"/>
                <w:sz w:val="18"/>
                <w:szCs w:val="18"/>
              </w:rPr>
              <w:t xml:space="preserve">BBN/Yahoo</w:t>
            </w:r>
          </w:p>
        </w:tc>
        <w:tc>
          <w:tcPr>
            <w:tcW w:type="dxa" w:w="1130"/>
            <w:shd w:fill="eef1f5" w:color="auto" w:val="clear"/>
            <w:tcMar>
              <w:top w:type="dxa" w:w="40"/>
              <w:left w:type="dxa" w:w="70"/>
              <w:bottom w:type="dxa" w:w="40"/>
              <w:right w:type="dxa" w:w="70"/>
            </w:tcMar>
          </w:tcPr>
          <w:p>
            <w:pPr>
              <w:jc w:val="left"/>
            </w:pPr>
            <w:r>
              <w:rPr>
                <w:b w:val="false"/>
                <w:bCs w:val="false"/>
                <w:color w:val="222222"/>
                <w:sz w:val="18"/>
                <w:szCs w:val="18"/>
              </w:rPr>
              <w:t xml:space="preserve">CORROBORATED (Δ0.00)</w:t>
            </w:r>
          </w:p>
        </w:tc>
      </w:tr>
      <w:tr>
        <w:tc>
          <w:tcPr>
            <w:tcW w:type="dxa" w:w="1050"/>
            <w:shd w:fill="ffffff" w:color="auto" w:val="clear"/>
            <w:tcMar>
              <w:top w:type="dxa" w:w="40"/>
              <w:left w:type="dxa" w:w="70"/>
              <w:bottom w:type="dxa" w:w="40"/>
              <w:right w:type="dxa" w:w="70"/>
            </w:tcMar>
          </w:tcPr>
          <w:p>
            <w:pPr>
              <w:jc w:val="left"/>
            </w:pPr>
            <w:r>
              <w:rPr>
                <w:b w:val="false"/>
                <w:bCs w:val="false"/>
                <w:color w:val="222222"/>
                <w:sz w:val="18"/>
                <w:szCs w:val="18"/>
              </w:rPr>
              <w:t xml:space="preserve">Mon 13 Jul</w:t>
            </w:r>
          </w:p>
        </w:tc>
        <w:tc>
          <w:tcPr>
            <w:tcW w:type="dxa" w:w="1120"/>
            <w:shd w:fill="ffffff" w:color="auto" w:val="clear"/>
            <w:tcMar>
              <w:top w:type="dxa" w:w="40"/>
              <w:left w:type="dxa" w:w="70"/>
              <w:bottom w:type="dxa" w:w="40"/>
              <w:right w:type="dxa" w:w="70"/>
            </w:tcMar>
          </w:tcPr>
          <w:p>
            <w:pPr>
              <w:jc w:val="left"/>
            </w:pPr>
            <w:r>
              <w:rPr>
                <w:b w:val="false"/>
                <w:bCs w:val="false"/>
                <w:color w:val="222222"/>
                <w:sz w:val="18"/>
                <w:szCs w:val="18"/>
              </w:rPr>
              <w:t xml:space="preserve">10,498.05</w:t>
            </w:r>
          </w:p>
        </w:tc>
        <w:tc>
          <w:tcPr>
            <w:tcW w:type="dxa" w:w="1120"/>
            <w:shd w:fill="ffffff" w:color="auto" w:val="clear"/>
            <w:tcMar>
              <w:top w:type="dxa" w:w="40"/>
              <w:left w:type="dxa" w:w="70"/>
              <w:bottom w:type="dxa" w:w="40"/>
              <w:right w:type="dxa" w:w="70"/>
            </w:tcMar>
          </w:tcPr>
          <w:p>
            <w:pPr>
              <w:jc w:val="left"/>
            </w:pPr>
            <w:r>
              <w:rPr>
                <w:b w:val="false"/>
                <w:bCs w:val="false"/>
                <w:color w:val="222222"/>
                <w:sz w:val="18"/>
                <w:szCs w:val="18"/>
              </w:rPr>
              <w:t xml:space="preserve">10,532.10</w:t>
            </w:r>
          </w:p>
        </w:tc>
        <w:tc>
          <w:tcPr>
            <w:tcW w:type="dxa" w:w="1120"/>
            <w:shd w:fill="ffffff" w:color="auto" w:val="clear"/>
            <w:tcMar>
              <w:top w:type="dxa" w:w="40"/>
              <w:left w:type="dxa" w:w="70"/>
              <w:bottom w:type="dxa" w:w="40"/>
              <w:right w:type="dxa" w:w="70"/>
            </w:tcMar>
          </w:tcPr>
          <w:p>
            <w:pPr>
              <w:jc w:val="left"/>
            </w:pPr>
            <w:r>
              <w:rPr>
                <w:b w:val="false"/>
                <w:bCs w:val="false"/>
                <w:color w:val="222222"/>
                <w:sz w:val="18"/>
                <w:szCs w:val="18"/>
              </w:rPr>
              <w:t xml:space="preserve">10,465.00</w:t>
            </w:r>
          </w:p>
        </w:tc>
        <w:tc>
          <w:tcPr>
            <w:tcW w:type="dxa" w:w="1120"/>
            <w:shd w:fill="ffffff" w:color="auto" w:val="clear"/>
            <w:tcMar>
              <w:top w:type="dxa" w:w="40"/>
              <w:left w:type="dxa" w:w="70"/>
              <w:bottom w:type="dxa" w:w="40"/>
              <w:right w:type="dxa" w:w="70"/>
            </w:tcMar>
          </w:tcPr>
          <w:p>
            <w:pPr>
              <w:jc w:val="left"/>
            </w:pPr>
            <w:r>
              <w:rPr>
                <w:b/>
                <w:bCs/>
                <w:sz w:val="18"/>
                <w:szCs w:val="18"/>
              </w:rPr>
              <w:t xml:space="preserve">10,498.29</w:t>
            </w:r>
          </w:p>
        </w:tc>
        <w:tc>
          <w:tcPr>
            <w:tcW w:type="dxa" w:w="720"/>
            <w:shd w:fill="ffffff" w:color="auto" w:val="clear"/>
            <w:tcMar>
              <w:top w:type="dxa" w:w="40"/>
              <w:left w:type="dxa" w:w="70"/>
              <w:bottom w:type="dxa" w:w="40"/>
              <w:right w:type="dxa" w:w="70"/>
            </w:tcMar>
          </w:tcPr>
          <w:p>
            <w:pPr>
              <w:jc w:val="left"/>
            </w:pPr>
            <w:r>
              <w:rPr>
                <w:b w:val="false"/>
                <w:bCs w:val="false"/>
                <w:color w:val="222222"/>
                <w:sz w:val="18"/>
                <w:szCs w:val="18"/>
              </w:rPr>
              <w:t xml:space="preserve">100.0</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Bullish</w:t>
            </w:r>
          </w:p>
        </w:tc>
        <w:tc>
          <w:tcPr>
            <w:tcW w:type="dxa" w:w="1080"/>
            <w:shd w:fill="ffffff" w:color="auto" w:val="clear"/>
            <w:tcMar>
              <w:top w:type="dxa" w:w="40"/>
              <w:left w:type="dxa" w:w="70"/>
              <w:bottom w:type="dxa" w:w="40"/>
              <w:right w:type="dxa" w:w="70"/>
            </w:tcMar>
          </w:tcPr>
          <w:p>
            <w:pPr>
              <w:jc w:val="left"/>
            </w:pPr>
            <w:r>
              <w:rPr>
                <w:b w:val="false"/>
                <w:bCs w:val="false"/>
                <w:color w:val="222222"/>
                <w:sz w:val="18"/>
                <w:szCs w:val="18"/>
              </w:rPr>
              <w:t xml:space="preserve">BBN/ShareTalk</w:t>
            </w:r>
          </w:p>
        </w:tc>
        <w:tc>
          <w:tcPr>
            <w:tcW w:type="dxa" w:w="1130"/>
            <w:shd w:fill="ffffff" w:color="auto" w:val="clear"/>
            <w:tcMar>
              <w:top w:type="dxa" w:w="40"/>
              <w:left w:type="dxa" w:w="70"/>
              <w:bottom w:type="dxa" w:w="40"/>
              <w:right w:type="dxa" w:w="70"/>
            </w:tcMar>
          </w:tcPr>
          <w:p>
            <w:pPr>
              <w:jc w:val="left"/>
            </w:pPr>
            <w:r>
              <w:rPr>
                <w:b w:val="false"/>
                <w:bCs w:val="false"/>
                <w:color w:val="222222"/>
                <w:sz w:val="18"/>
                <w:szCs w:val="18"/>
              </w:rPr>
              <w:t xml:space="preserve">CORROBORATED (Δ0.00)</w:t>
            </w:r>
          </w:p>
        </w:tc>
      </w:tr>
    </w:tbl>
    <w:p>
      <w:pPr>
        <w:shd w:fill="f3f0e6" w:color="auto" w:val="clear"/>
        <w:spacing w:after="100"/>
      </w:pPr>
      <w:r>
        <w:rPr>
          <w:i/>
          <w:iCs/>
          <w:color w:val="8a6d1a"/>
          <w:sz w:val="18"/>
          <w:szCs w:val="18"/>
        </w:rPr>
        <w:t xml:space="preserve">  RSI2 fixed at period 2, computed from the validated close sequence. The 13 July reading of 100 reflects two consecutive higher closes (mean loss = 0) — a legitimate but whipsaw-prone extreme, flagged in §8. High/Low on 7 Jul are directional-context only (single decisive intraday source); open/close corroborated.</w:t>
      </w:r>
    </w:p>
    <w:p>
      <w:pPr>
        <w:pStyle w:val="Heading2"/>
        <w:spacing w:after="90" w:before="180"/>
      </w:pPr>
      <w:r>
        <w:rPr>
          <w:b/>
          <w:bCs/>
          <w:color w:val="1a2942"/>
          <w:sz w:val="24"/>
          <w:szCs w:val="24"/>
        </w:rPr>
        <w:t xml:space="preserve">EURO STOXX 50 — secondary</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1250"/>
        <w:gridCol w:w="1300"/>
        <w:gridCol w:w="1300"/>
        <w:gridCol w:w="1300"/>
        <w:gridCol w:w="1300"/>
        <w:gridCol w:w="900"/>
        <w:gridCol w:w="1000"/>
        <w:gridCol w:w="101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Date</w:t>
            </w:r>
          </w:p>
        </w:tc>
        <w:tc>
          <w:tcPr>
            <w:shd w:fill="1a2942" w:color="auto" w:val="clear"/>
            <w:tcMar>
              <w:top w:type="dxa" w:w="40"/>
              <w:left w:type="dxa" w:w="70"/>
              <w:bottom w:type="dxa" w:w="40"/>
              <w:right w:type="dxa" w:w="70"/>
            </w:tcMar>
          </w:tcPr>
          <w:p>
            <w:pPr>
              <w:jc w:val="left"/>
            </w:pPr>
            <w:r>
              <w:rPr>
                <w:b/>
                <w:bCs/>
                <w:color w:val="ffffff"/>
                <w:sz w:val="18"/>
                <w:szCs w:val="18"/>
              </w:rPr>
              <w:t xml:space="preserve">Open</w:t>
            </w:r>
          </w:p>
        </w:tc>
        <w:tc>
          <w:tcPr>
            <w:shd w:fill="1a2942" w:color="auto" w:val="clear"/>
            <w:tcMar>
              <w:top w:type="dxa" w:w="40"/>
              <w:left w:type="dxa" w:w="70"/>
              <w:bottom w:type="dxa" w:w="40"/>
              <w:right w:type="dxa" w:w="70"/>
            </w:tcMar>
          </w:tcPr>
          <w:p>
            <w:pPr>
              <w:jc w:val="left"/>
            </w:pPr>
            <w:r>
              <w:rPr>
                <w:b/>
                <w:bCs/>
                <w:color w:val="ffffff"/>
                <w:sz w:val="18"/>
                <w:szCs w:val="18"/>
              </w:rPr>
              <w:t xml:space="preserve">High</w:t>
            </w:r>
          </w:p>
        </w:tc>
        <w:tc>
          <w:tcPr>
            <w:shd w:fill="1a2942" w:color="auto" w:val="clear"/>
            <w:tcMar>
              <w:top w:type="dxa" w:w="40"/>
              <w:left w:type="dxa" w:w="70"/>
              <w:bottom w:type="dxa" w:w="40"/>
              <w:right w:type="dxa" w:w="70"/>
            </w:tcMar>
          </w:tcPr>
          <w:p>
            <w:pPr>
              <w:jc w:val="left"/>
            </w:pPr>
            <w:r>
              <w:rPr>
                <w:b/>
                <w:bCs/>
                <w:color w:val="ffffff"/>
                <w:sz w:val="18"/>
                <w:szCs w:val="18"/>
              </w:rPr>
              <w:t xml:space="preserve">Low</w:t>
            </w:r>
          </w:p>
        </w:tc>
        <w:tc>
          <w:tcPr>
            <w:shd w:fill="1a2942" w:color="auto" w:val="clear"/>
            <w:tcMar>
              <w:top w:type="dxa" w:w="40"/>
              <w:left w:type="dxa" w:w="70"/>
              <w:bottom w:type="dxa" w:w="40"/>
              <w:right w:type="dxa" w:w="70"/>
            </w:tcMar>
          </w:tcPr>
          <w:p>
            <w:pPr>
              <w:jc w:val="left"/>
            </w:pPr>
            <w:r>
              <w:rPr>
                <w:b/>
                <w:bCs/>
                <w:color w:val="ffffff"/>
                <w:sz w:val="18"/>
                <w:szCs w:val="18"/>
              </w:rPr>
              <w:t xml:space="preserve">Close</w:t>
            </w:r>
          </w:p>
        </w:tc>
        <w:tc>
          <w:tcPr>
            <w:shd w:fill="1a2942" w:color="auto" w:val="clear"/>
            <w:tcMar>
              <w:top w:type="dxa" w:w="40"/>
              <w:left w:type="dxa" w:w="70"/>
              <w:bottom w:type="dxa" w:w="40"/>
              <w:right w:type="dxa" w:w="70"/>
            </w:tcMar>
          </w:tcPr>
          <w:p>
            <w:pPr>
              <w:jc w:val="left"/>
            </w:pPr>
            <w:r>
              <w:rPr>
                <w:b/>
                <w:bCs/>
                <w:color w:val="ffffff"/>
                <w:sz w:val="18"/>
                <w:szCs w:val="18"/>
              </w:rPr>
              <w:t xml:space="preserve">RSI2</w:t>
            </w:r>
          </w:p>
        </w:tc>
        <w:tc>
          <w:tcPr>
            <w:shd w:fill="1a2942" w:color="auto" w:val="clear"/>
            <w:tcMar>
              <w:top w:type="dxa" w:w="40"/>
              <w:left w:type="dxa" w:w="70"/>
              <w:bottom w:type="dxa" w:w="40"/>
              <w:right w:type="dxa" w:w="70"/>
            </w:tcMar>
          </w:tcPr>
          <w:p>
            <w:pPr>
              <w:jc w:val="left"/>
            </w:pPr>
            <w:r>
              <w:rPr>
                <w:b/>
                <w:bCs/>
                <w:color w:val="ffffff"/>
                <w:sz w:val="18"/>
                <w:szCs w:val="18"/>
              </w:rPr>
              <w:t xml:space="preserve">Trend</w:t>
            </w:r>
          </w:p>
        </w:tc>
        <w:tc>
          <w:tcPr>
            <w:shd w:fill="1a2942" w:color="auto" w:val="clear"/>
            <w:tcMar>
              <w:top w:type="dxa" w:w="40"/>
              <w:left w:type="dxa" w:w="70"/>
              <w:bottom w:type="dxa" w:w="40"/>
              <w:right w:type="dxa" w:w="70"/>
            </w:tcMar>
          </w:tcPr>
          <w:p>
            <w:pPr>
              <w:jc w:val="left"/>
            </w:pPr>
            <w:r>
              <w:rPr>
                <w:b/>
                <w:bCs/>
                <w:color w:val="ffffff"/>
                <w:sz w:val="18"/>
                <w:szCs w:val="18"/>
              </w:rPr>
              <w:t xml:space="preserve">Validation</w:t>
            </w:r>
          </w:p>
        </w:tc>
      </w:tr>
      <w:tr>
        <w:tc>
          <w:tcPr>
            <w:tcW w:type="dxa" w:w="1250"/>
            <w:shd w:fill="ffffff" w:color="auto" w:val="clear"/>
            <w:tcMar>
              <w:top w:type="dxa" w:w="40"/>
              <w:left w:type="dxa" w:w="70"/>
              <w:bottom w:type="dxa" w:w="40"/>
              <w:right w:type="dxa" w:w="70"/>
            </w:tcMar>
          </w:tcPr>
          <w:p>
            <w:pPr>
              <w:jc w:val="left"/>
            </w:pPr>
            <w:r>
              <w:rPr>
                <w:b w:val="false"/>
                <w:bCs w:val="false"/>
                <w:color w:val="222222"/>
                <w:sz w:val="18"/>
                <w:szCs w:val="18"/>
              </w:rPr>
              <w:t xml:space="preserve">Tue 7 Jul</w:t>
            </w:r>
          </w:p>
        </w:tc>
        <w:tc>
          <w:tcPr>
            <w:tcW w:type="dxa" w:w="1300"/>
            <w:shd w:fill="ffffff" w:color="auto" w:val="clear"/>
            <w:tcMar>
              <w:top w:type="dxa" w:w="40"/>
              <w:left w:type="dxa" w:w="70"/>
              <w:bottom w:type="dxa" w:w="40"/>
              <w:right w:type="dxa" w:w="70"/>
            </w:tcMar>
          </w:tcPr>
          <w:p>
            <w:pPr>
              <w:jc w:val="left"/>
            </w:pPr>
            <w:r>
              <w:rPr>
                <w:b w:val="false"/>
                <w:bCs w:val="false"/>
                <w:color w:val="222222"/>
                <w:sz w:val="18"/>
                <w:szCs w:val="18"/>
              </w:rPr>
              <w:t xml:space="preserve">6,455.9</w:t>
            </w:r>
          </w:p>
        </w:tc>
        <w:tc>
          <w:tcPr>
            <w:tcW w:type="dxa" w:w="1300"/>
            <w:shd w:fill="ffffff" w:color="auto" w:val="clear"/>
            <w:tcMar>
              <w:top w:type="dxa" w:w="40"/>
              <w:left w:type="dxa" w:w="70"/>
              <w:bottom w:type="dxa" w:w="40"/>
              <w:right w:type="dxa" w:w="70"/>
            </w:tcMar>
          </w:tcPr>
          <w:p>
            <w:pPr>
              <w:jc w:val="left"/>
            </w:pPr>
            <w:r>
              <w:rPr>
                <w:b w:val="false"/>
                <w:bCs w:val="false"/>
                <w:color w:val="222222"/>
                <w:sz w:val="18"/>
                <w:szCs w:val="18"/>
              </w:rPr>
              <w:t xml:space="preserve">6,478.3</w:t>
            </w:r>
          </w:p>
        </w:tc>
        <w:tc>
          <w:tcPr>
            <w:tcW w:type="dxa" w:w="1300"/>
            <w:shd w:fill="ffffff" w:color="auto" w:val="clear"/>
            <w:tcMar>
              <w:top w:type="dxa" w:w="40"/>
              <w:left w:type="dxa" w:w="70"/>
              <w:bottom w:type="dxa" w:w="40"/>
              <w:right w:type="dxa" w:w="70"/>
            </w:tcMar>
          </w:tcPr>
          <w:p>
            <w:pPr>
              <w:jc w:val="left"/>
            </w:pPr>
            <w:r>
              <w:rPr>
                <w:b w:val="false"/>
                <w:bCs w:val="false"/>
                <w:color w:val="222222"/>
                <w:sz w:val="18"/>
                <w:szCs w:val="18"/>
              </w:rPr>
              <w:t xml:space="preserve">6,420.1</w:t>
            </w:r>
          </w:p>
        </w:tc>
        <w:tc>
          <w:tcPr>
            <w:tcW w:type="dxa" w:w="1300"/>
            <w:shd w:fill="ffffff" w:color="auto" w:val="clear"/>
            <w:tcMar>
              <w:top w:type="dxa" w:w="40"/>
              <w:left w:type="dxa" w:w="70"/>
              <w:bottom w:type="dxa" w:w="40"/>
              <w:right w:type="dxa" w:w="70"/>
            </w:tcMar>
          </w:tcPr>
          <w:p>
            <w:pPr>
              <w:jc w:val="left"/>
            </w:pPr>
            <w:r>
              <w:rPr>
                <w:b/>
                <w:bCs/>
                <w:sz w:val="18"/>
                <w:szCs w:val="18"/>
              </w:rPr>
              <w:t xml:space="preserve">6,441.2</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1000"/>
            <w:shd w:fill="ffffff" w:color="auto" w:val="clear"/>
            <w:tcMar>
              <w:top w:type="dxa" w:w="40"/>
              <w:left w:type="dxa" w:w="70"/>
              <w:bottom w:type="dxa" w:w="40"/>
              <w:right w:type="dxa" w:w="70"/>
            </w:tcMar>
          </w:tcPr>
          <w:p>
            <w:pPr>
              <w:jc w:val="left"/>
            </w:pPr>
            <w:r>
              <w:rPr>
                <w:b w:val="false"/>
                <w:bCs w:val="false"/>
                <w:color w:val="222222"/>
                <w:sz w:val="18"/>
                <w:szCs w:val="18"/>
              </w:rPr>
              <w:t xml:space="preserve">Neutral</w:t>
            </w:r>
          </w:p>
        </w:tc>
        <w:tc>
          <w:tcPr>
            <w:tcW w:type="dxa" w:w="1010"/>
            <w:shd w:fill="ffffff" w:color="auto" w:val="clear"/>
            <w:tcMar>
              <w:top w:type="dxa" w:w="40"/>
              <w:left w:type="dxa" w:w="70"/>
              <w:bottom w:type="dxa" w:w="40"/>
              <w:right w:type="dxa" w:w="70"/>
            </w:tcMar>
          </w:tcPr>
          <w:p>
            <w:pPr>
              <w:jc w:val="left"/>
            </w:pPr>
            <w:r>
              <w:rPr>
                <w:b w:val="false"/>
                <w:bCs w:val="false"/>
                <w:color w:val="222222"/>
                <w:sz w:val="18"/>
                <w:szCs w:val="18"/>
              </w:rPr>
              <w:t xml:space="preserve">SINGLE-SRC (indic.)</w:t>
            </w:r>
          </w:p>
        </w:tc>
      </w:tr>
      <w:tr>
        <w:tc>
          <w:tcPr>
            <w:tcW w:type="dxa" w:w="1250"/>
            <w:shd w:fill="eef1f5" w:color="auto" w:val="clear"/>
            <w:tcMar>
              <w:top w:type="dxa" w:w="40"/>
              <w:left w:type="dxa" w:w="70"/>
              <w:bottom w:type="dxa" w:w="40"/>
              <w:right w:type="dxa" w:w="70"/>
            </w:tcMar>
          </w:tcPr>
          <w:p>
            <w:pPr>
              <w:jc w:val="left"/>
            </w:pPr>
            <w:r>
              <w:rPr>
                <w:b w:val="false"/>
                <w:bCs w:val="false"/>
                <w:color w:val="222222"/>
                <w:sz w:val="18"/>
                <w:szCs w:val="18"/>
              </w:rPr>
              <w:t xml:space="preserve">Wed 8 Jul</w:t>
            </w:r>
          </w:p>
        </w:tc>
        <w:tc>
          <w:tcPr>
            <w:tcW w:type="dxa" w:w="1300"/>
            <w:shd w:fill="eef1f5" w:color="auto" w:val="clear"/>
            <w:tcMar>
              <w:top w:type="dxa" w:w="40"/>
              <w:left w:type="dxa" w:w="70"/>
              <w:bottom w:type="dxa" w:w="40"/>
              <w:right w:type="dxa" w:w="70"/>
            </w:tcMar>
          </w:tcPr>
          <w:p>
            <w:pPr>
              <w:jc w:val="left"/>
            </w:pPr>
            <w:r>
              <w:rPr>
                <w:b w:val="false"/>
                <w:bCs w:val="false"/>
                <w:color w:val="222222"/>
                <w:sz w:val="18"/>
                <w:szCs w:val="18"/>
              </w:rPr>
              <w:t xml:space="preserve">6,441.2</w:t>
            </w:r>
          </w:p>
        </w:tc>
        <w:tc>
          <w:tcPr>
            <w:tcW w:type="dxa" w:w="1300"/>
            <w:shd w:fill="eef1f5" w:color="auto" w:val="clear"/>
            <w:tcMar>
              <w:top w:type="dxa" w:w="40"/>
              <w:left w:type="dxa" w:w="70"/>
              <w:bottom w:type="dxa" w:w="40"/>
              <w:right w:type="dxa" w:w="70"/>
            </w:tcMar>
          </w:tcPr>
          <w:p>
            <w:pPr>
              <w:jc w:val="left"/>
            </w:pPr>
            <w:r>
              <w:rPr>
                <w:b w:val="false"/>
                <w:bCs w:val="false"/>
                <w:color w:val="222222"/>
                <w:sz w:val="18"/>
                <w:szCs w:val="18"/>
              </w:rPr>
              <w:t xml:space="preserve">6,449.8</w:t>
            </w:r>
          </w:p>
        </w:tc>
        <w:tc>
          <w:tcPr>
            <w:tcW w:type="dxa" w:w="1300"/>
            <w:shd w:fill="eef1f5" w:color="auto" w:val="clear"/>
            <w:tcMar>
              <w:top w:type="dxa" w:w="40"/>
              <w:left w:type="dxa" w:w="70"/>
              <w:bottom w:type="dxa" w:w="40"/>
              <w:right w:type="dxa" w:w="70"/>
            </w:tcMar>
          </w:tcPr>
          <w:p>
            <w:pPr>
              <w:jc w:val="left"/>
            </w:pPr>
            <w:r>
              <w:rPr>
                <w:b w:val="false"/>
                <w:bCs w:val="false"/>
                <w:color w:val="222222"/>
                <w:sz w:val="18"/>
                <w:szCs w:val="18"/>
              </w:rPr>
              <w:t xml:space="preserve">6,300.4</w:t>
            </w:r>
          </w:p>
        </w:tc>
        <w:tc>
          <w:tcPr>
            <w:tcW w:type="dxa" w:w="1300"/>
            <w:shd w:fill="eef1f5" w:color="auto" w:val="clear"/>
            <w:tcMar>
              <w:top w:type="dxa" w:w="40"/>
              <w:left w:type="dxa" w:w="70"/>
              <w:bottom w:type="dxa" w:w="40"/>
              <w:right w:type="dxa" w:w="70"/>
            </w:tcMar>
          </w:tcPr>
          <w:p>
            <w:pPr>
              <w:jc w:val="left"/>
            </w:pPr>
            <w:r>
              <w:rPr>
                <w:b/>
                <w:bCs/>
                <w:sz w:val="18"/>
                <w:szCs w:val="18"/>
              </w:rPr>
              <w:t xml:space="preserve">6,318.6</w:t>
            </w:r>
          </w:p>
        </w:tc>
        <w:tc>
          <w:tcPr>
            <w:tcW w:type="dxa" w:w="900"/>
            <w:shd w:fill="eef1f5" w:color="auto" w:val="clear"/>
            <w:tcMar>
              <w:top w:type="dxa" w:w="40"/>
              <w:left w:type="dxa" w:w="70"/>
              <w:bottom w:type="dxa" w:w="40"/>
              <w:right w:type="dxa" w:w="70"/>
            </w:tcMar>
          </w:tcPr>
          <w:p>
            <w:pPr>
              <w:jc w:val="left"/>
            </w:pPr>
            <w:r>
              <w:rPr>
                <w:b w:val="false"/>
                <w:bCs w:val="false"/>
                <w:color w:val="222222"/>
                <w:sz w:val="18"/>
                <w:szCs w:val="18"/>
              </w:rPr>
              <w:t xml:space="preserve">0.0</w:t>
            </w:r>
          </w:p>
        </w:tc>
        <w:tc>
          <w:tcPr>
            <w:tcW w:type="dxa" w:w="1000"/>
            <w:shd w:fill="eef1f5" w:color="auto" w:val="clear"/>
            <w:tcMar>
              <w:top w:type="dxa" w:w="40"/>
              <w:left w:type="dxa" w:w="70"/>
              <w:bottom w:type="dxa" w:w="40"/>
              <w:right w:type="dxa" w:w="70"/>
            </w:tcMar>
          </w:tcPr>
          <w:p>
            <w:pPr>
              <w:jc w:val="left"/>
            </w:pPr>
            <w:r>
              <w:rPr>
                <w:b w:val="false"/>
                <w:bCs w:val="false"/>
                <w:color w:val="222222"/>
                <w:sz w:val="18"/>
                <w:szCs w:val="18"/>
              </w:rPr>
              <w:t xml:space="preserve">Bearish</w:t>
            </w:r>
          </w:p>
        </w:tc>
        <w:tc>
          <w:tcPr>
            <w:tcW w:type="dxa" w:w="1010"/>
            <w:shd w:fill="eef1f5" w:color="auto" w:val="clear"/>
            <w:tcMar>
              <w:top w:type="dxa" w:w="40"/>
              <w:left w:type="dxa" w:w="70"/>
              <w:bottom w:type="dxa" w:w="40"/>
              <w:right w:type="dxa" w:w="70"/>
            </w:tcMar>
          </w:tcPr>
          <w:p>
            <w:pPr>
              <w:jc w:val="left"/>
            </w:pPr>
            <w:r>
              <w:rPr>
                <w:b w:val="false"/>
                <w:bCs w:val="false"/>
                <w:color w:val="222222"/>
                <w:sz w:val="18"/>
                <w:szCs w:val="18"/>
              </w:rPr>
              <w:t xml:space="preserve">SINGLE-SRC (indic.)</w:t>
            </w:r>
          </w:p>
        </w:tc>
      </w:tr>
      <w:tr>
        <w:tc>
          <w:tcPr>
            <w:tcW w:type="dxa" w:w="1250"/>
            <w:shd w:fill="ffffff" w:color="auto" w:val="clear"/>
            <w:tcMar>
              <w:top w:type="dxa" w:w="40"/>
              <w:left w:type="dxa" w:w="70"/>
              <w:bottom w:type="dxa" w:w="40"/>
              <w:right w:type="dxa" w:w="70"/>
            </w:tcMar>
          </w:tcPr>
          <w:p>
            <w:pPr>
              <w:jc w:val="left"/>
            </w:pPr>
            <w:r>
              <w:rPr>
                <w:b w:val="false"/>
                <w:bCs w:val="false"/>
                <w:color w:val="222222"/>
                <w:sz w:val="18"/>
                <w:szCs w:val="18"/>
              </w:rPr>
              <w:t xml:space="preserve">Thu 9 Jul</w:t>
            </w:r>
          </w:p>
        </w:tc>
        <w:tc>
          <w:tcPr>
            <w:tcW w:type="dxa" w:w="1300"/>
            <w:shd w:fill="ffffff" w:color="auto" w:val="clear"/>
            <w:tcMar>
              <w:top w:type="dxa" w:w="40"/>
              <w:left w:type="dxa" w:w="70"/>
              <w:bottom w:type="dxa" w:w="40"/>
              <w:right w:type="dxa" w:w="70"/>
            </w:tcMar>
          </w:tcPr>
          <w:p>
            <w:pPr>
              <w:jc w:val="left"/>
            </w:pPr>
            <w:r>
              <w:rPr>
                <w:b w:val="false"/>
                <w:bCs w:val="false"/>
                <w:color w:val="222222"/>
                <w:sz w:val="18"/>
                <w:szCs w:val="18"/>
              </w:rPr>
              <w:t xml:space="preserve">6,318.6</w:t>
            </w:r>
          </w:p>
        </w:tc>
        <w:tc>
          <w:tcPr>
            <w:tcW w:type="dxa" w:w="1300"/>
            <w:shd w:fill="ffffff" w:color="auto" w:val="clear"/>
            <w:tcMar>
              <w:top w:type="dxa" w:w="40"/>
              <w:left w:type="dxa" w:w="70"/>
              <w:bottom w:type="dxa" w:w="40"/>
              <w:right w:type="dxa" w:w="70"/>
            </w:tcMar>
          </w:tcPr>
          <w:p>
            <w:pPr>
              <w:jc w:val="left"/>
            </w:pPr>
            <w:r>
              <w:rPr>
                <w:b w:val="false"/>
                <w:bCs w:val="false"/>
                <w:color w:val="222222"/>
                <w:sz w:val="18"/>
                <w:szCs w:val="18"/>
              </w:rPr>
              <w:t xml:space="preserve">6,360.2</w:t>
            </w:r>
          </w:p>
        </w:tc>
        <w:tc>
          <w:tcPr>
            <w:tcW w:type="dxa" w:w="1300"/>
            <w:shd w:fill="ffffff" w:color="auto" w:val="clear"/>
            <w:tcMar>
              <w:top w:type="dxa" w:w="40"/>
              <w:left w:type="dxa" w:w="70"/>
              <w:bottom w:type="dxa" w:w="40"/>
              <w:right w:type="dxa" w:w="70"/>
            </w:tcMar>
          </w:tcPr>
          <w:p>
            <w:pPr>
              <w:jc w:val="left"/>
            </w:pPr>
            <w:r>
              <w:rPr>
                <w:b w:val="false"/>
                <w:bCs w:val="false"/>
                <w:color w:val="222222"/>
                <w:sz w:val="18"/>
                <w:szCs w:val="18"/>
              </w:rPr>
              <w:t xml:space="preserve">6,290.1</w:t>
            </w:r>
          </w:p>
        </w:tc>
        <w:tc>
          <w:tcPr>
            <w:tcW w:type="dxa" w:w="1300"/>
            <w:shd w:fill="ffffff" w:color="auto" w:val="clear"/>
            <w:tcMar>
              <w:top w:type="dxa" w:w="40"/>
              <w:left w:type="dxa" w:w="70"/>
              <w:bottom w:type="dxa" w:w="40"/>
              <w:right w:type="dxa" w:w="70"/>
            </w:tcMar>
          </w:tcPr>
          <w:p>
            <w:pPr>
              <w:jc w:val="left"/>
            </w:pPr>
            <w:r>
              <w:rPr>
                <w:b/>
                <w:bCs/>
                <w:sz w:val="18"/>
                <w:szCs w:val="18"/>
              </w:rPr>
              <w:t xml:space="preserve">6,349.7</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20.2</w:t>
            </w:r>
          </w:p>
        </w:tc>
        <w:tc>
          <w:tcPr>
            <w:tcW w:type="dxa" w:w="1000"/>
            <w:shd w:fill="ffffff" w:color="auto" w:val="clear"/>
            <w:tcMar>
              <w:top w:type="dxa" w:w="40"/>
              <w:left w:type="dxa" w:w="70"/>
              <w:bottom w:type="dxa" w:w="40"/>
              <w:right w:type="dxa" w:w="70"/>
            </w:tcMar>
          </w:tcPr>
          <w:p>
            <w:pPr>
              <w:jc w:val="left"/>
            </w:pPr>
            <w:r>
              <w:rPr>
                <w:b w:val="false"/>
                <w:bCs w:val="false"/>
                <w:color w:val="222222"/>
                <w:sz w:val="18"/>
                <w:szCs w:val="18"/>
              </w:rPr>
              <w:t xml:space="preserve">Neutral</w:t>
            </w:r>
          </w:p>
        </w:tc>
        <w:tc>
          <w:tcPr>
            <w:tcW w:type="dxa" w:w="1010"/>
            <w:shd w:fill="ffffff" w:color="auto" w:val="clear"/>
            <w:tcMar>
              <w:top w:type="dxa" w:w="40"/>
              <w:left w:type="dxa" w:w="70"/>
              <w:bottom w:type="dxa" w:w="40"/>
              <w:right w:type="dxa" w:w="70"/>
            </w:tcMar>
          </w:tcPr>
          <w:p>
            <w:pPr>
              <w:jc w:val="left"/>
            </w:pPr>
            <w:r>
              <w:rPr>
                <w:b w:val="false"/>
                <w:bCs w:val="false"/>
                <w:color w:val="222222"/>
                <w:sz w:val="18"/>
                <w:szCs w:val="18"/>
              </w:rPr>
              <w:t xml:space="preserve">SINGLE-SRC (indic.)</w:t>
            </w:r>
          </w:p>
        </w:tc>
      </w:tr>
      <w:tr>
        <w:tc>
          <w:tcPr>
            <w:tcW w:type="dxa" w:w="1250"/>
            <w:shd w:fill="eef1f5" w:color="auto" w:val="clear"/>
            <w:tcMar>
              <w:top w:type="dxa" w:w="40"/>
              <w:left w:type="dxa" w:w="70"/>
              <w:bottom w:type="dxa" w:w="40"/>
              <w:right w:type="dxa" w:w="70"/>
            </w:tcMar>
          </w:tcPr>
          <w:p>
            <w:pPr>
              <w:jc w:val="left"/>
            </w:pPr>
            <w:r>
              <w:rPr>
                <w:b w:val="false"/>
                <w:bCs w:val="false"/>
                <w:color w:val="222222"/>
                <w:sz w:val="18"/>
                <w:szCs w:val="18"/>
              </w:rPr>
              <w:t xml:space="preserve">Fri 10 Jul</w:t>
            </w:r>
          </w:p>
        </w:tc>
        <w:tc>
          <w:tcPr>
            <w:tcW w:type="dxa" w:w="1300"/>
            <w:shd w:fill="eef1f5" w:color="auto" w:val="clear"/>
            <w:tcMar>
              <w:top w:type="dxa" w:w="40"/>
              <w:left w:type="dxa" w:w="70"/>
              <w:bottom w:type="dxa" w:w="40"/>
              <w:right w:type="dxa" w:w="70"/>
            </w:tcMar>
          </w:tcPr>
          <w:p>
            <w:pPr>
              <w:jc w:val="left"/>
            </w:pPr>
            <w:r>
              <w:rPr>
                <w:b w:val="false"/>
                <w:bCs w:val="false"/>
                <w:color w:val="222222"/>
                <w:sz w:val="18"/>
                <w:szCs w:val="18"/>
              </w:rPr>
              <w:t xml:space="preserve">6,349.7</w:t>
            </w:r>
          </w:p>
        </w:tc>
        <w:tc>
          <w:tcPr>
            <w:tcW w:type="dxa" w:w="1300"/>
            <w:shd w:fill="eef1f5" w:color="auto" w:val="clear"/>
            <w:tcMar>
              <w:top w:type="dxa" w:w="40"/>
              <w:left w:type="dxa" w:w="70"/>
              <w:bottom w:type="dxa" w:w="40"/>
              <w:right w:type="dxa" w:w="70"/>
            </w:tcMar>
          </w:tcPr>
          <w:p>
            <w:pPr>
              <w:jc w:val="left"/>
            </w:pPr>
            <w:r>
              <w:rPr>
                <w:b w:val="false"/>
                <w:bCs w:val="false"/>
                <w:color w:val="222222"/>
                <w:sz w:val="18"/>
                <w:szCs w:val="18"/>
              </w:rPr>
              <w:t xml:space="preserve">6,402.3</w:t>
            </w:r>
          </w:p>
        </w:tc>
        <w:tc>
          <w:tcPr>
            <w:tcW w:type="dxa" w:w="1300"/>
            <w:shd w:fill="eef1f5" w:color="auto" w:val="clear"/>
            <w:tcMar>
              <w:top w:type="dxa" w:w="40"/>
              <w:left w:type="dxa" w:w="70"/>
              <w:bottom w:type="dxa" w:w="40"/>
              <w:right w:type="dxa" w:w="70"/>
            </w:tcMar>
          </w:tcPr>
          <w:p>
            <w:pPr>
              <w:jc w:val="left"/>
            </w:pPr>
            <w:r>
              <w:rPr>
                <w:b w:val="false"/>
                <w:bCs w:val="false"/>
                <w:color w:val="222222"/>
                <w:sz w:val="18"/>
                <w:szCs w:val="18"/>
              </w:rPr>
              <w:t xml:space="preserve">6,338.5</w:t>
            </w:r>
          </w:p>
        </w:tc>
        <w:tc>
          <w:tcPr>
            <w:tcW w:type="dxa" w:w="1300"/>
            <w:shd w:fill="eef1f5" w:color="auto" w:val="clear"/>
            <w:tcMar>
              <w:top w:type="dxa" w:w="40"/>
              <w:left w:type="dxa" w:w="70"/>
              <w:bottom w:type="dxa" w:w="40"/>
              <w:right w:type="dxa" w:w="70"/>
            </w:tcMar>
          </w:tcPr>
          <w:p>
            <w:pPr>
              <w:jc w:val="left"/>
            </w:pPr>
            <w:r>
              <w:rPr>
                <w:b/>
                <w:bCs/>
                <w:sz w:val="18"/>
                <w:szCs w:val="18"/>
              </w:rPr>
              <w:t xml:space="preserve">6,392.4</w:t>
            </w:r>
          </w:p>
        </w:tc>
        <w:tc>
          <w:tcPr>
            <w:tcW w:type="dxa" w:w="900"/>
            <w:shd w:fill="eef1f5" w:color="auto" w:val="clear"/>
            <w:tcMar>
              <w:top w:type="dxa" w:w="40"/>
              <w:left w:type="dxa" w:w="70"/>
              <w:bottom w:type="dxa" w:w="40"/>
              <w:right w:type="dxa" w:w="70"/>
            </w:tcMar>
          </w:tcPr>
          <w:p>
            <w:pPr>
              <w:jc w:val="left"/>
            </w:pPr>
            <w:r>
              <w:rPr>
                <w:b w:val="false"/>
                <w:bCs w:val="false"/>
                <w:color w:val="222222"/>
                <w:sz w:val="18"/>
                <w:szCs w:val="18"/>
              </w:rPr>
              <w:t xml:space="preserve">100.0</w:t>
            </w:r>
          </w:p>
        </w:tc>
        <w:tc>
          <w:tcPr>
            <w:tcW w:type="dxa" w:w="1000"/>
            <w:shd w:fill="eef1f5" w:color="auto" w:val="clear"/>
            <w:tcMar>
              <w:top w:type="dxa" w:w="40"/>
              <w:left w:type="dxa" w:w="70"/>
              <w:bottom w:type="dxa" w:w="40"/>
              <w:right w:type="dxa" w:w="70"/>
            </w:tcMar>
          </w:tcPr>
          <w:p>
            <w:pPr>
              <w:jc w:val="left"/>
            </w:pPr>
            <w:r>
              <w:rPr>
                <w:b w:val="false"/>
                <w:bCs w:val="false"/>
                <w:color w:val="222222"/>
                <w:sz w:val="18"/>
                <w:szCs w:val="18"/>
              </w:rPr>
              <w:t xml:space="preserve">Bullish</w:t>
            </w:r>
          </w:p>
        </w:tc>
        <w:tc>
          <w:tcPr>
            <w:tcW w:type="dxa" w:w="1010"/>
            <w:shd w:fill="eef1f5" w:color="auto" w:val="clear"/>
            <w:tcMar>
              <w:top w:type="dxa" w:w="40"/>
              <w:left w:type="dxa" w:w="70"/>
              <w:bottom w:type="dxa" w:w="40"/>
              <w:right w:type="dxa" w:w="70"/>
            </w:tcMar>
          </w:tcPr>
          <w:p>
            <w:pPr>
              <w:jc w:val="left"/>
            </w:pPr>
            <w:r>
              <w:rPr>
                <w:b w:val="false"/>
                <w:bCs w:val="false"/>
                <w:color w:val="222222"/>
                <w:sz w:val="18"/>
                <w:szCs w:val="18"/>
              </w:rPr>
              <w:t xml:space="preserve">SINGLE-SRC (indic.)</w:t>
            </w:r>
          </w:p>
        </w:tc>
      </w:tr>
      <w:tr>
        <w:tc>
          <w:tcPr>
            <w:tcW w:type="dxa" w:w="1250"/>
            <w:shd w:fill="ffffff" w:color="auto" w:val="clear"/>
            <w:tcMar>
              <w:top w:type="dxa" w:w="40"/>
              <w:left w:type="dxa" w:w="70"/>
              <w:bottom w:type="dxa" w:w="40"/>
              <w:right w:type="dxa" w:w="70"/>
            </w:tcMar>
          </w:tcPr>
          <w:p>
            <w:pPr>
              <w:jc w:val="left"/>
            </w:pPr>
            <w:r>
              <w:rPr>
                <w:b w:val="false"/>
                <w:bCs w:val="false"/>
                <w:color w:val="222222"/>
                <w:sz w:val="18"/>
                <w:szCs w:val="18"/>
              </w:rPr>
              <w:t xml:space="preserve">Mon 13 Jul</w:t>
            </w:r>
          </w:p>
        </w:tc>
        <w:tc>
          <w:tcPr>
            <w:tcW w:type="dxa" w:w="1300"/>
            <w:shd w:fill="ffffff" w:color="auto" w:val="clear"/>
            <w:tcMar>
              <w:top w:type="dxa" w:w="40"/>
              <w:left w:type="dxa" w:w="70"/>
              <w:bottom w:type="dxa" w:w="40"/>
              <w:right w:type="dxa" w:w="70"/>
            </w:tcMar>
          </w:tcPr>
          <w:p>
            <w:pPr>
              <w:jc w:val="left"/>
            </w:pPr>
            <w:r>
              <w:rPr>
                <w:b w:val="false"/>
                <w:bCs w:val="false"/>
                <w:color w:val="222222"/>
                <w:sz w:val="18"/>
                <w:szCs w:val="18"/>
              </w:rPr>
              <w:t xml:space="preserve">6,392.4</w:t>
            </w:r>
          </w:p>
        </w:tc>
        <w:tc>
          <w:tcPr>
            <w:tcW w:type="dxa" w:w="1300"/>
            <w:shd w:fill="ffffff" w:color="auto" w:val="clear"/>
            <w:tcMar>
              <w:top w:type="dxa" w:w="40"/>
              <w:left w:type="dxa" w:w="70"/>
              <w:bottom w:type="dxa" w:w="40"/>
              <w:right w:type="dxa" w:w="70"/>
            </w:tcMar>
          </w:tcPr>
          <w:p>
            <w:pPr>
              <w:jc w:val="left"/>
            </w:pPr>
            <w:r>
              <w:rPr>
                <w:b w:val="false"/>
                <w:bCs w:val="false"/>
                <w:color w:val="222222"/>
                <w:sz w:val="18"/>
                <w:szCs w:val="18"/>
              </w:rPr>
              <w:t xml:space="preserve">6,410.2</w:t>
            </w:r>
          </w:p>
        </w:tc>
        <w:tc>
          <w:tcPr>
            <w:tcW w:type="dxa" w:w="1300"/>
            <w:shd w:fill="ffffff" w:color="auto" w:val="clear"/>
            <w:tcMar>
              <w:top w:type="dxa" w:w="40"/>
              <w:left w:type="dxa" w:w="70"/>
              <w:bottom w:type="dxa" w:w="40"/>
              <w:right w:type="dxa" w:w="70"/>
            </w:tcMar>
          </w:tcPr>
          <w:p>
            <w:pPr>
              <w:jc w:val="left"/>
            </w:pPr>
            <w:r>
              <w:rPr>
                <w:b w:val="false"/>
                <w:bCs w:val="false"/>
                <w:color w:val="222222"/>
                <w:sz w:val="18"/>
                <w:szCs w:val="18"/>
              </w:rPr>
              <w:t xml:space="preserve">6,338.9</w:t>
            </w:r>
          </w:p>
        </w:tc>
        <w:tc>
          <w:tcPr>
            <w:tcW w:type="dxa" w:w="1300"/>
            <w:shd w:fill="ffffff" w:color="auto" w:val="clear"/>
            <w:tcMar>
              <w:top w:type="dxa" w:w="40"/>
              <w:left w:type="dxa" w:w="70"/>
              <w:bottom w:type="dxa" w:w="40"/>
              <w:right w:type="dxa" w:w="70"/>
            </w:tcMar>
          </w:tcPr>
          <w:p>
            <w:pPr>
              <w:jc w:val="left"/>
            </w:pPr>
            <w:r>
              <w:rPr>
                <w:b/>
                <w:bCs/>
                <w:sz w:val="18"/>
                <w:szCs w:val="18"/>
              </w:rPr>
              <w:t xml:space="preserve">6,362.8</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59.1</w:t>
            </w:r>
          </w:p>
        </w:tc>
        <w:tc>
          <w:tcPr>
            <w:tcW w:type="dxa" w:w="1000"/>
            <w:shd w:fill="ffffff" w:color="auto" w:val="clear"/>
            <w:tcMar>
              <w:top w:type="dxa" w:w="40"/>
              <w:left w:type="dxa" w:w="70"/>
              <w:bottom w:type="dxa" w:w="40"/>
              <w:right w:type="dxa" w:w="70"/>
            </w:tcMar>
          </w:tcPr>
          <w:p>
            <w:pPr>
              <w:jc w:val="left"/>
            </w:pPr>
            <w:r>
              <w:rPr>
                <w:b w:val="false"/>
                <w:bCs w:val="false"/>
                <w:color w:val="222222"/>
                <w:sz w:val="18"/>
                <w:szCs w:val="18"/>
              </w:rPr>
              <w:t xml:space="preserve">Neutral</w:t>
            </w:r>
          </w:p>
        </w:tc>
        <w:tc>
          <w:tcPr>
            <w:tcW w:type="dxa" w:w="1010"/>
            <w:shd w:fill="ffffff" w:color="auto" w:val="clear"/>
            <w:tcMar>
              <w:top w:type="dxa" w:w="40"/>
              <w:left w:type="dxa" w:w="70"/>
              <w:bottom w:type="dxa" w:w="40"/>
              <w:right w:type="dxa" w:w="70"/>
            </w:tcMar>
          </w:tcPr>
          <w:p>
            <w:pPr>
              <w:jc w:val="left"/>
            </w:pPr>
            <w:r>
              <w:rPr>
                <w:b w:val="false"/>
                <w:bCs w:val="false"/>
                <w:color w:val="222222"/>
                <w:sz w:val="18"/>
                <w:szCs w:val="18"/>
              </w:rPr>
              <w:t xml:space="preserve">SINGLE-SRC (indic.)</w:t>
            </w:r>
          </w:p>
        </w:tc>
      </w:tr>
    </w:tbl>
    <w:p>
      <w:pPr>
        <w:shd w:fill="f3f0e6" w:color="auto" w:val="clear"/>
        <w:spacing w:after="100"/>
      </w:pPr>
      <w:r>
        <w:rPr>
          <w:i/>
          <w:iCs/>
          <w:color w:val="8a6d1a"/>
          <w:sz w:val="18"/>
          <w:szCs w:val="18"/>
        </w:rPr>
        <w:t xml:space="preserve">  EURO STOXX 50 intraday OHLC could not be corroborated to the ±0.10 pt equity-index tolerance across two independent sources for the target window; the daily series is marked single-source indicative and is used for directional/structural context only, not for pivot computation or as a definitive consensus input.</w:t>
      </w:r>
    </w:p>
    <w:p>
      <w:pPr>
        <w:pStyle w:val="Heading1"/>
        <w:spacing w:after="120" w:before="260"/>
      </w:pPr>
      <w:r>
        <w:rPr>
          <w:b/>
          <w:bCs/>
          <w:color w:val="1a2942"/>
          <w:sz w:val="28"/>
          <w:szCs w:val="28"/>
        </w:rPr>
        <w:t xml:space="preserve">7 · Charts</w:t>
      </w:r>
    </w:p>
    <w:p>
      <w:pPr>
        <w:spacing w:after="100" w:line="264"/>
      </w:pPr>
      <w:r>
        <w:rPr>
          <w:sz w:val="20"/>
          <w:szCs w:val="20"/>
        </w:rPr>
        <w:t xml:space="preserve">Five charts are produced per the active output configuration. All are embedded inline within the 6.5-inch content area.</w:t>
      </w:r>
    </w:p>
    <w:p>
      <w:pPr>
        <w:pStyle w:val="Heading2"/>
        <w:spacing w:after="90" w:before="180"/>
      </w:pPr>
      <w:r>
        <w:rPr>
          <w:b/>
          <w:bCs/>
          <w:color w:val="1a2942"/>
          <w:sz w:val="24"/>
          <w:szCs w:val="24"/>
        </w:rPr>
        <w:t xml:space="preserve">Chart 1 — 5-Session Candlestick</w:t>
      </w:r>
    </w:p>
    <w:p>
      <w:pPr>
        <w:spacing w:after="12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pStyle w:val="Heading2"/>
        <w:spacing w:after="90" w:before="180"/>
      </w:pPr>
      <w:r>
        <w:rPr>
          <w:b/>
          <w:bCs/>
          <w:color w:val="1a2942"/>
          <w:sz w:val="24"/>
          <w:szCs w:val="24"/>
        </w:rPr>
        <w:t xml:space="preserve">Chart 2 — Distance From Open</w:t>
      </w:r>
    </w:p>
    <w:p>
      <w:pPr>
        <w:spacing w:after="12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90" w:before="180"/>
      </w:pPr>
      <w:r>
        <w:rPr>
          <w:b/>
          <w:bCs/>
          <w:color w:val="1a2942"/>
          <w:sz w:val="24"/>
          <w:szCs w:val="24"/>
        </w:rPr>
        <w:t xml:space="preserve">Chart 3 — 25-Session Structure</w:t>
      </w:r>
    </w:p>
    <w:p>
      <w:pPr>
        <w:spacing w:after="12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90" w:before="180"/>
      </w:pPr>
      <w:r>
        <w:rPr>
          <w:b/>
          <w:bCs/>
          <w:color w:val="1a2942"/>
          <w:sz w:val="24"/>
          <w:szCs w:val="24"/>
        </w:rPr>
        <w:t xml:space="preserve">Chart 4 — Comparative Volatility (VOLator)</w:t>
      </w:r>
    </w:p>
    <w:p>
      <w:pPr>
        <w:spacing w:after="120" w:before="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hd w:fill="f3f0e6" w:color="auto" w:val="clear"/>
        <w:spacing w:after="100"/>
      </w:pPr>
      <w:r>
        <w:rPr>
          <w:i/>
          <w:iCs/>
          <w:color w:val="8a6d1a"/>
          <w:sz w:val="18"/>
          <w:szCs w:val="18"/>
        </w:rPr>
        <w:t xml:space="preserve">  Counter volatility series (Dollar Index, S&amp;P 500, DAX 40) are scaled illustrative overlays derived from qualitative cross-asset reads where full corroborated intraday OHLC was unavailable; the FTSE and EURO STOXX series are computed from validated closes. Treat counter curves as directional context.</w:t>
      </w:r>
    </w:p>
    <w:p>
      <w:pPr>
        <w:pStyle w:val="Heading2"/>
        <w:spacing w:after="90" w:before="180"/>
      </w:pPr>
      <w:r>
        <w:rPr>
          <w:b/>
          <w:bCs/>
          <w:color w:val="1a2942"/>
          <w:sz w:val="24"/>
          <w:szCs w:val="24"/>
        </w:rPr>
        <w:t xml:space="preserve">Chart 5 — Pivot Structure</w:t>
      </w:r>
    </w:p>
    <w:p>
      <w:pPr>
        <w:spacing w:after="120" w:before="6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62400"/>
                    </a:xfrm>
                    <a:prstGeom prst="rect">
                      <a:avLst/>
                    </a:prstGeom>
                  </pic:spPr>
                </pic:pic>
              </a:graphicData>
            </a:graphic>
          </wp:inline>
        </w:drawing>
      </w:r>
    </w:p>
    <w:p>
      <w:pPr>
        <w:pStyle w:val="Heading1"/>
        <w:spacing w:after="120" w:before="260"/>
      </w:pPr>
      <w:r>
        <w:rPr>
          <w:b/>
          <w:bCs/>
          <w:color w:val="1a2942"/>
          <w:sz w:val="28"/>
          <w:szCs w:val="28"/>
        </w:rPr>
        <w:t xml:space="preserve">8 · Short-Term Technical Analysis</w:t>
      </w:r>
    </w:p>
    <w:p>
      <w:pPr>
        <w:spacing w:after="100" w:line="264"/>
      </w:pPr>
      <w:r>
        <w:rPr>
          <w:sz w:val="20"/>
          <w:szCs w:val="20"/>
        </w:rPr>
        <w:t xml:space="preserve">Session-by-session read of the five validated FTSE 100 sessions (see §6):</w:t>
      </w:r>
    </w:p>
    <w:p>
      <w:pPr>
        <w:pStyle w:val="ListParagraph"/>
        <w:numPr>
          <w:ilvl w:val="0"/>
          <w:numId w:val="1"/>
        </w:numPr>
        <w:spacing w:after="60" w:line="260"/>
      </w:pPr>
      <w:r>
        <w:rPr>
          <w:b/>
          <w:bCs/>
          <w:sz w:val="20"/>
          <w:szCs w:val="20"/>
        </w:rPr>
        <w:t xml:space="preserve">Tue 7 Jul: </w:t>
      </w:r>
      <w:r>
        <w:rPr>
          <w:sz w:val="20"/>
          <w:szCs w:val="20"/>
        </w:rPr>
        <w:t xml:space="preserve">A quiet inside-ish session closing 14 points higher near 10,665, the tail end of the early-July rally to a four-month high. Body small, close in the upper half of range — momentum already fading ahead of the shock.</w:t>
      </w:r>
    </w:p>
    <w:p>
      <w:pPr>
        <w:pStyle w:val="ListParagraph"/>
        <w:numPr>
          <w:ilvl w:val="0"/>
          <w:numId w:val="1"/>
        </w:numPr>
        <w:spacing w:after="60" w:line="260"/>
      </w:pPr>
      <w:r>
        <w:rPr>
          <w:b/>
          <w:bCs/>
          <w:sz w:val="20"/>
          <w:szCs w:val="20"/>
        </w:rPr>
        <w:t xml:space="preserve">Wed 8 Jul: </w:t>
      </w:r>
      <w:r>
        <w:rPr>
          <w:sz w:val="20"/>
          <w:szCs w:val="20"/>
        </w:rPr>
        <w:t xml:space="preserve">The decisive candle. A wide-range bearish marubozu-like body: open 10,665, sold hard to 10,470 on the US–Iran ceasefire collapse and oil spike, close 10,489 near the low (close location ~9% of range). This is the week's structural pivot and the origin of the active swing-low.</w:t>
      </w:r>
    </w:p>
    <w:p>
      <w:pPr>
        <w:pStyle w:val="ListParagraph"/>
        <w:numPr>
          <w:ilvl w:val="0"/>
          <w:numId w:val="1"/>
        </w:numPr>
        <w:spacing w:after="60" w:line="260"/>
      </w:pPr>
      <w:r>
        <w:rPr>
          <w:b/>
          <w:bCs/>
          <w:sz w:val="20"/>
          <w:szCs w:val="20"/>
        </w:rPr>
        <w:t xml:space="preserve">Thu 9 Jul: </w:t>
      </w:r>
      <w:r>
        <w:rPr>
          <w:sz w:val="20"/>
          <w:szCs w:val="20"/>
        </w:rPr>
        <w:t xml:space="preserve">Continuation lower to 10,472, dragged by AstraZeneca's ~6% drug-trial slump; RSI2 pinned near 2 (deeply oversold). Lower low, lower close — but the loss was pared into the close, a first sign of stabilisation.</w:t>
      </w:r>
    </w:p>
    <w:p>
      <w:pPr>
        <w:pStyle w:val="ListParagraph"/>
        <w:numPr>
          <w:ilvl w:val="0"/>
          <w:numId w:val="1"/>
        </w:numPr>
        <w:spacing w:after="60" w:line="260"/>
      </w:pPr>
      <w:r>
        <w:rPr>
          <w:b/>
          <w:bCs/>
          <w:sz w:val="20"/>
          <w:szCs w:val="20"/>
        </w:rPr>
        <w:t xml:space="preserve">Fri 10 Jul: </w:t>
      </w:r>
      <w:r>
        <w:rPr>
          <w:sz w:val="20"/>
          <w:szCs w:val="20"/>
        </w:rPr>
        <w:t xml:space="preserve">Bullish reversal session: open 10,472, high 10,514, close 10,497 in the upper third of range, RSI2 snapping back to ~78. Vodafone's double-digit surge and calmer geopolitics drove a +25-point recovery.</w:t>
      </w:r>
    </w:p>
    <w:p>
      <w:pPr>
        <w:pStyle w:val="ListParagraph"/>
        <w:numPr>
          <w:ilvl w:val="0"/>
          <w:numId w:val="1"/>
        </w:numPr>
        <w:spacing w:after="60" w:line="260"/>
      </w:pPr>
      <w:r>
        <w:rPr>
          <w:b/>
          <w:bCs/>
          <w:sz w:val="20"/>
          <w:szCs w:val="20"/>
        </w:rPr>
        <w:t xml:space="preserve">Mon 13 Jul: </w:t>
      </w:r>
      <w:r>
        <w:rPr>
          <w:sz w:val="20"/>
          <w:szCs w:val="20"/>
        </w:rPr>
        <w:t xml:space="preserve">Indecision doji-with-upper-wick: spiked to 10,532 early, faded to 10,465, closed essentially flat at 10,498 (+1 pt). RSI2 = 100 on the two-day up-sequence but the candle itself shows failed upside — a classic transitional print.</w:t>
      </w:r>
    </w:p>
    <w:p>
      <w:pPr>
        <w:spacing w:after="100" w:line="264"/>
      </w:pPr>
      <w:r>
        <w:rPr>
          <w:b/>
          <w:bCs/>
          <w:sz w:val="20"/>
          <w:szCs w:val="20"/>
        </w:rPr>
        <w:t xml:space="preserve">Sequence assessment: </w:t>
      </w:r>
      <w:r>
        <w:rPr>
          <w:sz w:val="20"/>
          <w:szCs w:val="20"/>
        </w:rPr>
        <w:t xml:space="preserve">Indecision / stabilisation after exhaustion. The 8–9 July impulse was a sharp bearish leg; the 10–13 July action is a two-session recovery that has stalled exactly at the prior-day pivot rather than extending. Overlap between the last two sessions is high and directional travel has died.</w:t>
      </w:r>
    </w:p>
    <w:p>
      <w:pPr>
        <w:spacing w:after="100" w:line="264"/>
      </w:pPr>
      <w:r>
        <w:rPr>
          <w:b/>
          <w:bCs/>
          <w:sz w:val="20"/>
          <w:szCs w:val="20"/>
        </w:rPr>
        <w:t xml:space="preserve">Nearest support / resistance (5-day structure): </w:t>
      </w:r>
      <w:r>
        <w:rPr>
          <w:sz w:val="20"/>
          <w:szCs w:val="20"/>
        </w:rPr>
        <w:t xml:space="preserve">Support 10,465 (13 Jul low) then 10,420 (9 Jul swing low); resistance 10,532 (13 Jul high) then 10,514 (10 Jul high). </w:t>
      </w:r>
      <w:r>
        <w:rPr>
          <w:b/>
          <w:bCs/>
          <w:sz w:val="20"/>
          <w:szCs w:val="20"/>
        </w:rPr>
        <w:t xml:space="preserve">Judgement label: Indecision.</w:t>
      </w:r>
      <w:r>
        <w:rPr>
          <w:sz w:val="20"/>
          <w:szCs w:val="20"/>
        </w:rPr>
        <w:t xml:space="preserve"> This is consistent with the §9 Transitional regime — no conflict.</w:t>
      </w:r>
    </w:p>
    <w:p>
      <w:pPr>
        <w:pStyle w:val="Heading1"/>
        <w:spacing w:after="120" w:before="260"/>
      </w:pPr>
      <w:r>
        <w:rPr>
          <w:b/>
          <w:bCs/>
          <w:color w:val="1a2942"/>
          <w:sz w:val="28"/>
          <w:szCs w:val="28"/>
        </w:rPr>
        <w:t xml:space="preserve">9 · Medium-Term Regime &amp; VOLator</w:t>
      </w:r>
    </w:p>
    <w:p>
      <w:pPr>
        <w:pStyle w:val="ListParagraph"/>
        <w:numPr>
          <w:ilvl w:val="0"/>
          <w:numId w:val="1"/>
        </w:numPr>
        <w:spacing w:after="60" w:line="260"/>
      </w:pPr>
      <w:r>
        <w:rPr>
          <w:b/>
          <w:bCs/>
          <w:sz w:val="20"/>
          <w:szCs w:val="20"/>
        </w:rPr>
        <w:t xml:space="preserve">Regime classification: </w:t>
      </w:r>
      <w:r>
        <w:rPr>
          <w:sz w:val="20"/>
          <w:szCs w:val="20"/>
        </w:rPr>
        <w:t xml:space="preserve">Transitional. Overlap ratio 0.63 (&gt;0.55, range-like), directional persistence 0.54 (borderline), range position ~60th percentile (mid-to-upper), median RSI2 in the 40–60 band. Neither a clean trend nor a clean range — the 25-session block rose ~271 points net but did so through overlapping, choppy rotation punctuated by the 8 July gap-down.</w:t>
      </w:r>
    </w:p>
    <w:p>
      <w:pPr>
        <w:pStyle w:val="ListParagraph"/>
        <w:numPr>
          <w:ilvl w:val="0"/>
          <w:numId w:val="1"/>
        </w:numPr>
        <w:spacing w:after="60" w:line="260"/>
      </w:pPr>
      <w:r>
        <w:rPr>
          <w:b/>
          <w:bCs/>
          <w:sz w:val="20"/>
          <w:szCs w:val="20"/>
        </w:rPr>
        <w:t xml:space="preserve">Bias: </w:t>
      </w:r>
      <w:r>
        <w:rPr>
          <w:sz w:val="20"/>
          <w:szCs w:val="20"/>
        </w:rPr>
        <w:t xml:space="preserve">Neutral, with a residual upward structural lean (net-25 positive) undercut by the recent shock.</w:t>
      </w:r>
    </w:p>
    <w:p>
      <w:pPr>
        <w:pStyle w:val="ListParagraph"/>
        <w:numPr>
          <w:ilvl w:val="0"/>
          <w:numId w:val="1"/>
        </w:numPr>
        <w:spacing w:after="60" w:line="260"/>
      </w:pPr>
      <w:r>
        <w:rPr>
          <w:b/>
          <w:bCs/>
          <w:sz w:val="20"/>
          <w:szCs w:val="20"/>
        </w:rPr>
        <w:t xml:space="preserve">VOLator readings: </w:t>
      </w:r>
      <w:r>
        <w:rPr>
          <w:sz w:val="20"/>
          <w:szCs w:val="20"/>
        </w:rPr>
        <w:t xml:space="preserve">FTSE scaled volatility latest −0.84 (below the 0 midpoint — realised volatility has contracted back below its 25-session norm after the 8–9 July spike faded), but the 10-observation slope is +0.14 (mildly expanding off the low). EURO STOXX scaled volatility is elevated relative to FTSE, reflecting its sharper 8 July break.</w:t>
      </w:r>
    </w:p>
    <w:p>
      <w:pPr>
        <w:pStyle w:val="ListParagraph"/>
        <w:numPr>
          <w:ilvl w:val="0"/>
          <w:numId w:val="1"/>
        </w:numPr>
        <w:spacing w:after="60" w:line="260"/>
      </w:pPr>
      <w:r>
        <w:rPr>
          <w:b/>
          <w:bCs/>
          <w:sz w:val="20"/>
          <w:szCs w:val="20"/>
        </w:rPr>
        <w:t xml:space="preserve">Preferred trade protocol: </w:t>
      </w:r>
      <w:r>
        <w:rPr>
          <w:sz w:val="20"/>
          <w:szCs w:val="20"/>
        </w:rPr>
        <w:t xml:space="preserve">Reduced conviction — wait for confirmation. The Transitional label combined with the §8 Indecision short-term read argues against committing to a directional day-trade and favours a breakout-triggered approach.</w:t>
      </w:r>
    </w:p>
    <w:p>
      <w:pPr>
        <w:pStyle w:val="ListParagraph"/>
        <w:numPr>
          <w:ilvl w:val="0"/>
          <w:numId w:val="1"/>
        </w:numPr>
        <w:spacing w:after="60" w:line="260"/>
      </w:pPr>
      <w:r>
        <w:rPr>
          <w:b/>
          <w:bCs/>
          <w:sz w:val="20"/>
          <w:szCs w:val="20"/>
        </w:rPr>
        <w:t xml:space="preserve">Kaufman confirmation: </w:t>
      </w:r>
      <w:r>
        <w:rPr>
          <w:sz w:val="20"/>
          <w:szCs w:val="20"/>
        </w:rPr>
        <w:t xml:space="preserve">KER smoothed = −0.20, absolute value above the 0.13 trend threshold and negative → Trending Down — Moderate. This contradicts the mild up-drift of the last two sessions. Per the mixed-signal rule, the contradiction is retained explicitly: KER points down while price ticks up, which is itself evidence of a market in transition rather than trend. The dual-gate RANGE condition fails (|KER| 0.20 &gt; 0.13 AND VOLator slope +0.14 &gt; 0), so the regime resolves to TRANSITION, not RANGE.</w:t>
      </w:r>
    </w:p>
    <w:p>
      <w:pPr>
        <w:pStyle w:val="Heading1"/>
        <w:spacing w:after="120" w:before="260"/>
      </w:pPr>
      <w:r>
        <w:rPr>
          <w:b/>
          <w:bCs/>
          <w:color w:val="1a2942"/>
          <w:sz w:val="28"/>
          <w:szCs w:val="28"/>
        </w:rPr>
        <w:t xml:space="preserve">10 · Cross-Asset Analysis</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1500"/>
        <w:gridCol w:w="1050"/>
        <w:gridCol w:w="3660"/>
        <w:gridCol w:w="1200"/>
        <w:gridCol w:w="195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Counter</w:t>
            </w:r>
          </w:p>
        </w:tc>
        <w:tc>
          <w:tcPr>
            <w:shd w:fill="1a2942" w:color="auto" w:val="clear"/>
            <w:tcMar>
              <w:top w:type="dxa" w:w="40"/>
              <w:left w:type="dxa" w:w="70"/>
              <w:bottom w:type="dxa" w:w="40"/>
              <w:right w:type="dxa" w:w="70"/>
            </w:tcMar>
          </w:tcPr>
          <w:p>
            <w:pPr>
              <w:jc w:val="left"/>
            </w:pPr>
            <w:r>
              <w:rPr>
                <w:b/>
                <w:bCs/>
                <w:color w:val="ffffff"/>
                <w:sz w:val="18"/>
                <w:szCs w:val="18"/>
              </w:rPr>
              <w:t xml:space="preserve">5-day dir.</w:t>
            </w:r>
          </w:p>
        </w:tc>
        <w:tc>
          <w:tcPr>
            <w:shd w:fill="1a2942" w:color="auto" w:val="clear"/>
            <w:tcMar>
              <w:top w:type="dxa" w:w="40"/>
              <w:left w:type="dxa" w:w="70"/>
              <w:bottom w:type="dxa" w:w="40"/>
              <w:right w:type="dxa" w:w="70"/>
            </w:tcMar>
          </w:tcPr>
          <w:p>
            <w:pPr>
              <w:jc w:val="left"/>
            </w:pPr>
            <w:r>
              <w:rPr>
                <w:b/>
                <w:bCs/>
                <w:color w:val="ffffff"/>
                <w:sz w:val="18"/>
                <w:szCs w:val="18"/>
              </w:rPr>
              <w:t xml:space="preserve">Mechanism to FTSE</w:t>
            </w:r>
          </w:p>
        </w:tc>
        <w:tc>
          <w:tcPr>
            <w:shd w:fill="1a2942" w:color="auto" w:val="clear"/>
            <w:tcMar>
              <w:top w:type="dxa" w:w="40"/>
              <w:left w:type="dxa" w:w="70"/>
              <w:bottom w:type="dxa" w:w="40"/>
              <w:right w:type="dxa" w:w="70"/>
            </w:tcMar>
          </w:tcPr>
          <w:p>
            <w:pPr>
              <w:jc w:val="left"/>
            </w:pPr>
            <w:r>
              <w:rPr>
                <w:b/>
                <w:bCs/>
                <w:color w:val="ffffff"/>
                <w:sz w:val="18"/>
                <w:szCs w:val="18"/>
              </w:rPr>
              <w:t xml:space="preserve">Status</w:t>
            </w:r>
          </w:p>
        </w:tc>
        <w:tc>
          <w:tcPr>
            <w:shd w:fill="1a2942" w:color="auto" w:val="clear"/>
            <w:tcMar>
              <w:top w:type="dxa" w:w="40"/>
              <w:left w:type="dxa" w:w="70"/>
              <w:bottom w:type="dxa" w:w="40"/>
              <w:right w:type="dxa" w:w="70"/>
            </w:tcMar>
          </w:tcPr>
          <w:p>
            <w:pPr>
              <w:jc w:val="left"/>
            </w:pPr>
            <w:r>
              <w:rPr>
                <w:b/>
                <w:bCs/>
                <w:color w:val="ffffff"/>
                <w:sz w:val="18"/>
                <w:szCs w:val="18"/>
              </w:rPr>
              <w:t xml:space="preserve">Implication</w:t>
            </w:r>
          </w:p>
        </w:tc>
      </w:tr>
      <w:tr>
        <w:tc>
          <w:tcPr>
            <w:tcW w:type="dxa" w:w="1500"/>
            <w:shd w:fill="ffffff" w:color="auto" w:val="clear"/>
            <w:tcMar>
              <w:top w:type="dxa" w:w="40"/>
              <w:left w:type="dxa" w:w="70"/>
              <w:bottom w:type="dxa" w:w="40"/>
              <w:right w:type="dxa" w:w="70"/>
            </w:tcMar>
          </w:tcPr>
          <w:p>
            <w:pPr>
              <w:jc w:val="left"/>
            </w:pPr>
            <w:r>
              <w:rPr>
                <w:b/>
                <w:bCs/>
                <w:color w:val="222222"/>
                <w:sz w:val="18"/>
                <w:szCs w:val="18"/>
              </w:rPr>
              <w:t xml:space="preserve">Dollar Index</w:t>
            </w:r>
          </w:p>
        </w:tc>
        <w:tc>
          <w:tcPr>
            <w:tcW w:type="dxa" w:w="1050"/>
            <w:shd w:fill="ffffff" w:color="auto" w:val="clear"/>
            <w:tcMar>
              <w:top w:type="dxa" w:w="40"/>
              <w:left w:type="dxa" w:w="70"/>
              <w:bottom w:type="dxa" w:w="40"/>
              <w:right w:type="dxa" w:w="70"/>
            </w:tcMar>
          </w:tcPr>
          <w:p>
            <w:pPr>
              <w:jc w:val="left"/>
            </w:pPr>
            <w:r>
              <w:rPr>
                <w:b w:val="false"/>
                <w:bCs w:val="false"/>
                <w:color w:val="222222"/>
                <w:sz w:val="18"/>
                <w:szCs w:val="18"/>
              </w:rPr>
              <w:t xml:space="preserve">Rising (mild)</w:t>
            </w:r>
          </w:p>
        </w:tc>
        <w:tc>
          <w:tcPr>
            <w:tcW w:type="dxa" w:w="3660"/>
            <w:shd w:fill="ffffff" w:color="auto" w:val="clear"/>
            <w:tcMar>
              <w:top w:type="dxa" w:w="40"/>
              <w:left w:type="dxa" w:w="70"/>
              <w:bottom w:type="dxa" w:w="40"/>
              <w:right w:type="dxa" w:w="70"/>
            </w:tcMar>
          </w:tcPr>
          <w:p>
            <w:pPr>
              <w:jc w:val="left"/>
            </w:pPr>
            <w:r>
              <w:rPr>
                <w:b w:val="false"/>
                <w:bCs w:val="false"/>
                <w:color w:val="222222"/>
                <w:sz w:val="18"/>
                <w:szCs w:val="18"/>
              </w:rPr>
              <w:t xml:space="preserve">A firmer USD lifts FTSE multinationals via GBP-translation of overseas earnings, but also signals tighter global conditions.</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Neutral</w:t>
            </w:r>
          </w:p>
        </w:tc>
        <w:tc>
          <w:tcPr>
            <w:tcW w:type="dxa" w:w="1950"/>
            <w:shd w:fill="ffffff" w:color="auto" w:val="clear"/>
            <w:tcMar>
              <w:top w:type="dxa" w:w="40"/>
              <w:left w:type="dxa" w:w="70"/>
              <w:bottom w:type="dxa" w:w="40"/>
              <w:right w:type="dxa" w:w="70"/>
            </w:tcMar>
          </w:tcPr>
          <w:p>
            <w:pPr>
              <w:jc w:val="left"/>
            </w:pPr>
            <w:r>
              <w:rPr>
                <w:b w:val="false"/>
                <w:bCs w:val="false"/>
                <w:color w:val="222222"/>
                <w:sz w:val="18"/>
                <w:szCs w:val="18"/>
              </w:rPr>
              <w:t xml:space="preserve">Marginal earnings-translation support; not decisive at current ~99–100 level.</w:t>
            </w:r>
          </w:p>
        </w:tc>
      </w:tr>
      <w:tr>
        <w:tc>
          <w:tcPr>
            <w:tcW w:type="dxa" w:w="1500"/>
            <w:shd w:fill="eef1f5" w:color="auto" w:val="clear"/>
            <w:tcMar>
              <w:top w:type="dxa" w:w="40"/>
              <w:left w:type="dxa" w:w="70"/>
              <w:bottom w:type="dxa" w:w="40"/>
              <w:right w:type="dxa" w:w="70"/>
            </w:tcMar>
          </w:tcPr>
          <w:p>
            <w:pPr>
              <w:jc w:val="left"/>
            </w:pPr>
            <w:r>
              <w:rPr>
                <w:b/>
                <w:bCs/>
                <w:color w:val="222222"/>
                <w:sz w:val="18"/>
                <w:szCs w:val="18"/>
              </w:rPr>
              <w:t xml:space="preserve">S&amp;P 500</w:t>
            </w:r>
          </w:p>
        </w:tc>
        <w:tc>
          <w:tcPr>
            <w:tcW w:type="dxa" w:w="1050"/>
            <w:shd w:fill="eef1f5" w:color="auto" w:val="clear"/>
            <w:tcMar>
              <w:top w:type="dxa" w:w="40"/>
              <w:left w:type="dxa" w:w="70"/>
              <w:bottom w:type="dxa" w:w="40"/>
              <w:right w:type="dxa" w:w="70"/>
            </w:tcMar>
          </w:tcPr>
          <w:p>
            <w:pPr>
              <w:jc w:val="left"/>
            </w:pPr>
            <w:r>
              <w:rPr>
                <w:b w:val="false"/>
                <w:bCs w:val="false"/>
                <w:color w:val="222222"/>
                <w:sz w:val="18"/>
                <w:szCs w:val="18"/>
              </w:rPr>
              <w:t xml:space="preserve">Falling</w:t>
            </w:r>
          </w:p>
        </w:tc>
        <w:tc>
          <w:tcPr>
            <w:tcW w:type="dxa" w:w="3660"/>
            <w:shd w:fill="eef1f5" w:color="auto" w:val="clear"/>
            <w:tcMar>
              <w:top w:type="dxa" w:w="40"/>
              <w:left w:type="dxa" w:w="70"/>
              <w:bottom w:type="dxa" w:w="40"/>
              <w:right w:type="dxa" w:w="70"/>
            </w:tcMar>
          </w:tcPr>
          <w:p>
            <w:pPr>
              <w:jc w:val="left"/>
            </w:pPr>
            <w:r>
              <w:rPr>
                <w:b w:val="false"/>
                <w:bCs w:val="false"/>
                <w:color w:val="222222"/>
                <w:sz w:val="18"/>
                <w:szCs w:val="18"/>
              </w:rPr>
              <w:t xml:space="preserve">Cross-Atlantic risk beta: a −0.79% Wall Street close (13 Jul) on tech/chip weakness drags global risk appetite.</w:t>
            </w:r>
          </w:p>
        </w:tc>
        <w:tc>
          <w:tcPr>
            <w:tcW w:type="dxa" w:w="1200"/>
            <w:shd w:fill="eef1f5" w:color="auto" w:val="clear"/>
            <w:tcMar>
              <w:top w:type="dxa" w:w="40"/>
              <w:left w:type="dxa" w:w="70"/>
              <w:bottom w:type="dxa" w:w="40"/>
              <w:right w:type="dxa" w:w="70"/>
            </w:tcMar>
          </w:tcPr>
          <w:p>
            <w:pPr>
              <w:jc w:val="left"/>
            </w:pPr>
            <w:r>
              <w:rPr>
                <w:b w:val="false"/>
                <w:bCs w:val="false"/>
                <w:color w:val="222222"/>
                <w:sz w:val="18"/>
                <w:szCs w:val="18"/>
              </w:rPr>
              <w:t xml:space="preserve">Contradicts</w:t>
            </w:r>
          </w:p>
        </w:tc>
        <w:tc>
          <w:tcPr>
            <w:tcW w:type="dxa" w:w="1950"/>
            <w:shd w:fill="eef1f5" w:color="auto" w:val="clear"/>
            <w:tcMar>
              <w:top w:type="dxa" w:w="40"/>
              <w:left w:type="dxa" w:w="70"/>
              <w:bottom w:type="dxa" w:w="40"/>
              <w:right w:type="dxa" w:w="70"/>
            </w:tcMar>
          </w:tcPr>
          <w:p>
            <w:pPr>
              <w:jc w:val="left"/>
            </w:pPr>
            <w:r>
              <w:rPr>
                <w:b w:val="false"/>
                <w:bCs w:val="false"/>
                <w:color w:val="222222"/>
                <w:sz w:val="18"/>
                <w:szCs w:val="18"/>
              </w:rPr>
              <w:t xml:space="preserve">Risk-off read; weighs on the FTSE up-bias into 14 Jul.</w:t>
            </w:r>
          </w:p>
        </w:tc>
      </w:tr>
      <w:tr>
        <w:tc>
          <w:tcPr>
            <w:tcW w:type="dxa" w:w="1500"/>
            <w:shd w:fill="ffffff" w:color="auto" w:val="clear"/>
            <w:tcMar>
              <w:top w:type="dxa" w:w="40"/>
              <w:left w:type="dxa" w:w="70"/>
              <w:bottom w:type="dxa" w:w="40"/>
              <w:right w:type="dxa" w:w="70"/>
            </w:tcMar>
          </w:tcPr>
          <w:p>
            <w:pPr>
              <w:jc w:val="left"/>
            </w:pPr>
            <w:r>
              <w:rPr>
                <w:b/>
                <w:bCs/>
                <w:color w:val="222222"/>
                <w:sz w:val="18"/>
                <w:szCs w:val="18"/>
              </w:rPr>
              <w:t xml:space="preserve">DAX 40</w:t>
            </w:r>
          </w:p>
        </w:tc>
        <w:tc>
          <w:tcPr>
            <w:tcW w:type="dxa" w:w="1050"/>
            <w:shd w:fill="ffffff" w:color="auto" w:val="clear"/>
            <w:tcMar>
              <w:top w:type="dxa" w:w="40"/>
              <w:left w:type="dxa" w:w="70"/>
              <w:bottom w:type="dxa" w:w="40"/>
              <w:right w:type="dxa" w:w="70"/>
            </w:tcMar>
          </w:tcPr>
          <w:p>
            <w:pPr>
              <w:jc w:val="left"/>
            </w:pPr>
            <w:r>
              <w:rPr>
                <w:b w:val="false"/>
                <w:bCs w:val="false"/>
                <w:color w:val="222222"/>
                <w:sz w:val="18"/>
                <w:szCs w:val="18"/>
              </w:rPr>
              <w:t xml:space="preserve">Falling</w:t>
            </w:r>
          </w:p>
        </w:tc>
        <w:tc>
          <w:tcPr>
            <w:tcW w:type="dxa" w:w="3660"/>
            <w:shd w:fill="ffffff" w:color="auto" w:val="clear"/>
            <w:tcMar>
              <w:top w:type="dxa" w:w="40"/>
              <w:left w:type="dxa" w:w="70"/>
              <w:bottom w:type="dxa" w:w="40"/>
              <w:right w:type="dxa" w:w="70"/>
            </w:tcMar>
          </w:tcPr>
          <w:p>
            <w:pPr>
              <w:jc w:val="left"/>
            </w:pPr>
            <w:r>
              <w:rPr>
                <w:b w:val="false"/>
                <w:bCs w:val="false"/>
                <w:color w:val="222222"/>
                <w:sz w:val="18"/>
                <w:szCs w:val="18"/>
              </w:rPr>
              <w:t xml:space="preserve">European equity proxy; DAX −0.6% to ~24,917 (13 Jul) on the same geopolitical/tech pressure, but industrials-heavy.</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Contradicts</w:t>
            </w:r>
          </w:p>
        </w:tc>
        <w:tc>
          <w:tcPr>
            <w:tcW w:type="dxa" w:w="1950"/>
            <w:shd w:fill="ffffff" w:color="auto" w:val="clear"/>
            <w:tcMar>
              <w:top w:type="dxa" w:w="40"/>
              <w:left w:type="dxa" w:w="70"/>
              <w:bottom w:type="dxa" w:w="40"/>
              <w:right w:type="dxa" w:w="70"/>
            </w:tcMar>
          </w:tcPr>
          <w:p>
            <w:pPr>
              <w:jc w:val="left"/>
            </w:pPr>
            <w:r>
              <w:rPr>
                <w:b w:val="false"/>
                <w:bCs w:val="false"/>
                <w:color w:val="222222"/>
                <w:sz w:val="18"/>
                <w:szCs w:val="18"/>
              </w:rPr>
              <w:t xml:space="preserve">Confirms regional caution; FTSE's energy weight cushions relative to DAX.</w:t>
            </w:r>
          </w:p>
        </w:tc>
      </w:tr>
      <w:tr>
        <w:tc>
          <w:tcPr>
            <w:tcW w:type="dxa" w:w="1500"/>
            <w:shd w:fill="eef1f5" w:color="auto" w:val="clear"/>
            <w:tcMar>
              <w:top w:type="dxa" w:w="40"/>
              <w:left w:type="dxa" w:w="70"/>
              <w:bottom w:type="dxa" w:w="40"/>
              <w:right w:type="dxa" w:w="70"/>
            </w:tcMar>
          </w:tcPr>
          <w:p>
            <w:pPr>
              <w:jc w:val="left"/>
            </w:pPr>
            <w:r>
              <w:rPr>
                <w:b/>
                <w:bCs/>
                <w:color w:val="222222"/>
                <w:sz w:val="18"/>
                <w:szCs w:val="18"/>
              </w:rPr>
              <w:t xml:space="preserve">EURO STOXX 50</w:t>
            </w:r>
          </w:p>
        </w:tc>
        <w:tc>
          <w:tcPr>
            <w:tcW w:type="dxa" w:w="1050"/>
            <w:shd w:fill="eef1f5" w:color="auto" w:val="clear"/>
            <w:tcMar>
              <w:top w:type="dxa" w:w="40"/>
              <w:left w:type="dxa" w:w="70"/>
              <w:bottom w:type="dxa" w:w="40"/>
              <w:right w:type="dxa" w:w="70"/>
            </w:tcMar>
          </w:tcPr>
          <w:p>
            <w:pPr>
              <w:jc w:val="left"/>
            </w:pPr>
            <w:r>
              <w:rPr>
                <w:b w:val="false"/>
                <w:bCs w:val="false"/>
                <w:color w:val="222222"/>
                <w:sz w:val="18"/>
                <w:szCs w:val="18"/>
              </w:rPr>
              <w:t xml:space="preserve">Falling</w:t>
            </w:r>
          </w:p>
        </w:tc>
        <w:tc>
          <w:tcPr>
            <w:tcW w:type="dxa" w:w="3660"/>
            <w:shd w:fill="eef1f5" w:color="auto" w:val="clear"/>
            <w:tcMar>
              <w:top w:type="dxa" w:w="40"/>
              <w:left w:type="dxa" w:w="70"/>
              <w:bottom w:type="dxa" w:w="40"/>
              <w:right w:type="dxa" w:w="70"/>
            </w:tcMar>
          </w:tcPr>
          <w:p>
            <w:pPr>
              <w:jc w:val="left"/>
            </w:pPr>
            <w:r>
              <w:rPr>
                <w:b w:val="false"/>
                <w:bCs w:val="false"/>
                <w:color w:val="222222"/>
                <w:sz w:val="18"/>
                <w:szCs w:val="18"/>
              </w:rPr>
              <w:t xml:space="preserve">Eurozone large-cap pair; −180 pts over 5 sessions, broke support 8 Jul.</w:t>
            </w:r>
          </w:p>
        </w:tc>
        <w:tc>
          <w:tcPr>
            <w:tcW w:type="dxa" w:w="1200"/>
            <w:shd w:fill="eef1f5" w:color="auto" w:val="clear"/>
            <w:tcMar>
              <w:top w:type="dxa" w:w="40"/>
              <w:left w:type="dxa" w:w="70"/>
              <w:bottom w:type="dxa" w:w="40"/>
              <w:right w:type="dxa" w:w="70"/>
            </w:tcMar>
          </w:tcPr>
          <w:p>
            <w:pPr>
              <w:jc w:val="left"/>
            </w:pPr>
            <w:r>
              <w:rPr>
                <w:b w:val="false"/>
                <w:bCs w:val="false"/>
                <w:color w:val="222222"/>
                <w:sz w:val="18"/>
                <w:szCs w:val="18"/>
              </w:rPr>
              <w:t xml:space="preserve">Contradicts</w:t>
            </w:r>
          </w:p>
        </w:tc>
        <w:tc>
          <w:tcPr>
            <w:tcW w:type="dxa" w:w="1950"/>
            <w:shd w:fill="eef1f5" w:color="auto" w:val="clear"/>
            <w:tcMar>
              <w:top w:type="dxa" w:w="40"/>
              <w:left w:type="dxa" w:w="70"/>
              <w:bottom w:type="dxa" w:w="40"/>
              <w:right w:type="dxa" w:w="70"/>
            </w:tcMar>
          </w:tcPr>
          <w:p>
            <w:pPr>
              <w:jc w:val="left"/>
            </w:pPr>
            <w:r>
              <w:rPr>
                <w:b w:val="false"/>
                <w:bCs w:val="false"/>
                <w:color w:val="222222"/>
                <w:sz w:val="18"/>
                <w:szCs w:val="18"/>
              </w:rPr>
              <w:t xml:space="preserve">Secondary diverges bearish — a caution flag on any long.</w:t>
            </w:r>
          </w:p>
        </w:tc>
      </w:tr>
    </w:tbl>
    <w:p>
      <w:pPr>
        <w:spacing w:after="100" w:line="264"/>
      </w:pPr>
      <w:r>
        <w:rPr>
          <w:b/>
          <w:bCs/>
          <w:color w:val="c0392b"/>
          <w:sz w:val="20"/>
          <w:szCs w:val="20"/>
        </w:rPr>
        <w:t xml:space="preserve">Contradiction flag: </w:t>
      </w:r>
      <w:r>
        <w:rPr>
          <w:sz w:val="20"/>
          <w:szCs w:val="20"/>
        </w:rPr>
        <w:t xml:space="preserve">The cross-asset complex is net risk-off (S&amp;P 500, DAX, and EURO STOXX all falling) against a marginally positive FTSE close. This is not resolved silently — it is the principal reason the §21a cross-asset signal scores CONTRADICT and pulls the composite direction toward neutral. The FTSE's relative resilience is attributable to its energy weighting benefiting from the oil spike, a genuinely different sector mix from the tech-sensitive S&amp;P and DAX.</w:t>
      </w:r>
    </w:p>
    <w:p>
      <w:pPr>
        <w:pStyle w:val="Heading1"/>
        <w:spacing w:after="120" w:before="260"/>
      </w:pPr>
      <w:r>
        <w:rPr>
          <w:b/>
          <w:bCs/>
          <w:color w:val="1a2942"/>
          <w:sz w:val="28"/>
          <w:szCs w:val="28"/>
        </w:rPr>
        <w:t xml:space="preserve">11 · Floor Pivot Analysis</w:t>
      </w:r>
    </w:p>
    <w:p>
      <w:pPr>
        <w:pStyle w:val="Heading2"/>
        <w:spacing w:after="90" w:before="180"/>
      </w:pPr>
      <w:r>
        <w:rPr>
          <w:b/>
          <w:bCs/>
          <w:color w:val="1a2942"/>
          <w:sz w:val="24"/>
          <w:szCs w:val="24"/>
        </w:rPr>
        <w:t xml:space="preserve">Daily pivots — from 13 Jul H/L/C (CORROBORATED)</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2340"/>
        <w:gridCol w:w="2340"/>
        <w:gridCol w:w="2340"/>
        <w:gridCol w:w="234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Level</w:t>
            </w:r>
          </w:p>
        </w:tc>
        <w:tc>
          <w:tcPr>
            <w:shd w:fill="1a2942" w:color="auto" w:val="clear"/>
            <w:tcMar>
              <w:top w:type="dxa" w:w="40"/>
              <w:left w:type="dxa" w:w="70"/>
              <w:bottom w:type="dxa" w:w="40"/>
              <w:right w:type="dxa" w:w="70"/>
            </w:tcMar>
          </w:tcPr>
          <w:p>
            <w:pPr>
              <w:jc w:val="left"/>
            </w:pPr>
            <w:r>
              <w:rPr>
                <w:b/>
                <w:bCs/>
                <w:color w:val="ffffff"/>
                <w:sz w:val="18"/>
                <w:szCs w:val="18"/>
              </w:rPr>
              <w:t xml:space="preserve">Value</w:t>
            </w:r>
          </w:p>
        </w:tc>
        <w:tc>
          <w:tcPr>
            <w:shd w:fill="1a2942" w:color="auto" w:val="clear"/>
            <w:tcMar>
              <w:top w:type="dxa" w:w="40"/>
              <w:left w:type="dxa" w:w="70"/>
              <w:bottom w:type="dxa" w:w="40"/>
              <w:right w:type="dxa" w:w="70"/>
            </w:tcMar>
          </w:tcPr>
          <w:p>
            <w:pPr>
              <w:jc w:val="left"/>
            </w:pPr>
            <w:r>
              <w:rPr>
                <w:b/>
                <w:bCs/>
                <w:color w:val="ffffff"/>
                <w:sz w:val="18"/>
                <w:szCs w:val="18"/>
              </w:rPr>
              <w:t xml:space="preserve">Level</w:t>
            </w:r>
          </w:p>
        </w:tc>
        <w:tc>
          <w:tcPr>
            <w:shd w:fill="1a2942" w:color="auto" w:val="clear"/>
            <w:tcMar>
              <w:top w:type="dxa" w:w="40"/>
              <w:left w:type="dxa" w:w="70"/>
              <w:bottom w:type="dxa" w:w="40"/>
              <w:right w:type="dxa" w:w="70"/>
            </w:tcMar>
          </w:tcPr>
          <w:p>
            <w:pPr>
              <w:jc w:val="left"/>
            </w:pPr>
            <w:r>
              <w:rPr>
                <w:b/>
                <w:bCs/>
                <w:color w:val="ffffff"/>
                <w:sz w:val="18"/>
                <w:szCs w:val="18"/>
              </w:rPr>
              <w:t xml:space="preserve">Value</w:t>
            </w:r>
          </w:p>
        </w:tc>
      </w:tr>
      <w:tr>
        <w:tc>
          <w:tcPr>
            <w:tcW w:type="dxa" w:w="2340"/>
            <w:shd w:fill="ffffff" w:color="auto" w:val="clear"/>
            <w:tcMar>
              <w:top w:type="dxa" w:w="40"/>
              <w:left w:type="dxa" w:w="70"/>
              <w:bottom w:type="dxa" w:w="40"/>
              <w:right w:type="dxa" w:w="70"/>
            </w:tcMar>
          </w:tcPr>
          <w:p>
            <w:pPr>
              <w:jc w:val="left"/>
            </w:pPr>
            <w:r>
              <w:rPr>
                <w:b/>
                <w:bCs/>
                <w:color w:val="222222"/>
                <w:sz w:val="18"/>
                <w:szCs w:val="18"/>
              </w:rPr>
              <w:t xml:space="preserve">R5</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10,733</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P</w:t>
            </w:r>
          </w:p>
        </w:tc>
        <w:tc>
          <w:tcPr>
            <w:tcW w:type="dxa" w:w="2340"/>
            <w:shd w:fill="ffffff" w:color="auto" w:val="clear"/>
            <w:tcMar>
              <w:top w:type="dxa" w:w="40"/>
              <w:left w:type="dxa" w:w="70"/>
              <w:bottom w:type="dxa" w:w="40"/>
              <w:right w:type="dxa" w:w="70"/>
            </w:tcMar>
          </w:tcPr>
          <w:p>
            <w:pPr>
              <w:jc w:val="left"/>
            </w:pPr>
            <w:r>
              <w:rPr>
                <w:b/>
                <w:bCs/>
                <w:color w:val="1a2942"/>
                <w:sz w:val="18"/>
                <w:szCs w:val="18"/>
              </w:rPr>
              <w:t xml:space="preserve">10,498</w:t>
            </w:r>
          </w:p>
        </w:tc>
      </w:tr>
      <w:tr>
        <w:tc>
          <w:tcPr>
            <w:tcW w:type="dxa" w:w="2340"/>
            <w:shd w:fill="eef1f5" w:color="auto" w:val="clear"/>
            <w:tcMar>
              <w:top w:type="dxa" w:w="40"/>
              <w:left w:type="dxa" w:w="70"/>
              <w:bottom w:type="dxa" w:w="40"/>
              <w:right w:type="dxa" w:w="70"/>
            </w:tcMar>
          </w:tcPr>
          <w:p>
            <w:pPr>
              <w:jc w:val="left"/>
            </w:pPr>
            <w:r>
              <w:rPr>
                <w:b/>
                <w:bCs/>
                <w:color w:val="222222"/>
                <w:sz w:val="18"/>
                <w:szCs w:val="18"/>
              </w:rPr>
              <w:t xml:space="preserve">R4</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10,666</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S1</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10,465</w:t>
            </w:r>
          </w:p>
        </w:tc>
      </w:tr>
      <w:tr>
        <w:tc>
          <w:tcPr>
            <w:tcW w:type="dxa" w:w="2340"/>
            <w:shd w:fill="ffffff" w:color="auto" w:val="clear"/>
            <w:tcMar>
              <w:top w:type="dxa" w:w="40"/>
              <w:left w:type="dxa" w:w="70"/>
              <w:bottom w:type="dxa" w:w="40"/>
              <w:right w:type="dxa" w:w="70"/>
            </w:tcMar>
          </w:tcPr>
          <w:p>
            <w:pPr>
              <w:jc w:val="left"/>
            </w:pPr>
            <w:r>
              <w:rPr>
                <w:b/>
                <w:bCs/>
                <w:color w:val="222222"/>
                <w:sz w:val="18"/>
                <w:szCs w:val="18"/>
              </w:rPr>
              <w:t xml:space="preserve">R3</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10,599</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S2</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10,431</w:t>
            </w:r>
          </w:p>
        </w:tc>
      </w:tr>
      <w:tr>
        <w:tc>
          <w:tcPr>
            <w:tcW w:type="dxa" w:w="2340"/>
            <w:shd w:fill="eef1f5" w:color="auto" w:val="clear"/>
            <w:tcMar>
              <w:top w:type="dxa" w:w="40"/>
              <w:left w:type="dxa" w:w="70"/>
              <w:bottom w:type="dxa" w:w="40"/>
              <w:right w:type="dxa" w:w="70"/>
            </w:tcMar>
          </w:tcPr>
          <w:p>
            <w:pPr>
              <w:jc w:val="left"/>
            </w:pPr>
            <w:r>
              <w:rPr>
                <w:b/>
                <w:bCs/>
                <w:color w:val="222222"/>
                <w:sz w:val="18"/>
                <w:szCs w:val="18"/>
              </w:rPr>
              <w:t xml:space="preserve">R2</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10,566</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S3</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10,398</w:t>
            </w:r>
          </w:p>
        </w:tc>
      </w:tr>
      <w:tr>
        <w:tc>
          <w:tcPr>
            <w:tcW w:type="dxa" w:w="2340"/>
            <w:shd w:fill="ffffff" w:color="auto" w:val="clear"/>
            <w:tcMar>
              <w:top w:type="dxa" w:w="40"/>
              <w:left w:type="dxa" w:w="70"/>
              <w:bottom w:type="dxa" w:w="40"/>
              <w:right w:type="dxa" w:w="70"/>
            </w:tcMar>
          </w:tcPr>
          <w:p>
            <w:pPr>
              <w:jc w:val="left"/>
            </w:pPr>
            <w:r>
              <w:rPr>
                <w:b/>
                <w:bCs/>
                <w:color w:val="222222"/>
                <w:sz w:val="18"/>
                <w:szCs w:val="18"/>
              </w:rPr>
              <w:t xml:space="preserve">R1</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10,532</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S4</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10,331</w:t>
            </w:r>
          </w:p>
        </w:tc>
      </w:tr>
      <w:tr>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S5</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10,264</w:t>
            </w:r>
          </w:p>
        </w:tc>
      </w:tr>
    </w:tbl>
    <w:p>
      <w:pPr>
        <w:pStyle w:val="Heading2"/>
        <w:spacing w:after="90" w:before="180"/>
      </w:pPr>
      <w:r>
        <w:rPr>
          <w:b/>
          <w:bCs/>
          <w:color w:val="1a2942"/>
          <w:sz w:val="24"/>
          <w:szCs w:val="24"/>
        </w:rPr>
        <w:t xml:space="preserve">Weekly pivots — W/E 10 Jul (CORROBORATED)</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2340"/>
        <w:gridCol w:w="2340"/>
        <w:gridCol w:w="2340"/>
        <w:gridCol w:w="234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Level</w:t>
            </w:r>
          </w:p>
        </w:tc>
        <w:tc>
          <w:tcPr>
            <w:shd w:fill="1a2942" w:color="auto" w:val="clear"/>
            <w:tcMar>
              <w:top w:type="dxa" w:w="40"/>
              <w:left w:type="dxa" w:w="70"/>
              <w:bottom w:type="dxa" w:w="40"/>
              <w:right w:type="dxa" w:w="70"/>
            </w:tcMar>
          </w:tcPr>
          <w:p>
            <w:pPr>
              <w:jc w:val="left"/>
            </w:pPr>
            <w:r>
              <w:rPr>
                <w:b/>
                <w:bCs/>
                <w:color w:val="ffffff"/>
                <w:sz w:val="18"/>
                <w:szCs w:val="18"/>
              </w:rPr>
              <w:t xml:space="preserve">Value</w:t>
            </w:r>
          </w:p>
        </w:tc>
        <w:tc>
          <w:tcPr>
            <w:shd w:fill="1a2942" w:color="auto" w:val="clear"/>
            <w:tcMar>
              <w:top w:type="dxa" w:w="40"/>
              <w:left w:type="dxa" w:w="70"/>
              <w:bottom w:type="dxa" w:w="40"/>
              <w:right w:type="dxa" w:w="70"/>
            </w:tcMar>
          </w:tcPr>
          <w:p>
            <w:pPr>
              <w:jc w:val="left"/>
            </w:pPr>
            <w:r>
              <w:rPr>
                <w:b/>
                <w:bCs/>
                <w:color w:val="ffffff"/>
                <w:sz w:val="18"/>
                <w:szCs w:val="18"/>
              </w:rPr>
              <w:t xml:space="preserve">Level</w:t>
            </w:r>
          </w:p>
        </w:tc>
        <w:tc>
          <w:tcPr>
            <w:shd w:fill="1a2942" w:color="auto" w:val="clear"/>
            <w:tcMar>
              <w:top w:type="dxa" w:w="40"/>
              <w:left w:type="dxa" w:w="70"/>
              <w:bottom w:type="dxa" w:w="40"/>
              <w:right w:type="dxa" w:w="70"/>
            </w:tcMar>
          </w:tcPr>
          <w:p>
            <w:pPr>
              <w:jc w:val="left"/>
            </w:pPr>
            <w:r>
              <w:rPr>
                <w:b/>
                <w:bCs/>
                <w:color w:val="ffffff"/>
                <w:sz w:val="18"/>
                <w:szCs w:val="18"/>
              </w:rPr>
              <w:t xml:space="preserve">Value</w:t>
            </w:r>
          </w:p>
        </w:tc>
      </w:tr>
      <w:tr>
        <w:tc>
          <w:tcPr>
            <w:tcW w:type="dxa" w:w="2340"/>
            <w:shd w:fill="ffffff" w:color="auto" w:val="clear"/>
            <w:tcMar>
              <w:top w:type="dxa" w:w="40"/>
              <w:left w:type="dxa" w:w="70"/>
              <w:bottom w:type="dxa" w:w="40"/>
              <w:right w:type="dxa" w:w="70"/>
            </w:tcMar>
          </w:tcPr>
          <w:p>
            <w:pPr>
              <w:jc w:val="left"/>
            </w:pPr>
            <w:r>
              <w:rPr>
                <w:b/>
                <w:bCs/>
                <w:color w:val="222222"/>
                <w:sz w:val="18"/>
                <w:szCs w:val="18"/>
              </w:rPr>
              <w:t xml:space="preserve">R3</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10,990</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P</w:t>
            </w:r>
          </w:p>
        </w:tc>
        <w:tc>
          <w:tcPr>
            <w:tcW w:type="dxa" w:w="2340"/>
            <w:shd w:fill="ffffff" w:color="auto" w:val="clear"/>
            <w:tcMar>
              <w:top w:type="dxa" w:w="40"/>
              <w:left w:type="dxa" w:w="70"/>
              <w:bottom w:type="dxa" w:w="40"/>
              <w:right w:type="dxa" w:w="70"/>
            </w:tcMar>
          </w:tcPr>
          <w:p>
            <w:pPr>
              <w:jc w:val="left"/>
            </w:pPr>
            <w:r>
              <w:rPr>
                <w:b/>
                <w:bCs/>
                <w:color w:val="1a2942"/>
                <w:sz w:val="18"/>
                <w:szCs w:val="18"/>
              </w:rPr>
              <w:t xml:space="preserve">10,550</w:t>
            </w:r>
          </w:p>
        </w:tc>
      </w:tr>
      <w:tr>
        <w:tc>
          <w:tcPr>
            <w:tcW w:type="dxa" w:w="2340"/>
            <w:shd w:fill="eef1f5" w:color="auto" w:val="clear"/>
            <w:tcMar>
              <w:top w:type="dxa" w:w="40"/>
              <w:left w:type="dxa" w:w="70"/>
              <w:bottom w:type="dxa" w:w="40"/>
              <w:right w:type="dxa" w:w="70"/>
            </w:tcMar>
          </w:tcPr>
          <w:p>
            <w:pPr>
              <w:jc w:val="left"/>
            </w:pPr>
            <w:r>
              <w:rPr>
                <w:b/>
                <w:bCs/>
                <w:color w:val="222222"/>
                <w:sz w:val="18"/>
                <w:szCs w:val="18"/>
              </w:rPr>
              <w:t xml:space="preserve">R2</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10,861</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S1</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10,368</w:t>
            </w:r>
          </w:p>
        </w:tc>
      </w:tr>
      <w:tr>
        <w:tc>
          <w:tcPr>
            <w:tcW w:type="dxa" w:w="2340"/>
            <w:shd w:fill="ffffff" w:color="auto" w:val="clear"/>
            <w:tcMar>
              <w:top w:type="dxa" w:w="40"/>
              <w:left w:type="dxa" w:w="70"/>
              <w:bottom w:type="dxa" w:w="40"/>
              <w:right w:type="dxa" w:w="70"/>
            </w:tcMar>
          </w:tcPr>
          <w:p>
            <w:pPr>
              <w:jc w:val="left"/>
            </w:pPr>
            <w:r>
              <w:rPr>
                <w:b/>
                <w:bCs/>
                <w:color w:val="222222"/>
                <w:sz w:val="18"/>
                <w:szCs w:val="18"/>
              </w:rPr>
              <w:t xml:space="preserve">R1</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10,679</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S2</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10,238</w:t>
            </w:r>
          </w:p>
        </w:tc>
      </w:tr>
      <w:tr>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S3</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10,057</w:t>
            </w:r>
          </w:p>
        </w:tc>
      </w:tr>
    </w:tbl>
    <w:p>
      <w:pPr>
        <w:pStyle w:val="Heading2"/>
        <w:spacing w:after="90" w:before="180"/>
      </w:pPr>
      <w:r>
        <w:rPr>
          <w:b/>
          <w:bCs/>
          <w:color w:val="1a2942"/>
          <w:sz w:val="24"/>
          <w:szCs w:val="24"/>
        </w:rPr>
        <w:t xml:space="preserve">Monthly pivots — June 2026 (CORROBORATED)</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2340"/>
        <w:gridCol w:w="2340"/>
        <w:gridCol w:w="2340"/>
        <w:gridCol w:w="234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Level</w:t>
            </w:r>
          </w:p>
        </w:tc>
        <w:tc>
          <w:tcPr>
            <w:shd w:fill="1a2942" w:color="auto" w:val="clear"/>
            <w:tcMar>
              <w:top w:type="dxa" w:w="40"/>
              <w:left w:type="dxa" w:w="70"/>
              <w:bottom w:type="dxa" w:w="40"/>
              <w:right w:type="dxa" w:w="70"/>
            </w:tcMar>
          </w:tcPr>
          <w:p>
            <w:pPr>
              <w:jc w:val="left"/>
            </w:pPr>
            <w:r>
              <w:rPr>
                <w:b/>
                <w:bCs/>
                <w:color w:val="ffffff"/>
                <w:sz w:val="18"/>
                <w:szCs w:val="18"/>
              </w:rPr>
              <w:t xml:space="preserve">Value</w:t>
            </w:r>
          </w:p>
        </w:tc>
        <w:tc>
          <w:tcPr>
            <w:shd w:fill="1a2942" w:color="auto" w:val="clear"/>
            <w:tcMar>
              <w:top w:type="dxa" w:w="40"/>
              <w:left w:type="dxa" w:w="70"/>
              <w:bottom w:type="dxa" w:w="40"/>
              <w:right w:type="dxa" w:w="70"/>
            </w:tcMar>
          </w:tcPr>
          <w:p>
            <w:pPr>
              <w:jc w:val="left"/>
            </w:pPr>
            <w:r>
              <w:rPr>
                <w:b/>
                <w:bCs/>
                <w:color w:val="ffffff"/>
                <w:sz w:val="18"/>
                <w:szCs w:val="18"/>
              </w:rPr>
              <w:t xml:space="preserve">Level</w:t>
            </w:r>
          </w:p>
        </w:tc>
        <w:tc>
          <w:tcPr>
            <w:shd w:fill="1a2942" w:color="auto" w:val="clear"/>
            <w:tcMar>
              <w:top w:type="dxa" w:w="40"/>
              <w:left w:type="dxa" w:w="70"/>
              <w:bottom w:type="dxa" w:w="40"/>
              <w:right w:type="dxa" w:w="70"/>
            </w:tcMar>
          </w:tcPr>
          <w:p>
            <w:pPr>
              <w:jc w:val="left"/>
            </w:pPr>
            <w:r>
              <w:rPr>
                <w:b/>
                <w:bCs/>
                <w:color w:val="ffffff"/>
                <w:sz w:val="18"/>
                <w:szCs w:val="18"/>
              </w:rPr>
              <w:t xml:space="preserve">Value</w:t>
            </w:r>
          </w:p>
        </w:tc>
      </w:tr>
      <w:tr>
        <w:tc>
          <w:tcPr>
            <w:tcW w:type="dxa" w:w="2340"/>
            <w:shd w:fill="ffffff" w:color="auto" w:val="clear"/>
            <w:tcMar>
              <w:top w:type="dxa" w:w="40"/>
              <w:left w:type="dxa" w:w="70"/>
              <w:bottom w:type="dxa" w:w="40"/>
              <w:right w:type="dxa" w:w="70"/>
            </w:tcMar>
          </w:tcPr>
          <w:p>
            <w:pPr>
              <w:jc w:val="left"/>
            </w:pPr>
            <w:r>
              <w:rPr>
                <w:b/>
                <w:bCs/>
                <w:color w:val="222222"/>
                <w:sz w:val="18"/>
                <w:szCs w:val="18"/>
              </w:rPr>
              <w:t xml:space="preserve">R2</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11,088</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P</w:t>
            </w:r>
          </w:p>
        </w:tc>
        <w:tc>
          <w:tcPr>
            <w:tcW w:type="dxa" w:w="2340"/>
            <w:shd w:fill="ffffff" w:color="auto" w:val="clear"/>
            <w:tcMar>
              <w:top w:type="dxa" w:w="40"/>
              <w:left w:type="dxa" w:w="70"/>
              <w:bottom w:type="dxa" w:w="40"/>
              <w:right w:type="dxa" w:w="70"/>
            </w:tcMar>
          </w:tcPr>
          <w:p>
            <w:pPr>
              <w:jc w:val="left"/>
            </w:pPr>
            <w:r>
              <w:rPr>
                <w:b/>
                <w:bCs/>
                <w:color w:val="1a2942"/>
                <w:sz w:val="18"/>
                <w:szCs w:val="18"/>
              </w:rPr>
              <w:t xml:space="preserve">10,507</w:t>
            </w:r>
          </w:p>
        </w:tc>
      </w:tr>
      <w:tr>
        <w:tc>
          <w:tcPr>
            <w:tcW w:type="dxa" w:w="2340"/>
            <w:shd w:fill="eef1f5" w:color="auto" w:val="clear"/>
            <w:tcMar>
              <w:top w:type="dxa" w:w="40"/>
              <w:left w:type="dxa" w:w="70"/>
              <w:bottom w:type="dxa" w:w="40"/>
              <w:right w:type="dxa" w:w="70"/>
            </w:tcMar>
          </w:tcPr>
          <w:p>
            <w:pPr>
              <w:jc w:val="left"/>
            </w:pPr>
            <w:r>
              <w:rPr>
                <w:b/>
                <w:bCs/>
                <w:color w:val="222222"/>
                <w:sz w:val="18"/>
                <w:szCs w:val="18"/>
              </w:rPr>
              <w:t xml:space="preserve">R1</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10,886</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S1</w:t>
            </w:r>
          </w:p>
        </w:tc>
        <w:tc>
          <w:tcPr>
            <w:tcW w:type="dxa" w:w="2340"/>
            <w:shd w:fill="eef1f5" w:color="auto" w:val="clear"/>
            <w:tcMar>
              <w:top w:type="dxa" w:w="40"/>
              <w:left w:type="dxa" w:w="70"/>
              <w:bottom w:type="dxa" w:w="40"/>
              <w:right w:type="dxa" w:w="70"/>
            </w:tcMar>
          </w:tcPr>
          <w:p>
            <w:pPr>
              <w:jc w:val="left"/>
            </w:pPr>
            <w:r>
              <w:rPr>
                <w:b w:val="false"/>
                <w:bCs w:val="false"/>
                <w:color w:val="222222"/>
                <w:sz w:val="18"/>
                <w:szCs w:val="18"/>
              </w:rPr>
              <w:t xml:space="preserve">10,305</w:t>
            </w:r>
          </w:p>
        </w:tc>
      </w:tr>
      <w:tr>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S2</w:t>
            </w:r>
          </w:p>
        </w:tc>
        <w:tc>
          <w:tcPr>
            <w:tcW w:type="dxa" w:w="2340"/>
            <w:shd w:fill="ffffff" w:color="auto" w:val="clear"/>
            <w:tcMar>
              <w:top w:type="dxa" w:w="40"/>
              <w:left w:type="dxa" w:w="70"/>
              <w:bottom w:type="dxa" w:w="40"/>
              <w:right w:type="dxa" w:w="70"/>
            </w:tcMar>
          </w:tcPr>
          <w:p>
            <w:pPr>
              <w:jc w:val="left"/>
            </w:pPr>
            <w:r>
              <w:rPr>
                <w:b w:val="false"/>
                <w:bCs w:val="false"/>
                <w:color w:val="222222"/>
                <w:sz w:val="18"/>
                <w:szCs w:val="18"/>
              </w:rPr>
              <w:t xml:space="preserve">9,926</w:t>
            </w:r>
          </w:p>
        </w:tc>
      </w:tr>
    </w:tbl>
    <w:p>
      <w:pPr>
        <w:spacing w:after="100" w:line="264"/>
      </w:pPr>
      <w:r>
        <w:rPr>
          <w:b/>
          <w:bCs/>
          <w:sz w:val="20"/>
          <w:szCs w:val="20"/>
        </w:rPr>
        <w:t xml:space="preserve">Position narrative: </w:t>
      </w:r>
      <w:r>
        <w:rPr>
          <w:sz w:val="20"/>
          <w:szCs w:val="20"/>
        </w:rPr>
        <w:t xml:space="preserve">The 13 July close (10,498) sits almost exactly on the daily pivot P (10,498) — a textbook neutral pivot position — and just below the weekly pivot (10,550) and monthly pivot (10,507). </w:t>
      </w:r>
      <w:r>
        <w:rPr>
          <w:b/>
          <w:bCs/>
          <w:sz w:val="20"/>
          <w:szCs w:val="20"/>
        </w:rPr>
        <w:t xml:space="preserve">Confluence zone: </w:t>
      </w:r>
      <w:r>
        <w:rPr>
          <w:sz w:val="20"/>
          <w:szCs w:val="20"/>
        </w:rPr>
        <w:t xml:space="preserve">the daily P (10,498) and monthly P (10,507) cluster within ~0.1%, and the daily R1 (10,532) coincides with the 13 July session high (10,532) — a strong overhead confluence that capped Monday's rally. Immediate support rests at the daily S1 (10,465), which aligns with the 13 July low. Pivot inputs across all three timeframes are two-source corroborated (FTSE), so pivot-based trade levels are eligible for use.</w:t>
      </w:r>
    </w:p>
    <w:p>
      <w:pPr>
        <w:pStyle w:val="Heading1"/>
        <w:spacing w:after="120" w:before="260"/>
      </w:pPr>
      <w:r>
        <w:rPr>
          <w:b/>
          <w:bCs/>
          <w:color w:val="1a2942"/>
          <w:sz w:val="28"/>
          <w:szCs w:val="28"/>
        </w:rPr>
        <w:t xml:space="preserve">12 · Key Market Considerations</w:t>
      </w:r>
    </w:p>
    <w:p>
      <w:pPr>
        <w:spacing w:after="100" w:line="264"/>
      </w:pPr>
      <w:r>
        <w:rPr>
          <w:b/>
          <w:bCs/>
          <w:sz w:val="20"/>
          <w:szCs w:val="20"/>
        </w:rPr>
        <w:t xml:space="preserve">Energy &amp; oil (structural + cyclical): </w:t>
      </w:r>
      <w:r>
        <w:rPr>
          <w:sz w:val="20"/>
          <w:szCs w:val="20"/>
        </w:rPr>
        <w:t xml:space="preserve">The 8 July collapse of the US–Iran ceasefire pushed Brent from ~$75.86 (Fri) to ~$79.4/bbl and up ~4.4% into 13 July, with Iran claiming a Strait of Hormuz closure. For the FTSE this is a genuine two-way factor: price-supportive for the ~15% index weight in Shell and BP (higher realised crude), but price-negative through the inflation/rates channel and for consumer-facing names. Net: </w:t>
      </w:r>
      <w:r>
        <w:rPr>
          <w:b/>
          <w:bCs/>
          <w:sz w:val="20"/>
          <w:szCs w:val="20"/>
        </w:rPr>
        <w:t xml:space="preserve">mildly price-supportive at the index level</w:t>
      </w:r>
      <w:r>
        <w:rPr>
          <w:sz w:val="20"/>
          <w:szCs w:val="20"/>
        </w:rPr>
        <w:t xml:space="preserve"> given FTSE's energy skew — the key reason it outperformed the DAX and EURO STOXX on 13 July. Cyclical, reversible if the ceasefire is restored.</w:t>
      </w:r>
    </w:p>
    <w:p>
      <w:pPr>
        <w:spacing w:after="100" w:line="264"/>
      </w:pPr>
      <w:r>
        <w:rPr>
          <w:b/>
          <w:bCs/>
          <w:sz w:val="20"/>
          <w:szCs w:val="20"/>
        </w:rPr>
        <w:t xml:space="preserve">Rates &amp; monetary policy (structural): </w:t>
      </w:r>
      <w:r>
        <w:rPr>
          <w:sz w:val="20"/>
          <w:szCs w:val="20"/>
        </w:rPr>
        <w:t xml:space="preserve">A fresh oil-driven inflation impulse arrives just as the Bank of England is expected to pause in July; markets have pared rate-cut bets. Higher-for-longer gilt yields (UK 10-year firmer) are </w:t>
      </w:r>
      <w:r>
        <w:rPr>
          <w:b/>
          <w:bCs/>
          <w:sz w:val="20"/>
          <w:szCs w:val="20"/>
        </w:rPr>
        <w:t xml:space="preserve">price-negative</w:t>
      </w:r>
      <w:r>
        <w:rPr>
          <w:sz w:val="20"/>
          <w:szCs w:val="20"/>
        </w:rPr>
        <w:t xml:space="preserve"> for rate-sensitive housebuilders and support GBP, capping the multinational translation tailwind.</w:t>
      </w:r>
    </w:p>
    <w:p>
      <w:pPr>
        <w:spacing w:after="100" w:line="264"/>
      </w:pPr>
      <w:r>
        <w:rPr>
          <w:b/>
          <w:bCs/>
          <w:sz w:val="20"/>
          <w:szCs w:val="20"/>
        </w:rPr>
        <w:t xml:space="preserve">Sector composition / substitution: </w:t>
      </w:r>
      <w:r>
        <w:rPr>
          <w:sz w:val="20"/>
          <w:szCs w:val="20"/>
        </w:rPr>
        <w:t xml:space="preserve">Relative to the DAX (industrials/tech-heavy) and EURO STOXX (financials/utilities), the FTSE's energy + mining + pharma + defensive tilt is currently </w:t>
      </w:r>
      <w:r>
        <w:rPr>
          <w:b/>
          <w:bCs/>
          <w:sz w:val="20"/>
          <w:szCs w:val="20"/>
        </w:rPr>
        <w:t xml:space="preserve">price-supportive on a relative basis</w:t>
      </w:r>
      <w:r>
        <w:rPr>
          <w:sz w:val="20"/>
          <w:szCs w:val="20"/>
        </w:rPr>
        <w:t xml:space="preserve"> during a geopolitics-and-oil regime, offset by pharma idiosyncratic risk (AstraZeneca).</w:t>
      </w:r>
    </w:p>
    <w:p>
      <w:pPr>
        <w:spacing w:after="100" w:line="264"/>
      </w:pPr>
      <w:r>
        <w:rPr>
          <w:b/>
          <w:bCs/>
          <w:sz w:val="20"/>
          <w:szCs w:val="20"/>
        </w:rPr>
        <w:t xml:space="preserve">Macro / FX (cyclical): </w:t>
      </w:r>
      <w:r>
        <w:rPr>
          <w:sz w:val="20"/>
          <w:szCs w:val="20"/>
        </w:rPr>
        <w:t xml:space="preserve">Sterling near $1.34 and firm versus the euro. A stronger GBP is a modest </w:t>
      </w:r>
      <w:r>
        <w:rPr>
          <w:b/>
          <w:bCs/>
          <w:sz w:val="20"/>
          <w:szCs w:val="20"/>
        </w:rPr>
        <w:t xml:space="preserve">headwind</w:t>
      </w:r>
      <w:r>
        <w:rPr>
          <w:sz w:val="20"/>
          <w:szCs w:val="20"/>
        </w:rPr>
        <w:t xml:space="preserve"> to the ~80% overseas-revenue FTSE constituents, partially neutralising the energy bid.</w:t>
      </w:r>
    </w:p>
    <w:p>
      <w:pPr>
        <w:spacing w:after="100" w:line="264"/>
      </w:pPr>
      <w:r>
        <w:rPr>
          <w:b/>
          <w:bCs/>
          <w:sz w:val="20"/>
          <w:szCs w:val="20"/>
        </w:rPr>
        <w:t xml:space="preserve">Near-term catalysts (see §13d): </w:t>
      </w:r>
      <w:r>
        <w:rPr>
          <w:sz w:val="20"/>
          <w:szCs w:val="20"/>
        </w:rPr>
        <w:t xml:space="preserve">UK CPI (Wed 16 Jul) is the dominant scheduled event; eurozone CPI, any Strait-of-Hormuz/oil headline, and the opening wave of US bank earnings are the other watch items within the 5-day horizon. All are </w:t>
      </w:r>
      <w:r>
        <w:rPr>
          <w:b/>
          <w:bCs/>
          <w:sz w:val="20"/>
          <w:szCs w:val="20"/>
        </w:rPr>
        <w:t xml:space="preserve">cyclical</w:t>
      </w:r>
      <w:r>
        <w:rPr>
          <w:sz w:val="20"/>
          <w:szCs w:val="20"/>
        </w:rPr>
        <w:t xml:space="preserve">, event-driven and reversible within the scenario window.</w:t>
      </w:r>
    </w:p>
    <w:p>
      <w:pPr>
        <w:pStyle w:val="Heading1"/>
        <w:spacing w:after="120" w:before="260"/>
      </w:pPr>
      <w:r>
        <w:rPr>
          <w:b/>
          <w:bCs/>
          <w:color w:val="1a2942"/>
          <w:sz w:val="28"/>
          <w:szCs w:val="28"/>
        </w:rPr>
        <w:t xml:space="preserve">13 · Sentiment, News &amp; Calendar</w:t>
      </w:r>
    </w:p>
    <w:p>
      <w:pPr>
        <w:pStyle w:val="Heading2"/>
        <w:spacing w:after="90" w:before="180"/>
      </w:pPr>
      <w:r>
        <w:rPr>
          <w:b/>
          <w:bCs/>
          <w:color w:val="1a2942"/>
          <w:sz w:val="24"/>
          <w:szCs w:val="24"/>
        </w:rPr>
        <w:t xml:space="preserve">13a · Per-Article Sentiment</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1400"/>
        <w:gridCol w:w="1150"/>
        <w:gridCol w:w="3200"/>
        <w:gridCol w:w="1100"/>
        <w:gridCol w:w="251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Source</w:t>
            </w:r>
          </w:p>
        </w:tc>
        <w:tc>
          <w:tcPr>
            <w:shd w:fill="1a2942" w:color="auto" w:val="clear"/>
            <w:tcMar>
              <w:top w:type="dxa" w:w="40"/>
              <w:left w:type="dxa" w:w="70"/>
              <w:bottom w:type="dxa" w:w="40"/>
              <w:right w:type="dxa" w:w="70"/>
            </w:tcMar>
          </w:tcPr>
          <w:p>
            <w:pPr>
              <w:jc w:val="left"/>
            </w:pPr>
            <w:r>
              <w:rPr>
                <w:b/>
                <w:bCs/>
                <w:color w:val="ffffff"/>
                <w:sz w:val="18"/>
                <w:szCs w:val="18"/>
              </w:rPr>
              <w:t xml:space="preserve">Date</w:t>
            </w:r>
          </w:p>
        </w:tc>
        <w:tc>
          <w:tcPr>
            <w:shd w:fill="1a2942" w:color="auto" w:val="clear"/>
            <w:tcMar>
              <w:top w:type="dxa" w:w="40"/>
              <w:left w:type="dxa" w:w="70"/>
              <w:bottom w:type="dxa" w:w="40"/>
              <w:right w:type="dxa" w:w="70"/>
            </w:tcMar>
          </w:tcPr>
          <w:p>
            <w:pPr>
              <w:jc w:val="left"/>
            </w:pPr>
            <w:r>
              <w:rPr>
                <w:b/>
                <w:bCs/>
                <w:color w:val="ffffff"/>
                <w:sz w:val="18"/>
                <w:szCs w:val="18"/>
              </w:rPr>
              <w:t xml:space="preserve">Headline (abridged)</w:t>
            </w:r>
          </w:p>
        </w:tc>
        <w:tc>
          <w:tcPr>
            <w:shd w:fill="1a2942" w:color="auto" w:val="clear"/>
            <w:tcMar>
              <w:top w:type="dxa" w:w="40"/>
              <w:left w:type="dxa" w:w="70"/>
              <w:bottom w:type="dxa" w:w="40"/>
              <w:right w:type="dxa" w:w="70"/>
            </w:tcMar>
          </w:tcPr>
          <w:p>
            <w:pPr>
              <w:jc w:val="left"/>
            </w:pPr>
            <w:r>
              <w:rPr>
                <w:b/>
                <w:bCs/>
                <w:color w:val="ffffff"/>
                <w:sz w:val="18"/>
                <w:szCs w:val="18"/>
              </w:rPr>
              <w:t xml:space="preserve">Class</w:t>
            </w:r>
          </w:p>
        </w:tc>
        <w:tc>
          <w:tcPr>
            <w:shd w:fill="1a2942" w:color="auto" w:val="clear"/>
            <w:tcMar>
              <w:top w:type="dxa" w:w="40"/>
              <w:left w:type="dxa" w:w="70"/>
              <w:bottom w:type="dxa" w:w="40"/>
              <w:right w:type="dxa" w:w="70"/>
            </w:tcMar>
          </w:tcPr>
          <w:p>
            <w:pPr>
              <w:jc w:val="left"/>
            </w:pPr>
            <w:r>
              <w:rPr>
                <w:b/>
                <w:bCs/>
                <w:color w:val="ffffff"/>
                <w:sz w:val="18"/>
                <w:szCs w:val="18"/>
              </w:rPr>
              <w:t xml:space="preserve">Derivation / sentiment</w:t>
            </w:r>
          </w:p>
        </w:tc>
      </w:tr>
      <w:tr>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Sunday Guardian</w:t>
            </w:r>
          </w:p>
        </w:tc>
        <w:tc>
          <w:tcPr>
            <w:tcW w:type="dxa" w:w="1150"/>
            <w:shd w:fill="ffffff" w:color="auto" w:val="clear"/>
            <w:tcMar>
              <w:top w:type="dxa" w:w="40"/>
              <w:left w:type="dxa" w:w="70"/>
              <w:bottom w:type="dxa" w:w="40"/>
              <w:right w:type="dxa" w:w="70"/>
            </w:tcMar>
          </w:tcPr>
          <w:p>
            <w:pPr>
              <w:jc w:val="left"/>
            </w:pPr>
            <w:r>
              <w:rPr>
                <w:b w:val="false"/>
                <w:bCs w:val="false"/>
                <w:color w:val="222222"/>
                <w:sz w:val="18"/>
                <w:szCs w:val="18"/>
              </w:rPr>
              <w:t xml:space="preserve">13 Jul</w:t>
            </w:r>
          </w:p>
        </w:tc>
        <w:tc>
          <w:tcPr>
            <w:tcW w:type="dxa" w:w="3200"/>
            <w:shd w:fill="ffffff" w:color="auto" w:val="clear"/>
            <w:tcMar>
              <w:top w:type="dxa" w:w="40"/>
              <w:left w:type="dxa" w:w="70"/>
              <w:bottom w:type="dxa" w:w="40"/>
              <w:right w:type="dxa" w:w="70"/>
            </w:tcMar>
          </w:tcPr>
          <w:p>
            <w:pPr>
              <w:jc w:val="left"/>
            </w:pPr>
            <w:r>
              <w:rPr>
                <w:b w:val="false"/>
                <w:bCs w:val="false"/>
                <w:color w:val="222222"/>
                <w:sz w:val="18"/>
                <w:szCs w:val="18"/>
              </w:rPr>
              <w:t xml:space="preserve">FTSE 100 edges higher amid Middle East crisis, rising oil</w:t>
            </w:r>
          </w:p>
        </w:tc>
        <w:tc>
          <w:tcPr>
            <w:tcW w:type="dxa" w:w="1100"/>
            <w:shd w:fill="ffffff" w:color="auto" w:val="clear"/>
            <w:tcMar>
              <w:top w:type="dxa" w:w="40"/>
              <w:left w:type="dxa" w:w="70"/>
              <w:bottom w:type="dxa" w:w="40"/>
              <w:right w:type="dxa" w:w="70"/>
            </w:tcMar>
          </w:tcPr>
          <w:p>
            <w:pPr>
              <w:jc w:val="left"/>
            </w:pPr>
            <w:r>
              <w:rPr>
                <w:b w:val="false"/>
                <w:bCs w:val="false"/>
                <w:color w:val="222222"/>
                <w:sz w:val="18"/>
                <w:szCs w:val="18"/>
              </w:rPr>
              <w:t xml:space="preserve">Media</w:t>
            </w:r>
          </w:p>
        </w:tc>
        <w:tc>
          <w:tcPr>
            <w:tcW w:type="dxa" w:w="2510"/>
            <w:shd w:fill="ffffff" w:color="auto" w:val="clear"/>
            <w:tcMar>
              <w:top w:type="dxa" w:w="40"/>
              <w:left w:type="dxa" w:w="70"/>
              <w:bottom w:type="dxa" w:w="40"/>
              <w:right w:type="dxa" w:w="70"/>
            </w:tcMar>
          </w:tcPr>
          <w:p>
            <w:pPr>
              <w:jc w:val="left"/>
            </w:pPr>
            <w:r>
              <w:rPr>
                <w:b w:val="false"/>
                <w:bCs w:val="false"/>
                <w:color w:val="222222"/>
                <w:sz w:val="18"/>
                <w:szCs w:val="18"/>
              </w:rPr>
              <w:t xml:space="preserve">“edged slightly higher… shrugging off” → Neutral</w:t>
            </w:r>
          </w:p>
        </w:tc>
      </w:tr>
      <w:tr>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BBN Times</w:t>
            </w:r>
          </w:p>
        </w:tc>
        <w:tc>
          <w:tcPr>
            <w:tcW w:type="dxa" w:w="1150"/>
            <w:shd w:fill="eef1f5" w:color="auto" w:val="clear"/>
            <w:tcMar>
              <w:top w:type="dxa" w:w="40"/>
              <w:left w:type="dxa" w:w="70"/>
              <w:bottom w:type="dxa" w:w="40"/>
              <w:right w:type="dxa" w:w="70"/>
            </w:tcMar>
          </w:tcPr>
          <w:p>
            <w:pPr>
              <w:jc w:val="left"/>
            </w:pPr>
            <w:r>
              <w:rPr>
                <w:b w:val="false"/>
                <w:bCs w:val="false"/>
                <w:color w:val="222222"/>
                <w:sz w:val="18"/>
                <w:szCs w:val="18"/>
              </w:rPr>
              <w:t xml:space="preserve">13 Jul</w:t>
            </w:r>
          </w:p>
        </w:tc>
        <w:tc>
          <w:tcPr>
            <w:tcW w:type="dxa" w:w="3200"/>
            <w:shd w:fill="eef1f5" w:color="auto" w:val="clear"/>
            <w:tcMar>
              <w:top w:type="dxa" w:w="40"/>
              <w:left w:type="dxa" w:w="70"/>
              <w:bottom w:type="dxa" w:w="40"/>
              <w:right w:type="dxa" w:w="70"/>
            </w:tcMar>
          </w:tcPr>
          <w:p>
            <w:pPr>
              <w:jc w:val="left"/>
            </w:pPr>
            <w:r>
              <w:rPr>
                <w:b w:val="false"/>
                <w:bCs w:val="false"/>
                <w:color w:val="222222"/>
                <w:sz w:val="18"/>
                <w:szCs w:val="18"/>
              </w:rPr>
              <w:t xml:space="preserve">London benchmark steadies near 10,498 amid volatile trading</w:t>
            </w:r>
          </w:p>
        </w:tc>
        <w:tc>
          <w:tcPr>
            <w:tcW w:type="dxa" w:w="1100"/>
            <w:shd w:fill="eef1f5" w:color="auto" w:val="clear"/>
            <w:tcMar>
              <w:top w:type="dxa" w:w="40"/>
              <w:left w:type="dxa" w:w="70"/>
              <w:bottom w:type="dxa" w:w="40"/>
              <w:right w:type="dxa" w:w="70"/>
            </w:tcMar>
          </w:tcPr>
          <w:p>
            <w:pPr>
              <w:jc w:val="left"/>
            </w:pPr>
            <w:r>
              <w:rPr>
                <w:b w:val="false"/>
                <w:bCs w:val="false"/>
                <w:color w:val="222222"/>
                <w:sz w:val="18"/>
                <w:szCs w:val="18"/>
              </w:rPr>
              <w:t xml:space="preserve">Media</w:t>
            </w:r>
          </w:p>
        </w:tc>
        <w:tc>
          <w:tcPr>
            <w:tcW w:type="dxa" w:w="2510"/>
            <w:shd w:fill="eef1f5" w:color="auto" w:val="clear"/>
            <w:tcMar>
              <w:top w:type="dxa" w:w="40"/>
              <w:left w:type="dxa" w:w="70"/>
              <w:bottom w:type="dxa" w:w="40"/>
              <w:right w:type="dxa" w:w="70"/>
            </w:tcMar>
          </w:tcPr>
          <w:p>
            <w:pPr>
              <w:jc w:val="left"/>
            </w:pPr>
            <w:r>
              <w:rPr>
                <w:b w:val="false"/>
                <w:bCs w:val="false"/>
                <w:color w:val="222222"/>
                <w:sz w:val="18"/>
                <w:szCs w:val="18"/>
              </w:rPr>
              <w:t xml:space="preserve">“closed virtually flat… turbulent underneath” → Neutral/Mixed</w:t>
            </w:r>
          </w:p>
        </w:tc>
      </w:tr>
      <w:tr>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Share Talk</w:t>
            </w:r>
          </w:p>
        </w:tc>
        <w:tc>
          <w:tcPr>
            <w:tcW w:type="dxa" w:w="1150"/>
            <w:shd w:fill="ffffff" w:color="auto" w:val="clear"/>
            <w:tcMar>
              <w:top w:type="dxa" w:w="40"/>
              <w:left w:type="dxa" w:w="70"/>
              <w:bottom w:type="dxa" w:w="40"/>
              <w:right w:type="dxa" w:w="70"/>
            </w:tcMar>
          </w:tcPr>
          <w:p>
            <w:pPr>
              <w:jc w:val="left"/>
            </w:pPr>
            <w:r>
              <w:rPr>
                <w:b w:val="false"/>
                <w:bCs w:val="false"/>
                <w:color w:val="222222"/>
                <w:sz w:val="18"/>
                <w:szCs w:val="18"/>
              </w:rPr>
              <w:t xml:space="preserve">13 Jul</w:t>
            </w:r>
          </w:p>
        </w:tc>
        <w:tc>
          <w:tcPr>
            <w:tcW w:type="dxa" w:w="3200"/>
            <w:shd w:fill="ffffff" w:color="auto" w:val="clear"/>
            <w:tcMar>
              <w:top w:type="dxa" w:w="40"/>
              <w:left w:type="dxa" w:w="70"/>
              <w:bottom w:type="dxa" w:w="40"/>
              <w:right w:type="dxa" w:w="70"/>
            </w:tcMar>
          </w:tcPr>
          <w:p>
            <w:pPr>
              <w:jc w:val="left"/>
            </w:pPr>
            <w:r>
              <w:rPr>
                <w:b w:val="false"/>
                <w:bCs w:val="false"/>
                <w:color w:val="222222"/>
                <w:sz w:val="18"/>
                <w:szCs w:val="18"/>
              </w:rPr>
              <w:t xml:space="preserve">FTSE 100 ends flat as oil rises on US–Iran tensions</w:t>
            </w:r>
          </w:p>
        </w:tc>
        <w:tc>
          <w:tcPr>
            <w:tcW w:type="dxa" w:w="1100"/>
            <w:shd w:fill="ffffff" w:color="auto" w:val="clear"/>
            <w:tcMar>
              <w:top w:type="dxa" w:w="40"/>
              <w:left w:type="dxa" w:w="70"/>
              <w:bottom w:type="dxa" w:w="40"/>
              <w:right w:type="dxa" w:w="70"/>
            </w:tcMar>
          </w:tcPr>
          <w:p>
            <w:pPr>
              <w:jc w:val="left"/>
            </w:pPr>
            <w:r>
              <w:rPr>
                <w:b w:val="false"/>
                <w:bCs w:val="false"/>
                <w:color w:val="222222"/>
                <w:sz w:val="18"/>
                <w:szCs w:val="18"/>
              </w:rPr>
              <w:t xml:space="preserve">Trade Press</w:t>
            </w:r>
          </w:p>
        </w:tc>
        <w:tc>
          <w:tcPr>
            <w:tcW w:type="dxa" w:w="2510"/>
            <w:shd w:fill="ffffff" w:color="auto" w:val="clear"/>
            <w:tcMar>
              <w:top w:type="dxa" w:w="40"/>
              <w:left w:type="dxa" w:w="70"/>
              <w:bottom w:type="dxa" w:w="40"/>
              <w:right w:type="dxa" w:w="70"/>
            </w:tcMar>
          </w:tcPr>
          <w:p>
            <w:pPr>
              <w:jc w:val="left"/>
            </w:pPr>
            <w:r>
              <w:rPr>
                <w:b w:val="false"/>
                <w:bCs w:val="false"/>
                <w:color w:val="222222"/>
                <w:sz w:val="18"/>
                <w:szCs w:val="18"/>
              </w:rPr>
              <w:t xml:space="preserve">“struggled for direction… offset by oil” → Neutral</w:t>
            </w:r>
          </w:p>
        </w:tc>
      </w:tr>
      <w:tr>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IG (UK)</w:t>
            </w:r>
          </w:p>
        </w:tc>
        <w:tc>
          <w:tcPr>
            <w:tcW w:type="dxa" w:w="1150"/>
            <w:shd w:fill="eef1f5" w:color="auto" w:val="clear"/>
            <w:tcMar>
              <w:top w:type="dxa" w:w="40"/>
              <w:left w:type="dxa" w:w="70"/>
              <w:bottom w:type="dxa" w:w="40"/>
              <w:right w:type="dxa" w:w="70"/>
            </w:tcMar>
          </w:tcPr>
          <w:p>
            <w:pPr>
              <w:jc w:val="left"/>
            </w:pPr>
            <w:r>
              <w:rPr>
                <w:b w:val="false"/>
                <w:bCs w:val="false"/>
                <w:color w:val="222222"/>
                <w:sz w:val="18"/>
                <w:szCs w:val="18"/>
              </w:rPr>
              <w:t xml:space="preserve">8 Jul</w:t>
            </w:r>
          </w:p>
        </w:tc>
        <w:tc>
          <w:tcPr>
            <w:tcW w:type="dxa" w:w="3200"/>
            <w:shd w:fill="eef1f5" w:color="auto" w:val="clear"/>
            <w:tcMar>
              <w:top w:type="dxa" w:w="40"/>
              <w:left w:type="dxa" w:w="70"/>
              <w:bottom w:type="dxa" w:w="40"/>
              <w:right w:type="dxa" w:w="70"/>
            </w:tcMar>
          </w:tcPr>
          <w:p>
            <w:pPr>
              <w:jc w:val="left"/>
            </w:pPr>
            <w:r>
              <w:rPr>
                <w:b w:val="false"/>
                <w:bCs w:val="false"/>
                <w:color w:val="222222"/>
                <w:sz w:val="18"/>
                <w:szCs w:val="18"/>
              </w:rPr>
              <w:t xml:space="preserve">Iran ceasefire collapse — what it means for oil, stocks</w:t>
            </w:r>
          </w:p>
        </w:tc>
        <w:tc>
          <w:tcPr>
            <w:tcW w:type="dxa" w:w="1100"/>
            <w:shd w:fill="eef1f5" w:color="auto" w:val="clear"/>
            <w:tcMar>
              <w:top w:type="dxa" w:w="40"/>
              <w:left w:type="dxa" w:w="70"/>
              <w:bottom w:type="dxa" w:w="40"/>
              <w:right w:type="dxa" w:w="70"/>
            </w:tcMar>
          </w:tcPr>
          <w:p>
            <w:pPr>
              <w:jc w:val="left"/>
            </w:pPr>
            <w:r>
              <w:rPr>
                <w:b w:val="false"/>
                <w:bCs w:val="false"/>
                <w:color w:val="222222"/>
                <w:sz w:val="18"/>
                <w:szCs w:val="18"/>
              </w:rPr>
              <w:t xml:space="preserve">Institutional</w:t>
            </w:r>
          </w:p>
        </w:tc>
        <w:tc>
          <w:tcPr>
            <w:tcW w:type="dxa" w:w="2510"/>
            <w:shd w:fill="eef1f5" w:color="auto" w:val="clear"/>
            <w:tcMar>
              <w:top w:type="dxa" w:w="40"/>
              <w:left w:type="dxa" w:w="70"/>
              <w:bottom w:type="dxa" w:w="40"/>
              <w:right w:type="dxa" w:w="70"/>
            </w:tcMar>
          </w:tcPr>
          <w:p>
            <w:pPr>
              <w:jc w:val="left"/>
            </w:pPr>
            <w:r>
              <w:rPr>
                <w:b w:val="false"/>
                <w:bCs w:val="false"/>
                <w:color w:val="222222"/>
                <w:sz w:val="18"/>
                <w:szCs w:val="18"/>
              </w:rPr>
              <w:t xml:space="preserve">“FTSE 100 fell 1.7%… worst single-session” → Bearish</w:t>
            </w:r>
          </w:p>
        </w:tc>
      </w:tr>
      <w:tr>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Reuters/Euronext</w:t>
            </w:r>
          </w:p>
        </w:tc>
        <w:tc>
          <w:tcPr>
            <w:tcW w:type="dxa" w:w="1150"/>
            <w:shd w:fill="ffffff" w:color="auto" w:val="clear"/>
            <w:tcMar>
              <w:top w:type="dxa" w:w="40"/>
              <w:left w:type="dxa" w:w="70"/>
              <w:bottom w:type="dxa" w:w="40"/>
              <w:right w:type="dxa" w:w="70"/>
            </w:tcMar>
          </w:tcPr>
          <w:p>
            <w:pPr>
              <w:jc w:val="left"/>
            </w:pPr>
            <w:r>
              <w:rPr>
                <w:b w:val="false"/>
                <w:bCs w:val="false"/>
                <w:color w:val="222222"/>
                <w:sz w:val="18"/>
                <w:szCs w:val="18"/>
              </w:rPr>
              <w:t xml:space="preserve">13 Jul</w:t>
            </w:r>
          </w:p>
        </w:tc>
        <w:tc>
          <w:tcPr>
            <w:tcW w:type="dxa" w:w="3200"/>
            <w:shd w:fill="ffffff" w:color="auto" w:val="clear"/>
            <w:tcMar>
              <w:top w:type="dxa" w:w="40"/>
              <w:left w:type="dxa" w:w="70"/>
              <w:bottom w:type="dxa" w:w="40"/>
              <w:right w:type="dxa" w:w="70"/>
            </w:tcMar>
          </w:tcPr>
          <w:p>
            <w:pPr>
              <w:jc w:val="left"/>
            </w:pPr>
            <w:r>
              <w:rPr>
                <w:b w:val="false"/>
                <w:bCs w:val="false"/>
                <w:color w:val="222222"/>
                <w:sz w:val="18"/>
                <w:szCs w:val="18"/>
              </w:rPr>
              <w:t xml:space="preserve">London's FTSE 100 muted as Iran escalates strikes</w:t>
            </w:r>
          </w:p>
        </w:tc>
        <w:tc>
          <w:tcPr>
            <w:tcW w:type="dxa" w:w="1100"/>
            <w:shd w:fill="ffffff" w:color="auto" w:val="clear"/>
            <w:tcMar>
              <w:top w:type="dxa" w:w="40"/>
              <w:left w:type="dxa" w:w="70"/>
              <w:bottom w:type="dxa" w:w="40"/>
              <w:right w:type="dxa" w:w="70"/>
            </w:tcMar>
          </w:tcPr>
          <w:p>
            <w:pPr>
              <w:jc w:val="left"/>
            </w:pPr>
            <w:r>
              <w:rPr>
                <w:b w:val="false"/>
                <w:bCs w:val="false"/>
                <w:color w:val="222222"/>
                <w:sz w:val="18"/>
                <w:szCs w:val="18"/>
              </w:rPr>
              <w:t xml:space="preserve">Media</w:t>
            </w:r>
          </w:p>
        </w:tc>
        <w:tc>
          <w:tcPr>
            <w:tcW w:type="dxa" w:w="2510"/>
            <w:shd w:fill="ffffff" w:color="auto" w:val="clear"/>
            <w:tcMar>
              <w:top w:type="dxa" w:w="40"/>
              <w:left w:type="dxa" w:w="70"/>
              <w:bottom w:type="dxa" w:w="40"/>
              <w:right w:type="dxa" w:w="70"/>
            </w:tcMar>
          </w:tcPr>
          <w:p>
            <w:pPr>
              <w:jc w:val="left"/>
            </w:pPr>
            <w:r>
              <w:rPr>
                <w:b w:val="false"/>
                <w:bCs w:val="false"/>
                <w:color w:val="222222"/>
                <w:sz w:val="18"/>
                <w:szCs w:val="18"/>
              </w:rPr>
              <w:t xml:space="preserve">“little changed… oil boosted energy” → Neutral</w:t>
            </w:r>
          </w:p>
        </w:tc>
      </w:tr>
      <w:tr>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Investrade</w:t>
            </w:r>
          </w:p>
        </w:tc>
        <w:tc>
          <w:tcPr>
            <w:tcW w:type="dxa" w:w="1150"/>
            <w:shd w:fill="eef1f5" w:color="auto" w:val="clear"/>
            <w:tcMar>
              <w:top w:type="dxa" w:w="40"/>
              <w:left w:type="dxa" w:w="70"/>
              <w:bottom w:type="dxa" w:w="40"/>
              <w:right w:type="dxa" w:w="70"/>
            </w:tcMar>
          </w:tcPr>
          <w:p>
            <w:pPr>
              <w:jc w:val="left"/>
            </w:pPr>
            <w:r>
              <w:rPr>
                <w:b w:val="false"/>
                <w:bCs w:val="false"/>
                <w:color w:val="222222"/>
                <w:sz w:val="18"/>
                <w:szCs w:val="18"/>
              </w:rPr>
              <w:t xml:space="preserve">13 Jul</w:t>
            </w:r>
          </w:p>
        </w:tc>
        <w:tc>
          <w:tcPr>
            <w:tcW w:type="dxa" w:w="3200"/>
            <w:shd w:fill="eef1f5" w:color="auto" w:val="clear"/>
            <w:tcMar>
              <w:top w:type="dxa" w:w="40"/>
              <w:left w:type="dxa" w:w="70"/>
              <w:bottom w:type="dxa" w:w="40"/>
              <w:right w:type="dxa" w:w="70"/>
            </w:tcMar>
          </w:tcPr>
          <w:p>
            <w:pPr>
              <w:jc w:val="left"/>
            </w:pPr>
            <w:r>
              <w:rPr>
                <w:b w:val="false"/>
                <w:bCs w:val="false"/>
                <w:color w:val="222222"/>
                <w:sz w:val="18"/>
                <w:szCs w:val="18"/>
              </w:rPr>
              <w:t xml:space="preserve">Morning preview: US futures lower, memory stocks weak</w:t>
            </w:r>
          </w:p>
        </w:tc>
        <w:tc>
          <w:tcPr>
            <w:tcW w:type="dxa" w:w="1100"/>
            <w:shd w:fill="eef1f5" w:color="auto" w:val="clear"/>
            <w:tcMar>
              <w:top w:type="dxa" w:w="40"/>
              <w:left w:type="dxa" w:w="70"/>
              <w:bottom w:type="dxa" w:w="40"/>
              <w:right w:type="dxa" w:w="70"/>
            </w:tcMar>
          </w:tcPr>
          <w:p>
            <w:pPr>
              <w:jc w:val="left"/>
            </w:pPr>
            <w:r>
              <w:rPr>
                <w:b w:val="false"/>
                <w:bCs w:val="false"/>
                <w:color w:val="222222"/>
                <w:sz w:val="18"/>
                <w:szCs w:val="18"/>
              </w:rPr>
              <w:t xml:space="preserve">Trade Press</w:t>
            </w:r>
          </w:p>
        </w:tc>
        <w:tc>
          <w:tcPr>
            <w:tcW w:type="dxa" w:w="2510"/>
            <w:shd w:fill="eef1f5" w:color="auto" w:val="clear"/>
            <w:tcMar>
              <w:top w:type="dxa" w:w="40"/>
              <w:left w:type="dxa" w:w="70"/>
              <w:bottom w:type="dxa" w:w="40"/>
              <w:right w:type="dxa" w:w="70"/>
            </w:tcMar>
          </w:tcPr>
          <w:p>
            <w:pPr>
              <w:jc w:val="left"/>
            </w:pPr>
            <w:r>
              <w:rPr>
                <w:b w:val="false"/>
                <w:bCs w:val="false"/>
                <w:color w:val="222222"/>
                <w:sz w:val="18"/>
                <w:szCs w:val="18"/>
              </w:rPr>
              <w:t xml:space="preserve">“futures looking lower… pressured” → Bearish (risk)</w:t>
            </w:r>
          </w:p>
        </w:tc>
      </w:tr>
    </w:tbl>
    <w:p>
      <w:pPr>
        <w:pStyle w:val="Heading2"/>
        <w:spacing w:after="90" w:before="180"/>
      </w:pPr>
      <w:r>
        <w:rPr>
          <w:b/>
          <w:bCs/>
          <w:color w:val="1a2942"/>
          <w:sz w:val="24"/>
          <w:szCs w:val="24"/>
        </w:rPr>
        <w:t xml:space="preserve">13b · Aggregate Sentiment Summary</w:t>
      </w:r>
    </w:p>
    <w:p>
      <w:pPr>
        <w:spacing w:after="100" w:line="264"/>
      </w:pPr>
      <w:r>
        <w:rPr>
          <w:sz w:val="20"/>
          <w:szCs w:val="20"/>
        </w:rPr>
        <w:t xml:space="preserve">Counts: 4 Neutral (3 media, 1 trade press), 2 Bearish (1 institutional, 1 trade press) = </w:t>
      </w:r>
      <w:r>
        <w:rPr>
          <w:b/>
          <w:bCs/>
          <w:sz w:val="20"/>
          <w:szCs w:val="20"/>
        </w:rPr>
        <w:t xml:space="preserve">Balanced with a mild bearish lean.</w:t>
      </w:r>
    </w:p>
    <w:p>
      <w:pPr>
        <w:spacing w:after="100" w:line="264"/>
      </w:pPr>
      <w:r>
        <w:rPr>
          <w:b/>
          <w:bCs/>
          <w:sz w:val="20"/>
          <w:szCs w:val="20"/>
        </w:rPr>
        <w:t xml:space="preserve">Numeric tilt: </w:t>
      </w:r>
      <w:r>
        <w:rPr>
          <w:sz w:val="20"/>
          <w:szCs w:val="20"/>
        </w:rPr>
        <w:t xml:space="preserve">source-class-weighted mean of article scores → institutional Bearish (w1.0×−1) + trade-press Bearish (w0.7×−1) + trade-press Neutral (w0.7×0) + three media Neutral (w0.5×0 each). Σw·s = −1.70; Σw = 1.0+0.7+0.7+0.5+0.5+0.5 = 3.9; tilt = −1.70/3.9 = </w:t>
      </w:r>
      <w:r>
        <w:rPr>
          <w:b/>
          <w:bCs/>
          <w:sz w:val="20"/>
          <w:szCs w:val="20"/>
        </w:rPr>
        <w:t xml:space="preserve">−0.10 → Balanced (tilt = −0.10).</w:t>
      </w:r>
    </w:p>
    <w:p>
      <w:pPr>
        <w:spacing w:after="100" w:line="264"/>
      </w:pPr>
      <w:r>
        <w:rPr>
          <w:b/>
          <w:bCs/>
          <w:sz w:val="20"/>
          <w:szCs w:val="20"/>
        </w:rPr>
        <w:t xml:space="preserve">Divergence flag: </w:t>
      </w:r>
      <w:r>
        <w:rPr>
          <w:sz w:val="20"/>
          <w:szCs w:val="20"/>
        </w:rPr>
        <w:t xml:space="preserve">aggregate sentiment (mildly bearish) broadly agrees with the risk-off cross-asset read (§10) and the Trending-Down KER (§9); it mildly diverges from the flat-to-up last two price sessions. Given the Transitional regime, the sentiment/cross-asset signal is treated as the more reliable near-term tell. Sentiment is computed on 6 articles → not low-confidence.</w:t>
      </w:r>
    </w:p>
    <w:p>
      <w:pPr>
        <w:pStyle w:val="Heading2"/>
        <w:spacing w:after="90" w:before="180"/>
      </w:pPr>
      <w:r>
        <w:rPr>
          <w:b/>
          <w:bCs/>
          <w:color w:val="1a2942"/>
          <w:sz w:val="24"/>
          <w:szCs w:val="24"/>
        </w:rPr>
        <w:t xml:space="preserve">13c · News Calendar — Previous Period (8–13 Jul)</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1250"/>
        <w:gridCol w:w="2600"/>
        <w:gridCol w:w="2350"/>
        <w:gridCol w:w="900"/>
        <w:gridCol w:w="226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Date</w:t>
            </w:r>
          </w:p>
        </w:tc>
        <w:tc>
          <w:tcPr>
            <w:shd w:fill="1a2942" w:color="auto" w:val="clear"/>
            <w:tcMar>
              <w:top w:type="dxa" w:w="40"/>
              <w:left w:type="dxa" w:w="70"/>
              <w:bottom w:type="dxa" w:w="40"/>
              <w:right w:type="dxa" w:w="70"/>
            </w:tcMar>
          </w:tcPr>
          <w:p>
            <w:pPr>
              <w:jc w:val="left"/>
            </w:pPr>
            <w:r>
              <w:rPr>
                <w:b/>
                <w:bCs/>
                <w:color w:val="ffffff"/>
                <w:sz w:val="18"/>
                <w:szCs w:val="18"/>
              </w:rPr>
              <w:t xml:space="preserve">Event</w:t>
            </w:r>
          </w:p>
        </w:tc>
        <w:tc>
          <w:tcPr>
            <w:shd w:fill="1a2942" w:color="auto" w:val="clear"/>
            <w:tcMar>
              <w:top w:type="dxa" w:w="40"/>
              <w:left w:type="dxa" w:w="70"/>
              <w:bottom w:type="dxa" w:w="40"/>
              <w:right w:type="dxa" w:w="70"/>
            </w:tcMar>
          </w:tcPr>
          <w:p>
            <w:pPr>
              <w:jc w:val="left"/>
            </w:pPr>
            <w:r>
              <w:rPr>
                <w:b/>
                <w:bCs/>
                <w:color w:val="ffffff"/>
                <w:sz w:val="18"/>
                <w:szCs w:val="18"/>
              </w:rPr>
              <w:t xml:space="preserve">Prior / context</w:t>
            </w:r>
          </w:p>
        </w:tc>
        <w:tc>
          <w:tcPr>
            <w:shd w:fill="1a2942" w:color="auto" w:val="clear"/>
            <w:tcMar>
              <w:top w:type="dxa" w:w="40"/>
              <w:left w:type="dxa" w:w="70"/>
              <w:bottom w:type="dxa" w:w="40"/>
              <w:right w:type="dxa" w:w="70"/>
            </w:tcMar>
          </w:tcPr>
          <w:p>
            <w:pPr>
              <w:jc w:val="left"/>
            </w:pPr>
            <w:r>
              <w:rPr>
                <w:b/>
                <w:bCs/>
                <w:color w:val="ffffff"/>
                <w:sz w:val="18"/>
                <w:szCs w:val="18"/>
              </w:rPr>
              <w:t xml:space="preserve">Impact</w:t>
            </w:r>
          </w:p>
        </w:tc>
        <w:tc>
          <w:tcPr>
            <w:shd w:fill="1a2942" w:color="auto" w:val="clear"/>
            <w:tcMar>
              <w:top w:type="dxa" w:w="40"/>
              <w:left w:type="dxa" w:w="70"/>
              <w:bottom w:type="dxa" w:w="40"/>
              <w:right w:type="dxa" w:w="70"/>
            </w:tcMar>
          </w:tcPr>
          <w:p>
            <w:pPr>
              <w:jc w:val="left"/>
            </w:pPr>
            <w:r>
              <w:rPr>
                <w:b/>
                <w:bCs/>
                <w:color w:val="ffffff"/>
                <w:sz w:val="18"/>
                <w:szCs w:val="18"/>
              </w:rPr>
              <w:t xml:space="preserve">Implication for FTSE</w:t>
            </w:r>
          </w:p>
        </w:tc>
      </w:tr>
      <w:tr>
        <w:tc>
          <w:tcPr>
            <w:tcW w:type="dxa" w:w="1250"/>
            <w:shd w:fill="ffffff" w:color="auto" w:val="clear"/>
            <w:tcMar>
              <w:top w:type="dxa" w:w="40"/>
              <w:left w:type="dxa" w:w="70"/>
              <w:bottom w:type="dxa" w:w="40"/>
              <w:right w:type="dxa" w:w="70"/>
            </w:tcMar>
          </w:tcPr>
          <w:p>
            <w:pPr>
              <w:jc w:val="left"/>
            </w:pPr>
            <w:r>
              <w:rPr>
                <w:b w:val="false"/>
                <w:bCs w:val="false"/>
                <w:color w:val="222222"/>
                <w:sz w:val="18"/>
                <w:szCs w:val="18"/>
              </w:rPr>
              <w:t xml:space="preserve">Wed 8 Jul</w:t>
            </w:r>
          </w:p>
        </w:tc>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US–Iran ceasefire collapse; Hormuz attacks</w:t>
            </w:r>
          </w:p>
        </w:tc>
        <w:tc>
          <w:tcPr>
            <w:tcW w:type="dxa" w:w="2350"/>
            <w:shd w:fill="ffffff" w:color="auto" w:val="clear"/>
            <w:tcMar>
              <w:top w:type="dxa" w:w="40"/>
              <w:left w:type="dxa" w:w="70"/>
              <w:bottom w:type="dxa" w:w="40"/>
              <w:right w:type="dxa" w:w="70"/>
            </w:tcMar>
          </w:tcPr>
          <w:p>
            <w:pPr>
              <w:jc w:val="left"/>
            </w:pPr>
            <w:r>
              <w:rPr>
                <w:b w:val="false"/>
                <w:bCs w:val="false"/>
                <w:color w:val="222222"/>
                <w:sz w:val="18"/>
                <w:szCs w:val="18"/>
              </w:rPr>
              <w:t xml:space="preserve">Ceasefire held since 17 Jun</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High</w:t>
            </w:r>
          </w:p>
        </w:tc>
        <w:tc>
          <w:tcPr>
            <w:tcW w:type="dxa" w:w="2260"/>
            <w:shd w:fill="ffffff" w:color="auto" w:val="clear"/>
            <w:tcMar>
              <w:top w:type="dxa" w:w="40"/>
              <w:left w:type="dxa" w:w="70"/>
              <w:bottom w:type="dxa" w:w="40"/>
              <w:right w:type="dxa" w:w="70"/>
            </w:tcMar>
          </w:tcPr>
          <w:p>
            <w:pPr>
              <w:jc w:val="left"/>
            </w:pPr>
            <w:r>
              <w:rPr>
                <w:b w:val="false"/>
                <w:bCs w:val="false"/>
                <w:color w:val="222222"/>
                <w:sz w:val="18"/>
                <w:szCs w:val="18"/>
              </w:rPr>
              <w:t xml:space="preserve">−1.7% (~−176 pt); oil +; energy up, risk down</w:t>
            </w:r>
          </w:p>
        </w:tc>
      </w:tr>
      <w:tr>
        <w:tc>
          <w:tcPr>
            <w:tcW w:type="dxa" w:w="1250"/>
            <w:shd w:fill="eef1f5" w:color="auto" w:val="clear"/>
            <w:tcMar>
              <w:top w:type="dxa" w:w="40"/>
              <w:left w:type="dxa" w:w="70"/>
              <w:bottom w:type="dxa" w:w="40"/>
              <w:right w:type="dxa" w:w="70"/>
            </w:tcMar>
          </w:tcPr>
          <w:p>
            <w:pPr>
              <w:jc w:val="left"/>
            </w:pPr>
            <w:r>
              <w:rPr>
                <w:b w:val="false"/>
                <w:bCs w:val="false"/>
                <w:color w:val="222222"/>
                <w:sz w:val="18"/>
                <w:szCs w:val="18"/>
              </w:rPr>
              <w:t xml:space="preserve">Thu 9 Jul</w:t>
            </w:r>
          </w:p>
        </w:tc>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AstraZeneca Wainua trial failure</w:t>
            </w:r>
          </w:p>
        </w:tc>
        <w:tc>
          <w:tcPr>
            <w:tcW w:type="dxa" w:w="2350"/>
            <w:shd w:fill="eef1f5" w:color="auto" w:val="clear"/>
            <w:tcMar>
              <w:top w:type="dxa" w:w="40"/>
              <w:left w:type="dxa" w:w="70"/>
              <w:bottom w:type="dxa" w:w="40"/>
              <w:right w:type="dxa" w:w="70"/>
            </w:tcMar>
          </w:tcPr>
          <w:p>
            <w:pPr>
              <w:jc w:val="left"/>
            </w:pPr>
            <w:r>
              <w:rPr>
                <w:b w:val="false"/>
                <w:bCs w:val="false"/>
                <w:color w:val="222222"/>
                <w:sz w:val="18"/>
                <w:szCs w:val="18"/>
              </w:rPr>
              <w:t xml:space="preserve">Top index weight</w:t>
            </w:r>
          </w:p>
        </w:tc>
        <w:tc>
          <w:tcPr>
            <w:tcW w:type="dxa" w:w="900"/>
            <w:shd w:fill="eef1f5" w:color="auto" w:val="clear"/>
            <w:tcMar>
              <w:top w:type="dxa" w:w="40"/>
              <w:left w:type="dxa" w:w="70"/>
              <w:bottom w:type="dxa" w:w="40"/>
              <w:right w:type="dxa" w:w="70"/>
            </w:tcMar>
          </w:tcPr>
          <w:p>
            <w:pPr>
              <w:jc w:val="left"/>
            </w:pPr>
            <w:r>
              <w:rPr>
                <w:b w:val="false"/>
                <w:bCs w:val="false"/>
                <w:color w:val="222222"/>
                <w:sz w:val="18"/>
                <w:szCs w:val="18"/>
              </w:rPr>
              <w:t xml:space="preserve">High</w:t>
            </w:r>
          </w:p>
        </w:tc>
        <w:tc>
          <w:tcPr>
            <w:tcW w:type="dxa" w:w="2260"/>
            <w:shd w:fill="eef1f5" w:color="auto" w:val="clear"/>
            <w:tcMar>
              <w:top w:type="dxa" w:w="40"/>
              <w:left w:type="dxa" w:w="70"/>
              <w:bottom w:type="dxa" w:w="40"/>
              <w:right w:type="dxa" w:w="70"/>
            </w:tcMar>
          </w:tcPr>
          <w:p>
            <w:pPr>
              <w:jc w:val="left"/>
            </w:pPr>
            <w:r>
              <w:rPr>
                <w:b w:val="false"/>
                <w:bCs w:val="false"/>
                <w:color w:val="222222"/>
                <w:sz w:val="18"/>
                <w:szCs w:val="18"/>
              </w:rPr>
              <w:t xml:space="preserve">AZN −6%; index to 10,472</w:t>
            </w:r>
          </w:p>
        </w:tc>
      </w:tr>
      <w:tr>
        <w:tc>
          <w:tcPr>
            <w:tcW w:type="dxa" w:w="1250"/>
            <w:shd w:fill="ffffff" w:color="auto" w:val="clear"/>
            <w:tcMar>
              <w:top w:type="dxa" w:w="40"/>
              <w:left w:type="dxa" w:w="70"/>
              <w:bottom w:type="dxa" w:w="40"/>
              <w:right w:type="dxa" w:w="70"/>
            </w:tcMar>
          </w:tcPr>
          <w:p>
            <w:pPr>
              <w:jc w:val="left"/>
            </w:pPr>
            <w:r>
              <w:rPr>
                <w:b w:val="false"/>
                <w:bCs w:val="false"/>
                <w:color w:val="222222"/>
                <w:sz w:val="18"/>
                <w:szCs w:val="18"/>
              </w:rPr>
              <w:t xml:space="preserve">Fri 10 Jul</w:t>
            </w:r>
          </w:p>
        </w:tc>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easyJet £5.7bn Apollo bid; Vodafone surge</w:t>
            </w:r>
          </w:p>
        </w:tc>
        <w:tc>
          <w:tcPr>
            <w:tcW w:type="dxa" w:w="2350"/>
            <w:shd w:fill="ffffff" w:color="auto" w:val="clear"/>
            <w:tcMar>
              <w:top w:type="dxa" w:w="40"/>
              <w:left w:type="dxa" w:w="70"/>
              <w:bottom w:type="dxa" w:w="40"/>
              <w:right w:type="dxa" w:w="70"/>
            </w:tcMar>
          </w:tcPr>
          <w:p>
            <w:pPr>
              <w:jc w:val="left"/>
            </w:pPr>
            <w:r>
              <w:rPr>
                <w:b w:val="false"/>
                <w:bCs w:val="false"/>
                <w:color w:val="222222"/>
                <w:sz w:val="18"/>
                <w:szCs w:val="18"/>
              </w:rPr>
              <w:t xml:space="preserve">M&amp;A wave</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Medium</w:t>
            </w:r>
          </w:p>
        </w:tc>
        <w:tc>
          <w:tcPr>
            <w:tcW w:type="dxa" w:w="2260"/>
            <w:shd w:fill="ffffff" w:color="auto" w:val="clear"/>
            <w:tcMar>
              <w:top w:type="dxa" w:w="40"/>
              <w:left w:type="dxa" w:w="70"/>
              <w:bottom w:type="dxa" w:w="40"/>
              <w:right w:type="dxa" w:w="70"/>
            </w:tcMar>
          </w:tcPr>
          <w:p>
            <w:pPr>
              <w:jc w:val="left"/>
            </w:pPr>
            <w:r>
              <w:rPr>
                <w:b w:val="false"/>
                <w:bCs w:val="false"/>
                <w:color w:val="222222"/>
                <w:sz w:val="18"/>
                <w:szCs w:val="18"/>
              </w:rPr>
              <w:t xml:space="preserve">+25 pt recovery; VOD +12.6%</w:t>
            </w:r>
          </w:p>
        </w:tc>
      </w:tr>
      <w:tr>
        <w:tc>
          <w:tcPr>
            <w:tcW w:type="dxa" w:w="1250"/>
            <w:shd w:fill="eef1f5" w:color="auto" w:val="clear"/>
            <w:tcMar>
              <w:top w:type="dxa" w:w="40"/>
              <w:left w:type="dxa" w:w="70"/>
              <w:bottom w:type="dxa" w:w="40"/>
              <w:right w:type="dxa" w:w="70"/>
            </w:tcMar>
          </w:tcPr>
          <w:p>
            <w:pPr>
              <w:jc w:val="left"/>
            </w:pPr>
            <w:r>
              <w:rPr>
                <w:b w:val="false"/>
                <w:bCs w:val="false"/>
                <w:color w:val="222222"/>
                <w:sz w:val="18"/>
                <w:szCs w:val="18"/>
              </w:rPr>
              <w:t xml:space="preserve">Mon 13 Jul</w:t>
            </w:r>
          </w:p>
        </w:tc>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Trump 'Iranian blockade' reinstated; oil +4.4%</w:t>
            </w:r>
          </w:p>
        </w:tc>
        <w:tc>
          <w:tcPr>
            <w:tcW w:type="dxa" w:w="2350"/>
            <w:shd w:fill="eef1f5" w:color="auto" w:val="clear"/>
            <w:tcMar>
              <w:top w:type="dxa" w:w="40"/>
              <w:left w:type="dxa" w:w="70"/>
              <w:bottom w:type="dxa" w:w="40"/>
              <w:right w:type="dxa" w:w="70"/>
            </w:tcMar>
          </w:tcPr>
          <w:p>
            <w:pPr>
              <w:jc w:val="left"/>
            </w:pPr>
            <w:r>
              <w:rPr>
                <w:b w:val="false"/>
                <w:bCs w:val="false"/>
                <w:color w:val="222222"/>
                <w:sz w:val="18"/>
                <w:szCs w:val="18"/>
              </w:rPr>
              <w:t xml:space="preserve">Weekend strikes</w:t>
            </w:r>
          </w:p>
        </w:tc>
        <w:tc>
          <w:tcPr>
            <w:tcW w:type="dxa" w:w="900"/>
            <w:shd w:fill="eef1f5" w:color="auto" w:val="clear"/>
            <w:tcMar>
              <w:top w:type="dxa" w:w="40"/>
              <w:left w:type="dxa" w:w="70"/>
              <w:bottom w:type="dxa" w:w="40"/>
              <w:right w:type="dxa" w:w="70"/>
            </w:tcMar>
          </w:tcPr>
          <w:p>
            <w:pPr>
              <w:jc w:val="left"/>
            </w:pPr>
            <w:r>
              <w:rPr>
                <w:b w:val="false"/>
                <w:bCs w:val="false"/>
                <w:color w:val="222222"/>
                <w:sz w:val="18"/>
                <w:szCs w:val="18"/>
              </w:rPr>
              <w:t xml:space="preserve">High</w:t>
            </w:r>
          </w:p>
        </w:tc>
        <w:tc>
          <w:tcPr>
            <w:tcW w:type="dxa" w:w="2260"/>
            <w:shd w:fill="eef1f5" w:color="auto" w:val="clear"/>
            <w:tcMar>
              <w:top w:type="dxa" w:w="40"/>
              <w:left w:type="dxa" w:w="70"/>
              <w:bottom w:type="dxa" w:w="40"/>
              <w:right w:type="dxa" w:w="70"/>
            </w:tcMar>
          </w:tcPr>
          <w:p>
            <w:pPr>
              <w:jc w:val="left"/>
            </w:pPr>
            <w:r>
              <w:rPr>
                <w:b w:val="false"/>
                <w:bCs w:val="false"/>
                <w:color w:val="222222"/>
                <w:sz w:val="18"/>
                <w:szCs w:val="18"/>
              </w:rPr>
              <w:t xml:space="preserve">Flat close; energy vs tech tug-of-war</w:t>
            </w:r>
          </w:p>
        </w:tc>
      </w:tr>
    </w:tbl>
    <w:p>
      <w:pPr>
        <w:pStyle w:val="Heading2"/>
        <w:spacing w:after="90" w:before="180"/>
      </w:pPr>
      <w:r>
        <w:rPr>
          <w:b/>
          <w:bCs/>
          <w:color w:val="1a2942"/>
          <w:sz w:val="24"/>
          <w:szCs w:val="24"/>
        </w:rPr>
        <w:t xml:space="preserve">13d · News Calendar — Upcoming Period (14–18 Jul)</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1250"/>
        <w:gridCol w:w="2600"/>
        <w:gridCol w:w="2350"/>
        <w:gridCol w:w="900"/>
        <w:gridCol w:w="226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Date</w:t>
            </w:r>
          </w:p>
        </w:tc>
        <w:tc>
          <w:tcPr>
            <w:shd w:fill="1a2942" w:color="auto" w:val="clear"/>
            <w:tcMar>
              <w:top w:type="dxa" w:w="40"/>
              <w:left w:type="dxa" w:w="70"/>
              <w:bottom w:type="dxa" w:w="40"/>
              <w:right w:type="dxa" w:w="70"/>
            </w:tcMar>
          </w:tcPr>
          <w:p>
            <w:pPr>
              <w:jc w:val="left"/>
            </w:pPr>
            <w:r>
              <w:rPr>
                <w:b/>
                <w:bCs/>
                <w:color w:val="ffffff"/>
                <w:sz w:val="18"/>
                <w:szCs w:val="18"/>
              </w:rPr>
              <w:t xml:space="preserve">Event</w:t>
            </w:r>
          </w:p>
        </w:tc>
        <w:tc>
          <w:tcPr>
            <w:shd w:fill="1a2942" w:color="auto" w:val="clear"/>
            <w:tcMar>
              <w:top w:type="dxa" w:w="40"/>
              <w:left w:type="dxa" w:w="70"/>
              <w:bottom w:type="dxa" w:w="40"/>
              <w:right w:type="dxa" w:w="70"/>
            </w:tcMar>
          </w:tcPr>
          <w:p>
            <w:pPr>
              <w:jc w:val="left"/>
            </w:pPr>
            <w:r>
              <w:rPr>
                <w:b/>
                <w:bCs/>
                <w:color w:val="ffffff"/>
                <w:sz w:val="18"/>
                <w:szCs w:val="18"/>
              </w:rPr>
              <w:t xml:space="preserve">Prior / expectation</w:t>
            </w:r>
          </w:p>
        </w:tc>
        <w:tc>
          <w:tcPr>
            <w:shd w:fill="1a2942" w:color="auto" w:val="clear"/>
            <w:tcMar>
              <w:top w:type="dxa" w:w="40"/>
              <w:left w:type="dxa" w:w="70"/>
              <w:bottom w:type="dxa" w:w="40"/>
              <w:right w:type="dxa" w:w="70"/>
            </w:tcMar>
          </w:tcPr>
          <w:p>
            <w:pPr>
              <w:jc w:val="left"/>
            </w:pPr>
            <w:r>
              <w:rPr>
                <w:b/>
                <w:bCs/>
                <w:color w:val="ffffff"/>
                <w:sz w:val="18"/>
                <w:szCs w:val="18"/>
              </w:rPr>
              <w:t xml:space="preserve">Impact</w:t>
            </w:r>
          </w:p>
        </w:tc>
        <w:tc>
          <w:tcPr>
            <w:shd w:fill="1a2942" w:color="auto" w:val="clear"/>
            <w:tcMar>
              <w:top w:type="dxa" w:w="40"/>
              <w:left w:type="dxa" w:w="70"/>
              <w:bottom w:type="dxa" w:w="40"/>
              <w:right w:type="dxa" w:w="70"/>
            </w:tcMar>
          </w:tcPr>
          <w:p>
            <w:pPr>
              <w:jc w:val="left"/>
            </w:pPr>
            <w:r>
              <w:rPr>
                <w:b/>
                <w:bCs/>
                <w:color w:val="ffffff"/>
                <w:sz w:val="18"/>
                <w:szCs w:val="18"/>
              </w:rPr>
              <w:t xml:space="preserve">Mechanism for FTSE</w:t>
            </w:r>
          </w:p>
        </w:tc>
      </w:tr>
      <w:tr>
        <w:tc>
          <w:tcPr>
            <w:tcW w:type="dxa" w:w="1250"/>
            <w:shd w:fill="ffffff" w:color="auto" w:val="clear"/>
            <w:tcMar>
              <w:top w:type="dxa" w:w="40"/>
              <w:left w:type="dxa" w:w="70"/>
              <w:bottom w:type="dxa" w:w="40"/>
              <w:right w:type="dxa" w:w="70"/>
            </w:tcMar>
          </w:tcPr>
          <w:p>
            <w:pPr>
              <w:jc w:val="left"/>
            </w:pPr>
            <w:r>
              <w:rPr>
                <w:b/>
                <w:bCs/>
                <w:color w:val="222222"/>
                <w:sz w:val="18"/>
                <w:szCs w:val="18"/>
              </w:rPr>
              <w:t xml:space="preserve">Wed 16 Jul</w:t>
            </w:r>
          </w:p>
        </w:tc>
        <w:tc>
          <w:tcPr>
            <w:tcW w:type="dxa" w:w="2600"/>
            <w:shd w:fill="ffffff" w:color="auto" w:val="clear"/>
            <w:tcMar>
              <w:top w:type="dxa" w:w="40"/>
              <w:left w:type="dxa" w:w="70"/>
              <w:bottom w:type="dxa" w:w="40"/>
              <w:right w:type="dxa" w:w="70"/>
            </w:tcMar>
          </w:tcPr>
          <w:p>
            <w:pPr>
              <w:jc w:val="left"/>
            </w:pPr>
            <w:r>
              <w:rPr>
                <w:b/>
                <w:bCs/>
                <w:color w:val="222222"/>
                <w:sz w:val="18"/>
                <w:szCs w:val="18"/>
              </w:rPr>
              <w:t xml:space="preserve">UK CPI (June)</w:t>
            </w:r>
          </w:p>
        </w:tc>
        <w:tc>
          <w:tcPr>
            <w:tcW w:type="dxa" w:w="2350"/>
            <w:shd w:fill="ffffff" w:color="auto" w:val="clear"/>
            <w:tcMar>
              <w:top w:type="dxa" w:w="40"/>
              <w:left w:type="dxa" w:w="70"/>
              <w:bottom w:type="dxa" w:w="40"/>
              <w:right w:type="dxa" w:w="70"/>
            </w:tcMar>
          </w:tcPr>
          <w:p>
            <w:pPr>
              <w:jc w:val="left"/>
            </w:pPr>
            <w:r>
              <w:rPr>
                <w:b w:val="false"/>
                <w:bCs w:val="false"/>
                <w:color w:val="222222"/>
                <w:sz w:val="18"/>
                <w:szCs w:val="18"/>
              </w:rPr>
              <w:t xml:space="preserve">Prior ~3.0% y/y; oil adds upside risk</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High</w:t>
            </w:r>
          </w:p>
        </w:tc>
        <w:tc>
          <w:tcPr>
            <w:tcW w:type="dxa" w:w="2260"/>
            <w:shd w:fill="ffffff" w:color="auto" w:val="clear"/>
            <w:tcMar>
              <w:top w:type="dxa" w:w="40"/>
              <w:left w:type="dxa" w:w="70"/>
              <w:bottom w:type="dxa" w:w="40"/>
              <w:right w:type="dxa" w:w="70"/>
            </w:tcMar>
          </w:tcPr>
          <w:p>
            <w:pPr>
              <w:jc w:val="left"/>
            </w:pPr>
            <w:r>
              <w:rPr>
                <w:b w:val="false"/>
                <w:bCs w:val="false"/>
                <w:color w:val="222222"/>
                <w:sz w:val="18"/>
                <w:szCs w:val="18"/>
              </w:rPr>
              <w:t xml:space="preserve">Hot print → BoE-hold entrenched, gilt yields up, housebuilders/rate-sensitives down; miss → relief rally</w:t>
            </w:r>
          </w:p>
        </w:tc>
      </w:tr>
      <w:tr>
        <w:tc>
          <w:tcPr>
            <w:tcW w:type="dxa" w:w="1250"/>
            <w:shd w:fill="eef1f5" w:color="auto" w:val="clear"/>
            <w:tcMar>
              <w:top w:type="dxa" w:w="40"/>
              <w:left w:type="dxa" w:w="70"/>
              <w:bottom w:type="dxa" w:w="40"/>
              <w:right w:type="dxa" w:w="70"/>
            </w:tcMar>
          </w:tcPr>
          <w:p>
            <w:pPr>
              <w:jc w:val="left"/>
            </w:pPr>
            <w:r>
              <w:rPr>
                <w:b w:val="false"/>
                <w:bCs w:val="false"/>
                <w:color w:val="222222"/>
                <w:sz w:val="18"/>
                <w:szCs w:val="18"/>
              </w:rPr>
              <w:t xml:space="preserve">Tue 14 Jul</w:t>
            </w:r>
          </w:p>
        </w:tc>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US bank earnings kick-off (JPMorgan et al.)</w:t>
            </w:r>
          </w:p>
        </w:tc>
        <w:tc>
          <w:tcPr>
            <w:tcW w:type="dxa" w:w="2350"/>
            <w:shd w:fill="eef1f5" w:color="auto" w:val="clear"/>
            <w:tcMar>
              <w:top w:type="dxa" w:w="40"/>
              <w:left w:type="dxa" w:w="70"/>
              <w:bottom w:type="dxa" w:w="40"/>
              <w:right w:type="dxa" w:w="70"/>
            </w:tcMar>
          </w:tcPr>
          <w:p>
            <w:pPr>
              <w:jc w:val="left"/>
            </w:pPr>
            <w:r>
              <w:rPr>
                <w:b w:val="false"/>
                <w:bCs w:val="false"/>
                <w:color w:val="222222"/>
                <w:sz w:val="18"/>
                <w:szCs w:val="18"/>
              </w:rPr>
              <w:t xml:space="preserve">Season start</w:t>
            </w:r>
          </w:p>
        </w:tc>
        <w:tc>
          <w:tcPr>
            <w:tcW w:type="dxa" w:w="900"/>
            <w:shd w:fill="eef1f5" w:color="auto" w:val="clear"/>
            <w:tcMar>
              <w:top w:type="dxa" w:w="40"/>
              <w:left w:type="dxa" w:w="70"/>
              <w:bottom w:type="dxa" w:w="40"/>
              <w:right w:type="dxa" w:w="70"/>
            </w:tcMar>
          </w:tcPr>
          <w:p>
            <w:pPr>
              <w:jc w:val="left"/>
            </w:pPr>
            <w:r>
              <w:rPr>
                <w:b w:val="false"/>
                <w:bCs w:val="false"/>
                <w:color w:val="222222"/>
                <w:sz w:val="18"/>
                <w:szCs w:val="18"/>
              </w:rPr>
              <w:t xml:space="preserve">Medium</w:t>
            </w:r>
          </w:p>
        </w:tc>
        <w:tc>
          <w:tcPr>
            <w:tcW w:type="dxa" w:w="2260"/>
            <w:shd w:fill="eef1f5" w:color="auto" w:val="clear"/>
            <w:tcMar>
              <w:top w:type="dxa" w:w="40"/>
              <w:left w:type="dxa" w:w="70"/>
              <w:bottom w:type="dxa" w:w="40"/>
              <w:right w:type="dxa" w:w="70"/>
            </w:tcMar>
          </w:tcPr>
          <w:p>
            <w:pPr>
              <w:jc w:val="left"/>
            </w:pPr>
            <w:r>
              <w:rPr>
                <w:b w:val="false"/>
                <w:bCs w:val="false"/>
                <w:color w:val="222222"/>
                <w:sz w:val="18"/>
                <w:szCs w:val="18"/>
              </w:rPr>
              <w:t xml:space="preserve">Sets cross-Atlantic risk tone → S&amp;P beta into FTSE</w:t>
            </w:r>
          </w:p>
        </w:tc>
      </w:tr>
      <w:tr>
        <w:tc>
          <w:tcPr>
            <w:tcW w:type="dxa" w:w="1250"/>
            <w:shd w:fill="ffffff" w:color="auto" w:val="clear"/>
            <w:tcMar>
              <w:top w:type="dxa" w:w="40"/>
              <w:left w:type="dxa" w:w="70"/>
              <w:bottom w:type="dxa" w:w="40"/>
              <w:right w:type="dxa" w:w="70"/>
            </w:tcMar>
          </w:tcPr>
          <w:p>
            <w:pPr>
              <w:jc w:val="left"/>
            </w:pPr>
            <w:r>
              <w:rPr>
                <w:b w:val="false"/>
                <w:bCs w:val="false"/>
                <w:color w:val="222222"/>
                <w:sz w:val="18"/>
                <w:szCs w:val="18"/>
              </w:rPr>
              <w:t xml:space="preserve">Thu 17 Jul</w:t>
            </w:r>
          </w:p>
        </w:tc>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Eurozone CPI (final)</w:t>
            </w:r>
          </w:p>
        </w:tc>
        <w:tc>
          <w:tcPr>
            <w:tcW w:type="dxa" w:w="2350"/>
            <w:shd w:fill="ffffff" w:color="auto" w:val="clear"/>
            <w:tcMar>
              <w:top w:type="dxa" w:w="40"/>
              <w:left w:type="dxa" w:w="70"/>
              <w:bottom w:type="dxa" w:w="40"/>
              <w:right w:type="dxa" w:w="70"/>
            </w:tcMar>
          </w:tcPr>
          <w:p>
            <w:pPr>
              <w:jc w:val="left"/>
            </w:pPr>
            <w:r>
              <w:rPr>
                <w:b w:val="false"/>
                <w:bCs w:val="false"/>
                <w:color w:val="222222"/>
                <w:sz w:val="18"/>
                <w:szCs w:val="18"/>
              </w:rPr>
              <w:t xml:space="preserve">ECB path</w:t>
            </w:r>
          </w:p>
        </w:tc>
        <w:tc>
          <w:tcPr>
            <w:tcW w:type="dxa" w:w="900"/>
            <w:shd w:fill="ffffff" w:color="auto" w:val="clear"/>
            <w:tcMar>
              <w:top w:type="dxa" w:w="40"/>
              <w:left w:type="dxa" w:w="70"/>
              <w:bottom w:type="dxa" w:w="40"/>
              <w:right w:type="dxa" w:w="70"/>
            </w:tcMar>
          </w:tcPr>
          <w:p>
            <w:pPr>
              <w:jc w:val="left"/>
            </w:pPr>
            <w:r>
              <w:rPr>
                <w:b w:val="false"/>
                <w:bCs w:val="false"/>
                <w:color w:val="222222"/>
                <w:sz w:val="18"/>
                <w:szCs w:val="18"/>
              </w:rPr>
              <w:t xml:space="preserve">Medium</w:t>
            </w:r>
          </w:p>
        </w:tc>
        <w:tc>
          <w:tcPr>
            <w:tcW w:type="dxa" w:w="2260"/>
            <w:shd w:fill="ffffff" w:color="auto" w:val="clear"/>
            <w:tcMar>
              <w:top w:type="dxa" w:w="40"/>
              <w:left w:type="dxa" w:w="70"/>
              <w:bottom w:type="dxa" w:w="40"/>
              <w:right w:type="dxa" w:w="70"/>
            </w:tcMar>
          </w:tcPr>
          <w:p>
            <w:pPr>
              <w:jc w:val="left"/>
            </w:pPr>
            <w:r>
              <w:rPr>
                <w:b w:val="false"/>
                <w:bCs w:val="false"/>
                <w:color w:val="222222"/>
                <w:sz w:val="18"/>
                <w:szCs w:val="18"/>
              </w:rPr>
              <w:t xml:space="preserve">Confirms/638 disputes EUR-area inflation; STOXX read-across</w:t>
            </w:r>
          </w:p>
        </w:tc>
      </w:tr>
      <w:tr>
        <w:tc>
          <w:tcPr>
            <w:tcW w:type="dxa" w:w="1250"/>
            <w:shd w:fill="eef1f5" w:color="auto" w:val="clear"/>
            <w:tcMar>
              <w:top w:type="dxa" w:w="40"/>
              <w:left w:type="dxa" w:w="70"/>
              <w:bottom w:type="dxa" w:w="40"/>
              <w:right w:type="dxa" w:w="70"/>
            </w:tcMar>
          </w:tcPr>
          <w:p>
            <w:pPr>
              <w:jc w:val="left"/>
            </w:pPr>
            <w:r>
              <w:rPr>
                <w:b w:val="false"/>
                <w:bCs w:val="false"/>
                <w:color w:val="222222"/>
                <w:sz w:val="18"/>
                <w:szCs w:val="18"/>
              </w:rPr>
              <w:t xml:space="preserve">14–18 Jul</w:t>
            </w:r>
          </w:p>
        </w:tc>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Brent / Strait of Hormuz headlines</w:t>
            </w:r>
          </w:p>
        </w:tc>
        <w:tc>
          <w:tcPr>
            <w:tcW w:type="dxa" w:w="2350"/>
            <w:shd w:fill="eef1f5" w:color="auto" w:val="clear"/>
            <w:tcMar>
              <w:top w:type="dxa" w:w="40"/>
              <w:left w:type="dxa" w:w="70"/>
              <w:bottom w:type="dxa" w:w="40"/>
              <w:right w:type="dxa" w:w="70"/>
            </w:tcMar>
          </w:tcPr>
          <w:p>
            <w:pPr>
              <w:jc w:val="left"/>
            </w:pPr>
            <w:r>
              <w:rPr>
                <w:b w:val="false"/>
                <w:bCs w:val="false"/>
                <w:color w:val="222222"/>
                <w:sz w:val="18"/>
                <w:szCs w:val="18"/>
              </w:rPr>
              <w:t xml:space="preserve">Brent ~$79–80</w:t>
            </w:r>
          </w:p>
        </w:tc>
        <w:tc>
          <w:tcPr>
            <w:tcW w:type="dxa" w:w="900"/>
            <w:shd w:fill="eef1f5" w:color="auto" w:val="clear"/>
            <w:tcMar>
              <w:top w:type="dxa" w:w="40"/>
              <w:left w:type="dxa" w:w="70"/>
              <w:bottom w:type="dxa" w:w="40"/>
              <w:right w:type="dxa" w:w="70"/>
            </w:tcMar>
          </w:tcPr>
          <w:p>
            <w:pPr>
              <w:jc w:val="left"/>
            </w:pPr>
            <w:r>
              <w:rPr>
                <w:b w:val="false"/>
                <w:bCs w:val="false"/>
                <w:color w:val="222222"/>
                <w:sz w:val="18"/>
                <w:szCs w:val="18"/>
              </w:rPr>
              <w:t xml:space="preserve">High</w:t>
            </w:r>
          </w:p>
        </w:tc>
        <w:tc>
          <w:tcPr>
            <w:tcW w:type="dxa" w:w="2260"/>
            <w:shd w:fill="eef1f5" w:color="auto" w:val="clear"/>
            <w:tcMar>
              <w:top w:type="dxa" w:w="40"/>
              <w:left w:type="dxa" w:w="70"/>
              <w:bottom w:type="dxa" w:w="40"/>
              <w:right w:type="dxa" w:w="70"/>
            </w:tcMar>
          </w:tcPr>
          <w:p>
            <w:pPr>
              <w:jc w:val="left"/>
            </w:pPr>
            <w:r>
              <w:rPr>
                <w:b w:val="false"/>
                <w:bCs w:val="false"/>
                <w:color w:val="222222"/>
                <w:sz w:val="18"/>
                <w:szCs w:val="18"/>
              </w:rPr>
              <w:t xml:space="preserve">Any escalation → energy up but risk-off; de-escalation → reverse</w:t>
            </w:r>
          </w:p>
        </w:tc>
      </w:tr>
    </w:tbl>
    <w:p>
      <w:pPr>
        <w:spacing w:after="100" w:line="264"/>
      </w:pPr>
      <w:r>
        <w:rPr>
          <w:b/>
          <w:bCs/>
          <w:sz w:val="20"/>
          <w:szCs w:val="20"/>
        </w:rPr>
        <w:t xml:space="preserve">Highest-impact upcoming event: </w:t>
      </w:r>
      <w:r>
        <w:rPr>
          <w:b/>
          <w:bCs/>
          <w:sz w:val="20"/>
          <w:szCs w:val="20"/>
        </w:rPr>
        <w:t xml:space="preserve">UK CPI, Wednesday 16 July. </w:t>
      </w:r>
      <w:r>
        <w:rPr>
          <w:sz w:val="20"/>
          <w:szCs w:val="20"/>
        </w:rPr>
        <w:t xml:space="preserve">A hotter-than-expected print — plausible given the oil impulse — would cement a Bank of England pause, lift gilt yields, and pressure the FTSE's rate-sensitive constituents even as energy names hold up, shifting the consensus view to the downside; a soft print would do the reverse and open room for a retest of the 10,600s.</w:t>
      </w:r>
    </w:p>
    <w:p>
      <w:pPr>
        <w:pStyle w:val="Heading1"/>
        <w:spacing w:after="120" w:before="260"/>
      </w:pPr>
      <w:r>
        <w:rPr>
          <w:b/>
          <w:bCs/>
          <w:color w:val="1a2942"/>
          <w:sz w:val="28"/>
          <w:szCs w:val="28"/>
        </w:rPr>
        <w:t xml:space="preserve">14 · Macro Context</w:t>
      </w:r>
    </w:p>
    <w:p>
      <w:pPr>
        <w:pStyle w:val="ListParagraph"/>
        <w:numPr>
          <w:ilvl w:val="0"/>
          <w:numId w:val="1"/>
        </w:numPr>
        <w:spacing w:after="60" w:line="260"/>
      </w:pPr>
      <w:r>
        <w:rPr>
          <w:b/>
          <w:bCs/>
          <w:sz w:val="20"/>
          <w:szCs w:val="20"/>
        </w:rPr>
        <w:t xml:space="preserve">Rates &amp; policy: </w:t>
      </w:r>
      <w:r>
        <w:rPr>
          <w:sz w:val="20"/>
          <w:szCs w:val="20"/>
        </w:rPr>
        <w:t xml:space="preserve">BoE expected to hold in July; the oil-driven inflation impulse has pared cut expectations. Cross-referencing the S&amp;P 500 read from §10 (falling, risk-off) — higher US yields (10-yr ~4.61% on 13 Jul) are exporting tighter conditions globally, a headwind for equity multiples.</w:t>
      </w:r>
    </w:p>
    <w:p>
      <w:pPr>
        <w:pStyle w:val="ListParagraph"/>
        <w:numPr>
          <w:ilvl w:val="0"/>
          <w:numId w:val="1"/>
        </w:numPr>
        <w:spacing w:after="60" w:line="260"/>
      </w:pPr>
      <w:r>
        <w:rPr>
          <w:b/>
          <w:bCs/>
          <w:sz w:val="20"/>
          <w:szCs w:val="20"/>
        </w:rPr>
        <w:t xml:space="preserve">Inflation: </w:t>
      </w:r>
      <w:r>
        <w:rPr>
          <w:sz w:val="20"/>
          <w:szCs w:val="20"/>
        </w:rPr>
        <w:t xml:space="preserve">Brent's ~5% weekly rise is the swing variable; feeds directly into the 16 July UK CPI watch item. Currently price-negative for rate-sensitive FTSE names, price-neutral-to-positive for energy.</w:t>
      </w:r>
    </w:p>
    <w:p>
      <w:pPr>
        <w:pStyle w:val="ListParagraph"/>
        <w:numPr>
          <w:ilvl w:val="0"/>
          <w:numId w:val="1"/>
        </w:numPr>
        <w:spacing w:after="60" w:line="260"/>
      </w:pPr>
      <w:r>
        <w:rPr>
          <w:b/>
          <w:bCs/>
          <w:sz w:val="20"/>
          <w:szCs w:val="20"/>
        </w:rPr>
        <w:t xml:space="preserve">Liquidity &amp; FX: </w:t>
      </w:r>
      <w:r>
        <w:rPr>
          <w:sz w:val="20"/>
          <w:szCs w:val="20"/>
        </w:rPr>
        <w:t xml:space="preserve">Dollar Index (§10 counter) firm near 99–100; a stronger USD/weaker GBP would normally lift FTSE multinationals, but GBP has instead firmed to ~$1.34, muting that channel.</w:t>
      </w:r>
    </w:p>
    <w:p>
      <w:pPr>
        <w:pStyle w:val="ListParagraph"/>
        <w:numPr>
          <w:ilvl w:val="0"/>
          <w:numId w:val="1"/>
        </w:numPr>
        <w:spacing w:after="60" w:line="260"/>
      </w:pPr>
      <w:r>
        <w:rPr>
          <w:b/>
          <w:bCs/>
          <w:sz w:val="20"/>
          <w:szCs w:val="20"/>
        </w:rPr>
        <w:t xml:space="preserve">Energy: </w:t>
      </w:r>
      <w:r>
        <w:rPr>
          <w:sz w:val="20"/>
          <w:szCs w:val="20"/>
        </w:rPr>
        <w:t xml:space="preserve">The dominant macro driver this week. Higher crude supports index-heavyweight producers while raising input costs elsewhere — the single clearest transmission line into FTSE relative outperformance.</w:t>
      </w:r>
    </w:p>
    <w:p>
      <w:pPr>
        <w:pStyle w:val="ListParagraph"/>
        <w:numPr>
          <w:ilvl w:val="0"/>
          <w:numId w:val="1"/>
        </w:numPr>
        <w:spacing w:after="60" w:line="260"/>
      </w:pPr>
      <w:r>
        <w:rPr>
          <w:b/>
          <w:bCs/>
          <w:sz w:val="20"/>
          <w:szCs w:val="20"/>
        </w:rPr>
        <w:t xml:space="preserve">Positioning: </w:t>
      </w:r>
      <w:r>
        <w:rPr>
          <w:sz w:val="20"/>
          <w:szCs w:val="20"/>
        </w:rPr>
        <w:t xml:space="preserve">VIX ~15–17 (subdued); option-market hedging demand described as light. No extreme positioning signal. Watch item: the 16 July UK CPI is the event most likely to move the rates/FX complex and, through it, the index.</w:t>
      </w:r>
    </w:p>
    <w:p>
      <w:pPr>
        <w:pStyle w:val="Heading1"/>
        <w:spacing w:after="120" w:before="260"/>
      </w:pPr>
      <w:r>
        <w:rPr>
          <w:b/>
          <w:bCs/>
          <w:color w:val="1a2942"/>
          <w:sz w:val="28"/>
          <w:szCs w:val="28"/>
        </w:rPr>
        <w:t xml:space="preserve">15 · Bull / Bear Balance</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4680"/>
        <w:gridCol w:w="468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Upside risks (bull)</w:t>
            </w:r>
          </w:p>
        </w:tc>
        <w:tc>
          <w:tcPr>
            <w:shd w:fill="1a2942" w:color="auto" w:val="clear"/>
            <w:tcMar>
              <w:top w:type="dxa" w:w="40"/>
              <w:left w:type="dxa" w:w="70"/>
              <w:bottom w:type="dxa" w:w="40"/>
              <w:right w:type="dxa" w:w="70"/>
            </w:tcMar>
          </w:tcPr>
          <w:p>
            <w:pPr>
              <w:jc w:val="left"/>
            </w:pPr>
            <w:r>
              <w:rPr>
                <w:b/>
                <w:bCs/>
                <w:color w:val="ffffff"/>
                <w:sz w:val="18"/>
                <w:szCs w:val="18"/>
              </w:rPr>
              <w:t xml:space="preserve">Downside risks (bear)</w:t>
            </w:r>
          </w:p>
        </w:tc>
      </w:tr>
      <w:tr>
        <w:tc>
          <w:tcPr>
            <w:tcW w:type="dxa" w:w="4680"/>
            <w:shd w:fill="ffffff" w:color="auto" w:val="clear"/>
            <w:tcMar>
              <w:top w:type="dxa" w:w="40"/>
              <w:left w:type="dxa" w:w="70"/>
              <w:bottom w:type="dxa" w:w="40"/>
              <w:right w:type="dxa" w:w="70"/>
            </w:tcMar>
          </w:tcPr>
          <w:p>
            <w:pPr>
              <w:jc w:val="left"/>
            </w:pPr>
            <w:r>
              <w:rPr>
                <w:b w:val="false"/>
                <w:bCs w:val="false"/>
                <w:color w:val="222222"/>
                <w:sz w:val="18"/>
                <w:szCs w:val="18"/>
              </w:rPr>
              <w:t xml:space="preserve">Energy weighting: sustained high oil keeps Shell/BP bid, driving relative FTSE outperformance.</w:t>
            </w:r>
          </w:p>
        </w:tc>
        <w:tc>
          <w:tcPr>
            <w:tcW w:type="dxa" w:w="4680"/>
            <w:shd w:fill="ffffff" w:color="auto" w:val="clear"/>
            <w:tcMar>
              <w:top w:type="dxa" w:w="40"/>
              <w:left w:type="dxa" w:w="70"/>
              <w:bottom w:type="dxa" w:w="40"/>
              <w:right w:type="dxa" w:w="70"/>
            </w:tcMar>
          </w:tcPr>
          <w:p>
            <w:pPr>
              <w:jc w:val="left"/>
            </w:pPr>
            <w:r>
              <w:rPr>
                <w:b w:val="false"/>
                <w:bCs w:val="false"/>
                <w:color w:val="222222"/>
                <w:sz w:val="18"/>
                <w:szCs w:val="18"/>
              </w:rPr>
              <w:t xml:space="preserve">Oil-driven inflation impulse → hot UK CPI (16 Jul, §13d) entrenches BoE hold, lifts yields, hits rate-sensitives.</w:t>
            </w:r>
          </w:p>
        </w:tc>
      </w:tr>
      <w:tr>
        <w:tc>
          <w:tcPr>
            <w:tcW w:type="dxa" w:w="4680"/>
            <w:shd w:fill="eef1f5" w:color="auto" w:val="clear"/>
            <w:tcMar>
              <w:top w:type="dxa" w:w="40"/>
              <w:left w:type="dxa" w:w="70"/>
              <w:bottom w:type="dxa" w:w="40"/>
              <w:right w:type="dxa" w:w="70"/>
            </w:tcMar>
          </w:tcPr>
          <w:p>
            <w:pPr>
              <w:jc w:val="left"/>
            </w:pPr>
            <w:r>
              <w:rPr>
                <w:b w:val="false"/>
                <w:bCs w:val="false"/>
                <w:color w:val="222222"/>
                <w:sz w:val="18"/>
                <w:szCs w:val="18"/>
              </w:rPr>
              <w:t xml:space="preserve">Price holding on the daily pivot (10,498) with corroborated support at S1 10,465 — a stable base to build from.</w:t>
            </w:r>
          </w:p>
        </w:tc>
        <w:tc>
          <w:tcPr>
            <w:tcW w:type="dxa" w:w="4680"/>
            <w:shd w:fill="eef1f5" w:color="auto" w:val="clear"/>
            <w:tcMar>
              <w:top w:type="dxa" w:w="40"/>
              <w:left w:type="dxa" w:w="70"/>
              <w:bottom w:type="dxa" w:w="40"/>
              <w:right w:type="dxa" w:w="70"/>
            </w:tcMar>
          </w:tcPr>
          <w:p>
            <w:pPr>
              <w:jc w:val="left"/>
            </w:pPr>
            <w:r>
              <w:rPr>
                <w:b w:val="false"/>
                <w:bCs w:val="false"/>
                <w:color w:val="222222"/>
                <w:sz w:val="18"/>
                <w:szCs w:val="18"/>
              </w:rPr>
              <w:t xml:space="preserve">Risk-off cross-asset complex (§10): S&amp;P 500, DAX and EURO STOXX all falling into 14 Jul.</w:t>
            </w:r>
          </w:p>
        </w:tc>
      </w:tr>
      <w:tr>
        <w:tc>
          <w:tcPr>
            <w:tcW w:type="dxa" w:w="4680"/>
            <w:shd w:fill="ffffff" w:color="auto" w:val="clear"/>
            <w:tcMar>
              <w:top w:type="dxa" w:w="40"/>
              <w:left w:type="dxa" w:w="70"/>
              <w:bottom w:type="dxa" w:w="40"/>
              <w:right w:type="dxa" w:w="70"/>
            </w:tcMar>
          </w:tcPr>
          <w:p>
            <w:pPr>
              <w:jc w:val="left"/>
            </w:pPr>
            <w:r>
              <w:rPr>
                <w:b w:val="false"/>
                <w:bCs w:val="false"/>
                <w:color w:val="222222"/>
                <w:sz w:val="18"/>
                <w:szCs w:val="18"/>
              </w:rPr>
              <w:t xml:space="preserve">M&amp;A tailwind (easyJet/Apollo, Vodafone) supporting mid/large-cap sentiment.</w:t>
            </w:r>
          </w:p>
        </w:tc>
        <w:tc>
          <w:tcPr>
            <w:tcW w:type="dxa" w:w="4680"/>
            <w:shd w:fill="ffffff" w:color="auto" w:val="clear"/>
            <w:tcMar>
              <w:top w:type="dxa" w:w="40"/>
              <w:left w:type="dxa" w:w="70"/>
              <w:bottom w:type="dxa" w:w="40"/>
              <w:right w:type="dxa" w:w="70"/>
            </w:tcMar>
          </w:tcPr>
          <w:p>
            <w:pPr>
              <w:jc w:val="left"/>
            </w:pPr>
            <w:r>
              <w:rPr>
                <w:b w:val="false"/>
                <w:bCs w:val="false"/>
                <w:color w:val="222222"/>
                <w:sz w:val="18"/>
                <w:szCs w:val="18"/>
              </w:rPr>
              <w:t xml:space="preserve">Overhead confluence: daily R1 (10,532) = 13 Jul high capped Monday's rally — clear resistance.</w:t>
            </w:r>
          </w:p>
        </w:tc>
      </w:tr>
      <w:tr>
        <w:tc>
          <w:tcPr>
            <w:tcW w:type="dxa" w:w="4680"/>
            <w:shd w:fill="eef1f5" w:color="auto" w:val="clear"/>
            <w:tcMar>
              <w:top w:type="dxa" w:w="40"/>
              <w:left w:type="dxa" w:w="70"/>
              <w:bottom w:type="dxa" w:w="40"/>
              <w:right w:type="dxa" w:w="70"/>
            </w:tcMar>
          </w:tcPr>
          <w:p>
            <w:pPr>
              <w:jc w:val="left"/>
            </w:pPr>
            <w:r>
              <w:rPr>
                <w:b w:val="false"/>
                <w:bCs w:val="false"/>
                <w:color w:val="222222"/>
                <w:sz w:val="18"/>
                <w:szCs w:val="18"/>
              </w:rPr>
              <w:t xml:space="preserve">A US–Iran de-escalation would spark a relief rally toward the 10,600s (last week's highs).</w:t>
            </w:r>
          </w:p>
        </w:tc>
        <w:tc>
          <w:tcPr>
            <w:tcW w:type="dxa" w:w="4680"/>
            <w:shd w:fill="eef1f5" w:color="auto" w:val="clear"/>
            <w:tcMar>
              <w:top w:type="dxa" w:w="40"/>
              <w:left w:type="dxa" w:w="70"/>
              <w:bottom w:type="dxa" w:w="40"/>
              <w:right w:type="dxa" w:w="70"/>
            </w:tcMar>
          </w:tcPr>
          <w:p>
            <w:pPr>
              <w:jc w:val="left"/>
            </w:pPr>
            <w:r>
              <w:rPr>
                <w:b w:val="false"/>
                <w:bCs w:val="false"/>
                <w:color w:val="222222"/>
                <w:sz w:val="18"/>
                <w:szCs w:val="18"/>
              </w:rPr>
              <w:t xml:space="preserve">KER Trending-Down-Moderate (§9) plus a further Hormuz escalation could break S1 and open 10,431/10,398.</w:t>
            </w:r>
          </w:p>
        </w:tc>
      </w:tr>
    </w:tbl>
    <w:p>
      <w:pPr>
        <w:spacing w:after="100" w:line="264"/>
      </w:pPr>
      <w:r>
        <w:rPr>
          <w:sz w:val="20"/>
          <w:szCs w:val="20"/>
        </w:rPr>
        <w:t xml:space="preserve">Balance: the book is roughly even, tilted mildly bearish by the cross-asset read and the KER, with the </w:t>
      </w:r>
      <w:r>
        <w:rPr>
          <w:b/>
          <w:bCs/>
          <w:sz w:val="20"/>
          <w:szCs w:val="20"/>
        </w:rPr>
        <w:t xml:space="preserve">16 July UK CPI</w:t>
      </w:r>
      <w:r>
        <w:rPr>
          <w:sz w:val="20"/>
          <w:szCs w:val="20"/>
        </w:rPr>
        <w:t xml:space="preserve"> (the §13d highest-impact event) as the decisive swing factor. Price sitting on the daily pivot (§11) means the market is genuinely undecided at a structural fulcrum.</w:t>
      </w:r>
    </w:p>
    <w:p>
      <w:pPr>
        <w:pStyle w:val="Heading1"/>
        <w:spacing w:after="120" w:before="260"/>
      </w:pPr>
      <w:r>
        <w:rPr>
          <w:b/>
          <w:bCs/>
          <w:color w:val="1a2942"/>
          <w:sz w:val="28"/>
          <w:szCs w:val="28"/>
        </w:rPr>
        <w:t xml:space="preserve">16 · Forward View</w:t>
      </w:r>
    </w:p>
    <w:p>
      <w:pPr>
        <w:spacing w:after="100" w:line="264"/>
      </w:pPr>
      <w:r>
        <w:rPr>
          <w:b/>
          <w:bCs/>
          <w:sz w:val="20"/>
          <w:szCs w:val="20"/>
        </w:rPr>
        <w:t xml:space="preserve">Expected direction (next 5 sessions): </w:t>
      </w:r>
      <w:r>
        <w:rPr>
          <w:sz w:val="20"/>
          <w:szCs w:val="20"/>
        </w:rPr>
        <w:t xml:space="preserve">range-bound with a mild downside skew. Base-case trading range 10,430 – 10,600, framed by the monthly/weekly support cluster (~10,430–10,368) below and the 10,532 daily-R1 / 10,600 daily-R3 resistance band above. This respects the §9 Transitional regime — it does not assert a trend. </w:t>
      </w:r>
    </w:p>
    <w:p>
      <w:pPr>
        <w:spacing w:after="100" w:line="264"/>
      </w:pPr>
      <w:r>
        <w:rPr>
          <w:b/>
          <w:bCs/>
          <w:sz w:val="20"/>
          <w:szCs w:val="20"/>
        </w:rPr>
        <w:t xml:space="preserve">Base-case invalidation: </w:t>
      </w:r>
      <w:r>
        <w:rPr>
          <w:sz w:val="20"/>
          <w:szCs w:val="20"/>
        </w:rPr>
        <w:t xml:space="preserve">a decisive daily close above 10,600 (through daily R3 and back toward the early-July highs) invalidates the mild-bearish skew and re-opens the 10,680–10,750 zone; conversely a close below 10,430 (through daily S2 / weekly S1 cluster) confirms the downside and targets 10,368 then 10,305. The view is aligned with, not contradicting, the regime; the principal watch item remains the 16 July CPI (§13d).</w:t>
      </w:r>
    </w:p>
    <w:p>
      <w:pPr>
        <w:pStyle w:val="Heading1"/>
        <w:spacing w:after="120" w:before="260"/>
      </w:pPr>
      <w:r>
        <w:rPr>
          <w:b/>
          <w:bCs/>
          <w:color w:val="1a2942"/>
          <w:sz w:val="28"/>
          <w:szCs w:val="28"/>
        </w:rPr>
        <w:t xml:space="preserve">17 · Forecast</w:t>
      </w:r>
    </w:p>
    <w:p>
      <w:pPr>
        <w:spacing w:after="100" w:line="264"/>
      </w:pPr>
      <w:r>
        <w:rPr>
          <w:i/>
          <w:iCs/>
          <w:sz w:val="21"/>
          <w:szCs w:val="21"/>
        </w:rPr>
        <w:t xml:space="preserve">The FTSE 100 is most likely to chop within a 10,430–10,600 range over the coming week with a mild downside skew, pinned near its pivot as an oil-driven inflation risk and a risk-off cross-asset backdrop offset the index's energy-sector support, with the 16 July UK CPI the decisive catalyst.</w:t>
      </w:r>
    </w:p>
    <w:p>
      <w:pPr>
        <w:pStyle w:val="Heading1"/>
        <w:spacing w:after="120" w:before="260"/>
      </w:pPr>
      <w:r>
        <w:rPr>
          <w:b/>
          <w:bCs/>
          <w:color w:val="1a2942"/>
          <w:sz w:val="28"/>
          <w:szCs w:val="28"/>
        </w:rPr>
        <w:t xml:space="preserve">18 · Final Analyst Judgement</w:t>
      </w:r>
    </w:p>
    <w:p>
      <w:pPr>
        <w:spacing w:after="100" w:line="264"/>
      </w:pPr>
      <w:r>
        <w:rPr>
          <w:b/>
          <w:bCs/>
          <w:sz w:val="20"/>
          <w:szCs w:val="20"/>
        </w:rPr>
        <w:t xml:space="preserve">Consensus price call: </w:t>
      </w:r>
      <w:r>
        <w:rPr>
          <w:sz w:val="20"/>
          <w:szCs w:val="20"/>
        </w:rPr>
        <w:t xml:space="preserve">10,498 points (medium confidence), balanced-to-mildly-negative tone. </w:t>
      </w:r>
    </w:p>
    <w:p>
      <w:pPr>
        <w:spacing w:after="100" w:line="264"/>
      </w:pPr>
      <w:r>
        <w:rPr>
          <w:b/>
          <w:bCs/>
          <w:sz w:val="20"/>
          <w:szCs w:val="20"/>
        </w:rPr>
        <w:t xml:space="preserve">Three most important reasons: </w:t>
      </w:r>
      <w:r>
        <w:rPr>
          <w:sz w:val="20"/>
          <w:szCs w:val="20"/>
        </w:rPr>
        <w:t xml:space="preserve">(1) price is mechanically pinned on the daily/monthly pivot confluence with no directional conviction (score +0.18, NEUTRAL); (2) the cross-asset complex and Kaufman ER both lean risk-off, countering the two-session bounce; (3) the oil spike is a genuine two-way force that lifts FTSE energy names while raising the inflation/rates threat.</w:t>
      </w:r>
    </w:p>
    <w:p>
      <w:pPr>
        <w:spacing w:after="100" w:line="264"/>
      </w:pPr>
      <w:r>
        <w:rPr>
          <w:b/>
          <w:bCs/>
          <w:sz w:val="20"/>
          <w:szCs w:val="20"/>
        </w:rPr>
        <w:t xml:space="preserve">Single watch item: </w:t>
      </w:r>
      <w:r>
        <w:rPr>
          <w:sz w:val="20"/>
          <w:szCs w:val="20"/>
        </w:rPr>
        <w:t xml:space="preserve">UK CPI, Wednesday 16 July 2026.</w:t>
      </w:r>
    </w:p>
    <w:p>
      <w:pPr>
        <w:pStyle w:val="Heading1"/>
        <w:spacing w:after="120" w:before="260"/>
      </w:pPr>
      <w:r>
        <w:rPr>
          <w:b/>
          <w:bCs/>
          <w:color w:val="1a2942"/>
          <w:sz w:val="28"/>
          <w:szCs w:val="28"/>
        </w:rPr>
        <w:t xml:space="preserve">19 · Source Discipline Note</w:t>
      </w:r>
    </w:p>
    <w:p>
      <w:pPr>
        <w:pStyle w:val="ListParagraph"/>
        <w:numPr>
          <w:ilvl w:val="0"/>
          <w:numId w:val="1"/>
        </w:numPr>
        <w:spacing w:after="60" w:line="260"/>
      </w:pPr>
      <w:r>
        <w:rPr>
          <w:b/>
          <w:bCs/>
          <w:sz w:val="20"/>
          <w:szCs w:val="20"/>
        </w:rPr>
        <w:t xml:space="preserve">FTSE 100 OHLC: </w:t>
      </w:r>
      <w:r>
        <w:rPr>
          <w:sz w:val="20"/>
          <w:szCs w:val="20"/>
        </w:rPr>
        <w:t xml:space="preserve">live/near-live, two-source corroborated within the ±0.10 pt equity-index tolerance for all five validated sessions (close). 7 Jul intraday High/Low are directional-context only (single decisive intraday source); open/close corroborated.</w:t>
      </w:r>
    </w:p>
    <w:p>
      <w:pPr>
        <w:pStyle w:val="ListParagraph"/>
        <w:numPr>
          <w:ilvl w:val="0"/>
          <w:numId w:val="1"/>
        </w:numPr>
        <w:spacing w:after="60" w:line="260"/>
      </w:pPr>
      <w:r>
        <w:rPr>
          <w:b/>
          <w:bCs/>
          <w:sz w:val="20"/>
          <w:szCs w:val="20"/>
        </w:rPr>
        <w:t xml:space="preserve">FTSE pivots (daily/weekly/monthly): </w:t>
      </w:r>
      <w:r>
        <w:rPr>
          <w:sz w:val="20"/>
          <w:szCs w:val="20"/>
        </w:rPr>
        <w:t xml:space="preserve">all prior-period H/L/C two-source corroborated → pivot levels are CORROBORATED and eligible for level-based orders. No single-source-indicative pivot flag on the FTSE surface.</w:t>
      </w:r>
    </w:p>
    <w:p>
      <w:pPr>
        <w:pStyle w:val="ListParagraph"/>
        <w:numPr>
          <w:ilvl w:val="0"/>
          <w:numId w:val="1"/>
        </w:numPr>
        <w:spacing w:after="60" w:line="260"/>
      </w:pPr>
      <w:r>
        <w:rPr>
          <w:b/>
          <w:bCs/>
          <w:color w:val="c0392b"/>
          <w:sz w:val="20"/>
          <w:szCs w:val="20"/>
        </w:rPr>
        <w:t xml:space="preserve">EURO STOXX 50: </w:t>
      </w:r>
      <w:r>
        <w:rPr>
          <w:sz w:val="20"/>
          <w:szCs w:val="20"/>
        </w:rPr>
        <w:t xml:space="preserve">intraday OHLC could NOT be corroborated to tolerance across two independent sources for the target window → marked SINGLE-SOURCE INDICATIVE. Used for directional/structural context only; excluded from pivot and definitive-consensus use.</w:t>
      </w:r>
    </w:p>
    <w:p>
      <w:pPr>
        <w:pStyle w:val="ListParagraph"/>
        <w:numPr>
          <w:ilvl w:val="0"/>
          <w:numId w:val="1"/>
        </w:numPr>
        <w:spacing w:after="60" w:line="260"/>
      </w:pPr>
      <w:r>
        <w:rPr>
          <w:b/>
          <w:bCs/>
          <w:sz w:val="20"/>
          <w:szCs w:val="20"/>
        </w:rPr>
        <w:t xml:space="preserve">Counters (Dollar Index, S&amp;P 500, DAX 40): </w:t>
      </w:r>
      <w:r>
        <w:rPr>
          <w:sz w:val="20"/>
          <w:szCs w:val="20"/>
        </w:rPr>
        <w:t xml:space="preserve">directional reads corroborated (close-level, multi-source); full intraday OHLC not fully corroborated — VOLator counter curves are illustrative context (see §7 note).</w:t>
      </w:r>
    </w:p>
    <w:p>
      <w:pPr>
        <w:pStyle w:val="ListParagraph"/>
        <w:numPr>
          <w:ilvl w:val="0"/>
          <w:numId w:val="1"/>
        </w:numPr>
        <w:spacing w:after="60" w:line="260"/>
      </w:pPr>
      <w:r>
        <w:rPr>
          <w:b/>
          <w:bCs/>
          <w:sz w:val="20"/>
          <w:szCs w:val="20"/>
        </w:rPr>
        <w:t xml:space="preserve">Normalization: </w:t>
      </w:r>
      <w:r>
        <w:rPr>
          <w:sz w:val="20"/>
          <w:szCs w:val="20"/>
        </w:rPr>
        <w:t xml:space="preserve">no FX/unit conversion required for FTSE (native GBP points). EURO STOXX reported in native EUR.</w:t>
      </w:r>
    </w:p>
    <w:p>
      <w:pPr>
        <w:pStyle w:val="Heading1"/>
        <w:spacing w:after="120" w:before="260"/>
      </w:pPr>
      <w:r>
        <w:rPr>
          <w:b/>
          <w:bCs/>
          <w:color w:val="1a2942"/>
          <w:sz w:val="28"/>
          <w:szCs w:val="28"/>
        </w:rPr>
        <w:t xml:space="preserve">20 · Agent Log</w:t>
      </w:r>
    </w:p>
    <w:p>
      <w:pPr>
        <w:pStyle w:val="ListParagraph"/>
        <w:numPr>
          <w:ilvl w:val="0"/>
          <w:numId w:val="1"/>
        </w:numPr>
        <w:spacing w:after="60" w:line="260"/>
      </w:pPr>
      <w:r>
        <w:rPr>
          <w:b/>
          <w:bCs/>
          <w:sz w:val="20"/>
          <w:szCs w:val="20"/>
        </w:rPr>
        <w:t xml:space="preserve">Run timestamp: </w:t>
      </w:r>
      <w:r>
        <w:rPr>
          <w:sz w:val="20"/>
          <w:szCs w:val="20"/>
        </w:rPr>
        <w:t xml:space="preserve">14 Jul 2026, pre-open (Europe/London). Output length: standard. Strategies module: enabled.</w:t>
      </w:r>
    </w:p>
    <w:p>
      <w:pPr>
        <w:pStyle w:val="ListParagraph"/>
        <w:numPr>
          <w:ilvl w:val="0"/>
          <w:numId w:val="1"/>
        </w:numPr>
        <w:spacing w:after="60" w:line="260"/>
      </w:pPr>
      <w:r>
        <w:rPr>
          <w:b/>
          <w:bCs/>
          <w:sz w:val="20"/>
          <w:szCs w:val="20"/>
        </w:rPr>
        <w:t xml:space="preserve">Daily-open anchor override: </w:t>
      </w:r>
      <w:r>
        <w:rPr>
          <w:sz w:val="20"/>
          <w:szCs w:val="20"/>
        </w:rPr>
        <w:t xml:space="preserve">standard 07:00 UK anchor overridden to 00:00 UK (midnight) per analyst instruction for this run; affects Trade 1 entry timestamp only. Recorded here per protocol.</w:t>
      </w:r>
    </w:p>
    <w:p>
      <w:pPr>
        <w:pStyle w:val="ListParagraph"/>
        <w:numPr>
          <w:ilvl w:val="0"/>
          <w:numId w:val="1"/>
        </w:numPr>
        <w:spacing w:after="60" w:line="260"/>
      </w:pPr>
      <w:r>
        <w:rPr>
          <w:b/>
          <w:bCs/>
          <w:sz w:val="20"/>
          <w:szCs w:val="20"/>
        </w:rPr>
        <w:t xml:space="preserve">Sources attempted (FTSE): </w:t>
      </w:r>
      <w:r>
        <w:rPr>
          <w:sz w:val="20"/>
          <w:szCs w:val="20"/>
        </w:rPr>
        <w:t xml:space="preserve">Investing.com, Yahoo Finance, Trading Economics, Sharecast/Proactive, BBN Times, CNBC, Reuters/Euronext, Share Talk, IG. Corroboration achieved for each validated session; corroborated pairs and deltas recorded in §6 / §4.</w:t>
      </w:r>
    </w:p>
    <w:p>
      <w:pPr>
        <w:pStyle w:val="ListParagraph"/>
        <w:numPr>
          <w:ilvl w:val="0"/>
          <w:numId w:val="1"/>
        </w:numPr>
        <w:spacing w:after="60" w:line="260"/>
      </w:pPr>
      <w:r>
        <w:rPr>
          <w:b/>
          <w:bCs/>
          <w:sz w:val="20"/>
          <w:szCs w:val="20"/>
        </w:rPr>
        <w:t xml:space="preserve">Single-source fields: </w:t>
      </w:r>
      <w:r>
        <w:rPr>
          <w:sz w:val="20"/>
          <w:szCs w:val="20"/>
        </w:rPr>
        <w:t xml:space="preserve">EURO STOXX 50 daily OHLC (all sessions, indicative); FTSE 7 Jul intraday H/L (directional only). Logged per Source Discipline protocol §4–5.</w:t>
      </w:r>
    </w:p>
    <w:p>
      <w:pPr>
        <w:pStyle w:val="ListParagraph"/>
        <w:numPr>
          <w:ilvl w:val="0"/>
          <w:numId w:val="1"/>
        </w:numPr>
        <w:spacing w:after="60" w:line="260"/>
      </w:pPr>
      <w:r>
        <w:rPr>
          <w:b/>
          <w:bCs/>
          <w:sz w:val="20"/>
          <w:szCs w:val="20"/>
        </w:rPr>
        <w:t xml:space="preserve">Sentiment derivation: </w:t>
      </w:r>
      <w:r>
        <w:rPr>
          <w:sz w:val="20"/>
          <w:szCs w:val="20"/>
        </w:rPr>
        <w:t xml:space="preserve">6 articles classified with ≤15-word derivation quotes (§13a); source-class-weighted tilt = −0.10 (Balanced). Not low-confidence (n≥3).</w:t>
      </w:r>
    </w:p>
    <w:p>
      <w:pPr>
        <w:pStyle w:val="ListParagraph"/>
        <w:numPr>
          <w:ilvl w:val="0"/>
          <w:numId w:val="1"/>
        </w:numPr>
        <w:spacing w:after="60" w:line="260"/>
      </w:pPr>
      <w:r>
        <w:rPr>
          <w:b/>
          <w:bCs/>
          <w:sz w:val="20"/>
          <w:szCs w:val="20"/>
        </w:rPr>
        <w:t xml:space="preserve">Direction-score weights: </w:t>
      </w:r>
      <w:r>
        <w:rPr>
          <w:sz w:val="20"/>
          <w:szCs w:val="20"/>
        </w:rPr>
        <w:t xml:space="preserve">DEFAULTS (v2.1 baseline 0.25/0.20/0.10/0.15/0.15/0.15). No tuning applied — within the 20-session lock. Composite score +0.18 → NEUTRAL. Contributions: short-tech +0.25, VOLator +0.05, medium 0.00, Kaufman −0.03, sentiment −0.02, cross-asset −0.08.</w:t>
      </w:r>
    </w:p>
    <w:p>
      <w:pPr>
        <w:pStyle w:val="ListParagraph"/>
        <w:numPr>
          <w:ilvl w:val="0"/>
          <w:numId w:val="1"/>
        </w:numPr>
        <w:spacing w:after="60" w:line="260"/>
      </w:pPr>
      <w:r>
        <w:rPr>
          <w:b/>
          <w:bCs/>
          <w:sz w:val="20"/>
          <w:szCs w:val="20"/>
        </w:rPr>
        <w:t xml:space="preserve">Regime: </w:t>
      </w:r>
      <w:r>
        <w:rPr>
          <w:sz w:val="20"/>
          <w:szCs w:val="20"/>
        </w:rPr>
        <w:t xml:space="preserve">TRANSITION. Dual-gate RANGE failed (|KER| 0.20 &gt; 0.13 and VOLator slope +0.14 &gt; 0) — SurfaceContract RANGE not emitted; no SurfaceContractError.</w:t>
      </w:r>
    </w:p>
    <w:p>
      <w:pPr>
        <w:pStyle w:val="ListParagraph"/>
        <w:numPr>
          <w:ilvl w:val="0"/>
          <w:numId w:val="1"/>
        </w:numPr>
        <w:spacing w:after="60" w:line="260"/>
      </w:pPr>
      <w:r>
        <w:rPr>
          <w:b/>
          <w:bCs/>
          <w:sz w:val="20"/>
          <w:szCs w:val="20"/>
        </w:rPr>
        <w:t xml:space="preserve">Backtest: </w:t>
      </w:r>
      <w:r>
        <w:rPr>
          <w:sz w:val="20"/>
          <w:szCs w:val="20"/>
        </w:rPr>
        <w:t xml:space="preserve">5 sessions (7–13 Jul) reconstructed at each t−1 close with frozen sentiment and no forward leakage; resolved on actual t-session OHLC. Notes in §21c.</w:t>
      </w:r>
    </w:p>
    <w:p>
      <w:pPr>
        <w:pStyle w:val="ListParagraph"/>
        <w:numPr>
          <w:ilvl w:val="0"/>
          <w:numId w:val="1"/>
        </w:numPr>
        <w:spacing w:after="60" w:line="260"/>
      </w:pPr>
      <w:r>
        <w:rPr>
          <w:b/>
          <w:bCs/>
          <w:sz w:val="20"/>
          <w:szCs w:val="20"/>
        </w:rPr>
        <w:t xml:space="preserve">Anomalies: </w:t>
      </w:r>
      <w:r>
        <w:rPr>
          <w:sz w:val="20"/>
          <w:szCs w:val="20"/>
        </w:rPr>
        <w:t xml:space="preserve">RSI2 = 100 on 13 Jul (two consecutive up-closes, mean-loss 0) — valid extreme, flagged. Cross-asset contradiction vs price retained explicitly (§10).</w:t>
      </w:r>
    </w:p>
    <w:p>
      <w:pPr>
        <w:pStyle w:val="Heading1"/>
        <w:spacing w:after="120" w:before="260"/>
      </w:pPr>
      <w:r>
        <w:rPr>
          <w:b/>
          <w:bCs/>
          <w:color w:val="1a2942"/>
          <w:sz w:val="28"/>
          <w:szCs w:val="28"/>
        </w:rPr>
        <w:t xml:space="preserve">21 · Strategy Recommendations</w:t>
      </w:r>
    </w:p>
    <w:p>
      <w:pPr>
        <w:pStyle w:val="Heading2"/>
        <w:spacing w:after="90" w:before="180"/>
      </w:pPr>
      <w:r>
        <w:rPr>
          <w:b/>
          <w:bCs/>
          <w:color w:val="1a2942"/>
          <w:sz w:val="24"/>
          <w:szCs w:val="24"/>
        </w:rPr>
        <w:t xml:space="preserve">21a · Directional Conviction</w:t>
      </w:r>
    </w:p>
    <w:p>
      <w:pPr>
        <w:spacing w:after="100" w:line="264"/>
      </w:pPr>
      <w:r>
        <w:rPr>
          <w:b/>
          <w:bCs/>
          <w:sz w:val="20"/>
          <w:szCs w:val="20"/>
        </w:rPr>
        <w:t xml:space="preserve">Direction: </w:t>
      </w:r>
      <w:r>
        <w:rPr>
          <w:b/>
          <w:bCs/>
          <w:sz w:val="20"/>
          <w:szCs w:val="20"/>
        </w:rPr>
        <w:t xml:space="preserve">NEUTRAL. Score +0.18</w:t>
      </w:r>
      <w:r>
        <w:rPr>
          <w:sz w:val="20"/>
          <w:szCs w:val="20"/>
        </w:rPr>
        <w:t xml:space="preserve"> (below the ±0.25 conviction threshold). The three highest-weighted contributing signals are short-term technical bias (§8) +0.25 (two-session bounce, RSI2 extreme), cross-asset confirmation (§10) −0.08 (S&amp;P/DAX/STOXX risk-off), and VOLator (§9) +0.05 (mild volatility expansion off the low). Kaufman (−0.03) and sentiment (−0.02) trim further. Weights basis: defaults. </w:t>
      </w:r>
      <w:r>
        <w:rPr>
          <w:b/>
          <w:bCs/>
          <w:sz w:val="20"/>
          <w:szCs w:val="20"/>
        </w:rPr>
        <w:t xml:space="preserve">Conflict flag: </w:t>
      </w:r>
      <w:r>
        <w:rPr>
          <w:sz w:val="20"/>
          <w:szCs w:val="20"/>
        </w:rPr>
        <w:t xml:space="preserve">the §17 forecast leans mildly bearish (range with downside skew) while the raw directional score is fractionally positive but neutral overall — no material conflict; neither output is edited.</w:t>
      </w:r>
    </w:p>
    <w:p>
      <w:pPr>
        <w:shd w:fill="f3f0e6" w:color="auto" w:val="clear"/>
        <w:spacing w:after="100"/>
      </w:pPr>
      <w:r>
        <w:rPr>
          <w:i/>
          <w:iCs/>
          <w:color w:val="8a6d1a"/>
          <w:sz w:val="18"/>
          <w:szCs w:val="18"/>
        </w:rPr>
        <w:t xml:space="preserve">  Note on instruction: strategy cards below are produced in full and not suppressed for corroboration reasons per the analyst directive. FTSE pivot and swing inputs are corroborated, so leniency was not in fact required for FTSE levels; the EURO STOXX indicative flag does not affect FTSE-only trade cards.</w:t>
      </w:r>
    </w:p>
    <w:p>
      <w:pPr>
        <w:pStyle w:val="Heading2"/>
        <w:spacing w:after="90" w:before="180"/>
      </w:pPr>
      <w:r>
        <w:rPr>
          <w:b/>
          <w:bCs/>
          <w:color w:val="1a2942"/>
          <w:sz w:val="24"/>
          <w:szCs w:val="24"/>
        </w:rPr>
        <w:t xml:space="preserve">21b · Trade Cards</w:t>
      </w:r>
    </w:p>
    <w:p>
      <w:pPr>
        <w:spacing w:after="100" w:line="264"/>
      </w:pPr>
      <w:r>
        <w:rPr>
          <w:b/>
          <w:bCs/>
          <w:sz w:val="20"/>
          <w:szCs w:val="20"/>
        </w:rPr>
        <w:t xml:space="preserve">Trade 1 — Daily Directional: </w:t>
      </w:r>
      <w:r>
        <w:rPr>
          <w:color w:val="c0392b"/>
          <w:sz w:val="20"/>
          <w:szCs w:val="20"/>
        </w:rPr>
        <w:t xml:space="preserve">SUPPRESSED — direction score |0.18| below the 0.25 conviction threshold. No directional day-trade issued.</w:t>
      </w:r>
    </w:p>
    <w:p>
      <w:pPr>
        <w:spacing w:after="100" w:line="264"/>
      </w:pPr>
      <w:r>
        <w:rPr>
          <w:b/>
          <w:bCs/>
          <w:sz w:val="20"/>
          <w:szCs w:val="20"/>
        </w:rPr>
        <w:t xml:space="preserve">Trade 2 — Pivot (TRANSITION, breakout-side only): </w:t>
      </w:r>
      <w:r>
        <w:rPr>
          <w:sz w:val="20"/>
          <w:szCs w:val="20"/>
        </w:rPr>
        <w:t xml:space="preserve">aligned with the Trade 3C upside-breakout thesis; counter-side limit suppressed.</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2600"/>
        <w:gridCol w:w="676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Field</w:t>
            </w:r>
          </w:p>
        </w:tc>
        <w:tc>
          <w:tcPr>
            <w:shd w:fill="1a2942" w:color="auto" w:val="clear"/>
            <w:tcMar>
              <w:top w:type="dxa" w:w="40"/>
              <w:left w:type="dxa" w:w="70"/>
              <w:bottom w:type="dxa" w:w="40"/>
              <w:right w:type="dxa" w:w="70"/>
            </w:tcMar>
          </w:tcPr>
          <w:p>
            <w:pPr>
              <w:jc w:val="left"/>
            </w:pPr>
            <w:r>
              <w:rPr>
                <w:b/>
                <w:bCs/>
                <w:color w:val="ffffff"/>
                <w:sz w:val="18"/>
                <w:szCs w:val="18"/>
              </w:rPr>
              <w:t xml:space="preserve">Detail (price + native unit, points)</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Trade type</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Trade 2 — Pivot, regime-aware (TRANSITION breakout side)</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Direction</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LONG — breakout side only (upper boundary of the transition range)</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Entry</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Stop-entry at 10,533 (daily R1 / 13 Jul high) on a confirmed break; 35 pts above pivot</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Stop loss</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10,464 — daily S1 / 13 Jul low − buffer; 69 pts below entry (0.74 ATR)</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Risk (R)</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69 points</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TP1 (Unit 1)</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10,602 — daily R3 (+1R)</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TP2 (Unit 2)</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10,671 — toward 7 Jul swing (+2R); on fill Unit 3 SL → 10,547 (entry+0.2R)</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TP3 (runner)</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Toward daily/weekly R-cluster 10,680–10,750; runner exits toward pivot rule / structure</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Tranche mgmt</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3 equal units; U1@TP1, U2@TP2; on U2 fill U3 SL → entry+0.2R</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Confluences</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Entry at R1 = 13 Jul high (swing + pivot = strong confluence); TP1 near daily R3</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Thesis invalidation</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Daily close back below the daily pivot 10,498</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Caveats</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Breakout not yet confirmed at pre-open — order is contingent; holding period spans 16 Jul UK CPI (Tier-1 event collision)</w:t>
            </w:r>
          </w:p>
        </w:tc>
      </w:tr>
    </w:tbl>
    <w:p>
      <w:pPr>
        <w:spacing w:after="100" w:line="264"/>
      </w:pPr>
      <w:r>
        <w:rPr>
          <w:b/>
          <w:bCs/>
          <w:sz w:val="20"/>
          <w:szCs w:val="20"/>
        </w:rPr>
        <w:t xml:space="preserve">Trade 3 — Momentum-Breakout (3C, regime = TRANSITION): </w:t>
      </w:r>
      <w:r>
        <w:rPr>
          <w:sz w:val="20"/>
          <w:szCs w:val="20"/>
        </w:rPr>
        <w:t xml:space="preserve">post-fakeout breakout play on the 25-session range.</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2600"/>
        <w:gridCol w:w="676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Field</w:t>
            </w:r>
          </w:p>
        </w:tc>
        <w:tc>
          <w:tcPr>
            <w:shd w:fill="1a2942" w:color="auto" w:val="clear"/>
            <w:tcMar>
              <w:top w:type="dxa" w:w="40"/>
              <w:left w:type="dxa" w:w="70"/>
              <w:bottom w:type="dxa" w:w="40"/>
              <w:right w:type="dxa" w:w="70"/>
            </w:tcMar>
          </w:tcPr>
          <w:p>
            <w:pPr>
              <w:jc w:val="left"/>
            </w:pPr>
            <w:r>
              <w:rPr>
                <w:b/>
                <w:bCs/>
                <w:color w:val="ffffff"/>
                <w:sz w:val="18"/>
                <w:szCs w:val="18"/>
              </w:rPr>
              <w:t xml:space="preserve">Detail (price + native unit, points)</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Trade type</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Trade 3C — Momentum-Breakout</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Range definition</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25-session range: swing_high 10,749 / swing_low 10,128 (width 621 pts)</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Direction trigger</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Upside — recent retests failed near the upper band; requires VOLator/cross-asset alignment on the break</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Confirmed break</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Daily close above 10,749 by ≥ 0.25 ATR (~23 pts) → above 10,772. Not yet met — trade contingent</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Entry</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At breakout candle close above ~10,772 (or next-session open)</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Stop loss</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Inside range at low + 0.40×width = 10,376 (generous post-fakeout stop)</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Position structure</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3 equal units</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TP1 (Unit 1)</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Measured move: broken high + 1.0×width ≈ 11,370</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TP2 (Unit 2)</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1.5×MM ≈ 11,680; on fill Unit 3 SL → broken boundary 10,749</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TP3 (runner)</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Discretionary trail beyond 1.5×MM on subsequent swing structure</w:t>
            </w:r>
          </w:p>
        </w:tc>
      </w:tr>
      <w:tr>
        <w:tc>
          <w:tcPr>
            <w:tcW w:type="dxa" w:w="2600"/>
            <w:shd w:fill="ffffff" w:color="auto" w:val="clear"/>
            <w:tcMar>
              <w:top w:type="dxa" w:w="40"/>
              <w:left w:type="dxa" w:w="70"/>
              <w:bottom w:type="dxa" w:w="40"/>
              <w:right w:type="dxa" w:w="70"/>
            </w:tcMar>
          </w:tcPr>
          <w:p>
            <w:pPr>
              <w:jc w:val="left"/>
            </w:pPr>
            <w:r>
              <w:rPr>
                <w:b w:val="false"/>
                <w:bCs w:val="false"/>
                <w:color w:val="222222"/>
                <w:sz w:val="18"/>
                <w:szCs w:val="18"/>
              </w:rPr>
              <w:t xml:space="preserve">Thesis invalidation</w:t>
            </w:r>
          </w:p>
        </w:tc>
        <w:tc>
          <w:tcPr>
            <w:tcW w:type="dxa" w:w="6760"/>
            <w:shd w:fill="ffffff" w:color="auto" w:val="clear"/>
            <w:tcMar>
              <w:top w:type="dxa" w:w="40"/>
              <w:left w:type="dxa" w:w="70"/>
              <w:bottom w:type="dxa" w:w="40"/>
              <w:right w:type="dxa" w:w="70"/>
            </w:tcMar>
          </w:tcPr>
          <w:p>
            <w:pPr>
              <w:jc w:val="left"/>
            </w:pPr>
            <w:r>
              <w:rPr>
                <w:b w:val="false"/>
                <w:bCs w:val="false"/>
                <w:color w:val="222222"/>
                <w:sz w:val="18"/>
                <w:szCs w:val="18"/>
              </w:rPr>
              <w:t xml:space="preserve">Daily close back inside range past midpoint (~10,438)</w:t>
            </w:r>
          </w:p>
        </w:tc>
      </w:tr>
      <w:tr>
        <w:tc>
          <w:tcPr>
            <w:tcW w:type="dxa" w:w="2600"/>
            <w:shd w:fill="eef1f5" w:color="auto" w:val="clear"/>
            <w:tcMar>
              <w:top w:type="dxa" w:w="40"/>
              <w:left w:type="dxa" w:w="70"/>
              <w:bottom w:type="dxa" w:w="40"/>
              <w:right w:type="dxa" w:w="70"/>
            </w:tcMar>
          </w:tcPr>
          <w:p>
            <w:pPr>
              <w:jc w:val="left"/>
            </w:pPr>
            <w:r>
              <w:rPr>
                <w:b w:val="false"/>
                <w:bCs w:val="false"/>
                <w:color w:val="222222"/>
                <w:sz w:val="18"/>
                <w:szCs w:val="18"/>
              </w:rPr>
              <w:t xml:space="preserve">Caveats</w:t>
            </w:r>
          </w:p>
        </w:tc>
        <w:tc>
          <w:tcPr>
            <w:tcW w:type="dxa" w:w="6760"/>
            <w:shd w:fill="eef1f5" w:color="auto" w:val="clear"/>
            <w:tcMar>
              <w:top w:type="dxa" w:w="40"/>
              <w:left w:type="dxa" w:w="70"/>
              <w:bottom w:type="dxa" w:w="40"/>
              <w:right w:type="dxa" w:w="70"/>
            </w:tcMar>
          </w:tcPr>
          <w:p>
            <w:pPr>
              <w:jc w:val="left"/>
            </w:pPr>
            <w:r>
              <w:rPr>
                <w:b w:val="false"/>
                <w:bCs w:val="false"/>
                <w:color w:val="222222"/>
                <w:sz w:val="18"/>
                <w:szCs w:val="18"/>
              </w:rPr>
              <w:t xml:space="preserve">Break NOT confirmed at 14 Jul pre-open — eligibility pending a close above 10,772; wide stop → reduced size; spans 16 Jul CPI</w:t>
            </w:r>
          </w:p>
        </w:tc>
      </w:tr>
    </w:tbl>
    <w:p>
      <w:pPr>
        <w:shd w:fill="f3f0e6" w:color="auto" w:val="clear"/>
        <w:spacing w:after="100"/>
      </w:pPr>
      <w:r>
        <w:rPr>
          <w:i/>
          <w:iCs/>
          <w:color w:val="8a6d1a"/>
          <w:sz w:val="18"/>
          <w:szCs w:val="18"/>
        </w:rPr>
        <w:t xml:space="preserve">  Both Trade 2 and Trade 3C are contingent breakout structures: neither triggers unless price confirms above the stated levels. At the 14 July pre-open, price is mid-range on the pivot, so no order is live yet — these are the pre-defined structures that would activate on confirmation. This is the correct expression of a NEUTRAL/TRANSITION book: define the breakout, do not pre-position directionally.</w:t>
      </w:r>
    </w:p>
    <w:p>
      <w:pPr>
        <w:pStyle w:val="Heading2"/>
        <w:spacing w:after="90" w:before="180"/>
      </w:pPr>
      <w:r>
        <w:rPr>
          <w:b/>
          <w:bCs/>
          <w:color w:val="1a2942"/>
          <w:sz w:val="24"/>
          <w:szCs w:val="24"/>
        </w:rPr>
        <w:t xml:space="preserve">21c · 5-Session No-Leakage Backtest</w:t>
      </w:r>
    </w:p>
    <w:tbl>
      <w:tblPr>
        <w:tblW w:type="dxa" w:w="9360"/>
        <w:tblBorders>
          <w:top w:val="single" w:color="d8dee8" w:sz="2"/>
          <w:left w:val="single" w:color="d8dee8" w:sz="2"/>
          <w:bottom w:val="single" w:color="d8dee8" w:sz="2"/>
          <w:right w:val="single" w:color="d8dee8" w:sz="2"/>
          <w:insideH w:val="single" w:color="d8dee8" w:sz="2"/>
          <w:insideV w:val="single" w:color="d8dee8" w:sz="2"/>
        </w:tblBorders>
      </w:tblPr>
      <w:tblGrid>
        <w:gridCol w:w="1500"/>
        <w:gridCol w:w="1200"/>
        <w:gridCol w:w="1350"/>
        <w:gridCol w:w="1200"/>
        <w:gridCol w:w="1600"/>
        <w:gridCol w:w="1400"/>
        <w:gridCol w:w="1110"/>
      </w:tblGrid>
      <w:tr>
        <w:trPr>
          <w:tblHeader/>
        </w:trPr>
        <w:tc>
          <w:tcPr>
            <w:shd w:fill="1a2942" w:color="auto" w:val="clear"/>
            <w:tcMar>
              <w:top w:type="dxa" w:w="40"/>
              <w:left w:type="dxa" w:w="70"/>
              <w:bottom w:type="dxa" w:w="40"/>
              <w:right w:type="dxa" w:w="70"/>
            </w:tcMar>
          </w:tcPr>
          <w:p>
            <w:pPr>
              <w:jc w:val="left"/>
            </w:pPr>
            <w:r>
              <w:rPr>
                <w:b/>
                <w:bCs/>
                <w:color w:val="ffffff"/>
                <w:sz w:val="18"/>
                <w:szCs w:val="18"/>
              </w:rPr>
              <w:t xml:space="preserve">Date (t)</w:t>
            </w:r>
          </w:p>
        </w:tc>
        <w:tc>
          <w:tcPr>
            <w:shd w:fill="1a2942" w:color="auto" w:val="clear"/>
            <w:tcMar>
              <w:top w:type="dxa" w:w="40"/>
              <w:left w:type="dxa" w:w="70"/>
              <w:bottom w:type="dxa" w:w="40"/>
              <w:right w:type="dxa" w:w="70"/>
            </w:tcMar>
          </w:tcPr>
          <w:p>
            <w:pPr>
              <w:jc w:val="left"/>
            </w:pPr>
            <w:r>
              <w:rPr>
                <w:b/>
                <w:bCs/>
                <w:color w:val="ffffff"/>
                <w:sz w:val="18"/>
                <w:szCs w:val="18"/>
              </w:rPr>
              <w:t xml:space="preserve">Strategy</w:t>
            </w:r>
          </w:p>
        </w:tc>
        <w:tc>
          <w:tcPr>
            <w:shd w:fill="1a2942" w:color="auto" w:val="clear"/>
            <w:tcMar>
              <w:top w:type="dxa" w:w="40"/>
              <w:left w:type="dxa" w:w="70"/>
              <w:bottom w:type="dxa" w:w="40"/>
              <w:right w:type="dxa" w:w="70"/>
            </w:tcMar>
          </w:tcPr>
          <w:p>
            <w:pPr>
              <w:jc w:val="left"/>
            </w:pPr>
            <w:r>
              <w:rPr>
                <w:b/>
                <w:bCs/>
                <w:color w:val="ffffff"/>
                <w:sz w:val="18"/>
                <w:szCs w:val="18"/>
              </w:rPr>
              <w:t xml:space="preserve">Direction</w:t>
            </w:r>
          </w:p>
        </w:tc>
        <w:tc>
          <w:tcPr>
            <w:shd w:fill="1a2942" w:color="auto" w:val="clear"/>
            <w:tcMar>
              <w:top w:type="dxa" w:w="40"/>
              <w:left w:type="dxa" w:w="70"/>
              <w:bottom w:type="dxa" w:w="40"/>
              <w:right w:type="dxa" w:w="70"/>
            </w:tcMar>
          </w:tcPr>
          <w:p>
            <w:pPr>
              <w:jc w:val="left"/>
            </w:pPr>
            <w:r>
              <w:rPr>
                <w:b/>
                <w:bCs/>
                <w:color w:val="ffffff"/>
                <w:sz w:val="18"/>
                <w:szCs w:val="18"/>
              </w:rPr>
              <w:t xml:space="preserve">Triggered</w:t>
            </w:r>
          </w:p>
        </w:tc>
        <w:tc>
          <w:tcPr>
            <w:shd w:fill="1a2942" w:color="auto" w:val="clear"/>
            <w:tcMar>
              <w:top w:type="dxa" w:w="40"/>
              <w:left w:type="dxa" w:w="70"/>
              <w:bottom w:type="dxa" w:w="40"/>
              <w:right w:type="dxa" w:w="70"/>
            </w:tcMar>
          </w:tcPr>
          <w:p>
            <w:pPr>
              <w:jc w:val="left"/>
            </w:pPr>
            <w:r>
              <w:rPr>
                <w:b/>
                <w:bCs/>
                <w:color w:val="ffffff"/>
                <w:sz w:val="18"/>
                <w:szCs w:val="18"/>
              </w:rPr>
              <w:t xml:space="preserve">Entry→Exit</w:t>
            </w:r>
          </w:p>
        </w:tc>
        <w:tc>
          <w:tcPr>
            <w:shd w:fill="1a2942" w:color="auto" w:val="clear"/>
            <w:tcMar>
              <w:top w:type="dxa" w:w="40"/>
              <w:left w:type="dxa" w:w="70"/>
              <w:bottom w:type="dxa" w:w="40"/>
              <w:right w:type="dxa" w:w="70"/>
            </w:tcMar>
          </w:tcPr>
          <w:p>
            <w:pPr>
              <w:jc w:val="left"/>
            </w:pPr>
            <w:r>
              <w:rPr>
                <w:b/>
                <w:bCs/>
                <w:color w:val="ffffff"/>
                <w:sz w:val="18"/>
                <w:szCs w:val="18"/>
              </w:rPr>
              <w:t xml:space="preserve">Outcome (R)</w:t>
            </w:r>
          </w:p>
        </w:tc>
        <w:tc>
          <w:tcPr>
            <w:shd w:fill="1a2942" w:color="auto" w:val="clear"/>
            <w:tcMar>
              <w:top w:type="dxa" w:w="40"/>
              <w:left w:type="dxa" w:w="70"/>
              <w:bottom w:type="dxa" w:w="40"/>
              <w:right w:type="dxa" w:w="70"/>
            </w:tcMar>
          </w:tcPr>
          <w:p>
            <w:pPr>
              <w:jc w:val="left"/>
            </w:pPr>
            <w:r>
              <w:rPr>
                <w:b/>
                <w:bCs/>
                <w:color w:val="ffffff"/>
                <w:sz w:val="18"/>
                <w:szCs w:val="18"/>
              </w:rPr>
              <w:t xml:space="preserve">Days</w:t>
            </w:r>
          </w:p>
        </w:tc>
      </w:tr>
      <w:tr>
        <w:tc>
          <w:tcPr>
            <w:tcW w:type="dxa" w:w="1500"/>
            <w:shd w:fill="ffffff" w:color="auto" w:val="clear"/>
            <w:tcMar>
              <w:top w:type="dxa" w:w="40"/>
              <w:left w:type="dxa" w:w="70"/>
              <w:bottom w:type="dxa" w:w="40"/>
              <w:right w:type="dxa" w:w="70"/>
            </w:tcMar>
          </w:tcPr>
          <w:p>
            <w:pPr>
              <w:jc w:val="left"/>
            </w:pPr>
            <w:r>
              <w:rPr>
                <w:b w:val="false"/>
                <w:bCs w:val="false"/>
                <w:color w:val="222222"/>
                <w:sz w:val="18"/>
                <w:szCs w:val="18"/>
              </w:rPr>
              <w:t xml:space="preserve">Tue 7 Jul (t−5)</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Trade 1</w:t>
            </w:r>
          </w:p>
        </w:tc>
        <w:tc>
          <w:tcPr>
            <w:tcW w:type="dxa" w:w="1350"/>
            <w:shd w:fill="ffffff" w:color="auto" w:val="clear"/>
            <w:tcMar>
              <w:top w:type="dxa" w:w="40"/>
              <w:left w:type="dxa" w:w="70"/>
              <w:bottom w:type="dxa" w:w="40"/>
              <w:right w:type="dxa" w:w="70"/>
            </w:tcMar>
          </w:tcPr>
          <w:p>
            <w:pPr>
              <w:jc w:val="left"/>
            </w:pPr>
            <w:r>
              <w:rPr>
                <w:b w:val="false"/>
                <w:bCs w:val="false"/>
                <w:color w:val="222222"/>
                <w:sz w:val="18"/>
                <w:szCs w:val="18"/>
              </w:rPr>
              <w:t xml:space="preserve">SUPPRESSED</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160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 (neutral)</w:t>
            </w:r>
          </w:p>
        </w:tc>
        <w:tc>
          <w:tcPr>
            <w:tcW w:type="dxa" w:w="111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r>
      <w:tr>
        <w:tc>
          <w:tcPr>
            <w:tcW w:type="dxa" w:w="1500"/>
            <w:shd w:fill="eef1f5" w:color="auto" w:val="clear"/>
            <w:tcMar>
              <w:top w:type="dxa" w:w="40"/>
              <w:left w:type="dxa" w:w="70"/>
              <w:bottom w:type="dxa" w:w="40"/>
              <w:right w:type="dxa" w:w="70"/>
            </w:tcMar>
          </w:tcPr>
          <w:p>
            <w:pPr>
              <w:jc w:val="left"/>
            </w:pPr>
            <w:r>
              <w:rPr>
                <w:b w:val="false"/>
                <w:bCs w:val="false"/>
                <w:color w:val="222222"/>
                <w:sz w:val="18"/>
                <w:szCs w:val="18"/>
              </w:rPr>
              <w:t xml:space="preserve">Wed 8 Jul (t−4)</w:t>
            </w:r>
          </w:p>
        </w:tc>
        <w:tc>
          <w:tcPr>
            <w:tcW w:type="dxa" w:w="1200"/>
            <w:shd w:fill="eef1f5" w:color="auto" w:val="clear"/>
            <w:tcMar>
              <w:top w:type="dxa" w:w="40"/>
              <w:left w:type="dxa" w:w="70"/>
              <w:bottom w:type="dxa" w:w="40"/>
              <w:right w:type="dxa" w:w="70"/>
            </w:tcMar>
          </w:tcPr>
          <w:p>
            <w:pPr>
              <w:jc w:val="left"/>
            </w:pPr>
            <w:r>
              <w:rPr>
                <w:b w:val="false"/>
                <w:bCs w:val="false"/>
                <w:color w:val="222222"/>
                <w:sz w:val="18"/>
                <w:szCs w:val="18"/>
              </w:rPr>
              <w:t xml:space="preserve">Trade 1</w:t>
            </w:r>
          </w:p>
        </w:tc>
        <w:tc>
          <w:tcPr>
            <w:tcW w:type="dxa" w:w="1350"/>
            <w:shd w:fill="eef1f5" w:color="auto" w:val="clear"/>
            <w:tcMar>
              <w:top w:type="dxa" w:w="40"/>
              <w:left w:type="dxa" w:w="70"/>
              <w:bottom w:type="dxa" w:w="40"/>
              <w:right w:type="dxa" w:w="70"/>
            </w:tcMar>
          </w:tcPr>
          <w:p>
            <w:pPr>
              <w:jc w:val="left"/>
            </w:pPr>
            <w:r>
              <w:rPr>
                <w:b w:val="false"/>
                <w:bCs w:val="false"/>
                <w:color w:val="222222"/>
                <w:sz w:val="18"/>
                <w:szCs w:val="18"/>
              </w:rPr>
              <w:t xml:space="preserve">SHORT (recon)</w:t>
            </w:r>
          </w:p>
        </w:tc>
        <w:tc>
          <w:tcPr>
            <w:tcW w:type="dxa" w:w="1200"/>
            <w:shd w:fill="eef1f5" w:color="auto" w:val="clear"/>
            <w:tcMar>
              <w:top w:type="dxa" w:w="40"/>
              <w:left w:type="dxa" w:w="70"/>
              <w:bottom w:type="dxa" w:w="40"/>
              <w:right w:type="dxa" w:w="70"/>
            </w:tcMar>
          </w:tcPr>
          <w:p>
            <w:pPr>
              <w:jc w:val="left"/>
            </w:pPr>
            <w:r>
              <w:rPr>
                <w:b w:val="false"/>
                <w:bCs w:val="false"/>
                <w:color w:val="222222"/>
                <w:sz w:val="18"/>
                <w:szCs w:val="18"/>
              </w:rPr>
              <w:t xml:space="preserve">YES</w:t>
            </w:r>
          </w:p>
        </w:tc>
        <w:tc>
          <w:tcPr>
            <w:tcW w:type="dxa" w:w="1600"/>
            <w:shd w:fill="eef1f5" w:color="auto" w:val="clear"/>
            <w:tcMar>
              <w:top w:type="dxa" w:w="40"/>
              <w:left w:type="dxa" w:w="70"/>
              <w:bottom w:type="dxa" w:w="40"/>
              <w:right w:type="dxa" w:w="70"/>
            </w:tcMar>
          </w:tcPr>
          <w:p>
            <w:pPr>
              <w:jc w:val="left"/>
            </w:pPr>
            <w:r>
              <w:rPr>
                <w:b w:val="false"/>
                <w:bCs w:val="false"/>
                <w:color w:val="222222"/>
                <w:sz w:val="18"/>
                <w:szCs w:val="18"/>
              </w:rPr>
              <w:t xml:space="preserve">10,665→10,489</w:t>
            </w:r>
          </w:p>
        </w:tc>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+1.77 ATR</w:t>
            </w:r>
          </w:p>
        </w:tc>
        <w:tc>
          <w:tcPr>
            <w:tcW w:type="dxa" w:w="1110"/>
            <w:shd w:fill="eef1f5" w:color="auto" w:val="clear"/>
            <w:tcMar>
              <w:top w:type="dxa" w:w="40"/>
              <w:left w:type="dxa" w:w="70"/>
              <w:bottom w:type="dxa" w:w="40"/>
              <w:right w:type="dxa" w:w="70"/>
            </w:tcMar>
          </w:tcPr>
          <w:p>
            <w:pPr>
              <w:jc w:val="left"/>
            </w:pPr>
            <w:r>
              <w:rPr>
                <w:b w:val="false"/>
                <w:bCs w:val="false"/>
                <w:color w:val="222222"/>
                <w:sz w:val="18"/>
                <w:szCs w:val="18"/>
              </w:rPr>
              <w:t xml:space="preserve">1</w:t>
            </w:r>
          </w:p>
        </w:tc>
      </w:tr>
      <w:tr>
        <w:tc>
          <w:tcPr>
            <w:tcW w:type="dxa" w:w="1500"/>
            <w:shd w:fill="ffffff" w:color="auto" w:val="clear"/>
            <w:tcMar>
              <w:top w:type="dxa" w:w="40"/>
              <w:left w:type="dxa" w:w="70"/>
              <w:bottom w:type="dxa" w:w="40"/>
              <w:right w:type="dxa" w:w="70"/>
            </w:tcMar>
          </w:tcPr>
          <w:p>
            <w:pPr>
              <w:jc w:val="left"/>
            </w:pPr>
            <w:r>
              <w:rPr>
                <w:b w:val="false"/>
                <w:bCs w:val="false"/>
                <w:color w:val="222222"/>
                <w:sz w:val="18"/>
                <w:szCs w:val="18"/>
              </w:rPr>
              <w:t xml:space="preserve">Thu 9 Jul (t−3)</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Trade 1</w:t>
            </w:r>
          </w:p>
        </w:tc>
        <w:tc>
          <w:tcPr>
            <w:tcW w:type="dxa" w:w="1350"/>
            <w:shd w:fill="ffffff" w:color="auto" w:val="clear"/>
            <w:tcMar>
              <w:top w:type="dxa" w:w="40"/>
              <w:left w:type="dxa" w:w="70"/>
              <w:bottom w:type="dxa" w:w="40"/>
              <w:right w:type="dxa" w:w="70"/>
            </w:tcMar>
          </w:tcPr>
          <w:p>
            <w:pPr>
              <w:jc w:val="left"/>
            </w:pPr>
            <w:r>
              <w:rPr>
                <w:b w:val="false"/>
                <w:bCs w:val="false"/>
                <w:color w:val="222222"/>
                <w:sz w:val="18"/>
                <w:szCs w:val="18"/>
              </w:rPr>
              <w:t xml:space="preserve">SHORT (recon)</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YES</w:t>
            </w:r>
          </w:p>
        </w:tc>
        <w:tc>
          <w:tcPr>
            <w:tcW w:type="dxa" w:w="1600"/>
            <w:shd w:fill="ffffff" w:color="auto" w:val="clear"/>
            <w:tcMar>
              <w:top w:type="dxa" w:w="40"/>
              <w:left w:type="dxa" w:w="70"/>
              <w:bottom w:type="dxa" w:w="40"/>
              <w:right w:type="dxa" w:w="70"/>
            </w:tcMar>
          </w:tcPr>
          <w:p>
            <w:pPr>
              <w:jc w:val="left"/>
            </w:pPr>
            <w:r>
              <w:rPr>
                <w:b w:val="false"/>
                <w:bCs w:val="false"/>
                <w:color w:val="222222"/>
                <w:sz w:val="18"/>
                <w:szCs w:val="18"/>
              </w:rPr>
              <w:t xml:space="preserve">10,489→10,472</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+0.17 ATR</w:t>
            </w:r>
          </w:p>
        </w:tc>
        <w:tc>
          <w:tcPr>
            <w:tcW w:type="dxa" w:w="1110"/>
            <w:shd w:fill="ffffff" w:color="auto" w:val="clear"/>
            <w:tcMar>
              <w:top w:type="dxa" w:w="40"/>
              <w:left w:type="dxa" w:w="70"/>
              <w:bottom w:type="dxa" w:w="40"/>
              <w:right w:type="dxa" w:w="70"/>
            </w:tcMar>
          </w:tcPr>
          <w:p>
            <w:pPr>
              <w:jc w:val="left"/>
            </w:pPr>
            <w:r>
              <w:rPr>
                <w:b w:val="false"/>
                <w:bCs w:val="false"/>
                <w:color w:val="222222"/>
                <w:sz w:val="18"/>
                <w:szCs w:val="18"/>
              </w:rPr>
              <w:t xml:space="preserve">1</w:t>
            </w:r>
          </w:p>
        </w:tc>
      </w:tr>
      <w:tr>
        <w:tc>
          <w:tcPr>
            <w:tcW w:type="dxa" w:w="1500"/>
            <w:shd w:fill="eef1f5" w:color="auto" w:val="clear"/>
            <w:tcMar>
              <w:top w:type="dxa" w:w="40"/>
              <w:left w:type="dxa" w:w="70"/>
              <w:bottom w:type="dxa" w:w="40"/>
              <w:right w:type="dxa" w:w="70"/>
            </w:tcMar>
          </w:tcPr>
          <w:p>
            <w:pPr>
              <w:jc w:val="left"/>
            </w:pPr>
            <w:r>
              <w:rPr>
                <w:b w:val="false"/>
                <w:bCs w:val="false"/>
                <w:color w:val="222222"/>
                <w:sz w:val="18"/>
                <w:szCs w:val="18"/>
              </w:rPr>
              <w:t xml:space="preserve">Fri 10 Jul (t−2)</w:t>
            </w:r>
          </w:p>
        </w:tc>
        <w:tc>
          <w:tcPr>
            <w:tcW w:type="dxa" w:w="1200"/>
            <w:shd w:fill="eef1f5" w:color="auto" w:val="clear"/>
            <w:tcMar>
              <w:top w:type="dxa" w:w="40"/>
              <w:left w:type="dxa" w:w="70"/>
              <w:bottom w:type="dxa" w:w="40"/>
              <w:right w:type="dxa" w:w="70"/>
            </w:tcMar>
          </w:tcPr>
          <w:p>
            <w:pPr>
              <w:jc w:val="left"/>
            </w:pPr>
            <w:r>
              <w:rPr>
                <w:b w:val="false"/>
                <w:bCs w:val="false"/>
                <w:color w:val="222222"/>
                <w:sz w:val="18"/>
                <w:szCs w:val="18"/>
              </w:rPr>
              <w:t xml:space="preserve">Trade 1</w:t>
            </w:r>
          </w:p>
        </w:tc>
        <w:tc>
          <w:tcPr>
            <w:tcW w:type="dxa" w:w="1350"/>
            <w:shd w:fill="eef1f5" w:color="auto" w:val="clear"/>
            <w:tcMar>
              <w:top w:type="dxa" w:w="40"/>
              <w:left w:type="dxa" w:w="70"/>
              <w:bottom w:type="dxa" w:w="40"/>
              <w:right w:type="dxa" w:w="70"/>
            </w:tcMar>
          </w:tcPr>
          <w:p>
            <w:pPr>
              <w:jc w:val="left"/>
            </w:pPr>
            <w:r>
              <w:rPr>
                <w:b w:val="false"/>
                <w:bCs w:val="false"/>
                <w:color w:val="222222"/>
                <w:sz w:val="18"/>
                <w:szCs w:val="18"/>
              </w:rPr>
              <w:t xml:space="preserve">SHORT (recon)</w:t>
            </w:r>
          </w:p>
        </w:tc>
        <w:tc>
          <w:tcPr>
            <w:tcW w:type="dxa" w:w="1200"/>
            <w:shd w:fill="eef1f5" w:color="auto" w:val="clear"/>
            <w:tcMar>
              <w:top w:type="dxa" w:w="40"/>
              <w:left w:type="dxa" w:w="70"/>
              <w:bottom w:type="dxa" w:w="40"/>
              <w:right w:type="dxa" w:w="70"/>
            </w:tcMar>
          </w:tcPr>
          <w:p>
            <w:pPr>
              <w:jc w:val="left"/>
            </w:pPr>
            <w:r>
              <w:rPr>
                <w:b w:val="false"/>
                <w:bCs w:val="false"/>
                <w:color w:val="222222"/>
                <w:sz w:val="18"/>
                <w:szCs w:val="18"/>
              </w:rPr>
              <w:t xml:space="preserve">YES</w:t>
            </w:r>
          </w:p>
        </w:tc>
        <w:tc>
          <w:tcPr>
            <w:tcW w:type="dxa" w:w="1600"/>
            <w:shd w:fill="eef1f5" w:color="auto" w:val="clear"/>
            <w:tcMar>
              <w:top w:type="dxa" w:w="40"/>
              <w:left w:type="dxa" w:w="70"/>
              <w:bottom w:type="dxa" w:w="40"/>
              <w:right w:type="dxa" w:w="70"/>
            </w:tcMar>
          </w:tcPr>
          <w:p>
            <w:pPr>
              <w:jc w:val="left"/>
            </w:pPr>
            <w:r>
              <w:rPr>
                <w:b w:val="false"/>
                <w:bCs w:val="false"/>
                <w:color w:val="222222"/>
                <w:sz w:val="18"/>
                <w:szCs w:val="18"/>
              </w:rPr>
              <w:t xml:space="preserve">10,472→10,497</w:t>
            </w:r>
          </w:p>
        </w:tc>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−0.27 ATR</w:t>
            </w:r>
          </w:p>
        </w:tc>
        <w:tc>
          <w:tcPr>
            <w:tcW w:type="dxa" w:w="1110"/>
            <w:shd w:fill="eef1f5" w:color="auto" w:val="clear"/>
            <w:tcMar>
              <w:top w:type="dxa" w:w="40"/>
              <w:left w:type="dxa" w:w="70"/>
              <w:bottom w:type="dxa" w:w="40"/>
              <w:right w:type="dxa" w:w="70"/>
            </w:tcMar>
          </w:tcPr>
          <w:p>
            <w:pPr>
              <w:jc w:val="left"/>
            </w:pPr>
            <w:r>
              <w:rPr>
                <w:b w:val="false"/>
                <w:bCs w:val="false"/>
                <w:color w:val="222222"/>
                <w:sz w:val="18"/>
                <w:szCs w:val="18"/>
              </w:rPr>
              <w:t xml:space="preserve">1</w:t>
            </w:r>
          </w:p>
        </w:tc>
      </w:tr>
      <w:tr>
        <w:tc>
          <w:tcPr>
            <w:tcW w:type="dxa" w:w="1500"/>
            <w:shd w:fill="ffffff" w:color="auto" w:val="clear"/>
            <w:tcMar>
              <w:top w:type="dxa" w:w="40"/>
              <w:left w:type="dxa" w:w="70"/>
              <w:bottom w:type="dxa" w:w="40"/>
              <w:right w:type="dxa" w:w="70"/>
            </w:tcMar>
          </w:tcPr>
          <w:p>
            <w:pPr>
              <w:jc w:val="left"/>
            </w:pPr>
            <w:r>
              <w:rPr>
                <w:b w:val="false"/>
                <w:bCs w:val="false"/>
                <w:color w:val="222222"/>
                <w:sz w:val="18"/>
                <w:szCs w:val="18"/>
              </w:rPr>
              <w:t xml:space="preserve">Mon 13 Jul (t−1)</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Trade 1</w:t>
            </w:r>
          </w:p>
        </w:tc>
        <w:tc>
          <w:tcPr>
            <w:tcW w:type="dxa" w:w="1350"/>
            <w:shd w:fill="ffffff" w:color="auto" w:val="clear"/>
            <w:tcMar>
              <w:top w:type="dxa" w:w="40"/>
              <w:left w:type="dxa" w:w="70"/>
              <w:bottom w:type="dxa" w:w="40"/>
              <w:right w:type="dxa" w:w="70"/>
            </w:tcMar>
          </w:tcPr>
          <w:p>
            <w:pPr>
              <w:jc w:val="left"/>
            </w:pPr>
            <w:r>
              <w:rPr>
                <w:b w:val="false"/>
                <w:bCs w:val="false"/>
                <w:color w:val="222222"/>
                <w:sz w:val="18"/>
                <w:szCs w:val="18"/>
              </w:rPr>
              <w:t xml:space="preserve">SUPPRESSED</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160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 (neutral)</w:t>
            </w:r>
          </w:p>
        </w:tc>
        <w:tc>
          <w:tcPr>
            <w:tcW w:type="dxa" w:w="111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r>
      <w:tr>
        <w:tc>
          <w:tcPr>
            <w:tcW w:type="dxa" w:w="1500"/>
            <w:shd w:fill="eef1f5" w:color="auto" w:val="clear"/>
            <w:tcMar>
              <w:top w:type="dxa" w:w="40"/>
              <w:left w:type="dxa" w:w="70"/>
              <w:bottom w:type="dxa" w:w="40"/>
              <w:right w:type="dxa" w:w="70"/>
            </w:tcMar>
          </w:tcPr>
          <w:p>
            <w:pPr>
              <w:jc w:val="left"/>
            </w:pPr>
            <w:r>
              <w:rPr>
                <w:b w:val="false"/>
                <w:bCs w:val="false"/>
                <w:color w:val="222222"/>
                <w:sz w:val="18"/>
                <w:szCs w:val="18"/>
              </w:rPr>
              <w:t xml:space="preserve">7–13 Jul</w:t>
            </w:r>
          </w:p>
        </w:tc>
        <w:tc>
          <w:tcPr>
            <w:tcW w:type="dxa" w:w="1200"/>
            <w:shd w:fill="eef1f5" w:color="auto" w:val="clear"/>
            <w:tcMar>
              <w:top w:type="dxa" w:w="40"/>
              <w:left w:type="dxa" w:w="70"/>
              <w:bottom w:type="dxa" w:w="40"/>
              <w:right w:type="dxa" w:w="70"/>
            </w:tcMar>
          </w:tcPr>
          <w:p>
            <w:pPr>
              <w:jc w:val="left"/>
            </w:pPr>
            <w:r>
              <w:rPr>
                <w:b w:val="false"/>
                <w:bCs w:val="false"/>
                <w:color w:val="222222"/>
                <w:sz w:val="18"/>
                <w:szCs w:val="18"/>
              </w:rPr>
              <w:t xml:space="preserve">Trade 2 (pivot)</w:t>
            </w:r>
          </w:p>
        </w:tc>
        <w:tc>
          <w:tcPr>
            <w:tcW w:type="dxa" w:w="1350"/>
            <w:shd w:fill="eef1f5" w:color="auto" w:val="clear"/>
            <w:tcMar>
              <w:top w:type="dxa" w:w="40"/>
              <w:left w:type="dxa" w:w="70"/>
              <w:bottom w:type="dxa" w:w="40"/>
              <w:right w:type="dxa" w:w="70"/>
            </w:tcMar>
          </w:tcPr>
          <w:p>
            <w:pPr>
              <w:jc w:val="left"/>
            </w:pPr>
            <w:r>
              <w:rPr>
                <w:b w:val="false"/>
                <w:bCs w:val="false"/>
                <w:color w:val="222222"/>
                <w:sz w:val="18"/>
                <w:szCs w:val="18"/>
              </w:rPr>
              <w:t xml:space="preserve">Breakout n/a</w:t>
            </w:r>
          </w:p>
        </w:tc>
        <w:tc>
          <w:tcPr>
            <w:tcW w:type="dxa" w:w="1200"/>
            <w:shd w:fill="eef1f5" w:color="auto" w:val="clear"/>
            <w:tcMar>
              <w:top w:type="dxa" w:w="40"/>
              <w:left w:type="dxa" w:w="70"/>
              <w:bottom w:type="dxa" w:w="40"/>
              <w:right w:type="dxa" w:w="70"/>
            </w:tcMar>
          </w:tcPr>
          <w:p>
            <w:pPr>
              <w:jc w:val="left"/>
            </w:pPr>
            <w:r>
              <w:rPr>
                <w:b w:val="false"/>
                <w:bCs w:val="false"/>
                <w:color w:val="222222"/>
                <w:sz w:val="18"/>
                <w:szCs w:val="18"/>
              </w:rPr>
              <w:t xml:space="preserve">NO</w:t>
            </w:r>
          </w:p>
        </w:tc>
        <w:tc>
          <w:tcPr>
            <w:tcW w:type="dxa" w:w="1600"/>
            <w:shd w:fill="eef1f5" w:color="auto" w:val="clear"/>
            <w:tcMar>
              <w:top w:type="dxa" w:w="40"/>
              <w:left w:type="dxa" w:w="70"/>
              <w:bottom w:type="dxa" w:w="40"/>
              <w:right w:type="dxa" w:w="70"/>
            </w:tcMar>
          </w:tcPr>
          <w:p>
            <w:pPr>
              <w:jc w:val="left"/>
            </w:pPr>
            <w:r>
              <w:rPr>
                <w:b w:val="false"/>
                <w:bCs w:val="false"/>
                <w:color w:val="222222"/>
                <w:sz w:val="18"/>
                <w:szCs w:val="18"/>
              </w:rPr>
              <w:t xml:space="preserve">— (no confirmed break)</w:t>
            </w:r>
          </w:p>
        </w:tc>
        <w:tc>
          <w:tcPr>
            <w:tcW w:type="dxa" w:w="1400"/>
            <w:shd w:fill="eef1f5" w:color="auto" w:val="clear"/>
            <w:tcMar>
              <w:top w:type="dxa" w:w="40"/>
              <w:left w:type="dxa" w:w="70"/>
              <w:bottom w:type="dxa" w:w="40"/>
              <w:right w:type="dxa" w:w="70"/>
            </w:tcMar>
          </w:tcPr>
          <w:p>
            <w:pPr>
              <w:jc w:val="left"/>
            </w:pPr>
            <w:r>
              <w:rPr>
                <w:b w:val="false"/>
                <w:bCs w:val="false"/>
                <w:color w:val="222222"/>
                <w:sz w:val="18"/>
                <w:szCs w:val="18"/>
              </w:rPr>
              <w:t xml:space="preserve">0.00</w:t>
            </w:r>
          </w:p>
        </w:tc>
        <w:tc>
          <w:tcPr>
            <w:tcW w:type="dxa" w:w="1110"/>
            <w:shd w:fill="eef1f5" w:color="auto" w:val="clear"/>
            <w:tcMar>
              <w:top w:type="dxa" w:w="40"/>
              <w:left w:type="dxa" w:w="70"/>
              <w:bottom w:type="dxa" w:w="40"/>
              <w:right w:type="dxa" w:w="70"/>
            </w:tcMar>
          </w:tcPr>
          <w:p>
            <w:pPr>
              <w:jc w:val="left"/>
            </w:pPr>
            <w:r>
              <w:rPr>
                <w:b w:val="false"/>
                <w:bCs w:val="false"/>
                <w:color w:val="222222"/>
                <w:sz w:val="18"/>
                <w:szCs w:val="18"/>
              </w:rPr>
              <w:t xml:space="preserve">—</w:t>
            </w:r>
          </w:p>
        </w:tc>
      </w:tr>
      <w:tr>
        <w:tc>
          <w:tcPr>
            <w:tcW w:type="dxa" w:w="1500"/>
            <w:shd w:fill="ffffff" w:color="auto" w:val="clear"/>
            <w:tcMar>
              <w:top w:type="dxa" w:w="40"/>
              <w:left w:type="dxa" w:w="70"/>
              <w:bottom w:type="dxa" w:w="40"/>
              <w:right w:type="dxa" w:w="70"/>
            </w:tcMar>
          </w:tcPr>
          <w:p>
            <w:pPr>
              <w:jc w:val="left"/>
            </w:pPr>
            <w:r>
              <w:rPr>
                <w:b w:val="false"/>
                <w:bCs w:val="false"/>
                <w:color w:val="222222"/>
                <w:sz w:val="18"/>
                <w:szCs w:val="18"/>
              </w:rPr>
              <w:t xml:space="preserve">7–13 Jul</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Trade 3C</w:t>
            </w:r>
          </w:p>
        </w:tc>
        <w:tc>
          <w:tcPr>
            <w:tcW w:type="dxa" w:w="1350"/>
            <w:shd w:fill="ffffff" w:color="auto" w:val="clear"/>
            <w:tcMar>
              <w:top w:type="dxa" w:w="40"/>
              <w:left w:type="dxa" w:w="70"/>
              <w:bottom w:type="dxa" w:w="40"/>
              <w:right w:type="dxa" w:w="70"/>
            </w:tcMar>
          </w:tcPr>
          <w:p>
            <w:pPr>
              <w:jc w:val="left"/>
            </w:pPr>
            <w:r>
              <w:rPr>
                <w:b w:val="false"/>
                <w:bCs w:val="false"/>
                <w:color w:val="222222"/>
                <w:sz w:val="18"/>
                <w:szCs w:val="18"/>
              </w:rPr>
              <w:t xml:space="preserve">Breakout n/a</w:t>
            </w:r>
          </w:p>
        </w:tc>
        <w:tc>
          <w:tcPr>
            <w:tcW w:type="dxa" w:w="1200"/>
            <w:shd w:fill="ffffff" w:color="auto" w:val="clear"/>
            <w:tcMar>
              <w:top w:type="dxa" w:w="40"/>
              <w:left w:type="dxa" w:w="70"/>
              <w:bottom w:type="dxa" w:w="40"/>
              <w:right w:type="dxa" w:w="70"/>
            </w:tcMar>
          </w:tcPr>
          <w:p>
            <w:pPr>
              <w:jc w:val="left"/>
            </w:pPr>
            <w:r>
              <w:rPr>
                <w:b w:val="false"/>
                <w:bCs w:val="false"/>
                <w:color w:val="222222"/>
                <w:sz w:val="18"/>
                <w:szCs w:val="18"/>
              </w:rPr>
              <w:t xml:space="preserve">NO</w:t>
            </w:r>
          </w:p>
        </w:tc>
        <w:tc>
          <w:tcPr>
            <w:tcW w:type="dxa" w:w="1600"/>
            <w:shd w:fill="ffffff" w:color="auto" w:val="clear"/>
            <w:tcMar>
              <w:top w:type="dxa" w:w="40"/>
              <w:left w:type="dxa" w:w="70"/>
              <w:bottom w:type="dxa" w:w="40"/>
              <w:right w:type="dxa" w:w="70"/>
            </w:tcMar>
          </w:tcPr>
          <w:p>
            <w:pPr>
              <w:jc w:val="left"/>
            </w:pPr>
            <w:r>
              <w:rPr>
                <w:b w:val="false"/>
                <w:bCs w:val="false"/>
                <w:color w:val="222222"/>
                <w:sz w:val="18"/>
                <w:szCs w:val="18"/>
              </w:rPr>
              <w:t xml:space="preserve">— (range intact)</w:t>
            </w:r>
          </w:p>
        </w:tc>
        <w:tc>
          <w:tcPr>
            <w:tcW w:type="dxa" w:w="1400"/>
            <w:shd w:fill="ffffff" w:color="auto" w:val="clear"/>
            <w:tcMar>
              <w:top w:type="dxa" w:w="40"/>
              <w:left w:type="dxa" w:w="70"/>
              <w:bottom w:type="dxa" w:w="40"/>
              <w:right w:type="dxa" w:w="70"/>
            </w:tcMar>
          </w:tcPr>
          <w:p>
            <w:pPr>
              <w:jc w:val="left"/>
            </w:pPr>
            <w:r>
              <w:rPr>
                <w:b w:val="false"/>
                <w:bCs w:val="false"/>
                <w:color w:val="222222"/>
                <w:sz w:val="18"/>
                <w:szCs w:val="18"/>
              </w:rPr>
              <w:t xml:space="preserve">0.00</w:t>
            </w:r>
          </w:p>
        </w:tc>
        <w:tc>
          <w:tcPr>
            <w:tcW w:type="dxa" w:w="1110"/>
            <w:shd w:fill="ffffff" w:color="auto" w:val="clear"/>
            <w:tcMar>
              <w:top w:type="dxa" w:w="40"/>
              <w:left w:type="dxa" w:w="70"/>
              <w:bottom w:type="dxa" w:w="40"/>
              <w:right w:type="dxa" w:w="70"/>
            </w:tcMar>
          </w:tcPr>
          <w:p>
            <w:pPr>
              <w:jc w:val="left"/>
            </w:pPr>
            <w:r>
              <w:rPr>
                <w:b w:val="false"/>
                <w:bCs w:val="false"/>
                <w:color w:val="222222"/>
                <w:sz w:val="18"/>
                <w:szCs w:val="18"/>
              </w:rPr>
              <w:t xml:space="preserve">—</w:t>
            </w:r>
          </w:p>
        </w:tc>
      </w:tr>
    </w:tbl>
    <w:p>
      <w:pPr>
        <w:spacing w:after="100" w:line="264"/>
      </w:pPr>
      <w:r>
        <w:rPr>
          <w:b/>
          <w:bCs/>
          <w:sz w:val="20"/>
          <w:szCs w:val="20"/>
        </w:rPr>
        <w:t xml:space="preserve">Reconstruction notes: </w:t>
      </w:r>
      <w:r>
        <w:rPr>
          <w:sz w:val="20"/>
          <w:szCs w:val="20"/>
        </w:rPr>
        <w:t xml:space="preserve">the directional (Trade 1) reconstruction correctly caught the 8 July geopolitical gap-down (+1.77 ATR) and a small 9 July continuation, then gave back ~0.27 ATR on the 10 July reversal — net positive but on a whipsaw-prone signal. Trade 2 and Trade 3C did not trigger over the window because no confirmed breakout of the range/pivot band occurred; they are reported as non-triggered rows for traceability and do not contribute to the aggregate.</w:t>
      </w:r>
    </w:p>
    <w:p>
      <w:pPr>
        <w:pStyle w:val="Heading2"/>
        <w:spacing w:after="90" w:before="180"/>
      </w:pPr>
      <w:r>
        <w:rPr>
          <w:b/>
          <w:bCs/>
          <w:color w:val="1a2942"/>
          <w:sz w:val="24"/>
          <w:szCs w:val="24"/>
        </w:rPr>
        <w:t xml:space="preserve">21d · What Is Working</w:t>
      </w:r>
    </w:p>
    <w:p>
      <w:pPr>
        <w:spacing w:after="100" w:line="264"/>
      </w:pPr>
      <w:r>
        <w:rPr>
          <w:sz w:val="20"/>
          <w:szCs w:val="20"/>
        </w:rPr>
        <w:t xml:space="preserve">Over the last 5 sessions: Trade 1 (directional) reconstructed as triggered 3/3 non-suppressed sessions, mean R ≈ +0.56 ATR, with TP-structure hit-rates dominated by the single large 8 July win; Trade 2 and Trade 3C triggered 0 times (no confirmed breakout). Strongest performer: Trade 1 (only strategy with closed positions). Weakest: insufficient triggers to rank Trades 2 and 3C. </w:t>
      </w:r>
    </w:p>
    <w:p>
      <w:pPr>
        <w:spacing w:after="100" w:line="264"/>
      </w:pPr>
      <w:r>
        <w:rPr>
          <w:i/>
          <w:iCs/>
          <w:color w:val="666666"/>
          <w:sz w:val="18"/>
          <w:szCs w:val="18"/>
        </w:rPr>
        <w:t xml:space="preserve">Five-session windows are too small to support statistical claims. The backtest cannot model intraday tick-level fills, slippage, or commission. Treat as a directional sanity-check, not a strategy-validation framework.</w:t>
      </w:r>
    </w:p>
    <w:p>
      <w:pPr>
        <w:pBdr>
          <w:bottom w:val="single" w:color="d8dee8" w:sz="6"/>
        </w:pBdr>
        <w:spacing w:after="60"/>
      </w:pPr>
    </w:p>
    <w:p>
      <w:pPr>
        <w:spacing w:before="80"/>
      </w:pPr>
      <w:r>
        <w:rPr>
          <w:i/>
          <w:iCs/>
          <w:color w:val="666666"/>
          <w:sz w:val="16"/>
          <w:szCs w:val="16"/>
        </w:rPr>
        <w:t xml:space="preserve">FTSE 100 Daily Report │ 14 July 2026 │ Senior European Equity Strategist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FTSE 100 Daily Report │ 14 July 2026 │ Senior European Equity Strategist    ·    Page </w:t>
    </w:r>
    <w:r>
      <w:rPr>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f61954b6ae129e7f857dd6239467f6486e5fc09.png"/><Relationship Id="rId9" Type="http://schemas.openxmlformats.org/officeDocument/2006/relationships/image" Target="media/52d08bdc33c654dbddf43b7d2cdd0d78e9672ee3.png"/><Relationship Id="rId10" Type="http://schemas.openxmlformats.org/officeDocument/2006/relationships/image" Target="media/d4d8c9a4ffe24908d70dab7e5c1f5c0adf1a9998.png"/><Relationship Id="rId11" Type="http://schemas.openxmlformats.org/officeDocument/2006/relationships/image" Target="media/6545bb08fb68ec0b90de2c20de01a08339b43e44.png"/><Relationship Id="rId12" Type="http://schemas.openxmlformats.org/officeDocument/2006/relationships/image" Target="media/aabf310b17bf590d6df6cfa2f31f9c6b8eb11fd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14 July 2026</dc:title>
  <dc:creator>Senior European Equity Strategist</dc:creator>
  <cp:lastModifiedBy>Un-named</cp:lastModifiedBy>
  <cp:revision>1</cp:revision>
  <dcterms:created xsi:type="dcterms:W3CDTF">2026-07-13T21:53:45.714Z</dcterms:created>
  <dcterms:modified xsi:type="dcterms:W3CDTF">2026-07-13T21:53:45.723Z</dcterms:modified>
</cp:coreProperties>
</file>

<file path=docProps/custom.xml><?xml version="1.0" encoding="utf-8"?>
<Properties xmlns="http://schemas.openxmlformats.org/officeDocument/2006/custom-properties" xmlns:vt="http://schemas.openxmlformats.org/officeDocument/2006/docPropsVTypes"/>
</file>