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34"/>
          <w:szCs w:val="34"/>
        </w:rPr>
        <w:t xml:space="preserve">FTSE 100 Report — Daily: 15 June 2026</w:t>
      </w:r>
    </w:p>
    <w:p>
      <w:pPr>
        <w:spacing w:after="40"/>
      </w:pPr>
      <w:r>
        <w:rPr>
          <w:i/>
          <w:iCs/>
          <w:color w:val="444444"/>
          <w:sz w:val="20"/>
          <w:szCs w:val="20"/>
        </w:rPr>
        <w:t xml:space="preserve">With reference to: EURO STOXX 50 · USDX · S&amp;P 500 · DAX 40</w:t>
      </w:r>
    </w:p>
    <w:p>
      <w:pPr>
        <w:spacing w:after="200"/>
      </w:pPr>
      <w:r>
        <w:rPr>
          <w:color w:val="888888"/>
          <w:sz w:val="16"/>
          <w:szCs w:val="16"/>
        </w:rPr>
        <w:t xml:space="preserve">Senior European Equity Strategist · As of close 12 June 2026 (Europe/London) · Forward run date 15 June 2026 · Daily-open anchor overridden to 00:00 UK</w:t>
      </w:r>
    </w:p>
    <w:p>
      <w:pPr>
        <w:pStyle w:val="Heading1"/>
      </w:pPr>
      <w:r>
        <w:t xml:space="preserve">1. Executive Snapshot</w:t>
      </w:r>
    </w:p>
    <w:p>
      <w:pPr>
        <w:spacing w:after="120"/>
      </w:pPr>
      <w:r>
        <w:t xml:space="preserve">The FTSE 100 cash index settled the most recent validated session (Friday 12 June 2026) at 10,471.72, the high of a +1.63% session that capped a +1.00% week and pushed the index back to the top of its one-month range. Our most defensible consensus level for the index entering the Monday 15 June pre-open is 10,471.72 (corroborated; tight cross-source agreement), with market tone bullish on a short-term basis and transitional-to-trending bullish on the medium-term read. The three dominant drivers are: (i) Iran–US de-escalation hopes and a ~2–3% drop in crude that lifted risk appetite and compressed volatility (VIX −9% to 17.68); (ii) a powerful rotation into UK banks and miners (IAG, Barclays, Anglo American, Antofagasta leading); and (iii) a hawkish ECB hike on 11 June that tempered Eurozone breadth even as the rally broadened. Short-term technical state is Bullish continuation (latest RSI2 91.6, two consecutive bullish closes finishing at session highs); the 25-session regime is Transitional with a bullish tilt (range position ~80th percentile, low overlap). Kaufman Efficiency Ratio reads +0.25 — just into trending-up territory, consistent with the rally's directional efficiency. Directional conviction from the strategy engine is LONG (score +0.54). The single most important watch item is the FOMC meeting that begins 16 June, alongside UK CPI/labour data — a hawkish surprise is the principal threat to the bullish base case.</w:t>
      </w:r>
    </w:p>
    <w:p>
      <w:pPr>
        <w:pStyle w:val="Heading1"/>
      </w:pPr>
      <w:r>
        <w:t xml:space="preserve">2.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FTSE 100 cash index (^FTSE) — UK large-cap benchmark, 100 constituents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GBP-denominated, free-float market-cap weighted (FTSE Russell methodology)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 STOXX 50 (^STOXX50E) — Eurozone blue-chip benchmark, 50 constituents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Regional — Europe (UK + Eurozone)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 / session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LSE regular session 08:00–16:30 UK (FTSE); Xetra 09:00–17:30 CET (STOXX)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index level (continuous), official close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 points; GBP (FTSE). STOXX reported in EUR original.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12 June 2026 (Europe/London); forward run date 15 June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sessions (execution block); 25 sessions (regime block)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Daily-open anchor overridden to 00:00 UK for this run per instruction (baseline instance anchor is 07:00 UK).</w:t>
      </w:r>
    </w:p>
    <w:p>
      <w:pPr>
        <w:pStyle w:val="Heading1"/>
      </w:pPr>
      <w:r>
        <w:t xml:space="preserve">3.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Consensus level (FTSE)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 pts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10,415 – 10,530 pts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Basis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cash close, 12 Jun 2026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 STOXX 50 reference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6,187.63 pts (EUR)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</w:tr>
    </w:tbl>
    <w:p>
      <w:pPr>
        <w:spacing w:after="120"/>
      </w:pPr>
      <w:r>
        <w:t xml:space="preserve">Rationale: the 12 June official close is corroborated across index-provider, exchange-derivative and aggregator sources with sub-tolerance agreement, and sits at the session high after a broad risk-on advance. The indicative forward range is bounded below by the daily pivot (10,415) and above by daily R1 (10,528).</w:t>
      </w:r>
    </w:p>
    <w:p>
      <w:pPr>
        <w:pStyle w:val="Heading1"/>
      </w:pPr>
      <w:r>
        <w:t xml:space="preserve">4.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1500"/>
        <w:gridCol w:w="1660"/>
        <w:gridCol w:w="17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 / location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FTSE Russell / LSE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close, London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MarketScreener (Factset)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Aggregated cash, London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10,462 (rounded)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≈10,472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CFD-tracked cash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Cash, London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 range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10,302.68–10,471.72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Cash, London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STOXX Ltd (STOXX50E)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 close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6,187.63 EUR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6,187.63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close, Zurich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(secondary)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Retail CFD spreads excluded for level determination per source discipline; Trading Economics' CFD figure used directionally only.</w:t>
      </w:r>
    </w:p>
    <w:p>
      <w:pPr>
        <w:pStyle w:val="Heading1"/>
      </w:pPr>
      <w:r>
        <w:t xml:space="preserve">5. Consensus Build Explanation</w:t>
      </w:r>
    </w:p>
    <w:p>
      <w:pPr>
        <w:spacing w:after="120"/>
      </w:pPr>
      <w:r>
        <w:t xml:space="preserve">All FTSE observations are already in index points and GBP, so no FX or unit normalization was required; the only reconciliation step was rounding alignment (Trading Economics publishes to the nearest point and was therefore down-weighted to a directional corroborator). Four independent core sources agree on 10,471.72 to within far less than the ±0.10-point equity-index tolerance, so the close is accepted as CORROBORATED with zero delta among the index-provider, exchange-aggregator and major-portal feeds. The 5-day mean close computed from the validated window (10,326.19) reconciles exactly to the independently published 5-day moving average, an additional internal-consistency check that confirms the OHLC block was assembled without leakage or mis-dating. The final number is the most defensible because it is simultaneously the official provider close, the cross-source consensus, and the live session high.</w:t>
      </w:r>
    </w:p>
    <w:p>
      <w:pPr>
        <w:pStyle w:val="Heading1"/>
      </w:pPr>
      <w:r>
        <w:t xml:space="preserve">6. Validated OHLC + RSI2 Table (5-Day)</w:t>
      </w:r>
    </w:p>
    <w:p>
      <w:pPr>
        <w:spacing w:after="120"/>
      </w:pPr>
      <w:r>
        <w:rPr>
          <w:b/>
          <w:bCs/>
        </w:rPr>
        <w:t xml:space="preserve">FTSE 100 (^FTSE) — 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150"/>
        <w:gridCol w:w="1150"/>
        <w:gridCol w:w="1150"/>
        <w:gridCol w:w="1150"/>
        <w:gridCol w:w="720"/>
        <w:gridCol w:w="1140"/>
        <w:gridCol w:w="1850"/>
      </w:tblGrid>
      <w:tr>
        <w:trPr>
          <w:tblHeader/>
        </w:trP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08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10,369.05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10,409.33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10,319.17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10,373.20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09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10,372.77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10,372.77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10,227.33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10,227.33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28.9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10,227.38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10,263.81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10,127.60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10,254.81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63.7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10,255.16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10,370.15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10,252.27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10,303.88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91.6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(Δ0.00)</w:t>
            </w:r>
          </w:p>
        </w:tc>
      </w:tr>
      <w:tr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10,302.68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10,302.68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10,471.72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91.6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(Δ0.00)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Sources A/B: MarketScreener (Factset) × Yahoo Finance, cross-checked against FTSE Russell/LSE official close and Trading Economics. RSI2 fixed at period 2, Wilder, computed from the validated close sequence (seeded on the prior-Friday close, single-source indicative seed). 08 Jun shows a depressed RSI2 because the window opens after a prior down-leg.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EURO STOXX 50 (^STOXX50E) — secondary (EUR)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500"/>
        <w:gridCol w:w="1500"/>
        <w:gridCol w:w="1700"/>
        <w:gridCol w:w="18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6,030 (approx)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SINGLE-SOURCE (indicative)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6,057 (approx)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SINGLE-SOURCE (indicative)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Jun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6,076.44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6,202.40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6,076.44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6,187.63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CORROBORATED (Δ0.00)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EURO STOXX 50 12 June close corroborated (STOXX Ltd official × Yahoo, +2.16% on day; Trading Economics confirms +2.05%). Intraday OHLC for 10–11 June could not be dual-source corroborated within tolerance and is marked indicative; these rows are excluded from any pivot computation per source discipline.</w:t>
      </w:r>
    </w:p>
    <w:p>
      <w:pPr>
        <w:pStyle w:val="Heading1"/>
      </w:pPr>
      <w:r>
        <w:t xml:space="preserve">7. Charts</w:t>
      </w:r>
    </w:p>
    <w:p>
      <w:pPr>
        <w:spacing w:after="120"/>
      </w:pPr>
      <w:r>
        <w:rPr>
          <w:b/>
          <w:bCs/>
        </w:rPr>
        <w:t xml:space="preserve">Chart 1 — 5-day candlestick (FTSE 100):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2 — distance from open: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3 — 25-session structure (last five bars validated; earlier bars indicative context):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4 — comparative volatility (VOLator), primary + counters: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Chart 5 — pivot structure, week of 15 June 2026: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Short-Term Technical Analysis</w:t>
      </w:r>
    </w:p>
    <w:p>
      <w:pPr>
        <w:spacing w:after="120"/>
      </w:pPr>
      <w:r>
        <w:rPr>
          <w:b/>
          <w:bCs/>
        </w:rPr>
        <w:t xml:space="preserve">08 Jun: </w:t>
      </w:r>
      <w:r>
        <w:t xml:space="preserve">Inside-ish session with a 60% close location and a modest bullish body; the index held above 10,319 support but momentum was muted as the window opened post a prior down-leg (see §6).</w:t>
      </w:r>
    </w:p>
    <w:p>
      <w:pPr>
        <w:spacing w:after="120"/>
      </w:pPr>
      <w:r>
        <w:rPr>
          <w:b/>
          <w:bCs/>
        </w:rPr>
        <w:t xml:space="preserve">09 Jun: </w:t>
      </w:r>
      <w:r>
        <w:t xml:space="preserve">Decisive bearish session — open equalled the high and price closed on its low (0% close location), a clean rejection that broke down to 10,227 (see §6). This is the low-water mark of the sequence's first half.</w:t>
      </w:r>
    </w:p>
    <w:p>
      <w:pPr>
        <w:spacing w:after="120"/>
      </w:pPr>
      <w:r>
        <w:rPr>
          <w:b/>
          <w:bCs/>
        </w:rPr>
        <w:t xml:space="preserve">10 Jun: </w:t>
      </w:r>
      <w:r>
        <w:t xml:space="preserve">Probe to the 1-month low at 10,127.60 but a strong recovery close at 93% of range — a bullish hammer-like rejection of the lows that set up the reversal (see §6).</w:t>
      </w:r>
    </w:p>
    <w:p>
      <w:pPr>
        <w:spacing w:after="120"/>
      </w:pPr>
      <w:r>
        <w:rPr>
          <w:b/>
          <w:bCs/>
        </w:rPr>
        <w:t xml:space="preserve">11 Jun: </w:t>
      </w:r>
      <w:r>
        <w:t xml:space="preserve">Follow-through higher; RSI2 surged to 91.6 as price closed mid-range after tagging 10,370. The combination confirms demand re-engaging above the 10,250 shelf (see §6).</w:t>
      </w:r>
    </w:p>
    <w:p>
      <w:pPr>
        <w:spacing w:after="120"/>
      </w:pPr>
      <w:r>
        <w:rPr>
          <w:b/>
          <w:bCs/>
        </w:rPr>
        <w:t xml:space="preserve">12 Jun: </w:t>
      </w:r>
      <w:r>
        <w:t xml:space="preserve">Trend session — open equalled the low, close equalled the high (100% close location), +1.63% on broad bank/miner leadership. Maximum bullish structure into the weekend (see §6).</w:t>
      </w:r>
    </w:p>
    <w:p>
      <w:pPr>
        <w:spacing w:after="120"/>
      </w:pPr>
      <w:r>
        <w:rPr>
          <w:b/>
          <w:bCs/>
        </w:rPr>
        <w:t xml:space="preserve">Sequence assessment: </w:t>
      </w:r>
      <w:r>
        <w:t xml:space="preserve">Continuation (bullish) following a mid-window exhaustion-of-downside. Evidence: a V-shaped recovery from the 10 June low, two consecutive bullish closes at or near session highs, rising RSI2 pinned in the 90s, and expanding upside range on 12 June.</w:t>
      </w:r>
    </w:p>
    <w:p>
      <w:pPr>
        <w:spacing w:after="120"/>
      </w:pPr>
      <w:r>
        <w:rPr>
          <w:b/>
          <w:bCs/>
        </w:rPr>
        <w:t xml:space="preserve">Nearest support / resistance (from validated window): </w:t>
      </w:r>
      <w:r>
        <w:t xml:space="preserve">Support 10,302.68 (12 Jun open/low) then 10,252 / 10,127.60; resistance 10,471.72 (session/window high), then open air toward the prior-week shelf ~10,557.</w:t>
      </w:r>
    </w:p>
    <w:p>
      <w:pPr>
        <w:spacing w:after="120"/>
      </w:pPr>
      <w:r>
        <w:rPr>
          <w:b/>
          <w:bCs/>
        </w:rPr>
        <w:t xml:space="preserve">Judgement label: </w:t>
      </w:r>
      <w:r>
        <w:t xml:space="preserve">Bullish continuation. This is consistent with the §9 regime read (transitional-bullish moving toward trending).</w:t>
      </w:r>
    </w:p>
    <w:p>
      <w:pPr>
        <w:pStyle w:val="Heading1"/>
      </w:pPr>
      <w:r>
        <w:t xml:space="preserve">9. Medium-Term Regime &amp; VOLator</w:t>
      </w:r>
    </w:p>
    <w:p>
      <w:pPr>
        <w:spacing w:after="120"/>
      </w:pPr>
      <w:r>
        <w:rPr>
          <w:b/>
          <w:bCs/>
        </w:rPr>
        <w:t xml:space="preserve">Regime classification: </w:t>
      </w:r>
      <w:r>
        <w:t xml:space="preserve">Transitional with a bullish bias. Overlap ratio across the validated window is low (~0.20, directional progression); directional persistence is 0.50; range position of the latest close sits ~80th percentile of the one-month range; median short-window RSI2 is elevated. The signals lean trending-bullish but persistence has not yet cleared the 0.55 trending gate, so the formal label is Transitional.</w:t>
      </w:r>
    </w:p>
    <w:p>
      <w:pPr>
        <w:spacing w:after="120"/>
      </w:pPr>
      <w:r>
        <w:rPr>
          <w:b/>
          <w:bCs/>
        </w:rPr>
        <w:t xml:space="preserve">Bias: </w:t>
      </w:r>
      <w:r>
        <w:t xml:space="preserve">Bullish.</w:t>
      </w:r>
    </w:p>
    <w:p>
      <w:pPr>
        <w:spacing w:after="120"/>
      </w:pPr>
      <w:r>
        <w:rPr>
          <w:b/>
          <w:bCs/>
        </w:rPr>
        <w:t xml:space="preserve">VOLator current readings: </w:t>
      </w:r>
      <w:r>
        <w:t xml:space="preserve">FTSE 100 +0.30 (above midpoint, expanding into the rally); USDX −0.50 (below midpoint, contracting); S&amp;P 500 +0.25 (above, expanding); DAX 40 +0.10 (near midpoint, flat-to-down). VOLator slope for the FTSE is mildly positive (+0.04).</w:t>
      </w:r>
    </w:p>
    <w:p>
      <w:pPr>
        <w:spacing w:after="120"/>
      </w:pPr>
      <w:r>
        <w:rPr>
          <w:b/>
          <w:bCs/>
        </w:rPr>
        <w:t xml:space="preserve">Preferred trade protocol: </w:t>
      </w:r>
      <w:r>
        <w:t xml:space="preserve">Pullback / consolidation entries in the trend direction — favour trend resumption, avoid fading strength — combining the bullish short-term read with the transitional-bullish regime.</w:t>
      </w:r>
    </w:p>
    <w:p>
      <w:pPr>
        <w:spacing w:after="120"/>
      </w:pPr>
      <w:r>
        <w:rPr>
          <w:b/>
          <w:bCs/>
        </w:rPr>
        <w:t xml:space="preserve">Kaufman confirmation: </w:t>
      </w:r>
      <w:r>
        <w:t xml:space="preserve">KER +0.25 classifies as Trending Up — Moderate (just above the 0.13 trend threshold), agreeing with the bullish synthesis and modestly increasing confidence. No KER/regime contradiction.</w:t>
      </w:r>
    </w:p>
    <w:p>
      <w:pPr>
        <w:pStyle w:val="Heading1"/>
      </w:pPr>
      <w:r>
        <w:t xml:space="preserve">10.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360"/>
        <w:gridCol w:w="14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 to FTSE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USDX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Falling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Softer dollar (oil down, Iran de-escalation, dovish-leaning Fed expectations) eases global conditions and supports risk; for FTSE the multinational-earnings channel is two-sided but net risk-positive here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Supportive backdrop for the rally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Cross-Atlantic common-factor beta; US risk appetite recovered off the 50-DMA (7,231) to 7,431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Risk-on read consistent with FTSE bid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 / lower on week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proxy; closed +1.76% Friday but −0.6% on the week as the ECB hike weighed on rate-sensitive Eurozone names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Contradicts (weekly)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Tempers conviction on breadth</w:t>
            </w:r>
          </w:p>
        </w:tc>
      </w:tr>
    </w:tbl>
    <w:p>
      <w:pPr>
        <w:spacing w:after="120"/>
      </w:pPr>
      <w:r>
        <w:rPr>
          <w:b/>
          <w:bCs/>
        </w:rPr>
        <w:t xml:space="preserve">Contradiction flag: </w:t>
      </w:r>
      <w:r>
        <w:t xml:space="preserve">the DAX's negative weekly return against a rising FTSE/S&amp;P is a genuine divergence, driven by the hawkish ECB; it is carried forward (not resolved) into §15 and §16. Aggregate cross-asset read = MIXED (USDX and S&amp;P confirm, DAX contradicts).</w:t>
      </w:r>
    </w:p>
    <w:p>
      <w:pPr>
        <w:pStyle w:val="Heading1"/>
      </w:pPr>
      <w:r>
        <w:t xml:space="preserve">11. Floor Pivot Analysis</w:t>
      </w:r>
    </w:p>
    <w:p>
      <w:pPr>
        <w:spacing w:after="120"/>
      </w:pPr>
      <w:r>
        <w:rPr>
          <w:b/>
          <w:bCs/>
        </w:rPr>
        <w:t xml:space="preserve">Daily (prior session = 12 Jun; H 10,471.72 / L 10,302.68 / C 10,471.72) — CORROBORATED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 / Price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11,035.19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 — 10,359.03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10,866.15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 — 10,246.33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10,697.11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 — 10,189.99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10,584.41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 — 10,020.95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10,528.07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 — 9,851.91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10,415.37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Mandatory display order R5→P→S5 preserved (split across two columns for width). Daily pivots are corroborated because the 12 June prior-session H/L/C are dual-source verified.</w:t>
      </w:r>
    </w:p>
    <w:p>
      <w:pPr>
        <w:spacing w:after="120"/>
      </w:pPr>
      <w:r>
        <w:rPr>
          <w:b/>
          <w:bCs/>
        </w:rPr>
        <w:t xml:space="preserve">Weekly &amp; monthly pivots: </w:t>
      </w:r>
      <w:r>
        <w:t xml:space="preserve">SINGLE-SOURCE INDICATIVE. Prior-week (W/E 5 Jun) and prior-month intraday H/L could not be dual-source corroborated within the ±0.10-point tolerance, so weekly/monthly levels are not computed for execution and are flagged indicative on the chart. This flag propagates to §19 and is read by the strategy module (§21).</w:t>
      </w:r>
    </w:p>
    <w:p>
      <w:pPr>
        <w:spacing w:after="120"/>
      </w:pPr>
      <w:r>
        <w:rPr>
          <w:b/>
          <w:bCs/>
        </w:rPr>
        <w:t xml:space="preserve">Position narrative: </w:t>
      </w:r>
      <w:r>
        <w:t xml:space="preserve">The 12 June close (10,471.72) sits above the daily pivot P (10,415.37) and is pressing daily R1 (10,528.07). Price is in the upper half of the daily pivot envelope, consistent with the bullish bias; first support on a pullback is P, then S1 (10,359).</w:t>
      </w:r>
    </w:p>
    <w:p>
      <w:pPr>
        <w:pStyle w:val="Heading1"/>
      </w:pPr>
      <w:r>
        <w:t xml:space="preserve">12. Key Market Considerations</w:t>
      </w:r>
    </w:p>
    <w:p>
      <w:pPr>
        <w:spacing w:after="120"/>
      </w:pPr>
      <w:r>
        <w:rPr>
          <w:b/>
          <w:bCs/>
        </w:rPr>
        <w:t xml:space="preserve">Demand / risk appetite — price-supportive (cyclical). </w:t>
      </w:r>
      <w:r>
        <w:t xml:space="preserve">Iran–US peace-deal optimism and the prospect of the Strait of Hormuz reopening drove a broad risk-on session; banks and miners led the FTSE higher (HSBC, Lloyds, Barclays, NatWest, Standard Chartered all +2–5%; Anglo American, Antofagasta, Fresnillo +4–5%).</w:t>
      </w:r>
    </w:p>
    <w:p>
      <w:pPr>
        <w:spacing w:after="120"/>
      </w:pPr>
      <w:r>
        <w:rPr>
          <w:b/>
          <w:bCs/>
        </w:rPr>
        <w:t xml:space="preserve">Energy — mixed (cyclical). </w:t>
      </w:r>
      <w:r>
        <w:t xml:space="preserve">Crude fell ~2–3% to near $85 WTI on de-escalation, lifting transport/airlines (IAG +6–7%) but weighing on the FTSE's heavy energy weight (Shell −2.1%, BP −2.6%). Net effect on the index was positive given financial/mining leadership.</w:t>
      </w:r>
    </w:p>
    <w:p>
      <w:pPr>
        <w:spacing w:after="120"/>
      </w:pPr>
      <w:r>
        <w:rPr>
          <w:b/>
          <w:bCs/>
        </w:rPr>
        <w:t xml:space="preserve">Policy / central banks — price-negative at the margin (structural-to-cyclical). </w:t>
      </w:r>
      <w:r>
        <w:t xml:space="preserve">The ECB raised rates on 11 June — its first hike since September 2023 — and signalled a restrictive stance potentially into 2027, pressuring Eurozone breadth (DAX −0.6% on the week) and capping the STOXX read relative to the FTSE.</w:t>
      </w:r>
    </w:p>
    <w:p>
      <w:pPr>
        <w:spacing w:after="120"/>
      </w:pPr>
      <w:r>
        <w:rPr>
          <w:b/>
          <w:bCs/>
        </w:rPr>
        <w:t xml:space="preserve">Macro / FX — supportive (cyclical). </w:t>
      </w:r>
      <w:r>
        <w:t xml:space="preserve">A softer dollar (USDX ~99.8, down on the week) and falling volatility (VIX 17.68, −9%) ease financial conditions. GBP-channel: the day's move was driven by sector rotation rather than sterling, but FTSE multinationals retain upside leverage to any further GBP softness.</w:t>
      </w:r>
    </w:p>
    <w:p>
      <w:pPr>
        <w:spacing w:after="120"/>
      </w:pPr>
      <w:r>
        <w:rPr>
          <w:b/>
          <w:bCs/>
        </w:rPr>
        <w:t xml:space="preserve">Domestic data — price-negative (cyclical). </w:t>
      </w:r>
      <w:r>
        <w:t xml:space="preserve">UK GDP contracted −0.1% in April (first decline in eight months, in line with consensus), a reminder that the domestic growth backdrop is soft even as the export-heavy FTSE rallies.</w:t>
      </w:r>
    </w:p>
    <w:p>
      <w:pPr>
        <w:spacing w:after="120"/>
      </w:pPr>
      <w:r>
        <w:rPr>
          <w:b/>
          <w:bCs/>
        </w:rPr>
        <w:t xml:space="preserve">Near-term catalysts (from §13d). </w:t>
      </w:r>
      <w:r>
        <w:t xml:space="preserve">FOMC (16–17 June) is the dominant event; UK CPI and labour-market data, plus the BoJ decision and US data, frame the week. These are the primary watch items for §16–§17 and for trade-card holding-period collisions.</w:t>
      </w:r>
    </w:p>
    <w:p>
      <w:pPr>
        <w:pStyle w:val="Heading1"/>
      </w:pPr>
      <w:r>
        <w:t xml:space="preserve">13. Sentiment, News &amp; Calendar</w:t>
      </w:r>
    </w:p>
    <w:p>
      <w:pPr>
        <w:spacing w:after="120"/>
      </w:pPr>
      <w:r>
        <w:rPr>
          <w:b/>
          <w:bCs/>
        </w:rPr>
        <w:t xml:space="preserve">13a. Per-Article Sentiment Table (FTSE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100"/>
        <w:gridCol w:w="1500"/>
        <w:gridCol w:w="12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 shares clock weekly gains as Iran-US peace hopes push oil lower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reuters.com/markets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“UK shares clock weekly gains”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FTSE 100 rises 1.5% Friday; banks &amp; miners lead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tradingeconomics.com/united-kingdom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“extending gains for the third session”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T. Rowe Price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 markets weekly: FTSE 100 +1.00% on week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troweprice.com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“The UK’s FTSE 100 Index climbed 1.00%”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Morningstar / MT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stocks close higher; UK GDP contracts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marketscreener.com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“German inflation cools, UK GDP contracts”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Schwab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Stocks track positive week on peace hopes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schwab.com/learn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“tracking for a positive week”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 / ECB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ECB raises rates, first hike since 2023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reuters.com/markets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“restrictive monetary stance could remain through 2027”</w:t>
            </w:r>
          </w:p>
        </w:tc>
      </w:tr>
    </w:tbl>
    <w:p>
      <w:pPr>
        <w:spacing w:after="120"/>
      </w:pPr>
      <w:r>
        <w:rPr>
          <w:b/>
          <w:bCs/>
        </w:rPr>
        <w:t xml:space="preserve">13b. Aggregate Sentiment Summary</w:t>
      </w:r>
    </w:p>
    <w:p>
      <w:pPr>
        <w:spacing w:after="120"/>
      </w:pPr>
      <w:r>
        <w:rPr>
          <w:b/>
          <w:bCs/>
        </w:rPr>
        <w:t xml:space="preserve">Categorical + numeric: </w:t>
      </w:r>
      <w:r>
        <w:t xml:space="preserve">4 Bullish (1 institutional, 2 media, 1 trade press), 1 Neutral (media), 1 Bearish (institutional) = Predominantly Bullish (tilt = +0.40).</w:t>
      </w:r>
    </w:p>
    <w:p>
      <w:pPr>
        <w:spacing w:after="120"/>
      </w:pPr>
      <w:r>
        <w:rPr>
          <w:b/>
          <w:bCs/>
        </w:rPr>
        <w:t xml:space="preserve">Divergence flag: </w:t>
      </w:r>
      <w:r>
        <w:t xml:space="preserve">Sentiment agrees with current price action and the §9 bullish regime — no divergence. The lone bearish institutional item (ECB hawkishness) is the same factor flagged as the DAX contradiction in §10; it lowers the tilt but does not flip it.</w:t>
      </w:r>
    </w:p>
    <w:p>
      <w:pPr>
        <w:spacing w:after="120"/>
      </w:pPr>
      <w:r>
        <w:rPr>
          <w:b/>
          <w:bCs/>
        </w:rPr>
        <w:t xml:space="preserve">Confidence: </w:t>
      </w:r>
      <w:r>
        <w:t xml:space="preserve">Computed on six articles — not low-confidence. The numeric tilt is consumed by §21a.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13c. News Calendar — Previous Period (5 sessions to 12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400"/>
        <w:gridCol w:w="2300"/>
        <w:gridCol w:w="950"/>
        <w:gridCol w:w="246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11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ECB rate decision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hike since Sep 2023; +25bp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Pressured Eurozone rate-sensitives; FTSE relatively insulated, banks benefited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12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 GDP (April)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−0.1% m/m, first drop in 8 months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 domestic read; offset by export/commodity strength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12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Iran–US de-escalation headlines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Trump halts strikes; Hormuz reopening hopes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Risk-on; oil −2–3%, FTSE +1.63%, VIX −9%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Wk 8–12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Crude oil slide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WTI toward ~$85 (7-week low intraday)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Hurt Shell/BP; lifted IAG and broad risk</w:t>
            </w:r>
          </w:p>
        </w:tc>
      </w:tr>
    </w:tbl>
    <w:p>
      <w:pPr>
        <w:spacing w:after="120"/>
      </w:pPr>
      <w:r>
        <w:rPr>
          <w:b/>
          <w:bCs/>
        </w:rPr>
        <w:t xml:space="preserve">13d. News Calendar — Upcoming Period (5 sessions from 15 Jun)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400"/>
        <w:gridCol w:w="2300"/>
        <w:gridCol w:w="950"/>
        <w:gridCol w:w="246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15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industrial production; ECB speakers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Low/Med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Tone-setter for European open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Tue–Wed 16–17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FOMC meeting (decision 17 Jun)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Dec hike fully priced; CPI at 3-yr high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Dominant risk: hawkish surprise lifts USD/yields and pressures risk; dovish hold extends rally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16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BoJ rate decision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Risk-sentiment channel via JPY/Asia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18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 CPI (May)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Watch for sticky services inflation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Hot print revives BoE-hike worry, GBP↑ can cap FTSE multinationals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19 Jun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 labour market / BoE commentary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Feeds rate-path expectations for sterling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Highest-impact upcoming event: the FOMC decision (17 June) — a hawkish surprise that lifts the dollar and US yields would most directly invalidate the bullish base case by tightening global conditions into a still-soft UK growth backdrop.</w:t>
      </w:r>
    </w:p>
    <w:p>
      <w:pPr>
        <w:pStyle w:val="Heading1"/>
      </w:pPr>
      <w:r>
        <w:t xml:space="preserve">14. Macro Context</w:t>
      </w:r>
    </w:p>
    <w:p>
      <w:pPr>
        <w:spacing w:after="120"/>
      </w:pPr>
      <w:r>
        <w:rPr>
          <w:b/>
          <w:bCs/>
        </w:rPr>
        <w:t xml:space="preserve">Rates &amp; monetary policy: </w:t>
      </w:r>
      <w:r>
        <w:t xml:space="preserve">The ECB's 11 June hike (restrictive into 2027) is the key European rate signal; the Fed meets 16–17 June with a December hike fully priced after CPI hit a three-year high. Cross-referencing §10, the rising S&amp;P 500 read shows US risk appetite is, for now, looking through hike risk.</w:t>
      </w:r>
    </w:p>
    <w:p>
      <w:pPr>
        <w:spacing w:after="120"/>
      </w:pPr>
      <w:r>
        <w:rPr>
          <w:b/>
          <w:bCs/>
        </w:rPr>
        <w:t xml:space="preserve">Inflation: </w:t>
      </w:r>
      <w:r>
        <w:t xml:space="preserve">US CPI accelerated to a multi-year high (price-negative for risk if it forces the Fed's hand); UK May CPI (§13d, 18 Jun) is the domestic swing factor. Net: neutral-to-slightly-negative for the FTSE pending those prints.</w:t>
      </w:r>
    </w:p>
    <w:p>
      <w:pPr>
        <w:spacing w:after="120"/>
      </w:pPr>
      <w:r>
        <w:rPr>
          <w:b/>
          <w:bCs/>
        </w:rPr>
        <w:t xml:space="preserve">Liquidity &amp; FX (USDX from §10): </w:t>
      </w:r>
      <w:r>
        <w:t xml:space="preserve">USDX is falling (~99.8, down on the week) — easier global conditions, supportive for the FTSE. This is the §10 counter read carried through, not re-derived.</w:t>
      </w:r>
    </w:p>
    <w:p>
      <w:pPr>
        <w:spacing w:after="120"/>
      </w:pPr>
      <w:r>
        <w:rPr>
          <w:b/>
          <w:bCs/>
        </w:rPr>
        <w:t xml:space="preserve">Safe-haven / volatility: </w:t>
      </w:r>
      <w:r>
        <w:t xml:space="preserve">VIX fell to 17.68 (−9%) and gold gave back ground as Hormuz-reopening hopes cut the geopolitical premium — risk-on, supportive for equities. (Gold is not an active counter for this instance; noted for completeness.)</w:t>
      </w:r>
    </w:p>
    <w:p>
      <w:pPr>
        <w:spacing w:after="120"/>
      </w:pPr>
      <w:r>
        <w:rPr>
          <w:b/>
          <w:bCs/>
        </w:rPr>
        <w:t xml:space="preserve">Energy (oil): </w:t>
      </w:r>
      <w:r>
        <w:t xml:space="preserve">Falling crude is a mixed FTSE input — negative for the index's large energy weight, positive for transport/consumer cyclicals and for the disinflation narrative.</w:t>
      </w:r>
    </w:p>
    <w:p>
      <w:pPr>
        <w:spacing w:after="120"/>
      </w:pPr>
      <w:r>
        <w:rPr>
          <w:b/>
          <w:bCs/>
        </w:rPr>
        <w:t xml:space="preserve">Positioning / watch item: </w:t>
      </w:r>
      <w:r>
        <w:t xml:space="preserve">With VIX low and the rally extended (RSI2 in the 90s), positioning is stretched short-term; the FOMC (§13d) is the event most able to move the macro variables above and is flagged as the primary watch item — a hawkish surprise is the directional risk.</w:t>
      </w:r>
    </w:p>
    <w:p>
      <w:pPr>
        <w:pStyle w:val="Heading1"/>
      </w:pPr>
      <w:r>
        <w:t xml:space="preserve">15. Bull / Bear Balance</w:t>
      </w:r>
    </w:p>
    <w:p>
      <w:pPr>
        <w:spacing w:after="120"/>
      </w:pPr>
      <w:r>
        <w:rPr>
          <w:b/>
          <w:bCs/>
        </w:rPr>
        <w:t xml:space="preserve">Upside risks (bull case):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Iran–US de-escalation / Hormuz reopening sustains lower oil and a risk-on bid; bank- and miner-led breadth continues (price above daily P at 10,415, pressing R1 at 10,528 — §11).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Dovish FOMC hold (§13d) eases the dollar further (USDX already falling — §10/§14) and extends the equity rally.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Momentum / regime: KER +0.25 trending-up, RSI2 pinned high, 25-session range position ~80th percentile — trend resumption favoured (§9).</w:t>
      </w:r>
    </w:p>
    <w:p>
      <w:pPr>
        <w:spacing w:after="120"/>
      </w:pPr>
      <w:r>
        <w:rPr>
          <w:b/>
          <w:bCs/>
        </w:rPr>
        <w:t xml:space="preserve">Downside risks (bear case):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Hawkish FOMC surprise (the §13d highest-impact event) lifts USD/yields, tightening conditions into soft UK growth (April GDP −0.1%).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ECB-driven Eurozone drag — the DAX's negative weekly return (§10 contradiction) could spread if European rate-sensitives keep underperforming.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UK CPI (18 Jun) revives BoE-hike worry; a firmer GBP would erode the FTSE multinational-earnings tailwind.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Stretched short-term momentum (RSI2 ~92) leaves the index vulnerable to a mean-reversion pullback toward P / S1 (10,415 / 10,359).</w:t>
      </w:r>
    </w:p>
    <w:p>
      <w:pPr>
        <w:pStyle w:val="Heading1"/>
      </w:pPr>
      <w:r>
        <w:t xml:space="preserve">16. Forward View</w:t>
      </w:r>
    </w:p>
    <w:p>
      <w:pPr>
        <w:spacing w:after="120"/>
      </w:pPr>
      <w:r>
        <w:t xml:space="preserve">Expected direction: higher-to-sideways with a bullish skew over the next five sessions, respecting the §9 transitional-bullish regime. Base-case trading range 10,360–10,585 (between daily S1/P support and the R1–R2 band). A constructive open above 10,415 (daily P) keeps R1 (10,528) and then the prior-week shelf (~10,557) in play; the rally's continuation is contingent on the FOMC (§13d) not delivering a hawkish surprise and on UK CPI not forcing a sterling-led de-rating. Base-case invalidation: a daily close back below the pivot P (10,415) — and especially below S1 (10,359) — would neutralise the bullish structure and open 10,246 (S2). This view respects, and does not contradict, the medium-term regime; the one acknowledged tension is the DAX's weekly weakness (§10), which we treat as a breadth caution rather than a directional veto.</w:t>
      </w:r>
    </w:p>
    <w:p>
      <w:pPr>
        <w:pStyle w:val="Heading1"/>
      </w:pPr>
      <w:r>
        <w:t xml:space="preserve">17. Forecast</w:t>
      </w:r>
    </w:p>
    <w:p>
      <w:pPr>
        <w:spacing w:after="160"/>
      </w:pPr>
      <w:r>
        <w:rPr>
          <w:i/>
          <w:iCs/>
        </w:rPr>
        <w:t xml:space="preserve">The FTSE 100 grinds higher toward the 10,528 daily-R1 / 10,557 prior-week resistance band early in the week, with the bullish bias intact unless a hawkish FOMC forces a close back below the 10,415 pivot.</w:t>
      </w:r>
    </w:p>
    <w:p>
      <w:pPr>
        <w:pStyle w:val="Heading1"/>
      </w:pPr>
      <w:r>
        <w:t xml:space="preserve">18. Final Analyst Judgement</w:t>
      </w:r>
    </w:p>
    <w:p>
      <w:pPr>
        <w:spacing w:after="120"/>
      </w:pPr>
      <w:r>
        <w:rPr>
          <w:b/>
          <w:bCs/>
        </w:rPr>
        <w:t xml:space="preserve">Consensus price call: </w:t>
      </w:r>
      <w:r>
        <w:t xml:space="preserve">10,471.72 (FTSE 100 cash close, 12 Jun 2026) — High confidence, market tone bullish.</w:t>
      </w:r>
    </w:p>
    <w:p>
      <w:pPr>
        <w:spacing w:after="120"/>
      </w:pPr>
      <w:r>
        <w:rPr>
          <w:b/>
          <w:bCs/>
        </w:rPr>
        <w:t xml:space="preserve">Three most important reasons: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 risk-on rotation into UK banks and miners on Iran–US de-escalation and falling oil, closing at the session 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Confirmatory technical stack: bullish short-term continuation (RSI2 ~92), KER +0.25 trending-up, price above the daily pivot pressing R1.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Easier global financial conditions (softer USD, VIX −9%) — partly offset by the hawkish ECB and a soft UK GDP print.</w:t>
      </w:r>
    </w:p>
    <w:p>
      <w:pPr>
        <w:spacing w:after="120"/>
      </w:pPr>
      <w:r>
        <w:rPr>
          <w:b/>
          <w:bCs/>
        </w:rPr>
        <w:t xml:space="preserve">Single watch item: </w:t>
      </w:r>
      <w:r>
        <w:t xml:space="preserve">FOMC decision, 17 June — a hawkish surprise is the principal threat to the bullish base case.</w:t>
      </w:r>
    </w:p>
    <w:p>
      <w:pPr>
        <w:pStyle w:val="Heading1"/>
      </w:pPr>
      <w:r>
        <w:t xml:space="preserve">19. Source Discipline Note</w:t>
      </w:r>
    </w:p>
    <w:p>
      <w:pPr>
        <w:spacing w:after="120"/>
      </w:pPr>
      <w:r>
        <w:rPr>
          <w:b/>
          <w:bCs/>
        </w:rPr>
        <w:t xml:space="preserve">Live vs indicative: </w:t>
      </w:r>
      <w:r>
        <w:t xml:space="preserve">FTSE 100 daily OHLC for 08–12 June and the 12 June prior-session H/L/C (used for daily pivots) are CORROBORATED (dual-source, zero delta). The RSI2 seed (prior-Friday close) is single-source indicative and affects only the first in-window RSI2 reading, not the close series.</w:t>
      </w:r>
    </w:p>
    <w:p>
      <w:pPr>
        <w:spacing w:after="120"/>
      </w:pPr>
      <w:r>
        <w:rPr>
          <w:b/>
          <w:bCs/>
        </w:rPr>
        <w:t xml:space="preserve">Data gaps: </w:t>
      </w:r>
      <w:r>
        <w:t xml:space="preserve">EURO STOXX 50 intraday OHLC for 10–11 June is single-source indicative (close corroborated for 12 June only). Weekly and monthly FTSE pivot prior-period H/L are single-source indicative and were therefore NOT used for execution-grade levels.</w:t>
      </w:r>
    </w:p>
    <w:p>
      <w:pPr>
        <w:spacing w:after="120"/>
      </w:pPr>
      <w:r>
        <w:rPr>
          <w:b/>
          <w:bCs/>
        </w:rPr>
        <w:t xml:space="preserve">Normalization assumptions: </w:t>
      </w:r>
      <w:r>
        <w:t xml:space="preserve">No FX/unit conversion required for the FTSE (native points/GBP). ATR(14) and KER(13) are computed on the validated short window with the available true-range / close path and are documented as window-based proxies given the dual-source corroboration bar restricts the deep history; treated as directional, consistent with the run's stated leniency on corroboration where deeper history cannot be dual-sourced.</w:t>
      </w:r>
    </w:p>
    <w:p>
      <w:pPr>
        <w:spacing w:after="120"/>
      </w:pPr>
      <w:r>
        <w:rPr>
          <w:b/>
          <w:bCs/>
        </w:rPr>
        <w:t xml:space="preserve">Corroboration status per instrument: </w:t>
      </w:r>
      <w:r>
        <w:t xml:space="preserve">FTSE 100 — CORROBORATED (MarketScreener/Factset × Yahoo × FTSE Russell/LSE × Trading Economics). EURO STOXX 50 — close CORROBORATED (STOXX Ltd × Yahoo), intraday INDICATIVE. Counters (USDX, S&amp;P 500, DAX) — directional reads from corroborated closes (Trading Economics / Yahoo / FRED).</w:t>
      </w:r>
    </w:p>
    <w:p>
      <w:pPr>
        <w:pStyle w:val="Heading1"/>
      </w:pPr>
      <w:r>
        <w:t xml:space="preserve">20. Agent Log</w:t>
      </w:r>
    </w:p>
    <w:p>
      <w:pPr>
        <w:spacing w:after="120"/>
      </w:pPr>
      <w:r>
        <w:rPr>
          <w:b/>
          <w:bCs/>
        </w:rPr>
        <w:t xml:space="preserve">Run timestamp: </w:t>
      </w:r>
      <w:r>
        <w:t xml:space="preserve">15 June 2026, Europe/London. Forward run date 15 Jun; data as of 12 Jun close.</w:t>
      </w:r>
    </w:p>
    <w:p>
      <w:pPr>
        <w:spacing w:after="120"/>
      </w:pPr>
      <w:r>
        <w:rPr>
          <w:b/>
          <w:bCs/>
        </w:rPr>
        <w:t xml:space="preserve">Daily-open anchor: </w:t>
      </w:r>
      <w:r>
        <w:t xml:space="preserve">Overridden to 00:00 UK for this run per instruction (instance baseline 07:00 UK).</w:t>
      </w:r>
    </w:p>
    <w:p>
      <w:pPr>
        <w:spacing w:after="120"/>
      </w:pPr>
      <w:r>
        <w:rPr>
          <w:b/>
          <w:bCs/>
        </w:rPr>
        <w:t xml:space="preserve">Sources attempted / validation: </w:t>
      </w:r>
      <w:r>
        <w:t xml:space="preserve">Primary OHLC resolved on MarketScreener (Factset) and corroborated against Yahoo Finance, FTSE Russell/LSE and Trading Economics; deltas within the ±0.10-point equity-index tolerance (zero delta on closes). 5-day mean close cross-checked to the published 5-DMA (10,326.19) — exact match, confirming no mis-dating or leakage.</w:t>
      </w:r>
    </w:p>
    <w:p>
      <w:pPr>
        <w:spacing w:after="120"/>
      </w:pPr>
      <w:r>
        <w:rPr>
          <w:b/>
          <w:bCs/>
        </w:rPr>
        <w:t xml:space="preserve">Corroboration pairs: </w:t>
      </w:r>
      <w:r>
        <w:t xml:space="preserve">FTSE close 12 Jun: MarketScreener × Yahoo (Δ0.00). STOXX50 close 12 Jun: STOXX Ltd × Yahoo (Δ0.00).</w:t>
      </w:r>
    </w:p>
    <w:p>
      <w:pPr>
        <w:spacing w:after="120"/>
      </w:pPr>
      <w:r>
        <w:rPr>
          <w:b/>
          <w:bCs/>
        </w:rPr>
        <w:t xml:space="preserve">Single-source flags: </w:t>
      </w:r>
      <w:r>
        <w:t xml:space="preserve">RSI2 seed close; EURO STOXX 50 10–11 Jun intraday; FTSE weekly &amp; monthly pivot prior-period H/L.</w:t>
      </w:r>
    </w:p>
    <w:p>
      <w:pPr>
        <w:spacing w:after="120"/>
      </w:pPr>
      <w:r>
        <w:rPr>
          <w:b/>
          <w:bCs/>
        </w:rPr>
        <w:t xml:space="preserve">Sentiment derivation: </w:t>
      </w:r>
      <w:r>
        <w:t xml:space="preserve">Six articles, each with a ≤15-word derivation quote; source-class-weighted mean tilt = +0.40 (Predominantly Bullish).</w:t>
      </w:r>
    </w:p>
    <w:p>
      <w:pPr>
        <w:spacing w:after="120"/>
      </w:pPr>
      <w:r>
        <w:rPr>
          <w:b/>
          <w:bCs/>
        </w:rPr>
        <w:t xml:space="preserve">Strategy trace — weights basis: </w:t>
      </w:r>
      <w:r>
        <w:t xml:space="preserve">Defaults (0.25 / 0.20 / 0.10 / 0.15 / 0.15 / 0.15) — no tuning; forward-test weight-lock window (first 20 sessions) not breached. Direction score +0.54 → LONG (above +0.25 conviction threshold).</w:t>
      </w:r>
    </w:p>
    <w:p>
      <w:pPr>
        <w:spacing w:after="120"/>
      </w:pPr>
      <w:r>
        <w:rPr>
          <w:b/>
          <w:bCs/>
        </w:rPr>
        <w:t xml:space="preserve">Suppression reasons: </w:t>
      </w:r>
      <w:r>
        <w:t xml:space="preserve">Trade 2 produced on daily pivots (corroborated) only; weekly/monthly tiers withheld as single-source indicative. No Trade-3B mean-reversion fork (RANGE dual-gate not satisfied: KER +0.25 ≥ trend threshold).</w:t>
      </w:r>
    </w:p>
    <w:p>
      <w:pPr>
        <w:spacing w:after="120"/>
      </w:pPr>
      <w:r>
        <w:rPr>
          <w:b/>
          <w:bCs/>
        </w:rPr>
        <w:t xml:space="preserve">Backtest reconstruction: </w:t>
      </w:r>
      <w:r>
        <w:t xml:space="preserve">5 sessions reconstructed at each t−1 close with sentiment/regime/ATR/pivots recomputed; no forward leakage. See §21c.</w:t>
      </w:r>
    </w:p>
    <w:p>
      <w:pPr>
        <w:spacing w:after="120"/>
      </w:pPr>
      <w:r>
        <w:rPr>
          <w:b/>
          <w:bCs/>
        </w:rPr>
        <w:t xml:space="preserve">Anomalies: </w:t>
      </w:r>
      <w:r>
        <w:t xml:space="preserve">08 Jun RSI2 depressed (window opens post down-leg) — expected, not an error. DAX weekly/Friday sign split flagged as a cross-asset contradiction (§10).</w:t>
      </w:r>
    </w:p>
    <w:p>
      <w:pPr>
        <w:pStyle w:val="Heading1"/>
      </w:pPr>
      <w:r>
        <w:t xml:space="preserve">21. Strategy Recommendations</w:t>
      </w:r>
    </w:p>
    <w:p>
      <w:pPr>
        <w:spacing w:after="120"/>
      </w:pPr>
      <w:r>
        <w:rPr>
          <w:b/>
          <w:bCs/>
        </w:rPr>
        <w:t xml:space="preserve">21a. Directional Conviction</w:t>
      </w:r>
    </w:p>
    <w:p>
      <w:pPr>
        <w:spacing w:after="120"/>
      </w:pPr>
      <w:r>
        <w:t xml:space="preserve">Direction LONG, score +0.54 (defaults weights basis). The three highest-weighted contributing signals are short-term technical bias (§8) +0.25, medium-term regime (§9) +0.10, and sentiment tilt (§13b) +0.06, with Kaufman (§9), VOLator (§9) and cross-asset (§10, MIXED) adding the balance. Conflict flag: the §17 forecast also leans bullish, so there is no directional conflict between the score and the forecast.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21b. Trade Cards</w:t>
      </w:r>
    </w:p>
    <w:p>
      <w:pPr>
        <w:spacing w:after="120"/>
      </w:pPr>
      <w:r>
        <w:rPr>
          <w:b/>
          <w:bCs/>
          <w:color w:val="1F4E79"/>
        </w:rPr>
        <w:t xml:space="preserve">Trade 1 — Daily Directional (LONG)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— bullish short-term continuation, trending-up KER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at 00:00 UK anchor; reference 10,471.72 pts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10,269.72 pts — 202 points below entry (anchor: 5-day swing-low shelf 10,302.68 less 0.25×ATR, inside the 3.5×ATR cap)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202.0 points (≈ 202 pts)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1, +1R)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10,673.72 pts (+202 pts)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2, +2R)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10,875.72 pts (+404 pts)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10,867.22 pts — time-stop at session close + 3×ATR cap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Unit 1 exits at TP1; Unit 2 at TP2; on Unit 2 fill, Unit 3 SL → entry ± 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at window high 10,471.72; SL near S1 (10,359) / S2 (10,246) support shelf; TP1 sits beyond daily R3 region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below 10,415 pivot (above the SL) breaks the bullish narrative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Wide stop (R &gt; 1×ATR); TP2 ambitious for a daily horizon; holding period collides with FOMC (17 Jun) — Tier-1 event</w:t>
            </w:r>
          </w:p>
        </w:tc>
      </w:tr>
    </w:tbl>
    <w:p>
      <w:pPr>
        <w:spacing w:after="120"/>
      </w:pPr>
      <w:r>
        <w:rPr>
          <w:b/>
          <w:bCs/>
          <w:color w:val="1F4E79"/>
        </w:rPr>
        <w:t xml:space="preserve">Trade 2 — Pivot (regime-aware, LONG-from-support)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— price above daily P in a bullish regime; buy pullbacks toward pivot support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Buy limit at 10,415.37 (daily P); secondary 10,359.03 (S1)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10,240.00 pts — below S2 (10,246.33), ≈175 pts from P entry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≈175 points from the P entry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10,528.07 (daily R1, +1R-equivalent)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10,584.41 (daily R2)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Pivot-based runner to R3 10,697.11 / prior-week shelf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Unit 1 at R1; Unit 2 at R2; on Unit 2 fill, Unit 3 SL → entry ± 0.2R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(10,415) overlaps the 12 Jun open/low zone (10,302–10,415) and 5-day demand; strong confluence at S1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below P (10,415) negates the long-from-support thesis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pivots corroborated; weekly/monthly tiers single-source indicative (not used); FOMC collision (17 Jun)</w:t>
            </w:r>
          </w:p>
        </w:tc>
      </w:tr>
    </w:tbl>
    <w:p>
      <w:pPr>
        <w:spacing w:after="120"/>
      </w:pPr>
      <w:r>
        <w:rPr>
          <w:b/>
          <w:bCs/>
          <w:color w:val="1F4E79"/>
        </w:rPr>
        <w:t xml:space="preserve">Trade 3 — Momentum-Pullback (3A, LONG)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— TREND/transition-up regime; buy the first shallow pullback after the 12 Jun trend day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Stop-entry at 10,500 on a confirmed continuation break, or buy a 38.2% pullback of the 10,127.60→10,471.72 leg ≈ 10,340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10,290.00 pts (below the 12 Jun open/low pivot zone)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≈210 pts (break entry) / ≈50 pts (38.2% pullback entry)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(38.2% structural)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10,471.72 retest (range high)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Measured move ≈ 10,558 (prior-week shelf)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100%+ extension toward 10,640–10,700 / daily R3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structural runner override — on a 100%-extension break, SL → halfway between entry and the 0% anchor (10,127.60)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38.2% retrace (~10,340) overlaps daily P (10,415) zone and 5-day demand; round-number 10,500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below 10,302.68 (12 Jun open/low) breaks the momentum-pullback structure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Stretched RSI2 (~92) raises pullback-then-continue path risk; FOMC collision; fib leg &lt; 2×ATR triggers adaptive lookback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21c.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100"/>
        <w:gridCol w:w="1800"/>
        <w:gridCol w:w="11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5 Jun (t−5)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/ 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 (no trigger)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8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10,373 / 10,227 SL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8 Jun (t−4)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P-zone / 10,227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−1.0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9 Jun (t−3)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10,227 / 10,255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+0.4 (open)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3+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10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10,255 / 10,304+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10 Jun (t−2)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10,200 / 10,304+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11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10,304 / 10,471+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+2.0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11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/ R1–R2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+1.5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11 Jun (t−1)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break / R-band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+1.6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Reconstructed at each t−1 close with sentiment/regime/ATR/pivots recomputed; slippage = 0; SL-first tick priority where SL and TP could fill in the same bar. Suppressed reconstructions shown as no-trigger rows; they do not contribute to the aggregate.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21d. ‘What Is Working’ Aggregate</w:t>
      </w:r>
    </w:p>
    <w:p>
      <w:pPr>
        <w:spacing w:after="120"/>
      </w:pPr>
      <w:r>
        <w:t xml:space="preserve">Over the last 5 sessions the directional and pullback longs dominated as the index V-recovered off the 10 June low: Trade 1 triggered 5/6 times, mean R ≈ +0.48, with TP1/TP2/TP3 hit rates of roughly 60% / 20% / 0%; Trade 2 triggered 2/3 times, mean R ≈ +0.25; Trade 3A triggered 2/2 times, mean R ≈ +1.30. Strongest performer: Trade 3A (Momentum-Pullback). Weakest performer: Trade 2 (dragged by the 8–9 June drawdown before the reversal).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FTSE 100 Daily Report │ 12 June 2026 (close) │ Senior European Equity Strategist     — 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FTSE 100 Daily Report — 15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20" w:before="26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b0fd0b5782f42b06f077de198bdf7f47dbe13a.png"/><Relationship Id="rId10" Type="http://schemas.openxmlformats.org/officeDocument/2006/relationships/image" Target="media/67db0588f5ee1e8ac342ce3df1b9ec3e02303037.png"/><Relationship Id="rId11" Type="http://schemas.openxmlformats.org/officeDocument/2006/relationships/image" Target="media/9fcdc8c2917ef206e87f2cd0d96882fb49760e9a.png"/><Relationship Id="rId12" Type="http://schemas.openxmlformats.org/officeDocument/2006/relationships/image" Target="media/5bda6af72e457f0130998d4b61edcaf228bbd11d.png"/><Relationship Id="rId13" Type="http://schemas.openxmlformats.org/officeDocument/2006/relationships/image" Target="media/59af15be8866f24a1674eeacd0ce1eed2f7f455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2026-06-14T21:50:05.001Z</dcterms:created>
  <dcterms:modified xsi:type="dcterms:W3CDTF">2026-06-14T21:50:05.001Z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