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F3A5F"/>
          <w:sz w:val="40"/>
        </w:rPr>
        <w:t>FTSE 100 Report — Daily: 15 May 2026</w:t>
      </w:r>
    </w:p>
    <w:p>
      <w:pPr>
        <w:spacing w:after="40"/>
      </w:pPr>
      <w:r>
        <w:rPr>
          <w:rFonts w:ascii="Calibri" w:hAnsi="Calibri"/>
          <w:i/>
          <w:color w:val="555555"/>
          <w:sz w:val="22"/>
        </w:rPr>
        <w:t>With reference to: EURO STOXX 50 · USDX · S&amp;P 500 · DAX 40</w:t>
      </w:r>
    </w:p>
    <w:p>
      <w:pPr>
        <w:spacing w:after="200"/>
      </w:pPr>
      <w:r>
        <w:rPr>
          <w:rFonts w:ascii="Calibri" w:hAnsi="Calibri"/>
          <w:i/>
          <w:color w:val="777777"/>
          <w:sz w:val="20"/>
        </w:rPr>
        <w:t>Prepared as of 07:00 UK · Thursday 14 May 2026 close basis · Pre-open anchor for Friday 15 May 2026 session.</w:t>
      </w:r>
    </w:p>
    <w:p>
      <w:pPr>
        <w:spacing w:before="240" w:after="120"/>
        <w:pBdr>
          <w:bottom w:val="single" w:sz="8" w:color="1F3A5F"/>
        </w:pBdr>
      </w:pPr>
      <w:r>
        <w:rPr>
          <w:rFonts w:ascii="Calibri" w:hAnsi="Calibri"/>
          <w:b/>
          <w:color w:val="1F3A5F"/>
          <w:sz w:val="26"/>
        </w:rPr>
        <w:t>§1  Executive Snapshot</w:t>
      </w:r>
    </w:p>
    <w:p>
      <w:pPr>
        <w:spacing w:after="160"/>
      </w:pPr>
      <w:r>
        <w:rPr>
          <w:rFonts w:ascii="Calibri" w:hAnsi="Calibri"/>
          <w:b w:val="0"/>
          <w:i w:val="0"/>
          <w:sz w:val="22"/>
        </w:rPr>
        <w:t>Consensus call: FTSE 100 trades at 10,372.93 (Thursday 14 May 2026 close, GBP, indicative cash-index level) with the secondary EURO STOXX 50 reference at 5,931 (close basis, EUR). Both indices closed firmly higher into the 15 May session. Market tone is BULLISH SHORT-TERM, with conviction tempered by stretched short-window RSI and a hot UK CPI print still in the rear-view mirror. Three dominant drivers stand out: (1) miners-and-banks rotation pulled the FTSE off its early-week low after copper extended an eight-session rally and HSBC, Lloyds, Barclays, NatWest and Standard Chartered all rebounded on the easing of UK political-tax-shift speculation; (2) the cross-Atlantic AI risk-on bid, with the S&amp;P 500 and Nasdaq printing fresh record highs, lifted European beta — the STOXX 50 closed +1.2% at 5,931; (3) Brent crude at ~$100–101 per barrel continues to support FTSE energy weights (Shell, BP) while pressuring continental industrials. Short-term technical regime: BULLISH CONTINUATION with mild overhead-extension flags. Medium-term regime: TREND_UP (5-week structure) — both FTSE and STOXX are well off mid-April lows and trade above their 25-session midpoints. Kaufman Efficiency Ratio classification: TRENDING UP — MODERATE on the FTSE (smoothed KER estimate +0.18; trend gate at 0.13). Single most important watch item: BoE communication and gilt-yield reaction to next UK CPI release (due 21 May); the inflation pipeline (CPI 3.3% YoY March, headed to 3.0–3.5% range Q2/Q3 on energy) remains the binding macro risk to FTSE leadership.</w:t>
      </w:r>
    </w:p>
    <w:p>
      <w:pPr>
        <w:spacing w:before="240" w:after="120"/>
        <w:pBdr>
          <w:bottom w:val="single" w:sz="8" w:color="1F3A5F"/>
        </w:pBdr>
      </w:pPr>
      <w:r>
        <w:rPr>
          <w:rFonts w:ascii="Calibri" w:hAnsi="Calibri"/>
          <w:b/>
          <w:color w:val="1F3A5F"/>
          <w:sz w:val="26"/>
        </w:rPr>
        <w:t>§2  Market Definition</w:t>
      </w:r>
    </w:p>
    <w:tbl>
      <w:tblPr>
        <w:tblW w:type="auto" w:w="0"/>
        <w:tblLayout w:type="fixed"/>
        <w:tblLook w:firstColumn="1" w:firstRow="1" w:lastColumn="0" w:lastRow="0" w:noHBand="0" w:noVBand="1" w:val="04A0"/>
      </w:tblPr>
      <w:tblGrid>
        <w:gridCol w:w="4986"/>
        <w:gridCol w:w="4986"/>
      </w:tblGrid>
      <w:tr>
        <w:tc>
          <w:tcPr>
            <w:tcW w:type="dxa" w:w="28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Field</w:t>
            </w:r>
          </w:p>
        </w:tc>
        <w:tc>
          <w:tcPr>
            <w:tcW w:type="dxa" w:w="64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Primary asset</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 cash index (^FTSE)</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Secondary asset</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 STOXX 50 (^STOXX50E)</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Product specification</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 — GBP-denominated, free-float weighted, FTSE Russell methodology</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Price basis</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level (continuous, regular session)</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Delivery basis</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LSE 08:00–16:30 UK (FTSE); Xetra 09:00–17:30 CET (STOXX)</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Unit of measure</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Index points</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Currency</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GBP (primary); EUR reported alongside for STOXX 50</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Tick size</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0.01 point</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As-of date</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close basis · 15 May 2026 pre-open anchor</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Time zone</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Europe/London</w:t>
            </w:r>
          </w:p>
        </w:tc>
      </w:tr>
      <w:tr>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Lookback window</w:t>
            </w:r>
          </w:p>
        </w:tc>
        <w:tc>
          <w:tcPr>
            <w:tcW w:type="dxa" w:w="64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 days short / 25 days medium</w:t>
            </w:r>
          </w:p>
        </w:tc>
      </w:tr>
      <w:tr>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Decision use case</w:t>
            </w:r>
          </w:p>
        </w:tc>
        <w:tc>
          <w:tcPr>
            <w:tcW w:type="dxa" w:w="64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&amp; risk review (forward-test)</w:t>
            </w:r>
          </w:p>
        </w:tc>
      </w:tr>
    </w:tbl>
    <w:p>
      <w:pPr>
        <w:spacing w:before="240" w:after="120"/>
        <w:pBdr>
          <w:bottom w:val="single" w:sz="8" w:color="1F3A5F"/>
        </w:pBdr>
      </w:pPr>
      <w:r>
        <w:rPr>
          <w:rFonts w:ascii="Calibri" w:hAnsi="Calibri"/>
          <w:b/>
          <w:color w:val="1F3A5F"/>
          <w:sz w:val="26"/>
        </w:rPr>
        <w:t>§3  Consensus Price Call</w:t>
      </w:r>
    </w:p>
    <w:tbl>
      <w:tblPr>
        <w:tblW w:type="auto" w:w="0"/>
        <w:tblLayout w:type="fixed"/>
        <w:tblLook w:firstColumn="1" w:firstRow="1" w:lastColumn="0" w:lastRow="0" w:noHBand="0" w:noVBand="1" w:val="04A0"/>
      </w:tblPr>
      <w:tblGrid>
        <w:gridCol w:w="3324"/>
        <w:gridCol w:w="3324"/>
        <w:gridCol w:w="3324"/>
      </w:tblGrid>
      <w:tr>
        <w:tc>
          <w:tcPr>
            <w:tcW w:type="dxa" w:w="273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Element</w:t>
            </w:r>
          </w:p>
        </w:tc>
        <w:tc>
          <w:tcPr>
            <w:tcW w:type="dxa" w:w="331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FTSE 100</w:t>
            </w:r>
          </w:p>
        </w:tc>
        <w:tc>
          <w:tcPr>
            <w:tcW w:type="dxa" w:w="331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EURO STOXX 50</w:t>
            </w:r>
          </w:p>
        </w:tc>
      </w:tr>
      <w:tr>
        <w:tc>
          <w:tcPr>
            <w:tcW w:type="dxa" w:w="27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Consensus close (14 May)</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10,372.93</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5,931 (~5,931–5,999 range across feeds)</w:t>
            </w:r>
          </w:p>
        </w:tc>
      </w:tr>
      <w:tr>
        <w:tc>
          <w:tcPr>
            <w:tcW w:type="dxa" w:w="273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Indicative session range</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10,318.66 – 10,400 (intraday)</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5,890 – 5,970 (intraday)</w:t>
            </w:r>
          </w:p>
        </w:tc>
      </w:tr>
      <w:tr>
        <w:tc>
          <w:tcPr>
            <w:tcW w:type="dxa" w:w="27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Pre-open anchor view (15 May)</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10,360 – 10,410</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5,910 – 5,975</w:t>
            </w:r>
          </w:p>
        </w:tc>
      </w:tr>
      <w:tr>
        <w:tc>
          <w:tcPr>
            <w:tcW w:type="dxa" w:w="273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Confidence level</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r>
      <w:tr>
        <w:tc>
          <w:tcPr>
            <w:tcW w:type="dxa" w:w="27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Market tone</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short-term, neutral medium-term</w:t>
            </w:r>
          </w:p>
        </w:tc>
        <w:tc>
          <w:tcPr>
            <w:tcW w:type="dxa" w:w="33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(multi-session recovery)</w:t>
            </w:r>
          </w:p>
        </w:tc>
      </w:tr>
      <w:tr>
        <w:tc>
          <w:tcPr>
            <w:tcW w:type="dxa" w:w="273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Rationale</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Miners + banks rebound; AI-risk-on global tone; oil tailwind for energy weight; RSI2 extended on closes.</w:t>
            </w:r>
          </w:p>
        </w:tc>
        <w:tc>
          <w:tcPr>
            <w:tcW w:type="dxa" w:w="33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AI/semis bid (ASML, Infineon); Siemens momentum; constructive US-China summit headlines; STOXX closed +1.2% Thursday.</w:t>
            </w:r>
          </w:p>
        </w:tc>
      </w:tr>
    </w:tbl>
    <w:p>
      <w:pPr>
        <w:spacing w:after="160"/>
      </w:pPr>
      <w:r>
        <w:rPr>
          <w:rFonts w:ascii="Calibri" w:hAnsi="Calibri"/>
          <w:b w:val="0"/>
          <w:i/>
          <w:sz w:val="20"/>
        </w:rPr>
        <w:t>Note on corroboration: Yahoo Finance and Trading Economics agree on the FTSE 100 14 May closing magnitude (~10,373 / +0.46%). Investing.com places the same session's range at 10,266.14–10,360.51 with an open of 10,318.66, marginally below the Yahoo close — this widens the indicative confidence band but does not change directional read. EURO STOXX 50 close at 5,931 carries a residual Yahoo quote of ~5,999 from intraday Zurich basis; the Trading Economics close (5,931, +1.2%) is the preferred consensus value but flagged as SINGLE-SOURCE-INDICATIVE for pivot computation. Per the standing instruction, trade-strategy output (see §21) is NOT suppressed despite the residual corroboration gap on STOXX 50.</w:t>
      </w:r>
    </w:p>
    <w:p>
      <w:pPr>
        <w:spacing w:before="240" w:after="120"/>
        <w:pBdr>
          <w:bottom w:val="single" w:sz="8" w:color="1F3A5F"/>
        </w:pBdr>
      </w:pPr>
      <w:r>
        <w:rPr>
          <w:rFonts w:ascii="Calibri" w:hAnsi="Calibri"/>
          <w:b/>
          <w:color w:val="1F3A5F"/>
          <w:sz w:val="26"/>
        </w:rPr>
        <w:t>§4  Price Evidence Table</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1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w:t>
            </w:r>
          </w:p>
        </w:tc>
        <w:tc>
          <w:tcPr>
            <w:tcW w:type="dxa" w:w="158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Instrument</w:t>
            </w:r>
          </w:p>
        </w:tc>
        <w:tc>
          <w:tcPr>
            <w:tcW w:type="dxa" w:w="172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Date / Time</w:t>
            </w:r>
          </w:p>
        </w:tc>
        <w:tc>
          <w:tcPr>
            <w:tcW w:type="dxa" w:w="201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Raw quote</w:t>
            </w:r>
          </w:p>
        </w:tc>
        <w:tc>
          <w:tcPr>
            <w:tcW w:type="dxa" w:w="129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Basis</w:t>
            </w:r>
          </w:p>
        </w:tc>
        <w:tc>
          <w:tcPr>
            <w:tcW w:type="dxa" w:w="129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Relevance</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w:t>
            </w:r>
          </w:p>
        </w:tc>
        <w:tc>
          <w:tcPr>
            <w:tcW w:type="dxa" w:w="158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16:40 UK</w:t>
            </w:r>
          </w:p>
        </w:tc>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10,372.93 (close)</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GBP</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8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close</w:t>
            </w:r>
          </w:p>
        </w:tc>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+0.46% on day; close near 10,373</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GBP</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58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(session)</w:t>
            </w:r>
          </w:p>
        </w:tc>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Range 10,266.14–10,360.51; open 10,318.66</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GBP</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 (range)</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 (^FTSE)</w:t>
            </w:r>
          </w:p>
        </w:tc>
        <w:tc>
          <w:tcPr>
            <w:tcW w:type="dxa" w:w="158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13 May 2026 close</w:t>
            </w:r>
          </w:p>
        </w:tc>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10,325.35 (+0.58%)</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GBP</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 (T-1)</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 (^FTSE)</w:t>
            </w:r>
          </w:p>
        </w:tc>
        <w:tc>
          <w:tcPr>
            <w:tcW w:type="dxa" w:w="158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12 May 2026 close</w:t>
            </w:r>
          </w:p>
        </w:tc>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10,265.32 (-0.04%)</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GBP</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 (T-2)</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8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 STOXX 50</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close</w:t>
            </w:r>
          </w:p>
        </w:tc>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5,931 (+1.2%)</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EUR</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Core comparable</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 (^STOXX50E)</w:t>
            </w:r>
          </w:p>
        </w:tc>
        <w:tc>
          <w:tcPr>
            <w:tcW w:type="dxa" w:w="158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 STOXX 50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Intraday 14 May</w:t>
            </w:r>
          </w:p>
        </w:tc>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5,998.88 (-0.47% intraday quote)</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EUR (Zurich basis)</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Directional comparable*</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8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DAX 40</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morning</w:t>
            </w:r>
          </w:p>
        </w:tc>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 above 24,400 (1-week high)</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EUR</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Counter (regional)</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TheStreet / Yahoo</w:t>
            </w:r>
          </w:p>
        </w:tc>
        <w:tc>
          <w:tcPr>
            <w:tcW w:type="dxa" w:w="158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S&amp;P 500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 close</w:t>
            </w:r>
          </w:p>
        </w:tc>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7,501.24 (+0.77%, record)</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Cash index, USD</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Counter (cross-Atlantic)</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58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USDX (DXY)</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14 May 2026</w:t>
            </w:r>
          </w:p>
        </w:tc>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98.59 (rising for fourth day)</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Index</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Counter (FX)</w:t>
            </w:r>
          </w:p>
        </w:tc>
      </w:tr>
    </w:tbl>
    <w:p>
      <w:pPr>
        <w:spacing w:after="160"/>
      </w:pPr>
      <w:r>
        <w:rPr>
          <w:rFonts w:ascii="Calibri" w:hAnsi="Calibri"/>
          <w:b w:val="0"/>
          <w:i/>
          <w:sz w:val="19"/>
        </w:rPr>
        <w:t>* Yahoo intraday STOXX 50 quote of 5,998.88 reflects Zurich-listed mid-session pricing and was not corroborated as the official Thursday close; the 5,931 close from Trading Economics is the consensus figure but is single-source on close. STOXX 50 OHLC for the 5-day pivot input is therefore flagged SINGLE-SOURCE-INDICATIVE.</w:t>
      </w:r>
    </w:p>
    <w:p>
      <w:pPr>
        <w:spacing w:before="240" w:after="120"/>
        <w:pBdr>
          <w:bottom w:val="single" w:sz="8" w:color="1F3A5F"/>
        </w:pBdr>
      </w:pPr>
      <w:r>
        <w:rPr>
          <w:rFonts w:ascii="Calibri" w:hAnsi="Calibri"/>
          <w:b/>
          <w:color w:val="1F3A5F"/>
          <w:sz w:val="26"/>
        </w:rPr>
        <w:t>§5  Consensus Build Explanation</w:t>
      </w:r>
    </w:p>
    <w:p>
      <w:pPr>
        <w:spacing w:after="120"/>
      </w:pPr>
      <w:r>
        <w:rPr>
          <w:rFonts w:ascii="Calibri" w:hAnsi="Calibri"/>
          <w:b w:val="0"/>
          <w:i w:val="0"/>
          <w:sz w:val="22"/>
        </w:rPr>
        <w:t>Normalisation: All FTSE observations are already on the target basis (cash index level, GBP, regular session). No FX conversion is required for the primary. EURO STOXX 50 is left in native EUR and only translated to GBP where directly relevant; for the technical block we use the official STOXX cash close. Counter assets (USDX, S&amp;P 500, DAX 40) are left in native units — they enter the consensus only as directional inputs, not price corroborators.</w:t>
      </w:r>
    </w:p>
    <w:p>
      <w:pPr>
        <w:spacing w:after="120"/>
      </w:pPr>
      <w:r>
        <w:rPr>
          <w:rFonts w:ascii="Calibri" w:hAnsi="Calibri"/>
          <w:b w:val="0"/>
          <w:i w:val="0"/>
          <w:sz w:val="22"/>
        </w:rPr>
        <w:t>Weighting rationale (weighted median per the standard): Tier-1 (exchange-feed-equivalent) consensus services Yahoo Finance and Trading Economics receive equal weight on the FTSE close. Investing.com's session range is retained as the high-and-low envelope. Investing.com's stated session range (10,266.14–10,360.51) is narrower than the Yahoo close of 10,372.93, suggesting either a basis lag (CFD reference) or a late-tape print captured by Yahoo but not by Investing.com's snapshot. The Yahoo close is preferred because it carries an explicit timestamp at 16:40 UK on the exchange-feed delayed channel.</w:t>
      </w:r>
    </w:p>
    <w:p>
      <w:pPr>
        <w:spacing w:after="160"/>
      </w:pPr>
      <w:r>
        <w:rPr>
          <w:rFonts w:ascii="Calibri" w:hAnsi="Calibri"/>
          <w:b w:val="0"/>
          <w:i w:val="0"/>
          <w:sz w:val="22"/>
        </w:rPr>
        <w:t>Exclusions: No retail CFD broker quotes are admitted to the FTSE consensus. Forecasting models such as poundf.co.uk and curvo.eu are excluded — they are projections, not price reports. Bloomberg consensus is not directly available in this session; cross-validation against London Stock Exchange and FTSE Russell official pages was attempted but their delayed-feed pages did not return a parseable closing tick.</w:t>
      </w:r>
    </w:p>
    <w:p>
      <w:pPr>
        <w:spacing w:before="240" w:after="120"/>
        <w:pBdr>
          <w:bottom w:val="single" w:sz="8" w:color="1F3A5F"/>
        </w:pBdr>
      </w:pPr>
      <w:r>
        <w:rPr>
          <w:rFonts w:ascii="Calibri" w:hAnsi="Calibri"/>
          <w:b/>
          <w:color w:val="1F3A5F"/>
          <w:sz w:val="26"/>
        </w:rPr>
        <w:t>§6  Validated OHLC + RSI2 Table</w:t>
      </w:r>
    </w:p>
    <w:p>
      <w:pPr>
        <w:spacing w:after="80"/>
      </w:pPr>
      <w:r>
        <w:rPr>
          <w:rFonts w:ascii="Calibri" w:hAnsi="Calibri"/>
          <w:b/>
          <w:i w:val="0"/>
          <w:sz w:val="22"/>
        </w:rPr>
        <w:t>FTSE 100 — 5-day validated OHLC and RSI2 (period 2):</w:t>
      </w:r>
    </w:p>
    <w:tbl>
      <w:tblPr>
        <w:tblW w:type="auto" w:w="0"/>
        <w:tblLayout w:type="fixed"/>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144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Date</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Open</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High</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Low</w:t>
            </w:r>
          </w:p>
        </w:tc>
        <w:tc>
          <w:tcPr>
            <w:tcW w:type="dxa" w:w="10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Close</w:t>
            </w:r>
          </w:p>
        </w:tc>
        <w:tc>
          <w:tcPr>
            <w:tcW w:type="dxa" w:w="72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RSI2</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Trend</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 A</w:t>
            </w:r>
          </w:p>
        </w:tc>
        <w:tc>
          <w:tcPr>
            <w:tcW w:type="dxa" w:w="122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 B</w:t>
            </w:r>
          </w:p>
        </w:tc>
        <w:tc>
          <w:tcPr>
            <w:tcW w:type="dxa" w:w="144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Validation</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8 May 2026</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~10,425</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~10,440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~10,365</w:t>
            </w:r>
          </w:p>
        </w:tc>
        <w:tc>
          <w:tcPr>
            <w:tcW w:type="dxa" w:w="10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10,379.51</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~28</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(close ±0.10)</w:t>
            </w:r>
          </w:p>
        </w:tc>
      </w:tr>
      <w:tr>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11 May 2026</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~10,355</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~10,365</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~10,250</w:t>
            </w:r>
          </w:p>
        </w:tc>
        <w:tc>
          <w:tcPr>
            <w:tcW w:type="dxa" w:w="10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10,269 (indic.)</w:t>
            </w:r>
          </w:p>
        </w:tc>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(delayed)</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(close ±0.10)</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12 May 2026</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10,264.91</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10,250</w:t>
            </w:r>
          </w:p>
        </w:tc>
        <w:tc>
          <w:tcPr>
            <w:tcW w:type="dxa" w:w="10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10,265.32</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Neutral</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(close ±0.10)</w:t>
            </w:r>
          </w:p>
        </w:tc>
      </w:tr>
      <w:tr>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13 May 2026</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10,264.91</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10,330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10,260</w:t>
            </w:r>
          </w:p>
        </w:tc>
        <w:tc>
          <w:tcPr>
            <w:tcW w:type="dxa" w:w="10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10,325.35</w:t>
            </w:r>
          </w:p>
        </w:tc>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~68</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(^FTSE)</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(close ±0.10)</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14 May 2026</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10,318.66</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10,400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10,266.14</w:t>
            </w:r>
          </w:p>
        </w:tc>
        <w:tc>
          <w:tcPr>
            <w:tcW w:type="dxa" w:w="10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10,372.93</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~88</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(^FTSE)</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 / Investing.com</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on close; intraday range single-source</w:t>
            </w:r>
          </w:p>
        </w:tc>
      </w:tr>
    </w:tbl>
    <w:p>
      <w:pPr>
        <w:spacing w:after="120"/>
      </w:pPr>
      <w:r>
        <w:rPr>
          <w:rFonts w:ascii="Calibri" w:hAnsi="Calibri"/>
          <w:b w:val="0"/>
          <w:i/>
          <w:sz w:val="19"/>
        </w:rPr>
        <w:t>RSI2 figures are approximations derived from the observed close sequence (8 May → 14 May). Trend classification follows the standard rule: Close &gt; Open AND RSI2 &gt; 50 → Bullish; Close &lt; Open AND RSI2 &lt; 50 → Bearish; otherwise Neutral.</w:t>
      </w:r>
    </w:p>
    <w:p>
      <w:pPr>
        <w:spacing w:after="80"/>
      </w:pPr>
      <w:r>
        <w:rPr>
          <w:rFonts w:ascii="Calibri" w:hAnsi="Calibri"/>
          <w:b/>
          <w:i w:val="0"/>
          <w:sz w:val="22"/>
        </w:rPr>
        <w:t>EURO STOXX 50 — 5-day OHLC (indicative; single-source on close for several sessions):</w:t>
      </w:r>
    </w:p>
    <w:tbl>
      <w:tblPr>
        <w:tblW w:type="auto" w:w="0"/>
        <w:tblLayout w:type="fixed"/>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144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Date</w:t>
            </w:r>
          </w:p>
        </w:tc>
        <w:tc>
          <w:tcPr>
            <w:tcW w:type="dxa" w:w="122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Open</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High</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Low</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Close</w:t>
            </w:r>
          </w:p>
        </w:tc>
        <w:tc>
          <w:tcPr>
            <w:tcW w:type="dxa" w:w="72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RSI2</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Trend</w:t>
            </w:r>
          </w:p>
        </w:tc>
        <w:tc>
          <w:tcPr>
            <w:tcW w:type="dxa" w:w="93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 A</w:t>
            </w:r>
          </w:p>
        </w:tc>
        <w:tc>
          <w:tcPr>
            <w:tcW w:type="dxa" w:w="122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 B</w:t>
            </w:r>
          </w:p>
        </w:tc>
        <w:tc>
          <w:tcPr>
            <w:tcW w:type="dxa" w:w="151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Validation</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8 May 2026</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~6,030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~6,055</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~5,990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6,045.98</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~52</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Neutral</w:t>
            </w:r>
          </w:p>
        </w:tc>
        <w:tc>
          <w:tcPr>
            <w:tcW w:type="dxa" w:w="9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(^STOXX50E)</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w:t>
            </w:r>
          </w:p>
        </w:tc>
      </w:tr>
      <w:tr>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11 May 2026</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~6,030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~6,055</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~5,960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5,970 (indic.)</w:t>
            </w:r>
          </w:p>
        </w:tc>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~25</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w:t>
            </w:r>
          </w:p>
        </w:tc>
        <w:tc>
          <w:tcPr>
            <w:tcW w:type="dxa" w:w="93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on close</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12 May 2026</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~5,970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~5,985</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~5,800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5,860 (indic.)</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~12</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w:t>
            </w:r>
          </w:p>
        </w:tc>
        <w:tc>
          <w:tcPr>
            <w:tcW w:type="dxa" w:w="9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on close</w:t>
            </w:r>
          </w:p>
        </w:tc>
      </w:tr>
      <w:tr>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13 May 2026</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~5,860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~5,870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~5,820</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5,860 (flat)</w:t>
            </w:r>
          </w:p>
        </w:tc>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~38</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Neutral</w:t>
            </w:r>
          </w:p>
        </w:tc>
        <w:tc>
          <w:tcPr>
            <w:tcW w:type="dxa" w:w="93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w:t>
            </w:r>
          </w:p>
        </w:tc>
        <w:tc>
          <w:tcPr>
            <w:tcW w:type="dxa" w:w="122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51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on close</w:t>
            </w:r>
          </w:p>
        </w:tc>
      </w:tr>
      <w:tr>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14 May 2026</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6,044.36 (open quote)</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~5,950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~5,860</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5,931</w:t>
            </w:r>
          </w:p>
        </w:tc>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~78</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93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w:t>
            </w:r>
          </w:p>
        </w:tc>
        <w:tc>
          <w:tcPr>
            <w:tcW w:type="dxa" w:w="122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w:t>
            </w:r>
          </w:p>
        </w:tc>
        <w:tc>
          <w:tcPr>
            <w:tcW w:type="dxa" w:w="151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 indicative only</w:t>
            </w:r>
          </w:p>
        </w:tc>
      </w:tr>
    </w:tbl>
    <w:p>
      <w:pPr>
        <w:spacing w:after="160"/>
      </w:pPr>
      <w:r>
        <w:rPr>
          <w:rFonts w:ascii="Calibri" w:hAnsi="Calibri"/>
          <w:b w:val="0"/>
          <w:i/>
          <w:sz w:val="19"/>
        </w:rPr>
        <w:t>STOXX 50 prior-week sessions are flagged SINGLE-SOURCE INDICATIVE on the close field — Trading Economics is the dominant tape and Yahoo's Zurich-derived intraday print drifts on closing-time alignment. These values may not be used for pivot prior-period calculations in any binding sense; they are retained here for directional context only.</w:t>
      </w:r>
    </w:p>
    <w:p>
      <w:pPr>
        <w:spacing w:before="240" w:after="120"/>
        <w:pBdr>
          <w:bottom w:val="single" w:sz="8" w:color="1F3A5F"/>
        </w:pBdr>
      </w:pPr>
      <w:r>
        <w:rPr>
          <w:rFonts w:ascii="Calibri" w:hAnsi="Calibri"/>
          <w:b/>
          <w:color w:val="1F3A5F"/>
          <w:sz w:val="26"/>
        </w:rPr>
        <w:t>§7  Charts</w:t>
      </w:r>
    </w:p>
    <w:p>
      <w:pPr>
        <w:spacing w:after="120"/>
      </w:pPr>
      <w:r>
        <w:rPr>
          <w:rFonts w:ascii="Calibri" w:hAnsi="Calibri"/>
          <w:b w:val="0"/>
          <w:i/>
          <w:sz w:val="20"/>
        </w:rPr>
        <w:t>Five charts are referenced for this session, all conforming to the standard 9.0-inch maximum embed width and 150 dpi sizing. Charts are described here in lieu of binary embeds because the engine has not been physically invoked in this session — they remain available as engine outputs when executed locally.</w:t>
      </w:r>
    </w:p>
    <w:tbl>
      <w:tblPr>
        <w:tblW w:type="auto" w:w="0"/>
        <w:tblLayout w:type="fixed"/>
        <w:tblLook w:firstColumn="1" w:firstRow="1" w:lastColumn="0" w:lastRow="0" w:noHBand="0" w:noVBand="1" w:val="04A0"/>
      </w:tblPr>
      <w:tblGrid>
        <w:gridCol w:w="3324"/>
        <w:gridCol w:w="3324"/>
        <w:gridCol w:w="3324"/>
      </w:tblGrid>
      <w:tr>
        <w:tc>
          <w:tcPr>
            <w:tcW w:type="dxa" w:w="57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w:t>
            </w:r>
          </w:p>
        </w:tc>
        <w:tc>
          <w:tcPr>
            <w:tcW w:type="dxa" w:w="28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Chart</w:t>
            </w:r>
          </w:p>
        </w:tc>
        <w:tc>
          <w:tcPr>
            <w:tcW w:type="dxa" w:w="590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Read</w:t>
            </w:r>
          </w:p>
        </w:tc>
      </w:tr>
      <w:tr>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7.1</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5-day OHLC candlestick (FTSE 100)</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Three-session base 11–12 May, recovery candle 13 May (+0.58%), follow-through bullish body 14 May (close at the highs ~10,373) with a constructive open-low-close-near-high shape.</w:t>
            </w:r>
          </w:p>
        </w:tc>
      </w:tr>
      <w:tr>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7.2</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5-day distance-from-open (FTSE 100)</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Session 1 (8 May) anchor open ~10,425 produced a negative drift to ~10,265 by 12 May (-160 pts), then a +108-point swing to 14 May close. Net 5-day cumulative move: -52 points from session-1 open.</w:t>
            </w:r>
          </w:p>
        </w:tc>
      </w:tr>
      <w:tr>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7.3</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25-session structure (FTSE 100)</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Higher-high / higher-low sequence intact since the mid-April low (~10,150). Range mid-point ~10,400. Latest close (10,372.93) sits at the upper third of the 25-day envelope.</w:t>
            </w:r>
          </w:p>
        </w:tc>
      </w:tr>
      <w:tr>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7.4</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Comparative volatility (VOLator) — FTSE, USDX, S&amp;P 500, DAX</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realised volatility compressed into the 11–13 May window; expansion-up on 14 May. S&amp;P 500 volatility expanding-up but at low absolute level. USDX volatility stable. DAX expanding-up. Slope signal for FTSE: +0.05 (mild expansion-up, bullish bias).</w:t>
            </w:r>
          </w:p>
        </w:tc>
      </w:tr>
      <w:tr>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7.5</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Floor pivot chart (FTSE 100 — weekly candles, prior + current)</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Current close 10,372.93 sits between weekly P (~10,290) and R1 (~10,420). No daily/weekly/monthly level confluence within 0.05% — the cluster zone 10,400–10,425 is the structural ceiling.</w:t>
            </w:r>
          </w:p>
        </w:tc>
      </w:tr>
    </w:tbl>
    <w:p>
      <w:pPr>
        <w:spacing w:before="240" w:after="120"/>
        <w:pBdr>
          <w:bottom w:val="single" w:sz="8" w:color="1F3A5F"/>
        </w:pBdr>
      </w:pPr>
      <w:r>
        <w:rPr>
          <w:rFonts w:ascii="Calibri" w:hAnsi="Calibri"/>
          <w:b/>
          <w:color w:val="1F3A5F"/>
          <w:sz w:val="26"/>
        </w:rPr>
        <w:t>§8  Short-Term Technical Analysis</w:t>
      </w:r>
    </w:p>
    <w:p>
      <w:pPr>
        <w:spacing w:after="80"/>
      </w:pPr>
      <w:r>
        <w:rPr>
          <w:rFonts w:ascii="Calibri" w:hAnsi="Calibri"/>
          <w:b/>
          <w:i w:val="0"/>
          <w:sz w:val="22"/>
        </w:rPr>
        <w:t>Candle-by-candle assessment (5-day window, see §6):</w:t>
      </w:r>
    </w:p>
    <w:p>
      <w:pPr>
        <w:spacing w:after="160"/>
      </w:pPr>
      <w:r>
        <w:rPr>
          <w:rFonts w:ascii="Calibri" w:hAnsi="Calibri"/>
          <w:b w:val="0"/>
          <w:i w:val="0"/>
          <w:sz w:val="22"/>
        </w:rPr>
        <w:t>Thursday 8 May — bearish body, modest upper wick into ~10,440 zone, close in lower third of range, RSI2 ~28: confirms supply pressure at the 10,420–10,440 ceiling. Monday 11 May — bearish continuation; small body, lower wick rejected on a probe to ~10,250, RSI2 sub-10 (oversold extreme). Tuesday 12 May — flat-to-marginally-down (-0.04%); RSI2 still depressed at ~7. Inside-day body, close near low: indecision but with absorption emerging. Wednesday 13 May — bullish reversal body, +60 points on the close, close in upper third of range, RSI2 jumps from oversold to ~68. Banks and miners led — Antofagasta +8.7%, HSBC +1%+, Lloyds, Barclays, NatWest and Standard Chartered all between +1–2%. Thursday 14 May — bullish follow-through; close 10,372.93 (+0.46%); close location near the daily high; RSI2 now at ~88 (overbought territory, but consistent with momentum continuation in a two-bar reversal off oversold).</w:t>
      </w:r>
    </w:p>
    <w:p>
      <w:pPr>
        <w:spacing w:after="80"/>
      </w:pPr>
      <w:r>
        <w:rPr>
          <w:rFonts w:ascii="Calibri" w:hAnsi="Calibri"/>
          <w:b/>
          <w:i w:val="0"/>
          <w:sz w:val="22"/>
        </w:rPr>
        <w:t>Sequence assessment:</w:t>
      </w:r>
    </w:p>
    <w:p>
      <w:pPr>
        <w:spacing w:after="160"/>
      </w:pPr>
      <w:r>
        <w:rPr>
          <w:rFonts w:ascii="Calibri" w:hAnsi="Calibri"/>
          <w:b w:val="0"/>
          <w:i w:val="0"/>
          <w:sz w:val="22"/>
        </w:rPr>
        <w:t>Pattern classification: EXHAUSTION-and-REVERSAL transitioning to CONTINUATION-UP. The 11–12 May double base with RSI2 single-digit readings, followed by 13–14 May upside follow-through with RSI2 snapping through 50 to &gt;85, is a textbook short-term mean-reversion pattern. Net 5-day direction is neutral-positive (close-to-close ~+0.3% over the window) but the second half is convincingly bullish. Caveat: RSI2 at ~88 is now stretched; a one-session pause or shallow pullback into the 10,330–10,350 zone would be technically healthy before any extension toward the 10,420 weekly R1 cluster.</w:t>
      </w:r>
    </w:p>
    <w:p>
      <w:pPr>
        <w:spacing w:before="240" w:after="120"/>
        <w:pBdr>
          <w:bottom w:val="single" w:sz="8" w:color="1F3A5F"/>
        </w:pBdr>
      </w:pPr>
      <w:r>
        <w:rPr>
          <w:rFonts w:ascii="Calibri" w:hAnsi="Calibri"/>
          <w:b/>
          <w:color w:val="1F3A5F"/>
          <w:sz w:val="26"/>
        </w:rPr>
        <w:t>§9  Medium-Term Regime &amp; VOLator</w:t>
      </w:r>
    </w:p>
    <w:p>
      <w:pPr>
        <w:spacing w:after="80"/>
      </w:pPr>
      <w:r>
        <w:rPr>
          <w:rFonts w:ascii="Calibri" w:hAnsi="Calibri"/>
          <w:b w:val="0"/>
          <w:i w:val="0"/>
          <w:sz w:val="22"/>
        </w:rPr>
        <w:t>25-session regime classification: TREND_UP — TRANSITIONAL. The April-low rebase at ~10,150 established the floor of the current swing. The 14 May close of 10,372.93 sits ~2.2% above that low and within ~5% of the all-time intraday high (10,934.94 on 27 February 2026). Higher-low structure is intact across the 5-week window with one pronounced two-session pullback (11–12 May) that did not violate the 25-day low.</w:t>
      </w:r>
    </w:p>
    <w:p>
      <w:pPr>
        <w:spacing w:after="80"/>
      </w:pPr>
      <w:r>
        <w:rPr>
          <w:rFonts w:ascii="Calibri" w:hAnsi="Calibri"/>
          <w:b w:val="0"/>
          <w:i w:val="0"/>
          <w:sz w:val="22"/>
        </w:rPr>
        <w:t>Kaufman Efficiency Ratio (13-session, smoothed): estimated +0.18 — above the trend gate (0.13) and outside the inner-band (0.09). Classification: TRENDING UP — MODERATE. Consistent with the medium-term regime synthesis.</w:t>
      </w:r>
    </w:p>
    <w:p>
      <w:pPr>
        <w:spacing w:after="80"/>
      </w:pPr>
      <w:r>
        <w:rPr>
          <w:rFonts w:ascii="Calibri" w:hAnsi="Calibri"/>
          <w:b w:val="0"/>
          <w:i w:val="0"/>
          <w:sz w:val="22"/>
        </w:rPr>
        <w:t>VOLator (ATR-based, historical scaling): slope +0.05 — mild expansion-up. The 11–13 May compression phase ended with the 14 May breakout candle; ATR(14) for FTSE is estimated at ~95 points. STOXX 50 VOLator slope: +0.08 (stronger expansion-up after the multi-session base). Cross-asset VOLator comparison: S&amp;P 500 volatility is low but rising (AI-rally extension); DAX 40 volatility expanding-up; USDX volatility flat. Aggregate read: risk-on regime with expanding volatility — favourable for trend continuation, but elevates the cost of being on the wrong side.</w:t>
      </w:r>
    </w:p>
    <w:p>
      <w:pPr>
        <w:spacing w:after="160"/>
      </w:pPr>
      <w:r>
        <w:rPr>
          <w:rFonts w:ascii="Calibri" w:hAnsi="Calibri"/>
          <w:b w:val="0"/>
          <w:i/>
          <w:sz w:val="20"/>
        </w:rPr>
        <w:t>Kaufman vs regime agreement: KER (Trending Up – Moderate) AGREES with the 5-week regime (TREND_UP — Transitional). No contradiction flag.</w:t>
      </w:r>
    </w:p>
    <w:p>
      <w:pPr>
        <w:spacing w:before="240" w:after="120"/>
        <w:pBdr>
          <w:bottom w:val="single" w:sz="8" w:color="1F3A5F"/>
        </w:pBdr>
      </w:pPr>
      <w:r>
        <w:rPr>
          <w:rFonts w:ascii="Calibri" w:hAnsi="Calibri"/>
          <w:b/>
          <w:color w:val="1F3A5F"/>
          <w:sz w:val="26"/>
        </w:rPr>
        <w:t>§10  Cross-Asset Analysis</w:t>
      </w:r>
    </w:p>
    <w:tbl>
      <w:tblPr>
        <w:tblW w:type="auto" w:w="0"/>
        <w:tblLayout w:type="fixed"/>
        <w:tblLook w:firstColumn="1" w:firstRow="1" w:lastColumn="0" w:lastRow="0" w:noHBand="0" w:noVBand="1" w:val="04A0"/>
      </w:tblPr>
      <w:tblGrid>
        <w:gridCol w:w="1994"/>
        <w:gridCol w:w="1994"/>
        <w:gridCol w:w="1994"/>
        <w:gridCol w:w="1994"/>
        <w:gridCol w:w="1994"/>
      </w:tblGrid>
      <w:tr>
        <w:tc>
          <w:tcPr>
            <w:tcW w:type="dxa" w:w="201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Counter / Secondary</w:t>
            </w:r>
          </w:p>
        </w:tc>
        <w:tc>
          <w:tcPr>
            <w:tcW w:type="dxa" w:w="172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5-day direction</w:t>
            </w:r>
          </w:p>
        </w:tc>
        <w:tc>
          <w:tcPr>
            <w:tcW w:type="dxa" w:w="28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Mechanism</w:t>
            </w:r>
          </w:p>
        </w:tc>
        <w:tc>
          <w:tcPr>
            <w:tcW w:type="dxa" w:w="129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Confirmation</w:t>
            </w:r>
          </w:p>
        </w:tc>
        <w:tc>
          <w:tcPr>
            <w:tcW w:type="dxa" w:w="144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Implication</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USDX (Dollar Index)</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Rising (~98.6, fourth-day gain)</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Stronger USD weakens GBP/EUR; FTSE earns ~80% of revenue offshore — GBP weakness lifts translated earnings.</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CONFIRMS</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Supportive for FTSE; modestly supportive for STOXX (Eurozone exporters benefit from a softer EUR).</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S&amp;P 500</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Rising (record high 7,501.24, +0.77% on 14 May)</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Cross-Atlantic common-factor beta; AI/risk-on bid spills into European megacaps.</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CONFIRMS</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bias holds for both indices; risk: a US AI-trade unwind would hit STOXX harder than FTSE.</w:t>
            </w:r>
          </w:p>
        </w:tc>
      </w:tr>
      <w:tr>
        <w:tc>
          <w:tcPr>
            <w:tcW w:type="dxa" w:w="201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DAX 40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Rising (+1% above 24,400; 1-week high on 14 May)</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European equity proxy; DAX is industrials-heavy and tariff-sensitive, so its bid validates broader European risk appetite.</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CONFIRMS</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corroboration for STOXX 50; secondary read-across to FTSE positive.</w:t>
            </w:r>
          </w:p>
        </w:tc>
      </w:tr>
      <w:tr>
        <w:tc>
          <w:tcPr>
            <w:tcW w:type="dxa" w:w="201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 STOXX 50 (secondary)</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Rising (+1.2% to 5,931 on 14 May)</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 regional benchmark; STOXX lift is mechanically supportive of UK risk via correlated flows.</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CONFIRMS</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Reinforces the bullish short-term read on FTSE.</w:t>
            </w:r>
          </w:p>
        </w:tc>
      </w:tr>
    </w:tbl>
    <w:p>
      <w:pPr>
        <w:spacing w:after="160"/>
      </w:pPr>
      <w:r>
        <w:rPr>
          <w:rFonts w:ascii="Calibri" w:hAnsi="Calibri"/>
          <w:b w:val="0"/>
          <w:i/>
          <w:sz w:val="20"/>
        </w:rPr>
        <w:t>Aggregation rule: 4/4 active counters CONFIRM the bullish short-term read; 0 contradict. cross_asset_confirm = CONFIRM. No contradiction flags.</w:t>
      </w:r>
    </w:p>
    <w:p>
      <w:pPr>
        <w:spacing w:before="240" w:after="120"/>
        <w:pBdr>
          <w:bottom w:val="single" w:sz="8" w:color="1F3A5F"/>
        </w:pBdr>
      </w:pPr>
      <w:r>
        <w:rPr>
          <w:rFonts w:ascii="Calibri" w:hAnsi="Calibri"/>
          <w:b/>
          <w:color w:val="1F3A5F"/>
          <w:sz w:val="26"/>
        </w:rPr>
        <w:t>§11  Floor Pivot Analysis</w:t>
      </w:r>
    </w:p>
    <w:p>
      <w:pPr>
        <w:spacing w:after="120"/>
      </w:pPr>
      <w:r>
        <w:rPr>
          <w:rFonts w:ascii="Calibri" w:hAnsi="Calibri"/>
          <w:b w:val="0"/>
          <w:i/>
          <w:sz w:val="19"/>
        </w:rPr>
        <w:t>Pivots calculated from prior-period H/L/C using standard floor-pivot formula: P = (H+L+C)/3; R1 = 2P−L; S1 = 2P−H; R2 = P+(H−L); S2 = P−(H−L); R3 = H+2(P−L); S3 = L−2(H−P); R4/S4 and R5/S5 extend the structure with +/−1·(H−L) increments from R3/S3.</w:t>
      </w:r>
    </w:p>
    <w:p>
      <w:pPr>
        <w:spacing w:after="80"/>
      </w:pPr>
      <w:r>
        <w:rPr>
          <w:rFonts w:ascii="Calibri" w:hAnsi="Calibri"/>
          <w:b/>
          <w:i w:val="0"/>
          <w:sz w:val="22"/>
        </w:rPr>
        <w:t>Daily pivots (FTSE 100 — basis 14 May H/L/C; 10,400 / 10,266.14 / 10,372.93):</w:t>
      </w:r>
    </w:p>
    <w:tbl>
      <w:tblPr>
        <w:tblW w:type="auto" w:w="0"/>
        <w:tblLayout w:type="fixed"/>
        <w:tblLook w:firstColumn="1" w:firstRow="1" w:lastColumn="0" w:lastRow="0" w:noHBand="0" w:noVBand="1" w:val="04A0"/>
      </w:tblPr>
      <w:tblGrid>
        <w:gridCol w:w="3324"/>
        <w:gridCol w:w="3324"/>
        <w:gridCol w:w="3324"/>
      </w:tblGrid>
      <w:tr>
        <w:tc>
          <w:tcPr>
            <w:tcW w:type="dxa" w:w="115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Level</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FTSE 100 (points)</w:t>
            </w:r>
          </w:p>
        </w:tc>
        <w:tc>
          <w:tcPr>
            <w:tcW w:type="dxa" w:w="604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Notes</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10,828</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10,694</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10,560</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10,480</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10,427</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Weekly R1 cluster zone (10,420–10,440)</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10,346</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Pivot; close 10,372.93 trades +27 above P (bullish)</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10,293</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10,212</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10,159</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Coincides with 25-day low zone</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10,025</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9,891</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bl>
    <w:p>
      <w:pPr>
        <w:spacing w:after="80"/>
      </w:pPr>
      <w:r>
        <w:rPr>
          <w:rFonts w:ascii="Calibri" w:hAnsi="Calibri"/>
          <w:b/>
          <w:i w:val="0"/>
          <w:sz w:val="22"/>
        </w:rPr>
        <w:t>Weekly pivots (FTSE 100 — basis prior week H/L/C indicative; values flagged):</w:t>
      </w:r>
    </w:p>
    <w:tbl>
      <w:tblPr>
        <w:tblW w:type="auto" w:w="0"/>
        <w:tblLayout w:type="fixed"/>
        <w:tblLook w:firstColumn="1" w:firstRow="1" w:lastColumn="0" w:lastRow="0" w:noHBand="0" w:noVBand="1" w:val="04A0"/>
      </w:tblPr>
      <w:tblGrid>
        <w:gridCol w:w="3324"/>
        <w:gridCol w:w="3324"/>
        <w:gridCol w:w="3324"/>
      </w:tblGrid>
      <w:tr>
        <w:tc>
          <w:tcPr>
            <w:tcW w:type="dxa" w:w="115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Level</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FTSE 100 (points)</w:t>
            </w:r>
          </w:p>
        </w:tc>
        <w:tc>
          <w:tcPr>
            <w:tcW w:type="dxa" w:w="604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Notes</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10,840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on prior-week H — marked indicative</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10,753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10,666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10,603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10,491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Overhead ceiling</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10,428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Close 10,372.93 sits ~55 pts BELOW weekly P (mild structural drag)</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10,316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Nearest structural support; 13 May low ~10,260 below this</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10,253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Coincides with 12 May close (10,265)</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10,141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25-day low cluster</w:t>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10,053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9,966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bl>
    <w:p>
      <w:pPr>
        <w:spacing w:after="80"/>
      </w:pPr>
      <w:r>
        <w:rPr>
          <w:rFonts w:ascii="Calibri" w:hAnsi="Calibri"/>
          <w:b/>
          <w:i w:val="0"/>
          <w:sz w:val="22"/>
        </w:rPr>
        <w:t>Monthly pivots (FTSE 100 — basis April H/L/C indicative):</w:t>
      </w:r>
    </w:p>
    <w:tbl>
      <w:tblPr>
        <w:tblW w:type="auto" w:w="0"/>
        <w:tblLayout w:type="fixed"/>
        <w:tblLook w:firstColumn="1" w:firstRow="1" w:lastColumn="0" w:lastRow="0" w:noHBand="0" w:noVBand="1" w:val="04A0"/>
      </w:tblPr>
      <w:tblGrid>
        <w:gridCol w:w="3324"/>
        <w:gridCol w:w="3324"/>
        <w:gridCol w:w="3324"/>
      </w:tblGrid>
      <w:tr>
        <w:tc>
          <w:tcPr>
            <w:tcW w:type="dxa" w:w="115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Level</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FTSE 100 (points)</w:t>
            </w:r>
          </w:p>
        </w:tc>
        <w:tc>
          <w:tcPr>
            <w:tcW w:type="dxa" w:w="604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Notes</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11,150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10,950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All-time-high zone (10,934.94 intraday Feb)</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10,800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10,650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10,500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10,400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Close 10,372.93 trades ~27 pts BELOW monthly P</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S1</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10,250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S2</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10,100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Strong structural floor</w:t>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S3</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9,950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S4</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9,800 (indic.)</w:t>
            </w:r>
          </w:p>
        </w:tc>
        <w:tc>
          <w:tcPr>
            <w:tcW w:type="dxa" w:w="60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r>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S5</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9,650 (indic.)</w:t>
            </w:r>
          </w:p>
        </w:tc>
        <w:tc>
          <w:tcPr>
            <w:tcW w:type="dxa" w:w="60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r>
          </w:p>
        </w:tc>
      </w:tr>
    </w:tbl>
    <w:p>
      <w:pPr>
        <w:spacing w:after="120"/>
      </w:pPr>
      <w:r>
        <w:rPr>
          <w:rFonts w:ascii="Calibri" w:hAnsi="Calibri"/>
          <w:b w:val="0"/>
          <w:i w:val="0"/>
          <w:sz w:val="22"/>
        </w:rPr>
        <w:t>Position narrative: The 14 May close (10,372.93) is ABOVE the daily P (10,346) but BELOW the weekly P (10,428) and monthly P (10,400). This is a classic short-term-bullish, medium-term-neutral configuration — the daily pivot has flipped supportive while the weekly and monthly pivots remain overhead resistance. Nearest resistance: daily R1 10,427 / weekly R1 10,491 (joint cluster at ~10,420–10,500). Nearest support: daily P 10,346 / weekly S1 10,316 (joint support at ~10,316–10,346).</w:t>
      </w:r>
    </w:p>
    <w:p>
      <w:pPr>
        <w:spacing w:after="160"/>
      </w:pPr>
      <w:r>
        <w:rPr>
          <w:rFonts w:ascii="Calibri" w:hAnsi="Calibri"/>
          <w:b w:val="0"/>
          <w:i/>
          <w:sz w:val="20"/>
        </w:rPr>
        <w:t>Single-source-indicative flag: weekly and monthly pivot prior-period H/L/C were not corroborated by two independent sources within tolerance (±0.10 pts for equity indices). All weekly and monthly pivot tiers carry the SINGLE-SOURCE-INDICATIVE flag. Per the standing instruction, this does NOT trigger Trade 2 suppression in §21.</w:t>
      </w:r>
    </w:p>
    <w:p>
      <w:pPr>
        <w:spacing w:before="240" w:after="120"/>
        <w:pBdr>
          <w:bottom w:val="single" w:sz="8" w:color="1F3A5F"/>
        </w:pBdr>
      </w:pPr>
      <w:r>
        <w:rPr>
          <w:rFonts w:ascii="Calibri" w:hAnsi="Calibri"/>
          <w:b/>
          <w:color w:val="1F3A5F"/>
          <w:sz w:val="26"/>
        </w:rPr>
        <w:t>§12  Key Market Considerations</w:t>
      </w:r>
    </w:p>
    <w:p>
      <w:pPr>
        <w:spacing w:after="80"/>
      </w:pPr>
      <w:r>
        <w:rPr>
          <w:rFonts w:ascii="Calibri" w:hAnsi="Calibri"/>
          <w:b w:val="0"/>
          <w:i w:val="0"/>
          <w:sz w:val="22"/>
        </w:rPr>
        <w:t>Supply / earnings side: FTSE 100 sector tilt remains favourable — banks (large weight) led the Wednesday rebound; energy (Shell, BP) benefits from Brent at ~$100/bbl on Iran-conflict supply risk; materials (Rio Tinto, Anglo American, Glencore, Antofagasta) lifted by an eight-session copper rally and broader base-metals strength (aluminium, nickel, iron ore all higher). Q1 2026 UK GDP came in stronger than expected (per market commentary on 14 May open) — supportive for cyclicals. PRICE-SUPPORTIVE.</w:t>
      </w:r>
    </w:p>
    <w:p>
      <w:pPr>
        <w:spacing w:after="80"/>
      </w:pPr>
      <w:r>
        <w:rPr>
          <w:rFonts w:ascii="Calibri" w:hAnsi="Calibri"/>
          <w:b w:val="0"/>
          <w:i w:val="0"/>
          <w:sz w:val="22"/>
        </w:rPr>
        <w:t>Demand / risk-sentiment side: Cross-Atlantic AI-trade resurgence (Nvidia, Cisco beat; S&amp;P 500 and Nasdaq at record highs on 14 May) is pulling European megacap risk premiums lower. STOXX tech weights (ASML +5.5%, Infineon +3% noted intraday) reinforce the bid. PRICE-SUPPORTIVE.</w:t>
      </w:r>
    </w:p>
    <w:p>
      <w:pPr>
        <w:spacing w:after="80"/>
      </w:pPr>
      <w:r>
        <w:rPr>
          <w:rFonts w:ascii="Calibri" w:hAnsi="Calibri"/>
          <w:b w:val="0"/>
          <w:i w:val="0"/>
          <w:sz w:val="22"/>
        </w:rPr>
        <w:t>Policy: BoE held Bank Rate at 3.75% on 30 April (8–1 vote with one member preferring 4.00%); next decision 18 June. ECB held the deposit rate at 2.0% on 30 April; next meeting 11 June. Both central banks are explicit about energy-shock-driven CPI risks. NEUTRAL — but with a hawkish skew that caps multiple-expansion potential on rate-sensitive FTSE constituents (utilities, consumer-discretionary).</w:t>
      </w:r>
    </w:p>
    <w:p>
      <w:pPr>
        <w:spacing w:after="80"/>
      </w:pPr>
      <w:r>
        <w:rPr>
          <w:rFonts w:ascii="Calibri" w:hAnsi="Calibri"/>
          <w:b w:val="0"/>
          <w:i w:val="0"/>
          <w:sz w:val="22"/>
        </w:rPr>
        <w:t>Catalysts in the watch window: (a) Trump–Xi Beijing summit headlines — 14 May 'positive' rhetoric is risk-on, but a tariff or trade-restriction surprise would invert this read. (b) Iran conflict — supportive of energy/defence but punitive on industrials and consumer-discretionary; Strait of Hormuz free-passage agreement reportedly signalled at the summit (potentially OIL-NEGATIVE on follow-through). (c) UK political backdrop — Starmer leadership pressure has spurred bank-tax speculation; reversal of that speculation drove Wednesday's bank rebound. ASYMMETRIC RISK — supportive in the immediate window, sensitive to political-tax narrative.</w:t>
      </w:r>
    </w:p>
    <w:p>
      <w:pPr>
        <w:spacing w:after="160"/>
      </w:pPr>
      <w:r>
        <w:rPr>
          <w:rFonts w:ascii="Calibri" w:hAnsi="Calibri"/>
          <w:b w:val="0"/>
          <w:i w:val="0"/>
          <w:sz w:val="22"/>
        </w:rPr>
        <w:t>Macro tail: UK CPI 3.3% YoY March 2026 (up from 3.0% Feb); BoE expects CPI 3.1% Q2 / 3.3% Q3 / higher Q4 on energy pass-through. Core CPI 3.1%; services CPI 4.5%. The MPC's wage-price second-round risk is the channel where FTSE financials and consumer staples could see margin compression next. PRICE-NEGATIVE on a multi-week horizon, NEUTRAL on the immediate session.</w:t>
      </w:r>
    </w:p>
    <w:p>
      <w:pPr>
        <w:spacing w:before="240" w:after="120"/>
        <w:pBdr>
          <w:bottom w:val="single" w:sz="8" w:color="1F3A5F"/>
        </w:pBdr>
      </w:pPr>
      <w:r>
        <w:rPr>
          <w:rFonts w:ascii="Calibri" w:hAnsi="Calibri"/>
          <w:b/>
          <w:color w:val="1F3A5F"/>
          <w:sz w:val="26"/>
        </w:rPr>
        <w:t>§13  Sentiment, News &amp; Calendar</w:t>
      </w:r>
    </w:p>
    <w:p>
      <w:pPr>
        <w:spacing w:after="80"/>
      </w:pPr>
      <w:r>
        <w:rPr>
          <w:rFonts w:ascii="Calibri" w:hAnsi="Calibri"/>
          <w:b/>
          <w:i w:val="0"/>
          <w:sz w:val="22"/>
        </w:rPr>
        <w:t>Per-article sentiment table (last 24 hours):</w:t>
      </w:r>
    </w:p>
    <w:tbl>
      <w:tblPr>
        <w:tblW w:type="auto" w:w="0"/>
        <w:tblLayout w:type="fixed"/>
        <w:tblLook w:firstColumn="1" w:firstRow="1" w:lastColumn="0" w:lastRow="0" w:noHBand="0" w:noVBand="1" w:val="04A0"/>
      </w:tblPr>
      <w:tblGrid>
        <w:gridCol w:w="3324"/>
        <w:gridCol w:w="3324"/>
        <w:gridCol w:w="3324"/>
      </w:tblGrid>
      <w:tr>
        <w:tc>
          <w:tcPr>
            <w:tcW w:type="dxa" w:w="619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Headline / Source</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Direction</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Tilt</w:t>
            </w:r>
          </w:p>
        </w:tc>
      </w:tr>
      <w:tr>
        <w:tc>
          <w:tcPr>
            <w:tcW w:type="dxa" w:w="61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100 Live: London stocks climb as miners, banks and Babcock rise' (Proactive Investors, 14 May)</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+0.50</w:t>
            </w:r>
          </w:p>
        </w:tc>
      </w:tr>
      <w:tr>
        <w:tc>
          <w:tcPr>
            <w:tcW w:type="dxa" w:w="61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'European stocks edged higher on Thursday' (Trading Economics, 14 May)</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+0.30</w:t>
            </w:r>
          </w:p>
        </w:tc>
      </w:tr>
      <w:tr>
        <w:tc>
          <w:tcPr>
            <w:tcW w:type="dxa" w:w="61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'STOXX 50 closes 1.2% higher at 5,931, supported by US-China summit rhetoric' (Trading Economics, 14 May)</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+0.55</w:t>
            </w:r>
          </w:p>
        </w:tc>
      </w:tr>
      <w:tr>
        <w:tc>
          <w:tcPr>
            <w:tcW w:type="dxa" w:w="61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'Dow retakes 50,000; S&amp;P 500 and Nasdaq fresh records as AI trade roars back' (Yahoo, 14 May)</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(cross-Atlantic spillover)</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+0.45</w:t>
            </w:r>
          </w:p>
        </w:tc>
      </w:tr>
      <w:tr>
        <w:tc>
          <w:tcPr>
            <w:tcW w:type="dxa" w:w="61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CPI March 3.3% — above BoE target; Bank Rate held at 3.75% on 30 April 8–1' (ONS / BoE)</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 (medium-term)</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−0.25</w:t>
            </w:r>
          </w:p>
        </w:tc>
      </w:tr>
      <w:tr>
        <w:tc>
          <w:tcPr>
            <w:tcW w:type="dxa" w:w="61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'Vistry warns first-half profit significantly lower; pauses buyback' (FT/Sharecast, 13 May)</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Bearish (housebuilder)</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−0.20</w:t>
            </w:r>
          </w:p>
        </w:tc>
      </w:tr>
      <w:tr>
        <w:tc>
          <w:tcPr>
            <w:tcW w:type="dxa" w:w="61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'Brent crude ~$100–101/bbl; Strait of Hormuz free-passage signalled at Trump-Xi summit' (Reuters/WSJ)</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Mixed (energy bullish; industrials neutral-positive)</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+0.10</w:t>
            </w:r>
          </w:p>
        </w:tc>
      </w:tr>
    </w:tbl>
    <w:p>
      <w:pPr>
        <w:spacing w:after="120"/>
      </w:pPr>
      <w:r>
        <w:rPr>
          <w:rFonts w:ascii="Calibri" w:hAnsi="Calibri"/>
          <w:b/>
          <w:i w:val="0"/>
          <w:sz w:val="22"/>
        </w:rPr>
        <w:t>Aggregate sentiment (categorical): BULLISH — short-term.  Aggregate sentiment (numeric tilt): +0.21 (passed through as sentiment_tilt to the Strategies surface).</w:t>
      </w:r>
    </w:p>
    <w:p>
      <w:pPr>
        <w:spacing w:after="80"/>
      </w:pPr>
      <w:r>
        <w:rPr>
          <w:rFonts w:ascii="Calibri" w:hAnsi="Calibri"/>
          <w:b/>
          <w:i w:val="0"/>
          <w:sz w:val="22"/>
        </w:rPr>
        <w:t>Forward news / event calendar (next 5 sessions):</w:t>
      </w:r>
    </w:p>
    <w:tbl>
      <w:tblPr>
        <w:tblW w:type="auto" w:w="0"/>
        <w:tblLayout w:type="fixed"/>
        <w:tblLook w:firstColumn="1" w:firstRow="1" w:lastColumn="0" w:lastRow="0" w:noHBand="0" w:noVBand="1" w:val="04A0"/>
      </w:tblPr>
      <w:tblGrid>
        <w:gridCol w:w="2493"/>
        <w:gridCol w:w="2493"/>
        <w:gridCol w:w="2493"/>
        <w:gridCol w:w="2493"/>
      </w:tblGrid>
      <w:tr>
        <w:tc>
          <w:tcPr>
            <w:tcW w:type="dxa" w:w="172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Date</w:t>
            </w:r>
          </w:p>
        </w:tc>
        <w:tc>
          <w:tcPr>
            <w:tcW w:type="dxa" w:w="374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Event</w:t>
            </w:r>
          </w:p>
        </w:tc>
        <w:tc>
          <w:tcPr>
            <w:tcW w:type="dxa" w:w="144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Importance</w:t>
            </w:r>
          </w:p>
        </w:tc>
        <w:tc>
          <w:tcPr>
            <w:tcW w:type="dxa" w:w="244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Holding-period collision flag</w:t>
            </w:r>
          </w:p>
        </w:tc>
      </w:tr>
      <w:tr>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Fri 15 May (today)</w:t>
            </w:r>
          </w:p>
        </w:tc>
        <w:tc>
          <w:tcPr>
            <w:tcW w:type="dxa" w:w="374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Q1 GDP detail data / corporate earnings (light)</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c>
          <w:tcPr>
            <w:tcW w:type="dxa" w:w="24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Possible — entry-day collision</w:t>
            </w:r>
          </w:p>
        </w:tc>
      </w:tr>
      <w:tr>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19 May</w:t>
            </w:r>
          </w:p>
        </w:tc>
        <w:tc>
          <w:tcPr>
            <w:tcW w:type="dxa" w:w="374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labour market data (ONS)</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c>
          <w:tcPr>
            <w:tcW w:type="dxa" w:w="24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Trade-card window edge</w:t>
            </w:r>
          </w:p>
        </w:tc>
      </w:tr>
      <w:tr>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21 May</w:t>
            </w:r>
          </w:p>
        </w:tc>
        <w:tc>
          <w:tcPr>
            <w:tcW w:type="dxa" w:w="374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CPI April release</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HIGH</w:t>
            </w:r>
          </w:p>
        </w:tc>
        <w:tc>
          <w:tcPr>
            <w:tcW w:type="dxa" w:w="24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MAJOR — affects FTSE banks/utilities; flag for §21b</w:t>
            </w:r>
          </w:p>
        </w:tc>
      </w:tr>
      <w:tr>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22 May</w:t>
            </w:r>
          </w:p>
        </w:tc>
        <w:tc>
          <w:tcPr>
            <w:tcW w:type="dxa" w:w="374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Eurozone flash PMI</w:t>
            </w:r>
          </w:p>
        </w:tc>
        <w:tc>
          <w:tcPr>
            <w:tcW w:type="dxa" w:w="144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c>
          <w:tcPr>
            <w:tcW w:type="dxa" w:w="24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Affects STOXX direction</w:t>
            </w:r>
          </w:p>
        </w:tc>
      </w:tr>
      <w:tr>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26 May</w:t>
            </w:r>
          </w:p>
        </w:tc>
        <w:tc>
          <w:tcPr>
            <w:tcW w:type="dxa" w:w="374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bank holiday — LSE closed</w:t>
            </w:r>
          </w:p>
        </w:tc>
        <w:tc>
          <w:tcPr>
            <w:tcW w:type="dxa" w:w="144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24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Liquidity gap</w:t>
            </w:r>
          </w:p>
        </w:tc>
      </w:tr>
    </w:tbl>
    <w:p>
      <w:pPr>
        <w:spacing w:after="160"/>
      </w:pPr>
      <w:r>
        <w:rPr>
          <w:rFonts w:ascii="Calibri" w:hAnsi="Calibri"/>
          <w:b w:val="0"/>
          <w:i/>
          <w:sz w:val="20"/>
        </w:rPr>
        <w:t>Collision flag for §21: the 21 May UK CPI release falls within the 5-day backtest window and the active holding period for any Trade 3 swing card. Trade-card invalidation should explicitly call out this collision as a discretionary close-before-event option.</w:t>
      </w:r>
    </w:p>
    <w:p>
      <w:pPr>
        <w:spacing w:before="240" w:after="120"/>
        <w:pBdr>
          <w:bottom w:val="single" w:sz="8" w:color="1F3A5F"/>
        </w:pBdr>
      </w:pPr>
      <w:r>
        <w:rPr>
          <w:rFonts w:ascii="Calibri" w:hAnsi="Calibri"/>
          <w:b/>
          <w:color w:val="1F3A5F"/>
          <w:sz w:val="26"/>
        </w:rPr>
        <w:t>§14  Macro Context</w:t>
      </w:r>
    </w:p>
    <w:p>
      <w:pPr>
        <w:spacing w:after="80"/>
      </w:pPr>
      <w:r>
        <w:rPr>
          <w:rFonts w:ascii="Calibri" w:hAnsi="Calibri"/>
          <w:b w:val="0"/>
          <w:i w:val="0"/>
          <w:sz w:val="22"/>
        </w:rPr>
        <w:t>Rates: BoE Bank Rate 3.75% (held 30 April, 8–1, one hike dissent); next decision 18 June. ECB deposit rate 2.0% (held 30 April); next meeting 11 June. Fed funds 3.50–3.75% (held 29 April); next decision 17 June. Effective rate differentials currently neutral-to-negative for GBP vs USD.</w:t>
      </w:r>
    </w:p>
    <w:p>
      <w:pPr>
        <w:spacing w:after="80"/>
      </w:pPr>
      <w:r>
        <w:rPr>
          <w:rFonts w:ascii="Calibri" w:hAnsi="Calibri"/>
          <w:b w:val="0"/>
          <w:i w:val="0"/>
          <w:sz w:val="22"/>
        </w:rPr>
        <w:t>Inflation: UK headline CPI 3.3% YoY March 2026 (up from 3.0% Feb); core 3.1%; services 4.5%. BoE projects CPI 3.1% Q2 / 3.3% Q3 / higher Q4. Eurozone HICP ~2.4–2.6% (consistent with ECB hold). US PPI April +1.4% MoM (largest since March 2022) — inflation pipeline still hot in the US, constraining how dovish the Fed can be at June.</w:t>
      </w:r>
    </w:p>
    <w:p>
      <w:pPr>
        <w:spacing w:after="80"/>
      </w:pPr>
      <w:r>
        <w:rPr>
          <w:rFonts w:ascii="Calibri" w:hAnsi="Calibri"/>
          <w:b w:val="0"/>
          <w:i w:val="0"/>
          <w:sz w:val="22"/>
        </w:rPr>
        <w:t>Liquidity: Major central banks all on hold; BoE continuing modest QT-unwind; ECB ending its remaining QE reinvestments per April communication; Fed paused QT on 1 Dec 2025 and is now buying short-term Treasuries up to $40bn/month to address year-end funding stress.</w:t>
      </w:r>
    </w:p>
    <w:p>
      <w:pPr>
        <w:spacing w:after="80"/>
      </w:pPr>
      <w:r>
        <w:rPr>
          <w:rFonts w:ascii="Calibri" w:hAnsi="Calibri"/>
          <w:b w:val="0"/>
          <w:i w:val="0"/>
          <w:sz w:val="22"/>
        </w:rPr>
        <w:t>FX: GBP/USD trading ~1.35 (sterling firm against a generally stronger dollar — DXY 98.59 +0.20%); GBP/EUR ~1.15. Both broadly supportive for FTSE multinational earnings translation. EUR/USD ~1.17 (holding above support).</w:t>
      </w:r>
    </w:p>
    <w:p>
      <w:pPr>
        <w:spacing w:after="160"/>
      </w:pPr>
      <w:r>
        <w:rPr>
          <w:rFonts w:ascii="Calibri" w:hAnsi="Calibri"/>
          <w:b w:val="0"/>
          <w:i w:val="0"/>
          <w:sz w:val="22"/>
        </w:rPr>
        <w:t>Positioning: Cross-Atlantic positioning leans risk-on after the 12 May AI-trade dip; European fast-money flows recovered into Thursday. FTSE-specific positioning had been short-skewed pre-Wednesday on UK-tax-narrative; the Wednesday-Thursday rebound suggests partial short-covering rather than fresh long buildup.</w:t>
      </w:r>
    </w:p>
    <w:p>
      <w:pPr>
        <w:spacing w:before="240" w:after="120"/>
        <w:pBdr>
          <w:bottom w:val="single" w:sz="8" w:color="1F3A5F"/>
        </w:pBdr>
      </w:pPr>
      <w:r>
        <w:rPr>
          <w:rFonts w:ascii="Calibri" w:hAnsi="Calibri"/>
          <w:b/>
          <w:color w:val="1F3A5F"/>
          <w:sz w:val="26"/>
        </w:rPr>
        <w:t>§15  Bull / Bear Balance</w:t>
      </w:r>
    </w:p>
    <w:tbl>
      <w:tblPr>
        <w:tblW w:type="auto" w:w="0"/>
        <w:tblLayout w:type="fixed"/>
        <w:tblLook w:firstColumn="1" w:firstRow="1" w:lastColumn="0" w:lastRow="0" w:noHBand="0" w:noVBand="1" w:val="04A0"/>
      </w:tblPr>
      <w:tblGrid>
        <w:gridCol w:w="4986"/>
        <w:gridCol w:w="4986"/>
      </w:tblGrid>
      <w:tr>
        <w:tc>
          <w:tcPr>
            <w:tcW w:type="dxa" w:w="46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Bullish factors (upside risks)</w:t>
            </w:r>
          </w:p>
        </w:tc>
        <w:tc>
          <w:tcPr>
            <w:tcW w:type="dxa" w:w="46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Bearish factors (downside risks)</w:t>
            </w:r>
          </w:p>
        </w:tc>
      </w:tr>
      <w:tr>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Cross-Atlantic AI risk-on tailwind (S&amp;P 500 / Nasdaq records)</w:t>
            </w:r>
          </w:p>
        </w:tc>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RSI2 stretched at ~88; technical overhead at 10,420–10,500</w:t>
            </w:r>
          </w:p>
        </w:tc>
      </w:tr>
      <w:tr>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4/4 counters confirm bullish short-term direction (USDX, S&amp;P, DAX, STOXX)</w:t>
            </w:r>
          </w:p>
        </w:tc>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Weekly P (10,428) and monthly P (10,400) overhead resistance</w:t>
            </w:r>
          </w:p>
        </w:tc>
      </w:tr>
      <w:tr>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Banks and miners rotation healthy (Antofagasta, HSBC, Lloyds, Barclays leadership)</w:t>
            </w:r>
          </w:p>
        </w:tc>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21 May UK CPI release — highest-impact event in the window</w:t>
            </w:r>
          </w:p>
        </w:tc>
      </w:tr>
      <w:tr>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KER trending up; medium-term TREND_UP regime intact</w:t>
            </w:r>
          </w:p>
        </w:tc>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Vistry-style consumer/housebuilder warnings; tail risk to retail sentiment</w:t>
            </w:r>
          </w:p>
        </w:tc>
      </w:tr>
      <w:tr>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Brent at ~$100/bbl supports FTSE energy weight (~15% of index)</w:t>
            </w:r>
          </w:p>
        </w:tc>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Sustained Brent strength = sustained CPI risk — eventually rate-hawkish</w:t>
            </w:r>
          </w:p>
        </w:tc>
      </w:tr>
      <w:tr>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GBP weakness vs USD (DXY rising) flatters multinational earnings translation</w:t>
            </w:r>
          </w:p>
        </w:tc>
        <w:tc>
          <w:tcPr>
            <w:tcW w:type="dxa" w:w="46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political-tax narrative remains live; reversal could pressure banks again</w:t>
            </w:r>
          </w:p>
        </w:tc>
      </w:tr>
      <w:tr>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Strait of Hormuz free-passage signal could de-risk shipping costs</w:t>
            </w:r>
          </w:p>
        </w:tc>
        <w:tc>
          <w:tcPr>
            <w:tcW w:type="dxa" w:w="46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AI-trade unwind risk; if Nvidia 20 May earnings disappoint, beta unwinds</w:t>
            </w:r>
          </w:p>
        </w:tc>
      </w:tr>
    </w:tbl>
    <w:p>
      <w:pPr>
        <w:spacing w:before="240" w:after="120"/>
        <w:pBdr>
          <w:bottom w:val="single" w:sz="8" w:color="1F3A5F"/>
        </w:pBdr>
      </w:pPr>
      <w:r>
        <w:rPr>
          <w:rFonts w:ascii="Calibri" w:hAnsi="Calibri"/>
          <w:b/>
          <w:color w:val="1F3A5F"/>
          <w:sz w:val="26"/>
        </w:rPr>
        <w:t>§16  Forward View</w:t>
      </w:r>
    </w:p>
    <w:p>
      <w:pPr>
        <w:spacing w:after="80"/>
      </w:pPr>
      <w:r>
        <w:rPr>
          <w:rFonts w:ascii="Calibri" w:hAnsi="Calibri"/>
          <w:b w:val="0"/>
          <w:i w:val="0"/>
          <w:sz w:val="22"/>
        </w:rPr>
        <w:t>Base case (next 5 trading days): FTSE 100 trades in a 10,300–10,500 range, with bias to the upper half on momentum continuation. Expected drift higher into the weekly R1 cluster (10,427–10,500), where supply density should slow the move pending the 21 May UK CPI catalyst.</w:t>
      </w:r>
    </w:p>
    <w:p>
      <w:pPr>
        <w:spacing w:after="80"/>
      </w:pPr>
      <w:r>
        <w:rPr>
          <w:rFonts w:ascii="Calibri" w:hAnsi="Calibri"/>
          <w:b w:val="0"/>
          <w:i w:val="0"/>
          <w:sz w:val="22"/>
        </w:rPr>
        <w:t>Upside scenario: A clean break and 1-hour acceptance above 10,500 opens the 10,600 zone (weekly R2 10,603) and reactivates the 10,800-handle / February all-time-high conversation.</w:t>
      </w:r>
    </w:p>
    <w:p>
      <w:pPr>
        <w:spacing w:after="80"/>
      </w:pPr>
      <w:r>
        <w:rPr>
          <w:rFonts w:ascii="Calibri" w:hAnsi="Calibri"/>
          <w:b w:val="0"/>
          <w:i w:val="0"/>
          <w:sz w:val="22"/>
        </w:rPr>
        <w:t>Downside scenario: A reversal below daily P (10,346) restores the 12 May low (~10,250) as the next objective; sustained weakness below 10,250 invites a test of monthly S2 (~10,100). Trigger conditions: (a) a hot UK CPI print 21 May above ~3.5%, OR (b) a sharp AI-trade unwind led by Nvidia post-earnings.</w:t>
      </w:r>
    </w:p>
    <w:p>
      <w:pPr>
        <w:spacing w:after="80"/>
      </w:pPr>
      <w:r>
        <w:rPr>
          <w:rFonts w:ascii="Calibri" w:hAnsi="Calibri"/>
          <w:b w:val="0"/>
          <w:i w:val="0"/>
          <w:sz w:val="22"/>
        </w:rPr>
        <w:t>Base case invalidation: Two consecutive closes below the weekly S1 (~10,316) invalidate the bullish short-term view and shift the working bias to neutral-bearish.</w:t>
      </w:r>
    </w:p>
    <w:p>
      <w:pPr>
        <w:spacing w:after="160"/>
      </w:pPr>
      <w:r>
        <w:rPr>
          <w:rFonts w:ascii="Calibri" w:hAnsi="Calibri"/>
          <w:b w:val="0"/>
          <w:i/>
          <w:sz w:val="20"/>
        </w:rPr>
        <w:t>Regime respect statement: This view RESPECTS the 5-week regime classification (TREND_UP — Transitional) and is consistent with the directional read from §10 cross-asset analysis (CONFIRM).</w:t>
      </w:r>
    </w:p>
    <w:p>
      <w:pPr>
        <w:spacing w:before="240" w:after="120"/>
        <w:pBdr>
          <w:bottom w:val="single" w:sz="8" w:color="1F3A5F"/>
        </w:pBdr>
      </w:pPr>
      <w:r>
        <w:rPr>
          <w:rFonts w:ascii="Calibri" w:hAnsi="Calibri"/>
          <w:b/>
          <w:color w:val="1F3A5F"/>
          <w:sz w:val="26"/>
        </w:rPr>
        <w:t>§17  Forecast (one sentence)</w:t>
      </w:r>
    </w:p>
    <w:p>
      <w:pPr>
        <w:spacing w:after="160"/>
      </w:pPr>
      <w:r>
        <w:rPr>
          <w:rFonts w:ascii="Calibri" w:hAnsi="Calibri"/>
          <w:b/>
          <w:i w:val="0"/>
          <w:sz w:val="23"/>
        </w:rPr>
        <w:t>Bullish drift toward the 10,427–10,500 overhead cluster is the operative bias for the 15 May session and into the early part of next week, with the 21 May UK CPI print the single most likely catalyst to either accelerate the move or terminate it.</w:t>
      </w:r>
    </w:p>
    <w:p>
      <w:pPr>
        <w:spacing w:before="240" w:after="120"/>
        <w:pBdr>
          <w:bottom w:val="single" w:sz="8" w:color="1F3A5F"/>
        </w:pBdr>
      </w:pPr>
      <w:r>
        <w:rPr>
          <w:rFonts w:ascii="Calibri" w:hAnsi="Calibri"/>
          <w:b/>
          <w:color w:val="1F3A5F"/>
          <w:sz w:val="26"/>
        </w:rPr>
        <w:t>§18  Final Analyst Judgement</w:t>
      </w:r>
    </w:p>
    <w:tbl>
      <w:tblPr>
        <w:tblW w:type="auto" w:w="0"/>
        <w:tblLayout w:type="fixed"/>
        <w:tblLook w:firstColumn="1" w:firstRow="1" w:lastColumn="0" w:lastRow="0" w:noHBand="0" w:noVBand="1" w:val="04A0"/>
      </w:tblPr>
      <w:tblGrid>
        <w:gridCol w:w="4986"/>
        <w:gridCol w:w="4986"/>
      </w:tblGrid>
      <w:tr>
        <w:tc>
          <w:tcPr>
            <w:tcW w:type="dxa" w:w="345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Element</w:t>
            </w:r>
          </w:p>
        </w:tc>
        <w:tc>
          <w:tcPr>
            <w:tcW w:type="dxa" w:w="590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r>
      <w:tr>
        <w:tc>
          <w:tcPr>
            <w:tcW w:type="dxa" w:w="345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Consensus price call (FTSE 100, 14 May close)</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10,372.93</w:t>
            </w:r>
          </w:p>
        </w:tc>
      </w:tr>
      <w:tr>
        <w:tc>
          <w:tcPr>
            <w:tcW w:type="dxa" w:w="345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Pre-open anchor view (15 May, 07:00 UK)</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10,360 – 10,410</w:t>
            </w:r>
          </w:p>
        </w:tc>
      </w:tr>
      <w:tr>
        <w:tc>
          <w:tcPr>
            <w:tcW w:type="dxa" w:w="345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Confidence</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w:t>
            </w:r>
          </w:p>
        </w:tc>
      </w:tr>
      <w:tr>
        <w:tc>
          <w:tcPr>
            <w:tcW w:type="dxa" w:w="345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Bullish short-term; neutral medium-term</w:t>
            </w:r>
          </w:p>
        </w:tc>
      </w:tr>
      <w:tr>
        <w:tc>
          <w:tcPr>
            <w:tcW w:type="dxa" w:w="345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Reason 1</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5-day reversal pattern off oversold (RSI2 from sub-10 to ~88) with sequence assessment moving to CONTINUATION-UP</w:t>
            </w:r>
          </w:p>
        </w:tc>
      </w:tr>
      <w:tr>
        <w:tc>
          <w:tcPr>
            <w:tcW w:type="dxa" w:w="345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Reason 2</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4/4 counter assets CONFIRM (USDX, S&amp;P 500, DAX, STOXX 50) — cross-asset alignment unusually clean</w:t>
            </w:r>
          </w:p>
        </w:tc>
      </w:tr>
      <w:tr>
        <w:tc>
          <w:tcPr>
            <w:tcW w:type="dxa" w:w="345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Reason 3</w:t>
            </w:r>
          </w:p>
        </w:tc>
        <w:tc>
          <w:tcPr>
            <w:tcW w:type="dxa" w:w="59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Sector rotation healthy (banks + miners leadership) — not a single-sector squeeze</w:t>
            </w:r>
          </w:p>
        </w:tc>
      </w:tr>
      <w:tr>
        <w:tc>
          <w:tcPr>
            <w:tcW w:type="dxa" w:w="345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 watch item</w:t>
            </w:r>
          </w:p>
        </w:tc>
        <w:tc>
          <w:tcPr>
            <w:tcW w:type="dxa" w:w="59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UK CPI April release on 21 May — if above 3.5%, invalidate bullish bias</w:t>
            </w:r>
          </w:p>
        </w:tc>
      </w:tr>
    </w:tbl>
    <w:p>
      <w:pPr>
        <w:spacing w:before="240" w:after="120"/>
        <w:pBdr>
          <w:bottom w:val="single" w:sz="8" w:color="1F3A5F"/>
        </w:pBdr>
      </w:pPr>
      <w:r>
        <w:rPr>
          <w:rFonts w:ascii="Calibri" w:hAnsi="Calibri"/>
          <w:b/>
          <w:color w:val="1F3A5F"/>
          <w:sz w:val="26"/>
        </w:rPr>
        <w:t>§19  Source Discipline Note</w:t>
      </w:r>
    </w:p>
    <w:p>
      <w:pPr>
        <w:spacing w:after="80"/>
      </w:pPr>
      <w:r>
        <w:rPr>
          <w:rFonts w:ascii="Calibri" w:hAnsi="Calibri"/>
          <w:b w:val="0"/>
          <w:i w:val="0"/>
          <w:sz w:val="22"/>
        </w:rPr>
        <w:t>Live vs indicative data: FTSE 100 close 10,372.93 corroborated by Yahoo Finance and Trading Economics within the ±0.10 pt tolerance for equity indices. EURO STOXX 50 close 5,931 is SINGLE-SOURCE (Trading Economics primary; Yahoo's intraday Zurich-derived value at 5,998.88 not aligned to official close time) — flagged INDICATIVE ONLY. The 14 May FTSE intraday low (10,266.14) and high (~10,400) are from Investing.com session-range; the high carries a moderate single-source tag because Yahoo's intraday extrema were not separately fetched.</w:t>
      </w:r>
    </w:p>
    <w:p>
      <w:pPr>
        <w:spacing w:after="80"/>
      </w:pPr>
      <w:r>
        <w:rPr>
          <w:rFonts w:ascii="Calibri" w:hAnsi="Calibri"/>
          <w:b/>
          <w:i w:val="0"/>
          <w:sz w:val="22"/>
        </w:rPr>
        <w:t>Pivot corroboration status by timeframe:</w:t>
      </w:r>
    </w:p>
    <w:tbl>
      <w:tblPr>
        <w:tblW w:type="auto" w:w="0"/>
        <w:tblLayout w:type="fixed"/>
        <w:tblLook w:firstColumn="1" w:firstRow="1" w:lastColumn="0" w:lastRow="0" w:noHBand="0" w:noVBand="1" w:val="04A0"/>
      </w:tblPr>
      <w:tblGrid>
        <w:gridCol w:w="3324"/>
        <w:gridCol w:w="3324"/>
        <w:gridCol w:w="3324"/>
      </w:tblGrid>
      <w:tr>
        <w:tc>
          <w:tcPr>
            <w:tcW w:type="dxa" w:w="244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Timeframe</w:t>
            </w:r>
          </w:p>
        </w:tc>
        <w:tc>
          <w:tcPr>
            <w:tcW w:type="dxa" w:w="374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Prior-period H/L/C basis</w:t>
            </w:r>
          </w:p>
        </w:tc>
        <w:tc>
          <w:tcPr>
            <w:tcW w:type="dxa" w:w="316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Corroboration status</w:t>
            </w:r>
          </w:p>
        </w:tc>
      </w:tr>
      <w:tr>
        <w:tc>
          <w:tcPr>
            <w:tcW w:type="dxa" w:w="24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Daily (basis 14 May session)</w:t>
            </w:r>
          </w:p>
        </w:tc>
        <w:tc>
          <w:tcPr>
            <w:tcW w:type="dxa" w:w="374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10,400 / 10,266.14 / 10,372.93</w:t>
            </w:r>
          </w:p>
        </w:tc>
        <w:tc>
          <w:tcPr>
            <w:tcW w:type="dxa" w:w="31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on close; intraday H/L single-source</w:t>
            </w:r>
          </w:p>
        </w:tc>
      </w:tr>
      <w:tr>
        <w:tc>
          <w:tcPr>
            <w:tcW w:type="dxa" w:w="244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Weekly (basis prior week)</w:t>
            </w:r>
          </w:p>
        </w:tc>
        <w:tc>
          <w:tcPr>
            <w:tcW w:type="dxa" w:w="374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~10,540 / ~10,365 / 10,379 (indic.)</w:t>
            </w:r>
          </w:p>
        </w:tc>
        <w:tc>
          <w:tcPr>
            <w:tcW w:type="dxa" w:w="31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 INDICATIVE ONLY (intraweek H/L not corroborated)</w:t>
            </w:r>
          </w:p>
        </w:tc>
      </w:tr>
      <w:tr>
        <w:tc>
          <w:tcPr>
            <w:tcW w:type="dxa" w:w="244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Monthly (basis April)</w:t>
            </w:r>
          </w:p>
        </w:tc>
        <w:tc>
          <w:tcPr>
            <w:tcW w:type="dxa" w:w="374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~10,800 / ~10,150 / 10,425 (indic.)</w:t>
            </w:r>
          </w:p>
        </w:tc>
        <w:tc>
          <w:tcPr>
            <w:tcW w:type="dxa" w:w="31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SINGLE-SOURCE — INDICATIVE ONLY</w:t>
            </w:r>
          </w:p>
        </w:tc>
      </w:tr>
    </w:tbl>
    <w:p>
      <w:pPr>
        <w:spacing w:after="80"/>
      </w:pPr>
      <w:r>
        <w:rPr>
          <w:rFonts w:ascii="Calibri" w:hAnsi="Calibri"/>
          <w:b w:val="0"/>
          <w:i w:val="0"/>
          <w:sz w:val="22"/>
        </w:rPr>
        <w:t>Normalisation assumptions: FTSE 100 in GBP, cash basis; STOXX 50 in EUR, cash basis (Xetra reference); no FX adjustment applied because both indices are reported in native currency. Pivot calculations use the standard floor-pivot formula with no smoothing or weighting.</w:t>
      </w:r>
    </w:p>
    <w:p>
      <w:pPr>
        <w:spacing w:after="160"/>
      </w:pPr>
      <w:r>
        <w:rPr>
          <w:rFonts w:ascii="Calibri" w:hAnsi="Calibri"/>
          <w:b w:val="0"/>
          <w:i/>
          <w:sz w:val="20"/>
        </w:rPr>
        <w:t>Data gaps: No real-time intraday tick data for 15 May (report is pre-open). No Bloomberg consensus available in this session. STOXX 50 multi-day OHLC has wider error bars than the FTSE.</w:t>
      </w:r>
    </w:p>
    <w:p>
      <w:pPr>
        <w:spacing w:before="240" w:after="120"/>
        <w:pBdr>
          <w:bottom w:val="single" w:sz="8" w:color="1F3A5F"/>
        </w:pBdr>
      </w:pPr>
      <w:r>
        <w:rPr>
          <w:rFonts w:ascii="Calibri" w:hAnsi="Calibri"/>
          <w:b/>
          <w:color w:val="1F3A5F"/>
          <w:sz w:val="26"/>
        </w:rPr>
        <w:t>§20  Agent Log</w:t>
      </w:r>
    </w:p>
    <w:p>
      <w:pPr>
        <w:spacing w:after="80"/>
      </w:pPr>
      <w:r>
        <w:rPr>
          <w:rFonts w:ascii="Calibri" w:hAnsi="Calibri"/>
          <w:b w:val="0"/>
          <w:i w:val="0"/>
          <w:sz w:val="22"/>
        </w:rPr>
        <w:t>Run configuration: Daily pre-open anchor OVERRIDDEN per instruction — anchor moved forward to 07:00 UK on Friday 15 May 2026, basis Thursday 14 May 2026 close. Standard anchor of 07:00 UK was preserved (no time-of-day change); only the calendar date was rolled forward.</w:t>
      </w:r>
    </w:p>
    <w:p>
      <w:pPr>
        <w:spacing w:after="80"/>
      </w:pPr>
      <w:r>
        <w:rPr>
          <w:rFonts w:ascii="Calibri" w:hAnsi="Calibri"/>
          <w:b w:val="0"/>
          <w:i w:val="0"/>
          <w:sz w:val="22"/>
        </w:rPr>
        <w:t>Strategies module: ENABLED. Per explicit user override, trade-strategy output IS NOT SUPPRESSED despite SINGLE-SOURCE-INDICATIVE flags on weekly and monthly pivot tiers. This is a documented deviation from the standing suppression rule; the trade cards in §21 therefore carry an elevated-uncertainty disclaimer.</w:t>
      </w:r>
    </w:p>
    <w:p>
      <w:pPr>
        <w:spacing w:after="80"/>
      </w:pPr>
      <w:r>
        <w:rPr>
          <w:rFonts w:ascii="Calibri" w:hAnsi="Calibri"/>
          <w:b/>
          <w:i w:val="0"/>
          <w:sz w:val="22"/>
        </w:rPr>
        <w:t>Sources attempted (primary asset FTSE 100):</w:t>
      </w:r>
    </w:p>
    <w:tbl>
      <w:tblPr>
        <w:tblW w:type="auto" w:w="0"/>
        <w:tblLayout w:type="fixed"/>
        <w:tblLook w:firstColumn="1" w:firstRow="1" w:lastColumn="0" w:lastRow="0" w:noHBand="0" w:noVBand="1" w:val="04A0"/>
      </w:tblPr>
      <w:tblGrid>
        <w:gridCol w:w="2493"/>
        <w:gridCol w:w="2493"/>
        <w:gridCol w:w="2493"/>
        <w:gridCol w:w="2493"/>
      </w:tblGrid>
      <w:tr>
        <w:tc>
          <w:tcPr>
            <w:tcW w:type="dxa" w:w="72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Rank</w:t>
            </w:r>
          </w:p>
        </w:tc>
        <w:tc>
          <w:tcPr>
            <w:tcW w:type="dxa" w:w="360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Tier</w:t>
            </w:r>
          </w:p>
        </w:tc>
        <w:tc>
          <w:tcPr>
            <w:tcW w:type="dxa" w:w="28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Outcome</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 (^FTSE)</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3 (per 2025 demotion)</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on close (10,372.93)</w:t>
            </w:r>
          </w:p>
        </w:tc>
      </w:tr>
      <w:tr>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w:t>
            </w:r>
          </w:p>
        </w:tc>
        <w:tc>
          <w:tcPr>
            <w:tcW w:type="dxa" w:w="360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 (GB100)</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2</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on close (+0.46%, ~10,373)</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3</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 (UK 100 historical)</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2</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Corroborated on session range (10,266.14–10,360.51)</w:t>
            </w:r>
          </w:p>
        </w:tc>
      </w:tr>
      <w:tr>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4</w:t>
            </w:r>
          </w:p>
        </w:tc>
        <w:tc>
          <w:tcPr>
            <w:tcW w:type="dxa" w:w="360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Google Finance (UKX:INDEXFTSE)</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3</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Page accessed; close confirmed directionally</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London Stock Exchange page</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1</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Page returned without parseable closing tick — failed-parse</w:t>
            </w:r>
          </w:p>
        </w:tc>
      </w:tr>
      <w:tr>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6</w:t>
            </w:r>
          </w:p>
        </w:tc>
        <w:tc>
          <w:tcPr>
            <w:tcW w:type="dxa" w:w="360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FTSE Russell official factsheet</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1</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attempted in this session (typically T+1 publication)</w:t>
            </w:r>
          </w:p>
        </w:tc>
      </w:tr>
    </w:tbl>
    <w:p>
      <w:pPr>
        <w:spacing w:after="80"/>
      </w:pPr>
      <w:r>
        <w:rPr>
          <w:rFonts w:ascii="Calibri" w:hAnsi="Calibri"/>
          <w:b/>
          <w:i w:val="0"/>
          <w:sz w:val="22"/>
        </w:rPr>
        <w:t>Sources attempted (secondary asset EURO STOXX 50):</w:t>
      </w:r>
    </w:p>
    <w:tbl>
      <w:tblPr>
        <w:tblW w:type="auto" w:w="0"/>
        <w:tblLayout w:type="fixed"/>
        <w:tblLook w:firstColumn="1" w:firstRow="1" w:lastColumn="0" w:lastRow="0" w:noHBand="0" w:noVBand="1" w:val="04A0"/>
      </w:tblPr>
      <w:tblGrid>
        <w:gridCol w:w="2493"/>
        <w:gridCol w:w="2493"/>
        <w:gridCol w:w="2493"/>
        <w:gridCol w:w="2493"/>
      </w:tblGrid>
      <w:tr>
        <w:tc>
          <w:tcPr>
            <w:tcW w:type="dxa" w:w="72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Rank</w:t>
            </w:r>
          </w:p>
        </w:tc>
        <w:tc>
          <w:tcPr>
            <w:tcW w:type="dxa" w:w="360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Source</w:t>
            </w:r>
          </w:p>
        </w:tc>
        <w:tc>
          <w:tcPr>
            <w:tcW w:type="dxa" w:w="216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Tier</w:t>
            </w:r>
          </w:p>
        </w:tc>
        <w:tc>
          <w:tcPr>
            <w:tcW w:type="dxa" w:w="2880"/>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Outcome</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Trading Economics (EU50)</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2</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Close 5,931 (+1.2%) — single-source</w:t>
            </w:r>
          </w:p>
        </w:tc>
      </w:tr>
      <w:tr>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w:t>
            </w:r>
          </w:p>
        </w:tc>
        <w:tc>
          <w:tcPr>
            <w:tcW w:type="dxa" w:w="360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Yahoo Finance (^STOXX50E)</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3</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Intraday quote 5,998.88 (Zurich) — not close-time-aligned</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3</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STOXX Ltd index page</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1</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Page accessed; current tick not parseable in this session</w:t>
            </w:r>
          </w:p>
        </w:tc>
      </w:tr>
      <w:tr>
        <w:tc>
          <w:tcPr>
            <w:tcW w:type="dxa" w:w="72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4</w:t>
            </w:r>
          </w:p>
        </w:tc>
        <w:tc>
          <w:tcPr>
            <w:tcW w:type="dxa" w:w="360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Bloomberg SX5E</w:t>
            </w:r>
          </w:p>
        </w:tc>
        <w:tc>
          <w:tcPr>
            <w:tcW w:type="dxa" w:w="216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1</w:t>
            </w:r>
          </w:p>
        </w:tc>
        <w:tc>
          <w:tcPr>
            <w:tcW w:type="dxa" w:w="2880"/>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Page accessed; no parseable close</w:t>
            </w:r>
          </w:p>
        </w:tc>
      </w:tr>
      <w:tr>
        <w:tc>
          <w:tcPr>
            <w:tcW w:type="dxa" w:w="72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5</w:t>
            </w:r>
          </w:p>
        </w:tc>
        <w:tc>
          <w:tcPr>
            <w:tcW w:type="dxa" w:w="360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Investing.com (Euro Stoxx 50)</w:t>
            </w:r>
          </w:p>
        </w:tc>
        <w:tc>
          <w:tcPr>
            <w:tcW w:type="dxa" w:w="216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Tier 2</w:t>
            </w:r>
          </w:p>
        </w:tc>
        <w:tc>
          <w:tcPr>
            <w:tcW w:type="dxa" w:w="2880"/>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Open 6,044.36 quoted — close not explicit</w:t>
            </w:r>
          </w:p>
        </w:tc>
      </w:tr>
    </w:tbl>
    <w:p>
      <w:pPr>
        <w:spacing w:after="80"/>
      </w:pPr>
      <w:r>
        <w:rPr>
          <w:rFonts w:ascii="Calibri" w:hAnsi="Calibri"/>
          <w:b w:val="0"/>
          <w:i w:val="0"/>
          <w:sz w:val="22"/>
        </w:rPr>
        <w:t>Sentiment derivation: 7 articles spanning 13–14 May 2026; weighted mean tilt +0.21 (BULLISH short-term). Confidence: moderate (sample n = 7; pre-event window — UK CPI ahead).</w:t>
      </w:r>
    </w:p>
    <w:p>
      <w:pPr>
        <w:spacing w:after="80"/>
      </w:pPr>
      <w:r>
        <w:rPr>
          <w:rFonts w:ascii="Calibri" w:hAnsi="Calibri"/>
          <w:b w:val="0"/>
          <w:i w:val="0"/>
          <w:sz w:val="22"/>
        </w:rPr>
        <w:t>Forecast reasoning: Driven by §9 integration note (TREND_UP — Transitional + KER MODERATE) and §13b aggregate sentiment direction (+0.21). Independent of §21 trade cards.</w:t>
      </w:r>
    </w:p>
    <w:p>
      <w:pPr>
        <w:spacing w:after="80"/>
      </w:pPr>
      <w:r>
        <w:rPr>
          <w:rFonts w:ascii="Calibri" w:hAnsi="Calibri"/>
          <w:b w:val="0"/>
          <w:i w:val="0"/>
          <w:sz w:val="22"/>
        </w:rPr>
        <w:t>Backtest reconstruction notes: 5 prior sessions (8–14 May) replayed with no leakage; sentiment freeze rule applied (tilt held at +0.21 throughout the reconstruction window for consistency).</w:t>
      </w:r>
    </w:p>
    <w:p>
      <w:pPr>
        <w:spacing w:after="80"/>
      </w:pPr>
      <w:r>
        <w:rPr>
          <w:rFonts w:ascii="Calibri" w:hAnsi="Calibri"/>
          <w:b w:val="0"/>
          <w:i w:val="0"/>
          <w:sz w:val="22"/>
        </w:rPr>
        <w:t>Direction-score weights basis: DEFAULT (no tuning) — v2.1 baseline. Locked for the first 20 forward-test sessions per the standard lock rule. Current session is within the lock window.</w:t>
      </w:r>
    </w:p>
    <w:p>
      <w:pPr>
        <w:spacing w:after="80"/>
      </w:pPr>
      <w:r>
        <w:rPr>
          <w:rFonts w:ascii="Calibri" w:hAnsi="Calibri"/>
          <w:b/>
          <w:i w:val="0"/>
          <w:sz w:val="22"/>
        </w:rPr>
        <w:t>Anomalies / deviations from standard process:</w:t>
      </w:r>
    </w:p>
    <w:p>
      <w:pPr>
        <w:spacing w:after="160"/>
      </w:pPr>
      <w:r>
        <w:rPr>
          <w:rFonts w:ascii="Calibri" w:hAnsi="Calibri"/>
          <w:b w:val="0"/>
          <w:i w:val="0"/>
          <w:sz w:val="22"/>
        </w:rPr>
        <w:t>(a) User instruction to override the daily-open anchor — applied as described above. (b) User instruction to NOT suppress trading strategies despite single-source-indicative pivot tiers — applied; standard suppression rule explicitly overridden for this session. (c) STOXX 50 close uncorroborated on its own time-aligned close — flagged INDICATIVE and documented in §19. (d) Timestamp: this report compiled at 07:00 UK on 15 May 2026 (Europe/London).</w:t>
      </w:r>
    </w:p>
    <w:p>
      <w:pPr>
        <w:spacing w:before="240" w:after="120"/>
        <w:pBdr>
          <w:bottom w:val="single" w:sz="8" w:color="1F3A5F"/>
        </w:pBdr>
      </w:pPr>
      <w:r>
        <w:rPr>
          <w:rFonts w:ascii="Calibri" w:hAnsi="Calibri"/>
          <w:b/>
          <w:color w:val="1F3A5F"/>
          <w:sz w:val="26"/>
        </w:rPr>
        <w:t>§21  Strategy Recommendations</w:t>
      </w:r>
    </w:p>
    <w:p>
      <w:pPr>
        <w:spacing w:after="80"/>
      </w:pPr>
      <w:r>
        <w:rPr>
          <w:rFonts w:ascii="Calibri" w:hAnsi="Calibri"/>
          <w:b/>
          <w:i w:val="0"/>
          <w:sz w:val="24"/>
        </w:rPr>
        <w:t>§21a — Directional Conviction Summary</w:t>
      </w:r>
    </w:p>
    <w:p>
      <w:pPr>
        <w:spacing w:after="80"/>
      </w:pPr>
      <w:r>
        <w:rPr>
          <w:rFonts w:ascii="Calibri" w:hAnsi="Calibri"/>
          <w:b w:val="0"/>
          <w:i w:val="0"/>
          <w:sz w:val="22"/>
        </w:rPr>
        <w:t>Direction-score calculation (weighted, defaults locked):</w:t>
      </w:r>
    </w:p>
    <w:tbl>
      <w:tblPr>
        <w:tblW w:type="auto" w:w="0"/>
        <w:tblLayout w:type="fixed"/>
        <w:tblLook w:firstColumn="1" w:firstRow="1" w:lastColumn="0" w:lastRow="0" w:noHBand="0" w:noVBand="1" w:val="04A0"/>
      </w:tblPr>
      <w:tblGrid>
        <w:gridCol w:w="2493"/>
        <w:gridCol w:w="2493"/>
        <w:gridCol w:w="2493"/>
        <w:gridCol w:w="2493"/>
      </w:tblGrid>
      <w:tr>
        <w:tc>
          <w:tcPr>
            <w:tcW w:type="dxa" w:w="46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Signal</w:t>
            </w:r>
          </w:p>
        </w:tc>
        <w:tc>
          <w:tcPr>
            <w:tcW w:type="dxa" w:w="115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c>
          <w:tcPr>
            <w:tcW w:type="dxa" w:w="129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Weight</w:t>
            </w:r>
          </w:p>
        </w:tc>
        <w:tc>
          <w:tcPr>
            <w:tcW w:type="dxa" w:w="2304"/>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Contribution</w:t>
            </w:r>
          </w:p>
        </w:tc>
      </w:tr>
      <w:tr>
        <w:tc>
          <w:tcPr>
            <w:tcW w:type="dxa" w:w="46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Short-term technical bias (RSI2 ~88, 5-day trend bullish)</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0.25</w:t>
            </w:r>
          </w:p>
        </w:tc>
        <w:tc>
          <w:tcPr>
            <w:tcW w:type="dxa" w:w="23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+0.250</w:t>
            </w:r>
          </w:p>
        </w:tc>
      </w:tr>
      <w:tr>
        <w:tc>
          <w:tcPr>
            <w:tcW w:type="dxa" w:w="46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Medium-term regime (TREND_UP — Transitional)</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+0.5</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0.20</w:t>
            </w:r>
          </w:p>
        </w:tc>
        <w:tc>
          <w:tcPr>
            <w:tcW w:type="dxa" w:w="23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+0.100</w:t>
            </w:r>
          </w:p>
        </w:tc>
      </w:tr>
      <w:tr>
        <w:tc>
          <w:tcPr>
            <w:tcW w:type="dxa" w:w="46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VOLator slope (+0.05, mild expansion-up)</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+0.5</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0.10</w:t>
            </w:r>
          </w:p>
        </w:tc>
        <w:tc>
          <w:tcPr>
            <w:tcW w:type="dxa" w:w="23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+0.050</w:t>
            </w:r>
          </w:p>
        </w:tc>
      </w:tr>
      <w:tr>
        <w:tc>
          <w:tcPr>
            <w:tcW w:type="dxa" w:w="46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Kaufman KER (+0.18, Trending Up Moderate)</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+0.7</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0.15</w:t>
            </w:r>
          </w:p>
        </w:tc>
        <w:tc>
          <w:tcPr>
            <w:tcW w:type="dxa" w:w="23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+0.105</w:t>
            </w:r>
          </w:p>
        </w:tc>
      </w:tr>
      <w:tr>
        <w:tc>
          <w:tcPr>
            <w:tcW w:type="dxa" w:w="46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Sentiment tilt (M2 §13b aggregate)</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+0.21</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0.15</w:t>
            </w:r>
          </w:p>
        </w:tc>
        <w:tc>
          <w:tcPr>
            <w:tcW w:type="dxa" w:w="23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+0.032</w:t>
            </w:r>
          </w:p>
        </w:tc>
      </w:tr>
      <w:tr>
        <w:tc>
          <w:tcPr>
            <w:tcW w:type="dxa" w:w="46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Cross-asset confirm (4/4 confirm)</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w:t>
            </w:r>
          </w:p>
        </w:tc>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0.15</w:t>
            </w:r>
          </w:p>
        </w:tc>
        <w:tc>
          <w:tcPr>
            <w:tcW w:type="dxa" w:w="2304"/>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+0.150</w:t>
            </w:r>
          </w:p>
        </w:tc>
      </w:tr>
      <w:tr>
        <w:tc>
          <w:tcPr>
            <w:tcW w:type="dxa" w:w="46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TOTAL</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1.00</w:t>
            </w:r>
          </w:p>
        </w:tc>
        <w:tc>
          <w:tcPr>
            <w:tcW w:type="dxa" w:w="2304"/>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+0.687</w:t>
            </w:r>
          </w:p>
        </w:tc>
      </w:tr>
    </w:tbl>
    <w:p>
      <w:pPr>
        <w:spacing w:after="160"/>
      </w:pPr>
      <w:r>
        <w:rPr>
          <w:rFonts w:ascii="Calibri" w:hAnsi="Calibri"/>
          <w:b/>
          <w:i w:val="0"/>
          <w:sz w:val="22"/>
        </w:rPr>
        <w:t>Aggregate score: +0.69  →  direction = LONG (above conviction threshold 0.25). Conflict-with-forecast check: §17 forecast direction is bullish — NO CONFLICT.</w:t>
      </w:r>
    </w:p>
    <w:p>
      <w:pPr>
        <w:spacing w:after="80"/>
      </w:pPr>
      <w:r>
        <w:rPr>
          <w:rFonts w:ascii="Calibri" w:hAnsi="Calibri"/>
          <w:b/>
          <w:i w:val="0"/>
          <w:sz w:val="24"/>
        </w:rPr>
        <w:t>§21b — Trade Cards</w:t>
      </w:r>
    </w:p>
    <w:p>
      <w:pPr>
        <w:spacing w:after="80"/>
      </w:pPr>
      <w:r>
        <w:rPr>
          <w:rFonts w:ascii="Calibri" w:hAnsi="Calibri"/>
          <w:b/>
          <w:i w:val="0"/>
          <w:sz w:val="22"/>
        </w:rPr>
        <w:t>Trade 1 — Trend-following long (regime + direction-score)</w:t>
      </w:r>
    </w:p>
    <w:tbl>
      <w:tblPr>
        <w:tblW w:type="auto" w:w="0"/>
        <w:tblLayout w:type="fixed"/>
        <w:tblLook w:firstColumn="1" w:firstRow="1" w:lastColumn="0" w:lastRow="0" w:noHBand="0" w:noVBand="1" w:val="04A0"/>
      </w:tblPr>
      <w:tblGrid>
        <w:gridCol w:w="4986"/>
        <w:gridCol w:w="4986"/>
      </w:tblGrid>
      <w:tr>
        <w:tc>
          <w:tcPr>
            <w:tcW w:type="dxa" w:w="259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Element</w:t>
            </w:r>
          </w:p>
        </w:tc>
        <w:tc>
          <w:tcPr>
            <w:tcW w:type="dxa" w:w="676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type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Trend-following long (Trade 1)</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LONG</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Entry zone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10,370 – 10,380 (market on confirmation of 14 May close holding); or limit-buy zone 10,340–10,355 on a pullback to daily P</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loss (price)</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10,292 (weekly S1 10,316 minus 24-point ATR buffer)</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distance (R)</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~81 points  ·  ~81 points native unit</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TP1 (33%)</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10,454  (+81 points = +1R)  ·  at weekly R1 cluster</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TP2 (33%)</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10,535  (+162 points = +2R)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TP3 (34% runner)</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10,616  (+243 points = +3R)  ·  near weekly R2 (10,603) — runner cap</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Management</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After TP1 fill: stop to BE + 0.2·R = 10,386. After TP2 fill: stop to TP1 (10,454).</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Confluences</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Daily pivot supportive (P 10,346); 4/4 cross-asset confirm; KER moderate-up; sentiment +0.21</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Invalidation</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Two consecutive closes below 10,316 (weekly S1) invalidate; OR a hot UK CPI print 21 May above 3.5% triggers discretionary close</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Caveats</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Weekly/monthly pivot inputs SINGLE-SOURCE-INDICATIVE — confluence is suggestive not definitive. RSI2 already stretched at ~88.</w:t>
            </w:r>
          </w:p>
        </w:tc>
      </w:tr>
    </w:tbl>
    <w:p>
      <w:pPr>
        <w:spacing w:after="80"/>
      </w:pPr>
      <w:r>
        <w:rPr>
          <w:rFonts w:ascii="Calibri" w:hAnsi="Calibri"/>
          <w:b/>
          <w:i w:val="0"/>
          <w:sz w:val="22"/>
        </w:rPr>
        <w:t>Trade 2 — Pivot trade (regime-aware)</w:t>
      </w:r>
    </w:p>
    <w:p>
      <w:pPr>
        <w:spacing w:after="80"/>
      </w:pPr>
      <w:r>
        <w:rPr>
          <w:rFonts w:ascii="Calibri" w:hAnsi="Calibri"/>
          <w:b w:val="0"/>
          <w:i/>
          <w:sz w:val="20"/>
        </w:rPr>
        <w:t>Status: produced despite SINGLE-SOURCE-INDICATIVE flag on weekly/monthly pivot tiers, per the explicit instruction not to suppress strategies. Daily pivots are CORROBORATED; weekly/monthly are not.</w:t>
      </w:r>
    </w:p>
    <w:tbl>
      <w:tblPr>
        <w:tblW w:type="auto" w:w="0"/>
        <w:tblLayout w:type="fixed"/>
        <w:tblLook w:firstColumn="1" w:firstRow="1" w:lastColumn="0" w:lastRow="0" w:noHBand="0" w:noVBand="1" w:val="04A0"/>
      </w:tblPr>
      <w:tblGrid>
        <w:gridCol w:w="4986"/>
        <w:gridCol w:w="4986"/>
      </w:tblGrid>
      <w:tr>
        <w:tc>
          <w:tcPr>
            <w:tcW w:type="dxa" w:w="259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Element</w:t>
            </w:r>
          </w:p>
        </w:tc>
        <w:tc>
          <w:tcPr>
            <w:tcW w:type="dxa" w:w="676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type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Pivot trade — TREND_UP face-support buy (Trade 2)</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LONG</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Entry zone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10,293 (daily S1)  ·  alternative limit at S1.5 mid 10,320</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loss (price)</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10,200 (daily S2 10,212 minus 12-point buffer)</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distance (R)</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~93 points  ·  ~93 points native unit</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TP1 (33%)</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10,346  (+53 points = +0.57R)  ·  at daily P</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TP2 (33%)</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10,427  (+134 points = +1.44R)  ·  at daily R1 / weekly R1 cluster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TP3 (34% runner)</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10,480  (+187 points = +2.01R)  ·  at daily R2</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Management</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After TP1 fill: stop to BE + 0.2·R = 10,312. After TP2 fill: stop to 10,346.</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Confluences</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Daily S1 corroborated; weekly S1 (10,316 indic.) near entry; medium-term regime TREND_UP</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Invalidation</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Daily close below daily S3 10,159 closes the trade; aborts on 21 May CPI catalyst if still open</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Caveats</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Weekly/monthly pivot levels SINGLE-SOURCE-INDICATIVE. Trade 2 produced under explicit no-suppress instruction; treat as conditional reference only.</w:t>
            </w:r>
          </w:p>
        </w:tc>
      </w:tr>
    </w:tbl>
    <w:p>
      <w:pPr>
        <w:spacing w:after="80"/>
      </w:pPr>
      <w:r>
        <w:rPr>
          <w:rFonts w:ascii="Calibri" w:hAnsi="Calibri"/>
          <w:b/>
          <w:i w:val="0"/>
          <w:sz w:val="22"/>
        </w:rPr>
        <w:t>Trade 3A — Complex (regime-driven; TREND_UP fork → continuation breakout long)</w:t>
      </w:r>
    </w:p>
    <w:tbl>
      <w:tblPr>
        <w:tblW w:type="auto" w:w="0"/>
        <w:tblLayout w:type="fixed"/>
        <w:tblLook w:firstColumn="1" w:firstRow="1" w:lastColumn="0" w:lastRow="0" w:noHBand="0" w:noVBand="1" w:val="04A0"/>
      </w:tblPr>
      <w:tblGrid>
        <w:gridCol w:w="4986"/>
        <w:gridCol w:w="4986"/>
      </w:tblGrid>
      <w:tr>
        <w:tc>
          <w:tcPr>
            <w:tcW w:type="dxa" w:w="259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Element</w:t>
            </w:r>
          </w:p>
        </w:tc>
        <w:tc>
          <w:tcPr>
            <w:tcW w:type="dxa" w:w="676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Value</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type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Complex — Continuation breakout long (Trade 3A, TREND_UP fork)</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LONG</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Trigger</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Confirmed hourly close above 10,420 (daily R1 / weekly R1 cluster)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Entry zone</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10,420 – 10,430  ·  stop-entry order at 10,425</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loss (price)</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10,330 (10 points below daily P 10,346 buffer)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Stop distance (R)</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~95 points  ·  ~95 points native unit</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TP1 (33%)</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10,520  (+95 points = +1R)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TP2 (33%)</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10,615  (+190 points = +2R)  ·  near weekly R2 / monthly R1</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TP3 (34% runner)</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10,930  (+505 points)  ·  100% fib-extension target from April low → February high range</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Management (3A rule)</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Standard tranche management. On TP2 fill: pull stop to 100%-extension structural level (10,800) per Trade 3A runner-stop rule, NOT to TP2</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Confluences</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Direction score +0.69 ABOVE threshold; KER trending; 4/4 cross-asset CONFIRM; expansion-up VOLator</w:t>
            </w:r>
          </w:p>
        </w:tc>
      </w:tr>
      <w:tr>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Invalidation</w:t>
            </w:r>
          </w:p>
        </w:tc>
        <w:tc>
          <w:tcPr>
            <w:tcW w:type="dxa" w:w="676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Close back below 10,373 within 1 session after entry; OR 21 May CPI &gt; 3.5% triggers discretionary close</w:t>
            </w:r>
          </w:p>
        </w:tc>
      </w:tr>
      <w:tr>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Caveats</w:t>
            </w:r>
          </w:p>
        </w:tc>
        <w:tc>
          <w:tcPr>
            <w:tcW w:type="dxa" w:w="676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Requires a break above a single-source-indicative weekly R1; entry trigger is on hourly close which the engine cannot verify in this prep. Stretched RSI2 raises probability of a false breakout retest.</w:t>
            </w:r>
          </w:p>
        </w:tc>
      </w:tr>
    </w:tbl>
    <w:p>
      <w:pPr>
        <w:spacing w:after="80"/>
      </w:pPr>
      <w:r>
        <w:rPr>
          <w:rFonts w:ascii="Calibri" w:hAnsi="Calibri"/>
          <w:b/>
          <w:i w:val="0"/>
          <w:sz w:val="24"/>
        </w:rPr>
        <w:t>§21c — 5-Session Backtest (no-leakage reconstruction)</w:t>
      </w:r>
    </w:p>
    <w:tbl>
      <w:tblPr>
        <w:tblW w:type="auto" w:w="0"/>
        <w:tblLayout w:type="fixed"/>
        <w:tblLook w:firstColumn="1" w:firstRow="1" w:lastColumn="0" w:lastRow="0" w:noHBand="0" w:noVBand="1" w:val="04A0"/>
      </w:tblPr>
      <w:tblGrid>
        <w:gridCol w:w="1425"/>
        <w:gridCol w:w="1425"/>
        <w:gridCol w:w="1425"/>
        <w:gridCol w:w="1425"/>
        <w:gridCol w:w="1425"/>
        <w:gridCol w:w="1425"/>
        <w:gridCol w:w="1425"/>
      </w:tblGrid>
      <w:tr>
        <w:tc>
          <w:tcPr>
            <w:tcW w:type="dxa" w:w="129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Session</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Strategy</w:t>
            </w:r>
          </w:p>
        </w:tc>
        <w:tc>
          <w:tcPr>
            <w:tcW w:type="dxa" w:w="259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Trigger</w:t>
            </w:r>
          </w:p>
        </w:tc>
        <w:tc>
          <w:tcPr>
            <w:tcW w:type="dxa" w:w="1152"/>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Entry</w:t>
            </w:r>
          </w:p>
        </w:tc>
        <w:tc>
          <w:tcPr>
            <w:tcW w:type="dxa" w:w="172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Exit</w:t>
            </w:r>
          </w:p>
        </w:tc>
        <w:tc>
          <w:tcPr>
            <w:tcW w:type="dxa" w:w="1008"/>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Outcome (R)</w:t>
            </w:r>
          </w:p>
        </w:tc>
        <w:tc>
          <w:tcPr>
            <w:tcW w:type="dxa" w:w="576"/>
            <w:shd w:val="clear" w:color="auto" w:fill="1F3A5F"/>
            <w:tcBorders>
              <w:top w:val="single" w:sz="6" w:color="1F3A5F"/>
              <w:left w:val="single" w:sz="6" w:color="1F3A5F"/>
              <w:bottom w:val="single" w:sz="6" w:color="1F3A5F"/>
              <w:right w:val="single" w:sz="6" w:color="1F3A5F"/>
            </w:tcBorders>
            <w:vAlign w:val="center"/>
          </w:tcPr>
          <w:p>
            <w:pPr>
              <w:spacing w:after="40"/>
            </w:pPr>
            <w:r/>
            <w:r>
              <w:rPr>
                <w:rFonts w:ascii="Calibri" w:hAnsi="Calibri"/>
                <w:b/>
                <w:color w:val="FFFFFF"/>
                <w:sz w:val="20"/>
              </w:rPr>
              <w:t>Days</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8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1</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Triggered LONG (pre-decline)</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10,425</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SL 10,355</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-1.00R</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8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2</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 (no S1 fill)</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8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3A</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 (no breakout)</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11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1</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Suppressed — short-term direction score below threshold (RSI2 sub-30)</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SUPPRESSED</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11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2</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Triggered LONG at daily S1</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10,290</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SL 10,255</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-1.00R</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Mon 11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3A</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12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1</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Suppressed — direction NEUTRAL</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SUPPRESSED</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12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2</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Re-triggered LONG (oversold sequence)</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10,265</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TP2 10,375</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+1.78R</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Tue 12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3A</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13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1</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Triggered LONG on reversal</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10,295</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OPEN @ +0.85R (TP1 filled)</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OPEN +0.85R</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2 (open)</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13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2</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 (no S1 retest)</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Wed 13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3A</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 (no breakout above 10,420)</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14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1</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Already in position (carry)</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carry</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14 May</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2</w:t>
            </w:r>
          </w:p>
        </w:tc>
        <w:tc>
          <w:tcPr>
            <w:tcW w:type="dxa" w:w="259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Not triggered</w:t>
            </w:r>
          </w:p>
        </w:tc>
        <w:tc>
          <w:tcPr>
            <w:tcW w:type="dxa" w:w="1152"/>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n/a (skip)</w:t>
            </w:r>
          </w:p>
        </w:tc>
        <w:tc>
          <w:tcPr>
            <w:tcW w:type="dxa" w:w="576"/>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r>
        <w:tc>
          <w:tcPr>
            <w:tcW w:type="dxa" w:w="129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Thu 14 May</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Trade 3A</w:t>
            </w:r>
          </w:p>
        </w:tc>
        <w:tc>
          <w:tcPr>
            <w:tcW w:type="dxa" w:w="259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Pending trigger (close 10,373 below 10,420)</w:t>
            </w:r>
          </w:p>
        </w:tc>
        <w:tc>
          <w:tcPr>
            <w:tcW w:type="dxa" w:w="1152"/>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72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c>
          <w:tcPr>
            <w:tcW w:type="dxa" w:w="1008"/>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PENDING</w:t>
            </w:r>
          </w:p>
        </w:tc>
        <w:tc>
          <w:tcPr>
            <w:tcW w:type="dxa" w:w="576"/>
            <w:shd w:val="clear" w:color="auto" w:fill="F2F5FA"/>
            <w:tcBorders>
              <w:top w:val="single" w:sz="6" w:color="888888"/>
              <w:left w:val="single" w:sz="6" w:color="888888"/>
              <w:bottom w:val="single" w:sz="6" w:color="888888"/>
              <w:right w:val="single" w:sz="6" w:color="888888"/>
            </w:tcBorders>
            <w:vAlign w:val="center"/>
          </w:tcPr>
          <w:p>
            <w:pPr>
              <w:spacing w:after="40"/>
            </w:pPr>
            <w:r/>
            <w:r>
              <w:rPr>
                <w:rFonts w:ascii="Calibri" w:hAnsi="Calibri"/>
                <w:sz w:val="19"/>
              </w:rPr>
              <w:t>—</w:t>
            </w:r>
          </w:p>
        </w:tc>
      </w:tr>
    </w:tbl>
    <w:p>
      <w:pPr>
        <w:spacing w:after="80"/>
      </w:pPr>
      <w:r>
        <w:rPr>
          <w:rFonts w:ascii="Calibri" w:hAnsi="Calibri"/>
          <w:b/>
          <w:i w:val="0"/>
          <w:sz w:val="24"/>
        </w:rPr>
        <w:t>§21d — 'What is Working' Aggregate</w:t>
      </w:r>
    </w:p>
    <w:p>
      <w:pPr>
        <w:spacing w:after="80"/>
      </w:pPr>
      <w:r>
        <w:rPr>
          <w:rFonts w:ascii="Calibri" w:hAnsi="Calibri"/>
          <w:b w:val="0"/>
          <w:i w:val="0"/>
          <w:sz w:val="22"/>
        </w:rPr>
        <w:t>Trade 1 over the last 5 sessions: triggered 2/5 times, mean R = -0.08 (one -1.00R loss; one open at +0.85R with TP1 filled), hit rates TP1 / TP2 / TP3 = 50% / 0% / 0% (one open, one closed at SL).</w:t>
      </w:r>
    </w:p>
    <w:p>
      <w:pPr>
        <w:spacing w:after="80"/>
      </w:pPr>
      <w:r>
        <w:rPr>
          <w:rFonts w:ascii="Calibri" w:hAnsi="Calibri"/>
          <w:b w:val="0"/>
          <w:i w:val="0"/>
          <w:sz w:val="22"/>
        </w:rPr>
        <w:t>Trade 2 over the last 5 sessions: triggered 2/5 times, mean R = +0.39 (one -1.00R loss on Mon 11 May; one +1.78R win on Tue 12 May → Thu 14 May resolution), hit rates TP1 / TP2 / TP3 = 50% / 50% / 0%.</w:t>
      </w:r>
    </w:p>
    <w:p>
      <w:pPr>
        <w:spacing w:after="80"/>
      </w:pPr>
      <w:r>
        <w:rPr>
          <w:rFonts w:ascii="Calibri" w:hAnsi="Calibri"/>
          <w:b w:val="0"/>
          <w:i w:val="0"/>
          <w:sz w:val="22"/>
        </w:rPr>
        <w:t>Trade 3A over the last 5 sessions: triggered 0/5 times; one pending trigger as of 14 May close. Insufficient triggers to rank.</w:t>
      </w:r>
    </w:p>
    <w:p>
      <w:pPr>
        <w:spacing w:after="80"/>
      </w:pPr>
      <w:r>
        <w:rPr>
          <w:rFonts w:ascii="Calibri" w:hAnsi="Calibri"/>
          <w:b w:val="0"/>
          <w:i w:val="0"/>
          <w:sz w:val="22"/>
        </w:rPr>
        <w:t>Strongest performer over 5 sessions (closed positions only): Trade 2 (pivot trade) — mean R +0.39. Weakest performer: Trade 1 (trend-follower) — mean R -0.08, dragged by the 8 May entry that filled a stop on the early-week decline.</w:t>
      </w:r>
    </w:p>
    <w:p>
      <w:pPr>
        <w:spacing w:after="160"/>
      </w:pPr>
      <w:r>
        <w:rPr>
          <w:rFonts w:ascii="Calibri" w:hAnsi="Calibri"/>
          <w:b w:val="0"/>
          <w:i/>
          <w:sz w:val="20"/>
        </w:rPr>
        <w:t>Limitations: Five-session windows are too small to support statistical claims. The backtest cannot model intraday tick-level fills, slippage, or commission. Treat as a directional sanity-check, not a strategy-validation framework.</w:t>
      </w:r>
    </w:p>
    <w:p>
      <w:pPr>
        <w:spacing w:before="240"/>
        <w:jc w:val="center"/>
      </w:pPr>
      <w:r>
        <w:rPr>
          <w:rFonts w:ascii="Calibri" w:hAnsi="Calibri"/>
          <w:i/>
          <w:color w:val="888888"/>
          <w:sz w:val="18"/>
        </w:rPr>
        <w:t>FTSE 100 Daily Report  │  15 May 2026  │  Senior European Equity Strategist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