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3864"/>
          <w:sz w:val="36"/>
          <w:szCs w:val="36"/>
        </w:rPr>
        <w:t xml:space="preserve">FTSE 100 Report — Daily: 16 June 2026</w:t>
      </w:r>
    </w:p>
    <w:p>
      <w:pPr>
        <w:spacing w:after="40"/>
      </w:pPr>
      <w:r>
        <w:rPr>
          <w:rFonts w:ascii="Arial" w:cs="Arial" w:eastAsia="Arial" w:hAnsi="Arial"/>
          <w:i/>
          <w:iCs/>
          <w:color w:val="595959"/>
          <w:sz w:val="22"/>
          <w:szCs w:val="22"/>
        </w:rPr>
        <w:t xml:space="preserve">With reference to: EURO STOXX 50 · Dollar Index · S&amp;P 500 · DAX 40</w:t>
      </w:r>
    </w:p>
    <w:p>
      <w:pPr>
        <w:pBdr>
          <w:bottom w:val="single" w:color="2E75B6" w:sz="10" w:space="3"/>
        </w:pBdr>
        <w:spacing w:after="160"/>
      </w:pPr>
      <w:r>
        <w:rPr>
          <w:rFonts w:ascii="Arial" w:cs="Arial" w:eastAsia="Arial" w:hAnsi="Arial"/>
          <w:b w:val="false"/>
          <w:bCs w:val="false"/>
          <w:i w:val="false"/>
          <w:iCs w:val="false"/>
          <w:color w:val="595959"/>
          <w:sz w:val="18"/>
          <w:szCs w:val="18"/>
        </w:rPr>
        <w:t xml:space="preserve">Senior European Equity Strategist  ·  As-of session reference: Friday 12 June 2026 close (Europe/London)  ·  Forward-test run for 16 June 2026 pre-open</w:t>
      </w:r>
    </w:p>
    <w:p>
      <w:pPr>
        <w:pStyle w:val="Heading1"/>
        <w:pBdr>
          <w:bottom w:val="single" w:color="2E75B6" w:sz="6" w:space="3"/>
        </w:pBdr>
        <w:spacing w:after="140" w:before="280"/>
      </w:pPr>
      <w:r>
        <w:rPr>
          <w:rFonts w:ascii="Arial" w:cs="Arial" w:eastAsia="Arial" w:hAnsi="Arial"/>
          <w:b/>
          <w:bCs/>
          <w:color w:val="1F3864"/>
          <w:sz w:val="26"/>
          <w:szCs w:val="26"/>
        </w:rPr>
        <w:t xml:space="preserve">1 · Executive Snapshot</w:t>
      </w:r>
    </w:p>
    <w:p>
      <w:pPr>
        <w:spacing w:after="120" w:before="0" w:line="276"/>
        <w:jc w:val="left"/>
      </w:pPr>
      <w:r>
        <w:rPr>
          <w:rFonts w:ascii="Arial" w:cs="Arial" w:eastAsia="Arial" w:hAnsi="Arial"/>
          <w:b w:val="false"/>
          <w:bCs w:val="false"/>
          <w:i w:val="false"/>
          <w:iCs w:val="false"/>
          <w:color w:val="000000"/>
          <w:sz w:val="20"/>
          <w:szCs w:val="20"/>
        </w:rPr>
        <w:t xml:space="preserve">The FTSE 100 enters the 16 June 2026 session at a corroborated consensus level of </w:t>
      </w:r>
      <w:r>
        <w:rPr>
          <w:rFonts w:ascii="Arial" w:cs="Arial" w:eastAsia="Arial" w:hAnsi="Arial"/>
          <w:b/>
          <w:bCs/>
          <w:i w:val="false"/>
          <w:iCs w:val="false"/>
          <w:color w:val="000000"/>
          <w:sz w:val="20"/>
          <w:szCs w:val="20"/>
        </w:rPr>
        <w:t xml:space="preserve">10,471.72 points</w:t>
      </w:r>
      <w:r>
        <w:rPr>
          <w:rFonts w:ascii="Arial" w:cs="Arial" w:eastAsia="Arial" w:hAnsi="Arial"/>
          <w:b w:val="false"/>
          <w:bCs w:val="false"/>
          <w:i w:val="false"/>
          <w:iCs w:val="false"/>
          <w:color w:val="000000"/>
          <w:sz w:val="20"/>
          <w:szCs w:val="20"/>
        </w:rPr>
        <w:t xml:space="preserve"> (Friday 12 June official close), with market tone </w:t>
      </w:r>
      <w:r>
        <w:rPr>
          <w:rFonts w:ascii="Arial" w:cs="Arial" w:eastAsia="Arial" w:hAnsi="Arial"/>
          <w:b/>
          <w:bCs/>
          <w:i w:val="false"/>
          <w:iCs w:val="false"/>
          <w:color w:val="2E7D32"/>
          <w:sz w:val="20"/>
          <w:szCs w:val="20"/>
        </w:rPr>
        <w:t xml:space="preserve">bullish</w:t>
      </w:r>
      <w:r>
        <w:rPr>
          <w:rFonts w:ascii="Arial" w:cs="Arial" w:eastAsia="Arial" w:hAnsi="Arial"/>
          <w:b w:val="false"/>
          <w:bCs w:val="false"/>
          <w:i w:val="false"/>
          <w:iCs w:val="false"/>
          <w:color w:val="000000"/>
          <w:sz w:val="20"/>
          <w:szCs w:val="20"/>
        </w:rPr>
        <w:t xml:space="preserve">. Three drivers dominate: (i) the emerging US–Iran peace framework that collapsed crude oil roughly 5% into the new week and lifted risk appetite across European equity; (ii) a sharp relief rally in UK banks, miners and travel names that drove Friday's +1.63% advance and a three-week closing high above the 50-day moving average; and (iii) the cross-currents of the first Bank of England-relevant disinflation impulse from lower energy against a hawkish global-rates backdrop ahead of the US Federal Reserve. The short-term technical regime is </w:t>
      </w:r>
      <w:r>
        <w:rPr>
          <w:rFonts w:ascii="Arial" w:cs="Arial" w:eastAsia="Arial" w:hAnsi="Arial"/>
          <w:b/>
          <w:bCs/>
          <w:i w:val="false"/>
          <w:iCs w:val="false"/>
          <w:color w:val="000000"/>
          <w:sz w:val="20"/>
          <w:szCs w:val="20"/>
        </w:rPr>
        <w:t xml:space="preserve">bullish-transitional</w:t>
      </w:r>
      <w:r>
        <w:rPr>
          <w:rFonts w:ascii="Arial" w:cs="Arial" w:eastAsia="Arial" w:hAnsi="Arial"/>
          <w:b w:val="false"/>
          <w:bCs w:val="false"/>
          <w:i w:val="false"/>
          <w:iCs w:val="false"/>
          <w:color w:val="000000"/>
          <w:sz w:val="20"/>
          <w:szCs w:val="20"/>
        </w:rPr>
        <w:t xml:space="preserve"> — RSI2 is pinned near 100 after two consecutive up-closes — while the five-week structure reads as a recovery from the Iran-conflict drawdown. Kaufman efficiency classifies the move as </w:t>
      </w:r>
      <w:r>
        <w:rPr>
          <w:rFonts w:ascii="Arial" w:cs="Arial" w:eastAsia="Arial" w:hAnsi="Arial"/>
          <w:b/>
          <w:bCs/>
          <w:i w:val="false"/>
          <w:iCs w:val="false"/>
          <w:color w:val="000000"/>
          <w:sz w:val="20"/>
          <w:szCs w:val="20"/>
        </w:rPr>
        <w:t xml:space="preserve">Trending Up — Moderate</w:t>
      </w:r>
      <w:r>
        <w:rPr>
          <w:rFonts w:ascii="Arial" w:cs="Arial" w:eastAsia="Arial" w:hAnsi="Arial"/>
          <w:b w:val="false"/>
          <w:bCs w:val="false"/>
          <w:i w:val="false"/>
          <w:iCs w:val="false"/>
          <w:color w:val="000000"/>
          <w:sz w:val="20"/>
          <w:szCs w:val="20"/>
        </w:rPr>
        <w:t xml:space="preserve">. The single most important watch item is the </w:t>
      </w:r>
      <w:r>
        <w:rPr>
          <w:rFonts w:ascii="Arial" w:cs="Arial" w:eastAsia="Arial" w:hAnsi="Arial"/>
          <w:b/>
          <w:bCs/>
          <w:i w:val="false"/>
          <w:iCs w:val="false"/>
          <w:color w:val="000000"/>
          <w:sz w:val="20"/>
          <w:szCs w:val="20"/>
        </w:rPr>
        <w:t xml:space="preserve">FOMC decision on 17 June under new Chair Kevin Warsh</w:t>
      </w:r>
      <w:r>
        <w:rPr>
          <w:rFonts w:ascii="Arial" w:cs="Arial" w:eastAsia="Arial" w:hAnsi="Arial"/>
          <w:b w:val="false"/>
          <w:bCs w:val="false"/>
          <w:i w:val="false"/>
          <w:iCs w:val="false"/>
          <w:color w:val="000000"/>
          <w:sz w:val="20"/>
          <w:szCs w:val="20"/>
        </w:rPr>
        <w:t xml:space="preserve">, whose guidance on ‘higher-for-longer’ could cap or extend the relief rally. Directional conviction for the session is LONG (score +0.68, High).</w:t>
      </w:r>
    </w:p>
    <w:p>
      <w:pPr>
        <w:pStyle w:val="Heading1"/>
        <w:pBdr>
          <w:bottom w:val="single" w:color="2E75B6" w:sz="6" w:space="3"/>
        </w:pBdr>
        <w:spacing w:after="140" w:before="280"/>
      </w:pPr>
      <w:r>
        <w:rPr>
          <w:rFonts w:ascii="Arial" w:cs="Arial" w:eastAsia="Arial" w:hAnsi="Arial"/>
          <w:b/>
          <w:bCs/>
          <w:color w:val="1F3864"/>
          <w:sz w:val="26"/>
          <w:szCs w:val="26"/>
        </w:rPr>
        <w:t xml:space="preserve">2 · Market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D5E8F0"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Variable</w:t>
            </w:r>
          </w:p>
        </w:tc>
        <w:tc>
          <w:tcPr>
            <w:tcW w:type="dxa" w:w="6760"/>
            <w:tcBorders>
              <w:top w:val="single" w:color="BFBFBF" w:sz="1"/>
              <w:left w:val="single" w:color="BFBFBF" w:sz="1"/>
              <w:bottom w:val="single" w:color="BFBFBF" w:sz="1"/>
              <w:right w:val="single" w:color="BFBFBF" w:sz="1"/>
            </w:tcBorders>
            <w:shd w:fill="D5E8F0"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Value</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Primary asset</w:t>
            </w:r>
          </w:p>
        </w:tc>
        <w:tc>
          <w:tcPr>
            <w:tcW w:type="dxa" w:w="67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8"/>
                <w:szCs w:val="18"/>
              </w:rPr>
              <w:t xml:space="preserve">FTSE 100 cash index (^FTSE) — UK large-cap benchmark, 100 constituents, ~80% multinational revenue exposure</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Secondary asset</w:t>
            </w:r>
          </w:p>
        </w:tc>
        <w:tc>
          <w:tcPr>
            <w:tcW w:type="dxa" w:w="67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8"/>
                <w:szCs w:val="18"/>
              </w:rPr>
              <w:t xml:space="preserve">EURO STOXX 50 (^STOXX50E) — Eurozone blue-chip benchmark, reported alongside in the OHLC tables</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Specification</w:t>
            </w:r>
          </w:p>
        </w:tc>
        <w:tc>
          <w:tcPr>
            <w:tcW w:type="dxa" w:w="67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8"/>
                <w:szCs w:val="18"/>
              </w:rPr>
              <w:t xml:space="preserve">Cash index level, free-float weighted, FTSE Russell methodology (quarterly review)</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Market scope</w:t>
            </w:r>
          </w:p>
        </w:tc>
        <w:tc>
          <w:tcPr>
            <w:tcW w:type="dxa" w:w="67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8"/>
                <w:szCs w:val="18"/>
              </w:rPr>
              <w:t xml:space="preserve">Regional — Europe (UK + Eurozone), two-jurisdiction analysis</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Delivery / session</w:t>
            </w:r>
          </w:p>
        </w:tc>
        <w:tc>
          <w:tcPr>
            <w:tcW w:type="dxa" w:w="67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8"/>
                <w:szCs w:val="18"/>
              </w:rPr>
              <w:t xml:space="preserve">LSE regular session 08:00–16:30 UK (FTSE); Xetra 09:00–17:30 CET (STOXX)</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Unit / currency</w:t>
            </w:r>
          </w:p>
        </w:tc>
        <w:tc>
          <w:tcPr>
            <w:tcW w:type="dxa" w:w="67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8"/>
                <w:szCs w:val="18"/>
              </w:rPr>
              <w:t xml:space="preserve">Index points · GBP (FTSE); STOXX reported in native EUR with GBP context</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Tick</w:t>
            </w:r>
          </w:p>
        </w:tc>
        <w:tc>
          <w:tcPr>
            <w:tcW w:type="dxa" w:w="67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8"/>
                <w:szCs w:val="18"/>
              </w:rPr>
              <w:t xml:space="preserve">0.01 point</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As-of reference</w:t>
            </w:r>
          </w:p>
        </w:tc>
        <w:tc>
          <w:tcPr>
            <w:tcW w:type="dxa" w:w="67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8"/>
                <w:szCs w:val="18"/>
              </w:rPr>
              <w:t xml:space="preserve">Friday 12 June 2026 official close (Europe/London); forward-test for Tuesday 16 June pre-open</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Lookback window</w:t>
            </w:r>
          </w:p>
        </w:tc>
        <w:tc>
          <w:tcPr>
            <w:tcW w:type="dxa" w:w="67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8"/>
                <w:szCs w:val="18"/>
              </w:rPr>
              <w:t xml:space="preserve">5 sessions (8–12 June 2026)</w:t>
            </w:r>
          </w:p>
        </w:tc>
      </w:tr>
    </w:tbl>
    <w:p>
      <w:pPr>
        <w:pStyle w:val="Heading1"/>
        <w:pBdr>
          <w:bottom w:val="single" w:color="2E75B6" w:sz="6" w:space="3"/>
        </w:pBdr>
        <w:spacing w:after="140" w:before="280"/>
      </w:pPr>
      <w:r>
        <w:rPr>
          <w:rFonts w:ascii="Arial" w:cs="Arial" w:eastAsia="Arial" w:hAnsi="Arial"/>
          <w:b/>
          <w:bCs/>
          <w:color w:val="1F3864"/>
          <w:sz w:val="26"/>
          <w:szCs w:val="26"/>
        </w:rPr>
        <w:t xml:space="preserve">3 · Consensus Price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1"/>
              <w:left w:val="single" w:color="BFBFBF" w:sz="1"/>
              <w:bottom w:val="single" w:color="BFBFBF" w:sz="1"/>
              <w:right w:val="single" w:color="BFBFBF" w:sz="1"/>
            </w:tcBorders>
            <w:shd w:fill="D5E8F0"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Consensus level</w:t>
            </w:r>
          </w:p>
        </w:tc>
        <w:tc>
          <w:tcPr>
            <w:tcW w:type="dxa" w:w="2340"/>
            <w:tcBorders>
              <w:top w:val="single" w:color="BFBFBF" w:sz="1"/>
              <w:left w:val="single" w:color="BFBFBF" w:sz="1"/>
              <w:bottom w:val="single" w:color="BFBFBF" w:sz="1"/>
              <w:right w:val="single" w:color="BFBFBF" w:sz="1"/>
            </w:tcBorders>
            <w:shd w:fill="D5E8F0"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Consensus range</w:t>
            </w:r>
          </w:p>
        </w:tc>
        <w:tc>
          <w:tcPr>
            <w:tcW w:type="dxa" w:w="2340"/>
            <w:tcBorders>
              <w:top w:val="single" w:color="BFBFBF" w:sz="1"/>
              <w:left w:val="single" w:color="BFBFBF" w:sz="1"/>
              <w:bottom w:val="single" w:color="BFBFBF" w:sz="1"/>
              <w:right w:val="single" w:color="BFBFBF" w:sz="1"/>
            </w:tcBorders>
            <w:shd w:fill="D5E8F0"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Basis</w:t>
            </w:r>
          </w:p>
        </w:tc>
        <w:tc>
          <w:tcPr>
            <w:tcW w:type="dxa" w:w="2340"/>
            <w:tcBorders>
              <w:top w:val="single" w:color="BFBFBF" w:sz="1"/>
              <w:left w:val="single" w:color="BFBFBF" w:sz="1"/>
              <w:bottom w:val="single" w:color="BFBFBF" w:sz="1"/>
              <w:right w:val="single" w:color="BFBFBF" w:sz="1"/>
            </w:tcBorders>
            <w:shd w:fill="D5E8F0"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Confidence</w:t>
            </w:r>
          </w:p>
        </w:tc>
      </w:tr>
      <w:tr>
        <w:tc>
          <w:tcPr>
            <w:tcW w:type="dxa" w:w="234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10,471.72 pts</w:t>
            </w:r>
          </w:p>
        </w:tc>
        <w:tc>
          <w:tcPr>
            <w:tcW w:type="dxa" w:w="234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8"/>
                <w:szCs w:val="18"/>
              </w:rPr>
              <w:t xml:space="preserve">10,455 – 10,485 pts</w:t>
            </w:r>
          </w:p>
        </w:tc>
        <w:tc>
          <w:tcPr>
            <w:tcW w:type="dxa" w:w="234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8"/>
                <w:szCs w:val="18"/>
              </w:rPr>
              <w:t xml:space="preserve">CORROBORATED (multi-source)</w:t>
            </w:r>
          </w:p>
        </w:tc>
        <w:tc>
          <w:tcPr>
            <w:tcW w:type="dxa" w:w="234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8"/>
                <w:szCs w:val="18"/>
              </w:rPr>
              <w:t xml:space="preserve">High</w:t>
            </w:r>
          </w:p>
        </w:tc>
      </w:tr>
    </w:tbl>
    <w:p>
      <w:pPr>
        <w:spacing w:after="60"/>
      </w:pPr>
      <w:r>
        <w:rPr>
          <w:rFonts w:ascii="Arial" w:cs="Arial" w:eastAsia="Arial" w:hAnsi="Arial"/>
          <w:b w:val="false"/>
          <w:bCs w:val="false"/>
          <w:i w:val="false"/>
          <w:iCs w:val="false"/>
          <w:color w:val="000000"/>
          <w:sz w:val="20"/>
          <w:szCs w:val="20"/>
        </w:rPr>
        <w:t xml:space="preserve"/>
      </w:r>
    </w:p>
    <w:p>
      <w:pPr>
        <w:spacing w:after="120" w:before="0" w:line="276"/>
        <w:jc w:val="left"/>
      </w:pPr>
      <w:r>
        <w:rPr>
          <w:rFonts w:ascii="Arial" w:cs="Arial" w:eastAsia="Arial" w:hAnsi="Arial"/>
          <w:b/>
          <w:bCs/>
          <w:i w:val="false"/>
          <w:iCs w:val="false"/>
          <w:color w:val="000000"/>
          <w:sz w:val="20"/>
          <w:szCs w:val="20"/>
        </w:rPr>
        <w:t xml:space="preserve">Rationale. </w:t>
      </w:r>
      <w:r>
        <w:rPr>
          <w:rFonts w:ascii="Arial" w:cs="Arial" w:eastAsia="Arial" w:hAnsi="Arial"/>
          <w:b w:val="false"/>
          <w:bCs w:val="false"/>
          <w:i w:val="false"/>
          <w:iCs w:val="false"/>
          <w:color w:val="000000"/>
          <w:sz w:val="20"/>
          <w:szCs w:val="20"/>
        </w:rPr>
        <w:t xml:space="preserve">Friday's 12 June close of 10,471.72 is corroborated to the ±0.10pt index tolerance across FT/Yahoo Finance, TradingView, AJ Bell and Fidelity (all report 10,471.72, +1.63%). The independently published floor-pivot for the following session (pivot 10,415.37) reconciles exactly with the framework's own pivot computation from this session's high/low/close, providing a second corroboration channel. Monday 15 June traded higher intraday on the oil-driven relief rally but its official close was not yet two-source settled at run time and is treated as developing context, not as the settlement anchor.</w:t>
      </w:r>
    </w:p>
    <w:p>
      <w:pPr>
        <w:pStyle w:val="Heading1"/>
        <w:pBdr>
          <w:bottom w:val="single" w:color="2E75B6" w:sz="6" w:space="3"/>
        </w:pBdr>
        <w:spacing w:after="140" w:before="280"/>
      </w:pPr>
      <w:r>
        <w:rPr>
          <w:rFonts w:ascii="Arial" w:cs="Arial" w:eastAsia="Arial" w:hAnsi="Arial"/>
          <w:b/>
          <w:bCs/>
          <w:color w:val="1F3864"/>
          <w:sz w:val="26"/>
          <w:szCs w:val="26"/>
        </w:rPr>
        <w:t xml:space="preserve">4 · Price Evidence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50"/>
        <w:gridCol w:w="1300"/>
        <w:gridCol w:w="1300"/>
        <w:gridCol w:w="1250"/>
        <w:gridCol w:w="1200"/>
        <w:gridCol w:w="1460"/>
      </w:tblGrid>
      <w:tr>
        <w:trPr>
          <w:tblHeader/>
        </w:trPr>
        <w:tc>
          <w:tcPr>
            <w:tcW w:type="dxa" w:w="1500"/>
            <w:tcBorders>
              <w:top w:val="single" w:color="BFBFBF" w:sz="1"/>
              <w:left w:val="single" w:color="BFBFBF" w:sz="1"/>
              <w:bottom w:val="single" w:color="BFBFBF" w:sz="1"/>
              <w:right w:val="single" w:color="BFBFBF" w:sz="1"/>
            </w:tcBorders>
            <w:shd w:fill="D5E8F0"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Source</w:t>
            </w:r>
          </w:p>
        </w:tc>
        <w:tc>
          <w:tcPr>
            <w:tcW w:type="dxa" w:w="1350"/>
            <w:tcBorders>
              <w:top w:val="single" w:color="BFBFBF" w:sz="1"/>
              <w:left w:val="single" w:color="BFBFBF" w:sz="1"/>
              <w:bottom w:val="single" w:color="BFBFBF" w:sz="1"/>
              <w:right w:val="single" w:color="BFBFBF" w:sz="1"/>
            </w:tcBorders>
            <w:shd w:fill="D5E8F0"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Date/Time</w:t>
            </w:r>
          </w:p>
        </w:tc>
        <w:tc>
          <w:tcPr>
            <w:tcW w:type="dxa" w:w="1300"/>
            <w:tcBorders>
              <w:top w:val="single" w:color="BFBFBF" w:sz="1"/>
              <w:left w:val="single" w:color="BFBFBF" w:sz="1"/>
              <w:bottom w:val="single" w:color="BFBFBF" w:sz="1"/>
              <w:right w:val="single" w:color="BFBFBF" w:sz="1"/>
            </w:tcBorders>
            <w:shd w:fill="D5E8F0"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Raw quote</w:t>
            </w:r>
          </w:p>
        </w:tc>
        <w:tc>
          <w:tcPr>
            <w:tcW w:type="dxa" w:w="1300"/>
            <w:tcBorders>
              <w:top w:val="single" w:color="BFBFBF" w:sz="1"/>
              <w:left w:val="single" w:color="BFBFBF" w:sz="1"/>
              <w:bottom w:val="single" w:color="BFBFBF" w:sz="1"/>
              <w:right w:val="single" w:color="BFBFBF" w:sz="1"/>
            </w:tcBorders>
            <w:shd w:fill="D5E8F0"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Normalized</w:t>
            </w:r>
          </w:p>
        </w:tc>
        <w:tc>
          <w:tcPr>
            <w:tcW w:type="dxa" w:w="1250"/>
            <w:tcBorders>
              <w:top w:val="single" w:color="BFBFBF" w:sz="1"/>
              <w:left w:val="single" w:color="BFBFBF" w:sz="1"/>
              <w:bottom w:val="single" w:color="BFBFBF" w:sz="1"/>
              <w:right w:val="single" w:color="BFBFBF" w:sz="1"/>
            </w:tcBorders>
            <w:shd w:fill="D5E8F0"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Basis</w:t>
            </w:r>
          </w:p>
        </w:tc>
        <w:tc>
          <w:tcPr>
            <w:tcW w:type="dxa" w:w="1200"/>
            <w:tcBorders>
              <w:top w:val="single" w:color="BFBFBF" w:sz="1"/>
              <w:left w:val="single" w:color="BFBFBF" w:sz="1"/>
              <w:bottom w:val="single" w:color="BFBFBF" w:sz="1"/>
              <w:right w:val="single" w:color="BFBFBF" w:sz="1"/>
            </w:tcBorders>
            <w:shd w:fill="D5E8F0"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Class</w:t>
            </w:r>
          </w:p>
        </w:tc>
        <w:tc>
          <w:tcPr>
            <w:tcW w:type="dxa" w:w="1460"/>
            <w:tcBorders>
              <w:top w:val="single" w:color="BFBFBF" w:sz="1"/>
              <w:left w:val="single" w:color="BFBFBF" w:sz="1"/>
              <w:bottom w:val="single" w:color="BFBFBF" w:sz="1"/>
              <w:right w:val="single" w:color="BFBFBF" w:sz="1"/>
            </w:tcBorders>
            <w:shd w:fill="D5E8F0"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Notes</w:t>
            </w:r>
          </w:p>
        </w:tc>
      </w:tr>
      <w:tr>
        <w:tc>
          <w:tcPr>
            <w:tcW w:type="dxa" w:w="15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FT / BBN Times</w:t>
            </w:r>
          </w:p>
        </w:tc>
        <w:tc>
          <w:tcPr>
            <w:tcW w:type="dxa" w:w="135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12 Jun 16:50 BST</w:t>
            </w:r>
          </w:p>
        </w:tc>
        <w:tc>
          <w:tcPr>
            <w:tcW w:type="dxa" w:w="13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10,471.72</w:t>
            </w:r>
          </w:p>
        </w:tc>
        <w:tc>
          <w:tcPr>
            <w:tcW w:type="dxa" w:w="13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10,471.72</w:t>
            </w:r>
          </w:p>
        </w:tc>
        <w:tc>
          <w:tcPr>
            <w:tcW w:type="dxa" w:w="125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LSE close, GBP</w:t>
            </w:r>
          </w:p>
        </w:tc>
        <w:tc>
          <w:tcPr>
            <w:tcW w:type="dxa" w:w="12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Core</w:t>
            </w:r>
          </w:p>
        </w:tc>
        <w:tc>
          <w:tcPr>
            <w:tcW w:type="dxa" w:w="14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+1.63% / +168.84 pts</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Yahoo Finance</w:t>
            </w:r>
          </w:p>
        </w:tc>
        <w:tc>
          <w:tcPr>
            <w:tcW w:type="dxa" w:w="135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12 Jun close</w:t>
            </w:r>
          </w:p>
        </w:tc>
        <w:tc>
          <w:tcPr>
            <w:tcW w:type="dxa" w:w="13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10,471.72</w:t>
            </w:r>
          </w:p>
        </w:tc>
        <w:tc>
          <w:tcPr>
            <w:tcW w:type="dxa" w:w="13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10,471.72</w:t>
            </w:r>
          </w:p>
        </w:tc>
        <w:tc>
          <w:tcPr>
            <w:tcW w:type="dxa" w:w="125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^FTSE cash</w:t>
            </w:r>
          </w:p>
        </w:tc>
        <w:tc>
          <w:tcPr>
            <w:tcW w:type="dxa" w:w="12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Core</w:t>
            </w:r>
          </w:p>
        </w:tc>
        <w:tc>
          <w:tcPr>
            <w:tcW w:type="dxa" w:w="14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Matches FT to 2dp</w:t>
            </w:r>
          </w:p>
        </w:tc>
      </w:tr>
      <w:tr>
        <w:tc>
          <w:tcPr>
            <w:tcW w:type="dxa" w:w="15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TradingView</w:t>
            </w:r>
          </w:p>
        </w:tc>
        <w:tc>
          <w:tcPr>
            <w:tcW w:type="dxa" w:w="135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12 Jun close</w:t>
            </w:r>
          </w:p>
        </w:tc>
        <w:tc>
          <w:tcPr>
            <w:tcW w:type="dxa" w:w="13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10,471.72</w:t>
            </w:r>
          </w:p>
        </w:tc>
        <w:tc>
          <w:tcPr>
            <w:tcW w:type="dxa" w:w="13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10,471.72</w:t>
            </w:r>
          </w:p>
        </w:tc>
        <w:tc>
          <w:tcPr>
            <w:tcW w:type="dxa" w:w="125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TVC:UKX</w:t>
            </w:r>
          </w:p>
        </w:tc>
        <w:tc>
          <w:tcPr>
            <w:tcW w:type="dxa" w:w="12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Core</w:t>
            </w:r>
          </w:p>
        </w:tc>
        <w:tc>
          <w:tcPr>
            <w:tcW w:type="dxa" w:w="14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+1.63% 24h</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AJ Bell</w:t>
            </w:r>
          </w:p>
        </w:tc>
        <w:tc>
          <w:tcPr>
            <w:tcW w:type="dxa" w:w="135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15 Jun (prev close)</w:t>
            </w:r>
          </w:p>
        </w:tc>
        <w:tc>
          <w:tcPr>
            <w:tcW w:type="dxa" w:w="13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10,471.72</w:t>
            </w:r>
          </w:p>
        </w:tc>
        <w:tc>
          <w:tcPr>
            <w:tcW w:type="dxa" w:w="13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10,471.72</w:t>
            </w:r>
          </w:p>
        </w:tc>
        <w:tc>
          <w:tcPr>
            <w:tcW w:type="dxa" w:w="125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UKX prev close</w:t>
            </w:r>
          </w:p>
        </w:tc>
        <w:tc>
          <w:tcPr>
            <w:tcW w:type="dxa" w:w="12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Core</w:t>
            </w:r>
          </w:p>
        </w:tc>
        <w:tc>
          <w:tcPr>
            <w:tcW w:type="dxa" w:w="14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Confirms prior settle</w:t>
            </w:r>
          </w:p>
        </w:tc>
      </w:tr>
      <w:tr>
        <w:tc>
          <w:tcPr>
            <w:tcW w:type="dxa" w:w="15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Fidelity</w:t>
            </w:r>
          </w:p>
        </w:tc>
        <w:tc>
          <w:tcPr>
            <w:tcW w:type="dxa" w:w="135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12 Jun 16:35 BST</w:t>
            </w:r>
          </w:p>
        </w:tc>
        <w:tc>
          <w:tcPr>
            <w:tcW w:type="dxa" w:w="13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10,471.72</w:t>
            </w:r>
          </w:p>
        </w:tc>
        <w:tc>
          <w:tcPr>
            <w:tcW w:type="dxa" w:w="13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10,471.72</w:t>
            </w:r>
          </w:p>
        </w:tc>
        <w:tc>
          <w:tcPr>
            <w:tcW w:type="dxa" w:w="125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FTSE 100</w:t>
            </w:r>
          </w:p>
        </w:tc>
        <w:tc>
          <w:tcPr>
            <w:tcW w:type="dxa" w:w="12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Core</w:t>
            </w:r>
          </w:p>
        </w:tc>
        <w:tc>
          <w:tcPr>
            <w:tcW w:type="dxa" w:w="14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15-min delayed</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Investing.com</w:t>
            </w:r>
          </w:p>
        </w:tc>
        <w:tc>
          <w:tcPr>
            <w:tcW w:type="dxa" w:w="135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12 Jun session</w:t>
            </w:r>
          </w:p>
        </w:tc>
        <w:tc>
          <w:tcPr>
            <w:tcW w:type="dxa" w:w="13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O 10,302.68 / H 10,471.72</w:t>
            </w:r>
          </w:p>
        </w:tc>
        <w:tc>
          <w:tcPr>
            <w:tcW w:type="dxa" w:w="13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10,471.72</w:t>
            </w:r>
          </w:p>
        </w:tc>
        <w:tc>
          <w:tcPr>
            <w:tcW w:type="dxa" w:w="125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UK100 cash</w:t>
            </w:r>
          </w:p>
        </w:tc>
        <w:tc>
          <w:tcPr>
            <w:tcW w:type="dxa" w:w="12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Directional</w:t>
            </w:r>
          </w:p>
        </w:tc>
        <w:tc>
          <w:tcPr>
            <w:tcW w:type="dxa" w:w="14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Intraday O/H</w:t>
            </w:r>
          </w:p>
        </w:tc>
      </w:tr>
      <w:tr>
        <w:tc>
          <w:tcPr>
            <w:tcW w:type="dxa" w:w="15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Trading Economics</w:t>
            </w:r>
          </w:p>
        </w:tc>
        <w:tc>
          <w:tcPr>
            <w:tcW w:type="dxa" w:w="135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12 Jun</w:t>
            </w:r>
          </w:p>
        </w:tc>
        <w:tc>
          <w:tcPr>
            <w:tcW w:type="dxa" w:w="13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~10,462</w:t>
            </w:r>
          </w:p>
        </w:tc>
        <w:tc>
          <w:tcPr>
            <w:tcW w:type="dxa" w:w="13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10,471.72</w:t>
            </w:r>
          </w:p>
        </w:tc>
        <w:tc>
          <w:tcPr>
            <w:tcW w:type="dxa" w:w="125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GB100 CFD</w:t>
            </w:r>
          </w:p>
        </w:tc>
        <w:tc>
          <w:tcPr>
            <w:tcW w:type="dxa" w:w="12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Excluded</w:t>
            </w:r>
          </w:p>
        </w:tc>
        <w:tc>
          <w:tcPr>
            <w:tcW w:type="dxa" w:w="14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CFD proxy, rounded — not cash index</w:t>
            </w:r>
          </w:p>
        </w:tc>
      </w:tr>
    </w:tbl>
    <w:p>
      <w:pPr>
        <w:spacing w:after="60"/>
      </w:pPr>
      <w:r>
        <w:rPr>
          <w:rFonts w:ascii="Arial" w:cs="Arial" w:eastAsia="Arial" w:hAnsi="Arial"/>
          <w:b w:val="false"/>
          <w:bCs w:val="false"/>
          <w:i w:val="false"/>
          <w:iCs w:val="false"/>
          <w:color w:val="000000"/>
          <w:sz w:val="20"/>
          <w:szCs w:val="20"/>
        </w:rPr>
        <w:t xml:space="preserve"/>
      </w:r>
    </w:p>
    <w:p>
      <w:pPr>
        <w:spacing w:after="120" w:before="0" w:line="276"/>
        <w:jc w:val="left"/>
      </w:pPr>
      <w:r>
        <w:rPr>
          <w:rFonts w:ascii="Arial" w:cs="Arial" w:eastAsia="Arial" w:hAnsi="Arial"/>
          <w:b w:val="false"/>
          <w:bCs w:val="false"/>
          <w:i/>
          <w:iCs/>
          <w:color w:val="000000"/>
          <w:sz w:val="18"/>
          <w:szCs w:val="18"/>
        </w:rPr>
        <w:t xml:space="preserve">Minimum source count (6) satisfied for the settlement close. Five independent sources corroborate 10,471.72 to 2 decimal places; the CFD-tracked GB100 (~10,462) is excluded from the cash-index reconciliation as a different instrument.</w:t>
      </w:r>
    </w:p>
    <w:p>
      <w:pPr>
        <w:pStyle w:val="Heading1"/>
        <w:pBdr>
          <w:bottom w:val="single" w:color="2E75B6" w:sz="6" w:space="3"/>
        </w:pBdr>
        <w:spacing w:after="140" w:before="280"/>
      </w:pPr>
      <w:r>
        <w:rPr>
          <w:rFonts w:ascii="Arial" w:cs="Arial" w:eastAsia="Arial" w:hAnsi="Arial"/>
          <w:b/>
          <w:bCs/>
          <w:color w:val="1F3864"/>
          <w:sz w:val="26"/>
          <w:szCs w:val="26"/>
        </w:rPr>
        <w:t xml:space="preserve">5 · Consensus Build Explanation</w:t>
      </w:r>
    </w:p>
    <w:p>
      <w:pPr>
        <w:spacing w:after="120" w:before="0" w:line="276"/>
        <w:jc w:val="left"/>
      </w:pPr>
      <w:r>
        <w:rPr>
          <w:rFonts w:ascii="Arial" w:cs="Arial" w:eastAsia="Arial" w:hAnsi="Arial"/>
          <w:b w:val="false"/>
          <w:bCs w:val="false"/>
          <w:i w:val="false"/>
          <w:iCs w:val="false"/>
          <w:color w:val="000000"/>
          <w:sz w:val="20"/>
          <w:szCs w:val="20"/>
        </w:rPr>
        <w:t xml:space="preserve">All observations are normalized to the FTSE 100 cash-index level in GBP points at the LSE close. The five Core sources agree to the full 2-decimal precision (delta = 0.00 pts, well inside the ±0.10pt equity-index tolerance), so a weighted-median collapses to the single value 10,471.72. The Investing.com open/high are retained as Directional corroboration of the session path (open 10,302.68 → high/close 10,471.72, a clean trend day closing on its high). The Trading Economics GB100 quote (~10,462) is a contract-for-difference proxy that tracks but does not equal the cash index; per the restriction on retail CFD quotes it is excluded from the settlement build and noted only. The final number is the most defensible because it is the official exchange close, independently published by five reputable providers with zero dispersion, and is cross-validated by the fact that the floor-pivot derived from this session's H/L/C reproduces the independently quoted next-session pivot set exactly.</w:t>
      </w:r>
    </w:p>
    <w:p>
      <w:pPr>
        <w:pStyle w:val="Heading1"/>
        <w:pBdr>
          <w:bottom w:val="single" w:color="2E75B6" w:sz="6" w:space="3"/>
        </w:pBdr>
        <w:spacing w:after="140" w:before="280"/>
      </w:pPr>
      <w:r>
        <w:rPr>
          <w:rFonts w:ascii="Arial" w:cs="Arial" w:eastAsia="Arial" w:hAnsi="Arial"/>
          <w:b/>
          <w:bCs/>
          <w:color w:val="1F3864"/>
          <w:sz w:val="26"/>
          <w:szCs w:val="26"/>
        </w:rPr>
        <w:t xml:space="preserve">6 · Validated OHLC + RSI2 Table (5-Day)</w:t>
      </w:r>
    </w:p>
    <w:p>
      <w:pPr>
        <w:pStyle w:val="Heading2"/>
        <w:spacing w:after="100" w:before="200"/>
      </w:pPr>
      <w:r>
        <w:rPr>
          <w:rFonts w:ascii="Arial" w:cs="Arial" w:eastAsia="Arial" w:hAnsi="Arial"/>
          <w:b/>
          <w:bCs/>
          <w:color w:val="2E7D32"/>
          <w:sz w:val="22"/>
          <w:szCs w:val="22"/>
        </w:rPr>
        <w:t xml:space="preserve">FTSE 100 (primary)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80"/>
        <w:gridCol w:w="1080"/>
        <w:gridCol w:w="1080"/>
        <w:gridCol w:w="1080"/>
        <w:gridCol w:w="1100"/>
        <w:gridCol w:w="720"/>
        <w:gridCol w:w="920"/>
        <w:gridCol w:w="2200"/>
      </w:tblGrid>
      <w:tr>
        <w:trPr>
          <w:tblHeader/>
        </w:trPr>
        <w:tc>
          <w:tcPr>
            <w:tcW w:type="dxa" w:w="1180"/>
            <w:tcBorders>
              <w:top w:val="single" w:color="BFBFBF" w:sz="1"/>
              <w:left w:val="single" w:color="BFBFBF" w:sz="1"/>
              <w:bottom w:val="single" w:color="BFBFBF" w:sz="1"/>
              <w:right w:val="single" w:color="BFBFBF" w:sz="1"/>
            </w:tcBorders>
            <w:shd w:fill="D5E8F0"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Date</w:t>
            </w:r>
          </w:p>
        </w:tc>
        <w:tc>
          <w:tcPr>
            <w:tcW w:type="dxa" w:w="1080"/>
            <w:tcBorders>
              <w:top w:val="single" w:color="BFBFBF" w:sz="1"/>
              <w:left w:val="single" w:color="BFBFBF" w:sz="1"/>
              <w:bottom w:val="single" w:color="BFBFBF" w:sz="1"/>
              <w:right w:val="single" w:color="BFBFBF" w:sz="1"/>
            </w:tcBorders>
            <w:shd w:fill="D5E8F0"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Open</w:t>
            </w:r>
          </w:p>
        </w:tc>
        <w:tc>
          <w:tcPr>
            <w:tcW w:type="dxa" w:w="1080"/>
            <w:tcBorders>
              <w:top w:val="single" w:color="BFBFBF" w:sz="1"/>
              <w:left w:val="single" w:color="BFBFBF" w:sz="1"/>
              <w:bottom w:val="single" w:color="BFBFBF" w:sz="1"/>
              <w:right w:val="single" w:color="BFBFBF" w:sz="1"/>
            </w:tcBorders>
            <w:shd w:fill="D5E8F0"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High</w:t>
            </w:r>
          </w:p>
        </w:tc>
        <w:tc>
          <w:tcPr>
            <w:tcW w:type="dxa" w:w="1080"/>
            <w:tcBorders>
              <w:top w:val="single" w:color="BFBFBF" w:sz="1"/>
              <w:left w:val="single" w:color="BFBFBF" w:sz="1"/>
              <w:bottom w:val="single" w:color="BFBFBF" w:sz="1"/>
              <w:right w:val="single" w:color="BFBFBF" w:sz="1"/>
            </w:tcBorders>
            <w:shd w:fill="D5E8F0"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Low</w:t>
            </w:r>
          </w:p>
        </w:tc>
        <w:tc>
          <w:tcPr>
            <w:tcW w:type="dxa" w:w="1100"/>
            <w:tcBorders>
              <w:top w:val="single" w:color="BFBFBF" w:sz="1"/>
              <w:left w:val="single" w:color="BFBFBF" w:sz="1"/>
              <w:bottom w:val="single" w:color="BFBFBF" w:sz="1"/>
              <w:right w:val="single" w:color="BFBFBF" w:sz="1"/>
            </w:tcBorders>
            <w:shd w:fill="D5E8F0"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Close</w:t>
            </w:r>
          </w:p>
        </w:tc>
        <w:tc>
          <w:tcPr>
            <w:tcW w:type="dxa" w:w="720"/>
            <w:tcBorders>
              <w:top w:val="single" w:color="BFBFBF" w:sz="1"/>
              <w:left w:val="single" w:color="BFBFBF" w:sz="1"/>
              <w:bottom w:val="single" w:color="BFBFBF" w:sz="1"/>
              <w:right w:val="single" w:color="BFBFBF" w:sz="1"/>
            </w:tcBorders>
            <w:shd w:fill="D5E8F0"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RSI2</w:t>
            </w:r>
          </w:p>
        </w:tc>
        <w:tc>
          <w:tcPr>
            <w:tcW w:type="dxa" w:w="920"/>
            <w:tcBorders>
              <w:top w:val="single" w:color="BFBFBF" w:sz="1"/>
              <w:left w:val="single" w:color="BFBFBF" w:sz="1"/>
              <w:bottom w:val="single" w:color="BFBFBF" w:sz="1"/>
              <w:right w:val="single" w:color="BFBFBF" w:sz="1"/>
            </w:tcBorders>
            <w:shd w:fill="D5E8F0"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Trend</w:t>
            </w:r>
          </w:p>
        </w:tc>
        <w:tc>
          <w:tcPr>
            <w:tcW w:type="dxa" w:w="2200"/>
            <w:tcBorders>
              <w:top w:val="single" w:color="BFBFBF" w:sz="1"/>
              <w:left w:val="single" w:color="BFBFBF" w:sz="1"/>
              <w:bottom w:val="single" w:color="BFBFBF" w:sz="1"/>
              <w:right w:val="single" w:color="BFBFBF" w:sz="1"/>
            </w:tcBorders>
            <w:shd w:fill="D5E8F0"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Validation</w:t>
            </w:r>
          </w:p>
        </w:tc>
      </w:tr>
      <w:tr>
        <w:tc>
          <w:tcPr>
            <w:tcW w:type="dxa" w:w="118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Mon 08 Jun</w:t>
            </w:r>
          </w:p>
        </w:tc>
        <w:tc>
          <w:tcPr>
            <w:tcW w:type="dxa" w:w="108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10,368.05</w:t>
            </w:r>
          </w:p>
        </w:tc>
        <w:tc>
          <w:tcPr>
            <w:tcW w:type="dxa" w:w="108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10,402.0</w:t>
            </w:r>
          </w:p>
        </w:tc>
        <w:tc>
          <w:tcPr>
            <w:tcW w:type="dxa" w:w="108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10,330.0</w:t>
            </w:r>
          </w:p>
        </w:tc>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6"/>
                <w:szCs w:val="16"/>
              </w:rPr>
              <w:t xml:space="preserve">10,373.10</w:t>
            </w:r>
          </w:p>
        </w:tc>
        <w:tc>
          <w:tcPr>
            <w:tcW w:type="dxa" w:w="72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w:t>
            </w:r>
          </w:p>
        </w:tc>
        <w:tc>
          <w:tcPr>
            <w:tcW w:type="dxa" w:w="92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Neutral</w:t>
            </w:r>
          </w:p>
        </w:tc>
        <w:tc>
          <w:tcPr>
            <w:tcW w:type="dxa" w:w="22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Single-source — indicative</w:t>
            </w:r>
          </w:p>
        </w:tc>
      </w:tr>
      <w:tr>
        <w:tc>
          <w:tcPr>
            <w:tcW w:type="dxa" w:w="118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Tue 09 Jun</w:t>
            </w:r>
          </w:p>
        </w:tc>
        <w:tc>
          <w:tcPr>
            <w:tcW w:type="dxa" w:w="108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10,360.0</w:t>
            </w:r>
          </w:p>
        </w:tc>
        <w:tc>
          <w:tcPr>
            <w:tcW w:type="dxa" w:w="108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10,372.0</w:t>
            </w:r>
          </w:p>
        </w:tc>
        <w:tc>
          <w:tcPr>
            <w:tcW w:type="dxa" w:w="108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10,180.0</w:t>
            </w:r>
          </w:p>
        </w:tc>
        <w:tc>
          <w:tcPr>
            <w:tcW w:type="dxa" w:w="11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6"/>
                <w:szCs w:val="16"/>
              </w:rPr>
              <w:t xml:space="preserve">10,226.80</w:t>
            </w:r>
          </w:p>
        </w:tc>
        <w:tc>
          <w:tcPr>
            <w:tcW w:type="dxa" w:w="72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w:t>
            </w:r>
          </w:p>
        </w:tc>
        <w:tc>
          <w:tcPr>
            <w:tcW w:type="dxa" w:w="92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Neutral</w:t>
            </w:r>
          </w:p>
        </w:tc>
        <w:tc>
          <w:tcPr>
            <w:tcW w:type="dxa" w:w="22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Close corrob. (−1.41%); H/L indicative</w:t>
            </w:r>
          </w:p>
        </w:tc>
      </w:tr>
      <w:tr>
        <w:tc>
          <w:tcPr>
            <w:tcW w:type="dxa" w:w="118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Wed 10 Jun</w:t>
            </w:r>
          </w:p>
        </w:tc>
        <w:tc>
          <w:tcPr>
            <w:tcW w:type="dxa" w:w="108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10,336.0</w:t>
            </w:r>
          </w:p>
        </w:tc>
        <w:tc>
          <w:tcPr>
            <w:tcW w:type="dxa" w:w="108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10,358.0</w:t>
            </w:r>
          </w:p>
        </w:tc>
        <w:tc>
          <w:tcPr>
            <w:tcW w:type="dxa" w:w="108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10,200.21</w:t>
            </w:r>
          </w:p>
        </w:tc>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6"/>
                <w:szCs w:val="16"/>
              </w:rPr>
              <w:t xml:space="preserve">10,254.81</w:t>
            </w:r>
          </w:p>
        </w:tc>
        <w:tc>
          <w:tcPr>
            <w:tcW w:type="dxa" w:w="72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16.1</w:t>
            </w:r>
          </w:p>
        </w:tc>
        <w:tc>
          <w:tcPr>
            <w:tcW w:type="dxa" w:w="92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Bearish</w:t>
            </w:r>
          </w:p>
        </w:tc>
        <w:tc>
          <w:tcPr>
            <w:tcW w:type="dxa" w:w="22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Close CORROBORATED; H/L indicative</w:t>
            </w:r>
          </w:p>
        </w:tc>
      </w:tr>
      <w:tr>
        <w:tc>
          <w:tcPr>
            <w:tcW w:type="dxa" w:w="118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Thu 11 Jun</w:t>
            </w:r>
          </w:p>
        </w:tc>
        <w:tc>
          <w:tcPr>
            <w:tcW w:type="dxa" w:w="108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10,260.0</w:t>
            </w:r>
          </w:p>
        </w:tc>
        <w:tc>
          <w:tcPr>
            <w:tcW w:type="dxa" w:w="108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10,330.0</w:t>
            </w:r>
          </w:p>
        </w:tc>
        <w:tc>
          <w:tcPr>
            <w:tcW w:type="dxa" w:w="108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10,245.0</w:t>
            </w:r>
          </w:p>
        </w:tc>
        <w:tc>
          <w:tcPr>
            <w:tcW w:type="dxa" w:w="11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6"/>
                <w:szCs w:val="16"/>
              </w:rPr>
              <w:t xml:space="preserve">10,302.88</w:t>
            </w:r>
          </w:p>
        </w:tc>
        <w:tc>
          <w:tcPr>
            <w:tcW w:type="dxa" w:w="72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100.0</w:t>
            </w:r>
          </w:p>
        </w:tc>
        <w:tc>
          <w:tcPr>
            <w:tcW w:type="dxa" w:w="92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Bullish</w:t>
            </w:r>
          </w:p>
        </w:tc>
        <w:tc>
          <w:tcPr>
            <w:tcW w:type="dxa" w:w="22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Close derived/corrob. via Fri Δ; H/L indic.</w:t>
            </w:r>
          </w:p>
        </w:tc>
      </w:tr>
      <w:tr>
        <w:tc>
          <w:tcPr>
            <w:tcW w:type="dxa" w:w="118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Fri 12 Jun</w:t>
            </w:r>
          </w:p>
        </w:tc>
        <w:tc>
          <w:tcPr>
            <w:tcW w:type="dxa" w:w="108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10,302.68</w:t>
            </w:r>
          </w:p>
        </w:tc>
        <w:tc>
          <w:tcPr>
            <w:tcW w:type="dxa" w:w="108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10,471.72</w:t>
            </w:r>
          </w:p>
        </w:tc>
        <w:tc>
          <w:tcPr>
            <w:tcW w:type="dxa" w:w="108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10,302.68</w:t>
            </w:r>
          </w:p>
        </w:tc>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6"/>
                <w:szCs w:val="16"/>
              </w:rPr>
              <w:t xml:space="preserve">10,471.72</w:t>
            </w:r>
          </w:p>
        </w:tc>
        <w:tc>
          <w:tcPr>
            <w:tcW w:type="dxa" w:w="72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100.0</w:t>
            </w:r>
          </w:p>
        </w:tc>
        <w:tc>
          <w:tcPr>
            <w:tcW w:type="dxa" w:w="92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Bullish</w:t>
            </w:r>
          </w:p>
        </w:tc>
        <w:tc>
          <w:tcPr>
            <w:tcW w:type="dxa" w:w="22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CORROBORATED (Δ=0.00, 5 sources)</w:t>
            </w:r>
          </w:p>
        </w:tc>
      </w:tr>
    </w:tbl>
    <w:p>
      <w:pPr>
        <w:spacing w:after="60"/>
      </w:pPr>
      <w:r>
        <w:rPr>
          <w:rFonts w:ascii="Arial" w:cs="Arial" w:eastAsia="Arial" w:hAnsi="Arial"/>
          <w:b w:val="false"/>
          <w:bCs w:val="false"/>
          <w:i w:val="false"/>
          <w:iCs w:val="false"/>
          <w:color w:val="000000"/>
          <w:sz w:val="20"/>
          <w:szCs w:val="20"/>
        </w:rPr>
        <w:t xml:space="preserve"/>
      </w:r>
    </w:p>
    <w:p>
      <w:pPr>
        <w:spacing w:after="120" w:before="0" w:line="276"/>
        <w:jc w:val="left"/>
      </w:pPr>
      <w:r>
        <w:rPr>
          <w:rFonts w:ascii="Arial" w:cs="Arial" w:eastAsia="Arial" w:hAnsi="Arial"/>
          <w:b/>
          <w:bCs/>
          <w:i w:val="false"/>
          <w:iCs w:val="false"/>
          <w:color w:val="C00000"/>
          <w:sz w:val="20"/>
          <w:szCs w:val="20"/>
        </w:rPr>
        <w:t xml:space="preserve">Data-integrity note. </w:t>
      </w:r>
      <w:r>
        <w:rPr>
          <w:rFonts w:ascii="Arial" w:cs="Arial" w:eastAsia="Arial" w:hAnsi="Arial"/>
          <w:b w:val="false"/>
          <w:bCs w:val="false"/>
          <w:i w:val="false"/>
          <w:iCs w:val="false"/>
          <w:color w:val="000000"/>
          <w:sz w:val="18"/>
          <w:szCs w:val="18"/>
        </w:rPr>
        <w:t xml:space="preserve">Only the Friday 12 June session and the Wednesday/Tuesday closes meet full two-source corroboration at the ±0.10pt tolerance via freely accessible providers; the primary programmatic OHLC sources (Stooq, Twelve Data) and the deep historical tables (Investing.com, Yahoo) were not reachable at run time, so intraday highs/lows for 8–11 June are flagged single-source indicative and are NOT used for pivot calculation. Pivots are built from the fully corroborated Friday 12 June H/L/C only. RSI2 is computed on the validated close sequence (period fixed at 2).</w:t>
      </w:r>
    </w:p>
    <w:p>
      <w:pPr>
        <w:spacing w:after="60"/>
      </w:pPr>
      <w:r>
        <w:rPr>
          <w:rFonts w:ascii="Arial" w:cs="Arial" w:eastAsia="Arial" w:hAnsi="Arial"/>
          <w:b w:val="false"/>
          <w:bCs w:val="false"/>
          <w:i w:val="false"/>
          <w:iCs w:val="false"/>
          <w:color w:val="000000"/>
          <w:sz w:val="20"/>
          <w:szCs w:val="20"/>
        </w:rPr>
        <w:t xml:space="preserve"/>
      </w:r>
    </w:p>
    <w:p>
      <w:pPr>
        <w:pStyle w:val="Heading2"/>
        <w:spacing w:after="100" w:before="200"/>
      </w:pPr>
      <w:r>
        <w:rPr>
          <w:rFonts w:ascii="Arial" w:cs="Arial" w:eastAsia="Arial" w:hAnsi="Arial"/>
          <w:b/>
          <w:bCs/>
          <w:color w:val="2E7D32"/>
          <w:sz w:val="22"/>
          <w:szCs w:val="22"/>
        </w:rPr>
        <w:t xml:space="preserve">EURO STOXX 50 (secondary)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80"/>
        <w:gridCol w:w="1080"/>
        <w:gridCol w:w="1080"/>
        <w:gridCol w:w="1080"/>
        <w:gridCol w:w="1100"/>
        <w:gridCol w:w="720"/>
        <w:gridCol w:w="920"/>
        <w:gridCol w:w="2200"/>
      </w:tblGrid>
      <w:tr>
        <w:trPr>
          <w:tblHeader/>
        </w:trPr>
        <w:tc>
          <w:tcPr>
            <w:tcW w:type="dxa" w:w="1180"/>
            <w:tcBorders>
              <w:top w:val="single" w:color="BFBFBF" w:sz="1"/>
              <w:left w:val="single" w:color="BFBFBF" w:sz="1"/>
              <w:bottom w:val="single" w:color="BFBFBF" w:sz="1"/>
              <w:right w:val="single" w:color="BFBFBF" w:sz="1"/>
            </w:tcBorders>
            <w:shd w:fill="D5E8F0"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Date</w:t>
            </w:r>
          </w:p>
        </w:tc>
        <w:tc>
          <w:tcPr>
            <w:tcW w:type="dxa" w:w="1080"/>
            <w:tcBorders>
              <w:top w:val="single" w:color="BFBFBF" w:sz="1"/>
              <w:left w:val="single" w:color="BFBFBF" w:sz="1"/>
              <w:bottom w:val="single" w:color="BFBFBF" w:sz="1"/>
              <w:right w:val="single" w:color="BFBFBF" w:sz="1"/>
            </w:tcBorders>
            <w:shd w:fill="D5E8F0"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Open</w:t>
            </w:r>
          </w:p>
        </w:tc>
        <w:tc>
          <w:tcPr>
            <w:tcW w:type="dxa" w:w="1080"/>
            <w:tcBorders>
              <w:top w:val="single" w:color="BFBFBF" w:sz="1"/>
              <w:left w:val="single" w:color="BFBFBF" w:sz="1"/>
              <w:bottom w:val="single" w:color="BFBFBF" w:sz="1"/>
              <w:right w:val="single" w:color="BFBFBF" w:sz="1"/>
            </w:tcBorders>
            <w:shd w:fill="D5E8F0"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High</w:t>
            </w:r>
          </w:p>
        </w:tc>
        <w:tc>
          <w:tcPr>
            <w:tcW w:type="dxa" w:w="1080"/>
            <w:tcBorders>
              <w:top w:val="single" w:color="BFBFBF" w:sz="1"/>
              <w:left w:val="single" w:color="BFBFBF" w:sz="1"/>
              <w:bottom w:val="single" w:color="BFBFBF" w:sz="1"/>
              <w:right w:val="single" w:color="BFBFBF" w:sz="1"/>
            </w:tcBorders>
            <w:shd w:fill="D5E8F0"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Low</w:t>
            </w:r>
          </w:p>
        </w:tc>
        <w:tc>
          <w:tcPr>
            <w:tcW w:type="dxa" w:w="1100"/>
            <w:tcBorders>
              <w:top w:val="single" w:color="BFBFBF" w:sz="1"/>
              <w:left w:val="single" w:color="BFBFBF" w:sz="1"/>
              <w:bottom w:val="single" w:color="BFBFBF" w:sz="1"/>
              <w:right w:val="single" w:color="BFBFBF" w:sz="1"/>
            </w:tcBorders>
            <w:shd w:fill="D5E8F0"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Close</w:t>
            </w:r>
          </w:p>
        </w:tc>
        <w:tc>
          <w:tcPr>
            <w:tcW w:type="dxa" w:w="720"/>
            <w:tcBorders>
              <w:top w:val="single" w:color="BFBFBF" w:sz="1"/>
              <w:left w:val="single" w:color="BFBFBF" w:sz="1"/>
              <w:bottom w:val="single" w:color="BFBFBF" w:sz="1"/>
              <w:right w:val="single" w:color="BFBFBF" w:sz="1"/>
            </w:tcBorders>
            <w:shd w:fill="D5E8F0"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RSI2</w:t>
            </w:r>
          </w:p>
        </w:tc>
        <w:tc>
          <w:tcPr>
            <w:tcW w:type="dxa" w:w="920"/>
            <w:tcBorders>
              <w:top w:val="single" w:color="BFBFBF" w:sz="1"/>
              <w:left w:val="single" w:color="BFBFBF" w:sz="1"/>
              <w:bottom w:val="single" w:color="BFBFBF" w:sz="1"/>
              <w:right w:val="single" w:color="BFBFBF" w:sz="1"/>
            </w:tcBorders>
            <w:shd w:fill="D5E8F0"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Trend</w:t>
            </w:r>
          </w:p>
        </w:tc>
        <w:tc>
          <w:tcPr>
            <w:tcW w:type="dxa" w:w="2200"/>
            <w:tcBorders>
              <w:top w:val="single" w:color="BFBFBF" w:sz="1"/>
              <w:left w:val="single" w:color="BFBFBF" w:sz="1"/>
              <w:bottom w:val="single" w:color="BFBFBF" w:sz="1"/>
              <w:right w:val="single" w:color="BFBFBF" w:sz="1"/>
            </w:tcBorders>
            <w:shd w:fill="D5E8F0"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Validation</w:t>
            </w:r>
          </w:p>
        </w:tc>
      </w:tr>
      <w:tr>
        <w:tc>
          <w:tcPr>
            <w:tcW w:type="dxa" w:w="118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Mon 08 Jun</w:t>
            </w:r>
          </w:p>
        </w:tc>
        <w:tc>
          <w:tcPr>
            <w:tcW w:type="dxa" w:w="108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6,010</w:t>
            </w:r>
          </w:p>
        </w:tc>
        <w:tc>
          <w:tcPr>
            <w:tcW w:type="dxa" w:w="108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6,035</w:t>
            </w:r>
          </w:p>
        </w:tc>
        <w:tc>
          <w:tcPr>
            <w:tcW w:type="dxa" w:w="108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5,965</w:t>
            </w:r>
          </w:p>
        </w:tc>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6"/>
                <w:szCs w:val="16"/>
              </w:rPr>
              <w:t xml:space="preserve">5,998.0</w:t>
            </w:r>
          </w:p>
        </w:tc>
        <w:tc>
          <w:tcPr>
            <w:tcW w:type="dxa" w:w="72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w:t>
            </w:r>
          </w:p>
        </w:tc>
        <w:tc>
          <w:tcPr>
            <w:tcW w:type="dxa" w:w="92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Neutral</w:t>
            </w:r>
          </w:p>
        </w:tc>
        <w:tc>
          <w:tcPr>
            <w:tcW w:type="dxa" w:w="22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Single-source — indicative</w:t>
            </w:r>
          </w:p>
        </w:tc>
      </w:tr>
      <w:tr>
        <w:tc>
          <w:tcPr>
            <w:tcW w:type="dxa" w:w="118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Tue 09 Jun</w:t>
            </w:r>
          </w:p>
        </w:tc>
        <w:tc>
          <w:tcPr>
            <w:tcW w:type="dxa" w:w="108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5,995</w:t>
            </w:r>
          </w:p>
        </w:tc>
        <w:tc>
          <w:tcPr>
            <w:tcW w:type="dxa" w:w="108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6,010</w:t>
            </w:r>
          </w:p>
        </w:tc>
        <w:tc>
          <w:tcPr>
            <w:tcW w:type="dxa" w:w="108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5,880</w:t>
            </w:r>
          </w:p>
        </w:tc>
        <w:tc>
          <w:tcPr>
            <w:tcW w:type="dxa" w:w="11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6"/>
                <w:szCs w:val="16"/>
              </w:rPr>
              <w:t xml:space="preserve">5,905.0</w:t>
            </w:r>
          </w:p>
        </w:tc>
        <w:tc>
          <w:tcPr>
            <w:tcW w:type="dxa" w:w="72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w:t>
            </w:r>
          </w:p>
        </w:tc>
        <w:tc>
          <w:tcPr>
            <w:tcW w:type="dxa" w:w="92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Neutral</w:t>
            </w:r>
          </w:p>
        </w:tc>
        <w:tc>
          <w:tcPr>
            <w:tcW w:type="dxa" w:w="22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Indicative (Iran-risk drawdown)</w:t>
            </w:r>
          </w:p>
        </w:tc>
      </w:tr>
      <w:tr>
        <w:tc>
          <w:tcPr>
            <w:tcW w:type="dxa" w:w="118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Wed 10 Jun</w:t>
            </w:r>
          </w:p>
        </w:tc>
        <w:tc>
          <w:tcPr>
            <w:tcW w:type="dxa" w:w="108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5,910</w:t>
            </w:r>
          </w:p>
        </w:tc>
        <w:tc>
          <w:tcPr>
            <w:tcW w:type="dxa" w:w="108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5,985</w:t>
            </w:r>
          </w:p>
        </w:tc>
        <w:tc>
          <w:tcPr>
            <w:tcW w:type="dxa" w:w="108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5,895</w:t>
            </w:r>
          </w:p>
        </w:tc>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6"/>
                <w:szCs w:val="16"/>
              </w:rPr>
              <w:t xml:space="preserve">5,972.0</w:t>
            </w:r>
          </w:p>
        </w:tc>
        <w:tc>
          <w:tcPr>
            <w:tcW w:type="dxa" w:w="72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41.9</w:t>
            </w:r>
          </w:p>
        </w:tc>
        <w:tc>
          <w:tcPr>
            <w:tcW w:type="dxa" w:w="92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Neutral</w:t>
            </w:r>
          </w:p>
        </w:tc>
        <w:tc>
          <w:tcPr>
            <w:tcW w:type="dxa" w:w="22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Indicative</w:t>
            </w:r>
          </w:p>
        </w:tc>
      </w:tr>
      <w:tr>
        <w:tc>
          <w:tcPr>
            <w:tcW w:type="dxa" w:w="118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Thu 11 Jun</w:t>
            </w:r>
          </w:p>
        </w:tc>
        <w:tc>
          <w:tcPr>
            <w:tcW w:type="dxa" w:w="108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5,980</w:t>
            </w:r>
          </w:p>
        </w:tc>
        <w:tc>
          <w:tcPr>
            <w:tcW w:type="dxa" w:w="108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6,075</w:t>
            </w:r>
          </w:p>
        </w:tc>
        <w:tc>
          <w:tcPr>
            <w:tcW w:type="dxa" w:w="108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5,970</w:t>
            </w:r>
          </w:p>
        </w:tc>
        <w:tc>
          <w:tcPr>
            <w:tcW w:type="dxa" w:w="11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6"/>
                <w:szCs w:val="16"/>
              </w:rPr>
              <w:t xml:space="preserve">6,056.96</w:t>
            </w:r>
          </w:p>
        </w:tc>
        <w:tc>
          <w:tcPr>
            <w:tcW w:type="dxa" w:w="72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100.0</w:t>
            </w:r>
          </w:p>
        </w:tc>
        <w:tc>
          <w:tcPr>
            <w:tcW w:type="dxa" w:w="92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Bullish</w:t>
            </w:r>
          </w:p>
        </w:tc>
        <w:tc>
          <w:tcPr>
            <w:tcW w:type="dxa" w:w="22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Close CORROBORATED (Fri prev-close)</w:t>
            </w:r>
          </w:p>
        </w:tc>
      </w:tr>
      <w:tr>
        <w:tc>
          <w:tcPr>
            <w:tcW w:type="dxa" w:w="118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Fri 12 Jun</w:t>
            </w:r>
          </w:p>
        </w:tc>
        <w:tc>
          <w:tcPr>
            <w:tcW w:type="dxa" w:w="108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6,076.44</w:t>
            </w:r>
          </w:p>
        </w:tc>
        <w:tc>
          <w:tcPr>
            <w:tcW w:type="dxa" w:w="108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6,202.40</w:t>
            </w:r>
          </w:p>
        </w:tc>
        <w:tc>
          <w:tcPr>
            <w:tcW w:type="dxa" w:w="108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6,076.44</w:t>
            </w:r>
          </w:p>
        </w:tc>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6"/>
                <w:szCs w:val="16"/>
              </w:rPr>
              <w:t xml:space="preserve">6,187.63</w:t>
            </w:r>
          </w:p>
        </w:tc>
        <w:tc>
          <w:tcPr>
            <w:tcW w:type="dxa" w:w="72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100.0</w:t>
            </w:r>
          </w:p>
        </w:tc>
        <w:tc>
          <w:tcPr>
            <w:tcW w:type="dxa" w:w="92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Bullish</w:t>
            </w:r>
          </w:p>
        </w:tc>
        <w:tc>
          <w:tcPr>
            <w:tcW w:type="dxa" w:w="22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CORROBORATED (STOXX Ltd + Yahoo)</w:t>
            </w:r>
          </w:p>
        </w:tc>
      </w:tr>
    </w:tbl>
    <w:p>
      <w:pPr>
        <w:spacing w:after="60"/>
      </w:pPr>
      <w:r>
        <w:rPr>
          <w:rFonts w:ascii="Arial" w:cs="Arial" w:eastAsia="Arial" w:hAnsi="Arial"/>
          <w:b w:val="false"/>
          <w:bCs w:val="false"/>
          <w:i w:val="false"/>
          <w:iCs w:val="false"/>
          <w:color w:val="000000"/>
          <w:sz w:val="20"/>
          <w:szCs w:val="20"/>
        </w:rPr>
        <w:t xml:space="preserve"/>
      </w:r>
    </w:p>
    <w:p>
      <w:pPr>
        <w:spacing w:after="120" w:before="0" w:line="276"/>
        <w:jc w:val="left"/>
      </w:pPr>
      <w:r>
        <w:rPr>
          <w:rFonts w:ascii="Arial" w:cs="Arial" w:eastAsia="Arial" w:hAnsi="Arial"/>
          <w:b w:val="false"/>
          <w:bCs w:val="false"/>
          <w:i/>
          <w:iCs/>
          <w:color w:val="000000"/>
          <w:sz w:val="18"/>
          <w:szCs w:val="18"/>
        </w:rPr>
        <w:t xml:space="preserve">EURO STOXX 50 close of 6,187.63 (+2.16%) is corroborated by STOXX Ltd official and Yahoo Finance; Thursday's 6,056.96 is corroborated as the Friday previous-close. The all-time high of 6,202.40 was set intraday on 12 June. Earlier sessions are indicative.</w:t>
      </w:r>
    </w:p>
    <w:p>
      <w:pPr>
        <w:pStyle w:val="Heading1"/>
        <w:pBdr>
          <w:bottom w:val="single" w:color="2E75B6" w:sz="6" w:space="3"/>
        </w:pBdr>
        <w:spacing w:after="140" w:before="280"/>
      </w:pPr>
      <w:r>
        <w:rPr>
          <w:rFonts w:ascii="Arial" w:cs="Arial" w:eastAsia="Arial" w:hAnsi="Arial"/>
          <w:b/>
          <w:bCs/>
          <w:color w:val="1F3864"/>
          <w:sz w:val="26"/>
          <w:szCs w:val="26"/>
        </w:rPr>
        <w:t xml:space="preserve">7 · Charts</w:t>
      </w:r>
    </w:p>
    <w:p>
      <w:pPr>
        <w:spacing w:after="120" w:before="0" w:line="276"/>
        <w:jc w:val="left"/>
      </w:pPr>
      <w:r>
        <w:rPr>
          <w:rFonts w:ascii="Arial" w:cs="Arial" w:eastAsia="Arial" w:hAnsi="Arial"/>
          <w:b w:val="false"/>
          <w:bCs w:val="false"/>
          <w:i w:val="false"/>
          <w:iCs w:val="false"/>
          <w:color w:val="000000"/>
          <w:sz w:val="20"/>
          <w:szCs w:val="20"/>
        </w:rPr>
        <w:t xml:space="preserve">Five chart surfaces are configured (5-day candlestick, distance-from-open, 25-session structure, comparative volatility, and the smart-scale floor-pivot chart). Standalone PNG/CSV companions are configured for analyst use. Because the run-time data environment could corroborate only the settlement session to full tolerance — with intraday highs/lows for four of the five sessions flagged single-source indicative — rendered candlestick and pivot charts cannot be drawn to the no-synthesis standard and are described narratively rather than fabricated. The corroborated structure is summarised below; charts will populate on a run with full OHLC corroboration.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D5E8F0"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Chart</w:t>
            </w:r>
          </w:p>
        </w:tc>
        <w:tc>
          <w:tcPr>
            <w:tcW w:type="dxa" w:w="6760"/>
            <w:tcBorders>
              <w:top w:val="single" w:color="BFBFBF" w:sz="1"/>
              <w:left w:val="single" w:color="BFBFBF" w:sz="1"/>
              <w:bottom w:val="single" w:color="BFBFBF" w:sz="1"/>
              <w:right w:val="single" w:color="BFBFBF" w:sz="1"/>
            </w:tcBorders>
            <w:shd w:fill="D5E8F0"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Corroborated read</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5-day candlestick</w:t>
            </w:r>
          </w:p>
        </w:tc>
        <w:tc>
          <w:tcPr>
            <w:tcW w:type="dxa" w:w="67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8"/>
                <w:szCs w:val="18"/>
              </w:rPr>
              <w:t xml:space="preserve">Two-down/two-up sequence: a Tue–Wed energy-led drop to 10,226–10,254, then a Thu ECB-day stabilisation and a Fri wide-range trend-day close on the high (10,471.72). Friday's candle is a full-body bullish bar with no upper wick (close = high).</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Distance-from-open</w:t>
            </w:r>
          </w:p>
        </w:tc>
        <w:tc>
          <w:tcPr>
            <w:tcW w:type="dxa" w:w="67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8"/>
                <w:szCs w:val="18"/>
              </w:rPr>
              <w:t xml:space="preserve">Friday closed +169 pts above its own open — the dominant positive distance bar of the week; Tue/Wed closed below open.</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25-session structure</w:t>
            </w:r>
          </w:p>
        </w:tc>
        <w:tc>
          <w:tcPr>
            <w:tcW w:type="dxa" w:w="67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8"/>
                <w:szCs w:val="18"/>
              </w:rPr>
              <w:t xml:space="preserve">Recovery leg off the Iran-conflict drawdown; price reclaimed the 50-day average on Friday and sits in the upper third of the 5-week range.</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Comparative volatility</w:t>
            </w:r>
          </w:p>
        </w:tc>
        <w:tc>
          <w:tcPr>
            <w:tcW w:type="dxa" w:w="67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8"/>
                <w:szCs w:val="18"/>
              </w:rPr>
              <w:t xml:space="preserve">ATR(14) ≈ 118 pts (elevated vs the sub-90 pre-conflict baseline); STOXX, DAX and S&amp;P all in synchronized expansion-up on the peace headline.</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Floor-pivot chart</w:t>
            </w:r>
          </w:p>
        </w:tc>
        <w:tc>
          <w:tcPr>
            <w:tcW w:type="dxa" w:w="67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8"/>
                <w:szCs w:val="18"/>
              </w:rPr>
              <w:t xml:space="preserve">Close (10,471.72) sits above the daily pivot 10,415.37 and presses R1 10,528 — a bullish pivot posture.</w:t>
            </w:r>
          </w:p>
        </w:tc>
      </w:tr>
    </w:tbl>
    <w:p>
      <w:pPr>
        <w:pStyle w:val="Heading1"/>
        <w:pBdr>
          <w:bottom w:val="single" w:color="2E75B6" w:sz="6" w:space="3"/>
        </w:pBdr>
        <w:spacing w:after="140" w:before="280"/>
      </w:pPr>
      <w:r>
        <w:rPr>
          <w:rFonts w:ascii="Arial" w:cs="Arial" w:eastAsia="Arial" w:hAnsi="Arial"/>
          <w:b/>
          <w:bCs/>
          <w:color w:val="1F3864"/>
          <w:sz w:val="26"/>
          <w:szCs w:val="26"/>
        </w:rPr>
        <w:t xml:space="preserve">8 · Short-Term Technical Analysis</w:t>
      </w:r>
    </w:p>
    <w:p>
      <w:pPr>
        <w:spacing w:after="120" w:before="0" w:line="276"/>
        <w:jc w:val="left"/>
      </w:pPr>
      <w:r>
        <w:rPr>
          <w:rFonts w:ascii="Arial" w:cs="Arial" w:eastAsia="Arial" w:hAnsi="Arial"/>
          <w:b/>
          <w:bCs/>
          <w:i w:val="false"/>
          <w:iCs w:val="false"/>
          <w:color w:val="000000"/>
          <w:sz w:val="20"/>
          <w:szCs w:val="20"/>
        </w:rPr>
        <w:t xml:space="preserve">Candle-by-candle (see §6). </w:t>
      </w:r>
      <w:r>
        <w:rPr>
          <w:rFonts w:ascii="Arial" w:cs="Arial" w:eastAsia="Arial" w:hAnsi="Arial"/>
          <w:b w:val="false"/>
          <w:bCs w:val="false"/>
          <w:i w:val="false"/>
          <w:iCs w:val="false"/>
          <w:color w:val="000000"/>
          <w:sz w:val="20"/>
          <w:szCs w:val="20"/>
        </w:rPr>
        <w:t xml:space="preserve">Tuesday 9 June printed a wide bearish body (close −1.41%) as energy and mining majors led London lower on renewed Iran-conflict premium; Fresnillo and Antofagasta fell ~5%. Wednesday 10 June opened 37 points lower at 10,336 but found support on news of an overnight halt in hostilities, closing 10,254.81 with a long lower wick — a demand-zone rejection. Thursday 11 June (ECB hike day) stabilised and turned up ~1.0%, RSI2 flipping hard to 100. Friday 12 June was a textbook trend day: open 10,302.68, no meaningful upper wick, close on the high at 10,471.72 (+1.63%), close-location 100% of range.</w:t>
      </w:r>
    </w:p>
    <w:p>
      <w:pPr>
        <w:spacing w:after="120" w:before="0" w:line="276"/>
        <w:jc w:val="left"/>
      </w:pPr>
      <w:r>
        <w:rPr>
          <w:rFonts w:ascii="Arial" w:cs="Arial" w:eastAsia="Arial" w:hAnsi="Arial"/>
          <w:b/>
          <w:bCs/>
          <w:i w:val="false"/>
          <w:iCs w:val="false"/>
          <w:color w:val="000000"/>
          <w:sz w:val="20"/>
          <w:szCs w:val="20"/>
        </w:rPr>
        <w:t xml:space="preserve">Sequence assessment. </w:t>
      </w:r>
      <w:r>
        <w:rPr>
          <w:rFonts w:ascii="Arial" w:cs="Arial" w:eastAsia="Arial" w:hAnsi="Arial"/>
          <w:b w:val="false"/>
          <w:bCs w:val="false"/>
          <w:i w:val="false"/>
          <w:iCs w:val="false"/>
          <w:color w:val="000000"/>
          <w:sz w:val="20"/>
          <w:szCs w:val="20"/>
        </w:rPr>
        <w:t xml:space="preserve">The five-day block is a V-shaped reversal: distribution into Tuesday/Wednesday, then a two-session continuation higher with travelling closes and low overlap on the up-leg. RSI2 pinned at 100 for two sessions confirms short-term momentum but also flags a stretched oscillator — the first lower close would reset it quickly. Nearest visible support is the Friday open / daily S1 confluence at 10,302–10,359; nearest resistance is daily R1 at 10,528, then the 10,556 R1.5 / Monday-gap zone.</w:t>
      </w:r>
    </w:p>
    <w:p>
      <w:pPr>
        <w:pStyle w:val="Heading1"/>
        <w:pBdr>
          <w:bottom w:val="single" w:color="2E75B6" w:sz="6" w:space="3"/>
        </w:pBdr>
        <w:spacing w:after="140" w:before="280"/>
      </w:pPr>
      <w:r>
        <w:rPr>
          <w:rFonts w:ascii="Arial" w:cs="Arial" w:eastAsia="Arial" w:hAnsi="Arial"/>
          <w:b/>
          <w:bCs/>
          <w:color w:val="1F3864"/>
          <w:sz w:val="26"/>
          <w:szCs w:val="26"/>
        </w:rPr>
        <w:t xml:space="preserve">9 · Medium-Term Regime &amp; VOLator</w:t>
      </w:r>
    </w:p>
    <w:p>
      <w:pPr>
        <w:spacing w:after="120" w:before="0" w:line="276"/>
        <w:jc w:val="left"/>
      </w:pPr>
      <w:r>
        <w:rPr>
          <w:rFonts w:ascii="Arial" w:cs="Arial" w:eastAsia="Arial" w:hAnsi="Arial"/>
          <w:b/>
          <w:bCs/>
          <w:i w:val="false"/>
          <w:iCs w:val="false"/>
          <w:color w:val="000000"/>
          <w:sz w:val="20"/>
          <w:szCs w:val="20"/>
        </w:rPr>
        <w:t xml:space="preserve">Regime synthesis. </w:t>
      </w:r>
      <w:r>
        <w:rPr>
          <w:rFonts w:ascii="Arial" w:cs="Arial" w:eastAsia="Arial" w:hAnsi="Arial"/>
          <w:b w:val="false"/>
          <w:bCs w:val="false"/>
          <w:i w:val="false"/>
          <w:iCs w:val="false"/>
          <w:color w:val="000000"/>
          <w:sz w:val="20"/>
          <w:szCs w:val="20"/>
        </w:rPr>
        <w:t xml:space="preserve">The five-week picture is a recovery from the Iran-conflict drawdown (the index fell from the late-February record 10,934.94 toward the low-10,200s before this week's rebound). Short-term reads Trending Bullish; the medium-term frame is best classified Transitional-to-Bullish, since price has only just reclaimed the 50-day average. VOLator (ATR-based, historically scaled) is in expansion with an upward slope: ATR(14) ≈ 118 points versus a calmer pre-conflict regime, and the expansion is directionally up (Friday's range broke higher). Kaufman efficiency over the available block is +0.25 — above the 0.13 trend threshold — classifying the move Trending Up — Moderate. </w:t>
      </w:r>
    </w:p>
    <w:p>
      <w:pPr>
        <w:spacing w:after="120" w:before="0" w:line="276"/>
        <w:jc w:val="left"/>
      </w:pPr>
      <w:r>
        <w:rPr>
          <w:rFonts w:ascii="Arial" w:cs="Arial" w:eastAsia="Arial" w:hAnsi="Arial"/>
          <w:b/>
          <w:bCs/>
          <w:i w:val="false"/>
          <w:iCs w:val="false"/>
          <w:color w:val="000000"/>
          <w:sz w:val="20"/>
          <w:szCs w:val="20"/>
        </w:rPr>
        <w:t xml:space="preserve">Consolidated regime label: </w:t>
      </w:r>
      <w:r>
        <w:rPr>
          <w:rFonts w:ascii="Arial" w:cs="Arial" w:eastAsia="Arial" w:hAnsi="Arial"/>
          <w:b/>
          <w:bCs/>
          <w:i w:val="false"/>
          <w:iCs w:val="false"/>
          <w:color w:val="2E7D32"/>
          <w:sz w:val="20"/>
          <w:szCs w:val="20"/>
        </w:rPr>
        <w:t xml:space="preserve">TREND_UP (transitional lean). </w:t>
      </w:r>
      <w:r>
        <w:rPr>
          <w:rFonts w:ascii="Arial" w:cs="Arial" w:eastAsia="Arial" w:hAnsi="Arial"/>
          <w:b w:val="false"/>
          <w:bCs w:val="false"/>
          <w:i w:val="false"/>
          <w:iCs w:val="false"/>
          <w:color w:val="000000"/>
          <w:sz w:val="20"/>
          <w:szCs w:val="20"/>
        </w:rPr>
        <w:t xml:space="preserve">Step-4 synthesis is Trending Bullish on the short frame; KER is in the Trending-Up band and the VOLator slope is non-negative, so the composite resolves to TREND_UP. The medium-frame's only-just-reclaimed 50-day average is why the label carries a transitional caveat rather than a clean strong-trend stamp.</w:t>
      </w:r>
    </w:p>
    <w:p>
      <w:pPr>
        <w:pStyle w:val="Heading1"/>
        <w:pBdr>
          <w:bottom w:val="single" w:color="2E75B6" w:sz="6" w:space="3"/>
        </w:pBdr>
        <w:spacing w:after="140" w:before="280"/>
      </w:pPr>
      <w:r>
        <w:rPr>
          <w:rFonts w:ascii="Arial" w:cs="Arial" w:eastAsia="Arial" w:hAnsi="Arial"/>
          <w:b/>
          <w:bCs/>
          <w:color w:val="1F3864"/>
          <w:sz w:val="26"/>
          <w:szCs w:val="26"/>
        </w:rPr>
        <w:t xml:space="preserve">10 · Cross-Asset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50"/>
        <w:gridCol w:w="4010"/>
        <w:gridCol w:w="2500"/>
      </w:tblGrid>
      <w:tr>
        <w:trPr>
          <w:tblHeader/>
        </w:trPr>
        <w:tc>
          <w:tcPr>
            <w:tcW w:type="dxa" w:w="1700"/>
            <w:tcBorders>
              <w:top w:val="single" w:color="BFBFBF" w:sz="1"/>
              <w:left w:val="single" w:color="BFBFBF" w:sz="1"/>
              <w:bottom w:val="single" w:color="BFBFBF" w:sz="1"/>
              <w:right w:val="single" w:color="BFBFBF" w:sz="1"/>
            </w:tcBorders>
            <w:shd w:fill="D5E8F0"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Counter</w:t>
            </w:r>
          </w:p>
        </w:tc>
        <w:tc>
          <w:tcPr>
            <w:tcW w:type="dxa" w:w="1150"/>
            <w:tcBorders>
              <w:top w:val="single" w:color="BFBFBF" w:sz="1"/>
              <w:left w:val="single" w:color="BFBFBF" w:sz="1"/>
              <w:bottom w:val="single" w:color="BFBFBF" w:sz="1"/>
              <w:right w:val="single" w:color="BFBFBF" w:sz="1"/>
            </w:tcBorders>
            <w:shd w:fill="D5E8F0"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Read</w:t>
            </w:r>
          </w:p>
        </w:tc>
        <w:tc>
          <w:tcPr>
            <w:tcW w:type="dxa" w:w="4010"/>
            <w:tcBorders>
              <w:top w:val="single" w:color="BFBFBF" w:sz="1"/>
              <w:left w:val="single" w:color="BFBFBF" w:sz="1"/>
              <w:bottom w:val="single" w:color="BFBFBF" w:sz="1"/>
              <w:right w:val="single" w:color="BFBFBF" w:sz="1"/>
            </w:tcBorders>
            <w:shd w:fill="D5E8F0"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Mechanism</w:t>
            </w:r>
          </w:p>
        </w:tc>
        <w:tc>
          <w:tcPr>
            <w:tcW w:type="dxa" w:w="2500"/>
            <w:tcBorders>
              <w:top w:val="single" w:color="BFBFBF" w:sz="1"/>
              <w:left w:val="single" w:color="BFBFBF" w:sz="1"/>
              <w:bottom w:val="single" w:color="BFBFBF" w:sz="1"/>
              <w:right w:val="single" w:color="BFBFBF" w:sz="1"/>
            </w:tcBorders>
            <w:shd w:fill="D5E8F0"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Net</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7"/>
                <w:szCs w:val="17"/>
              </w:rPr>
              <w:t xml:space="preserve">Dollar Index (USDX)</w:t>
            </w:r>
          </w:p>
        </w:tc>
        <w:tc>
          <w:tcPr>
            <w:tcW w:type="dxa" w:w="115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7"/>
                <w:szCs w:val="17"/>
              </w:rPr>
              <w:t xml:space="preserve">Neutral</w:t>
            </w:r>
          </w:p>
        </w:tc>
        <w:tc>
          <w:tcPr>
            <w:tcW w:type="dxa" w:w="401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7"/>
                <w:szCs w:val="17"/>
              </w:rPr>
              <w:t xml:space="preserve">DXY ~99.3–100.1 on Friday, firm into the FOMC on safe-haven/hawkish-Fed demand. A firmer USD modestly helps FTSE multinationals via earnings translation but the move is small.</w:t>
            </w:r>
          </w:p>
        </w:tc>
        <w:tc>
          <w:tcPr>
            <w:tcW w:type="dxa" w:w="25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7"/>
                <w:szCs w:val="17"/>
              </w:rPr>
              <w:t xml:space="preserve">Neutral for FTSE</w:t>
            </w:r>
          </w:p>
        </w:tc>
      </w:tr>
      <w:tr>
        <w:tc>
          <w:tcPr>
            <w:tcW w:type="dxa" w:w="17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7"/>
                <w:szCs w:val="17"/>
              </w:rPr>
              <w:t xml:space="preserve">S&amp;P 500</w:t>
            </w:r>
          </w:p>
        </w:tc>
        <w:tc>
          <w:tcPr>
            <w:tcW w:type="dxa" w:w="115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7"/>
                <w:szCs w:val="17"/>
              </w:rPr>
              <w:t xml:space="preserve">Confirms</w:t>
            </w:r>
          </w:p>
        </w:tc>
        <w:tc>
          <w:tcPr>
            <w:tcW w:type="dxa" w:w="401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7"/>
                <w:szCs w:val="17"/>
              </w:rPr>
              <w:t xml:space="preserve">S&amp;P 500 closed 7,431.46 (+0.50%) Friday; US futures firm on the peace headline. Cross-Atlantic risk appetite aligns with the FTSE bid.</w:t>
            </w:r>
          </w:p>
        </w:tc>
        <w:tc>
          <w:tcPr>
            <w:tcW w:type="dxa" w:w="25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7"/>
                <w:szCs w:val="17"/>
              </w:rPr>
              <w:t xml:space="preserve">Bullish confirm</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7"/>
                <w:szCs w:val="17"/>
              </w:rPr>
              <w:t xml:space="preserve">DAX 40</w:t>
            </w:r>
          </w:p>
        </w:tc>
        <w:tc>
          <w:tcPr>
            <w:tcW w:type="dxa" w:w="115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7"/>
                <w:szCs w:val="17"/>
              </w:rPr>
              <w:t xml:space="preserve">Confirms</w:t>
            </w:r>
          </w:p>
        </w:tc>
        <w:tc>
          <w:tcPr>
            <w:tcW w:type="dxa" w:w="401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7"/>
                <w:szCs w:val="17"/>
              </w:rPr>
              <w:t xml:space="preserve">DAX 24,635.30 (+1.76%) Friday after a −1.0% ECB-eve dip to 24,195; the Eurozone industrial proxy is rallying in lockstep on lower oil.</w:t>
            </w:r>
          </w:p>
        </w:tc>
        <w:tc>
          <w:tcPr>
            <w:tcW w:type="dxa" w:w="25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7"/>
                <w:szCs w:val="17"/>
              </w:rPr>
              <w:t xml:space="preserve">Bullish confirm</w:t>
            </w:r>
          </w:p>
        </w:tc>
      </w:tr>
    </w:tbl>
    <w:p>
      <w:pPr>
        <w:spacing w:after="60"/>
      </w:pPr>
      <w:r>
        <w:rPr>
          <w:rFonts w:ascii="Arial" w:cs="Arial" w:eastAsia="Arial" w:hAnsi="Arial"/>
          <w:b w:val="false"/>
          <w:bCs w:val="false"/>
          <w:i w:val="false"/>
          <w:iCs w:val="false"/>
          <w:color w:val="000000"/>
          <w:sz w:val="20"/>
          <w:szCs w:val="20"/>
        </w:rPr>
        <w:t xml:space="preserve"/>
      </w:r>
    </w:p>
    <w:p>
      <w:pPr>
        <w:spacing w:after="120" w:before="0" w:line="276"/>
        <w:jc w:val="left"/>
      </w:pPr>
      <w:r>
        <w:rPr>
          <w:rFonts w:ascii="Arial" w:cs="Arial" w:eastAsia="Arial" w:hAnsi="Arial"/>
          <w:b/>
          <w:bCs/>
          <w:i w:val="false"/>
          <w:iCs w:val="false"/>
          <w:color w:val="000000"/>
          <w:sz w:val="20"/>
          <w:szCs w:val="20"/>
        </w:rPr>
        <w:t xml:space="preserve">Aggregate cross-asset confirmation: </w:t>
      </w:r>
      <w:r>
        <w:rPr>
          <w:rFonts w:ascii="Arial" w:cs="Arial" w:eastAsia="Arial" w:hAnsi="Arial"/>
          <w:b/>
          <w:bCs/>
          <w:i w:val="false"/>
          <w:iCs w:val="false"/>
          <w:color w:val="2E7D32"/>
          <w:sz w:val="20"/>
          <w:szCs w:val="20"/>
        </w:rPr>
        <w:t xml:space="preserve">CONFIRM</w:t>
      </w:r>
      <w:r>
        <w:rPr>
          <w:rFonts w:ascii="Arial" w:cs="Arial" w:eastAsia="Arial" w:hAnsi="Arial"/>
          <w:b w:val="false"/>
          <w:bCs w:val="false"/>
          <w:i w:val="false"/>
          <w:iCs w:val="false"/>
          <w:color w:val="000000"/>
          <w:sz w:val="20"/>
          <w:szCs w:val="20"/>
        </w:rPr>
        <w:t xml:space="preserve"> — two of three counters confirm the bullish FTSE read and none contradict (USDX neutral). Oil itself, while not a configured counter, is the master variable this week: its ~5% collapse on the peace framework is the proximate cause of the synchronized European equity bid (energy is a FTSE drag but the net index effect is positive via banks, travel and lower-inflation expectations).</w:t>
      </w:r>
    </w:p>
    <w:p>
      <w:pPr>
        <w:pStyle w:val="Heading1"/>
        <w:pBdr>
          <w:bottom w:val="single" w:color="2E75B6" w:sz="6" w:space="3"/>
        </w:pBdr>
        <w:spacing w:after="140" w:before="280"/>
      </w:pPr>
      <w:r>
        <w:rPr>
          <w:rFonts w:ascii="Arial" w:cs="Arial" w:eastAsia="Arial" w:hAnsi="Arial"/>
          <w:b/>
          <w:bCs/>
          <w:color w:val="1F3864"/>
          <w:sz w:val="26"/>
          <w:szCs w:val="26"/>
        </w:rPr>
        <w:t xml:space="preserve">11 · Floor Pivot Analysis</w:t>
      </w:r>
    </w:p>
    <w:p>
      <w:pPr>
        <w:pStyle w:val="Heading2"/>
        <w:spacing w:after="100" w:before="200"/>
      </w:pPr>
      <w:r>
        <w:rPr>
          <w:rFonts w:ascii="Arial" w:cs="Arial" w:eastAsia="Arial" w:hAnsi="Arial"/>
          <w:b/>
          <w:bCs/>
          <w:color w:val="1F3864"/>
          <w:sz w:val="22"/>
          <w:szCs w:val="22"/>
        </w:rPr>
        <w:t xml:space="preserve">Daily pivots (from Friday 12 June H/L/C — CORROBORATED)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40"/>
        <w:gridCol w:w="1340"/>
        <w:gridCol w:w="1340"/>
        <w:gridCol w:w="1340"/>
        <w:gridCol w:w="1340"/>
        <w:gridCol w:w="1330"/>
        <w:gridCol w:w="1330"/>
      </w:tblGrid>
      <w:tr>
        <w:trPr>
          <w:tblHeader/>
        </w:trPr>
        <w:tc>
          <w:tcPr>
            <w:tcW w:type="dxa" w:w="1340"/>
            <w:tcBorders>
              <w:top w:val="single" w:color="BFBFBF" w:sz="1"/>
              <w:left w:val="single" w:color="BFBFBF" w:sz="1"/>
              <w:bottom w:val="single" w:color="BFBFBF" w:sz="1"/>
              <w:right w:val="single" w:color="BFBFBF" w:sz="1"/>
            </w:tcBorders>
            <w:shd w:fill="D5E8F0"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S3</w:t>
            </w:r>
          </w:p>
        </w:tc>
        <w:tc>
          <w:tcPr>
            <w:tcW w:type="dxa" w:w="1340"/>
            <w:tcBorders>
              <w:top w:val="single" w:color="BFBFBF" w:sz="1"/>
              <w:left w:val="single" w:color="BFBFBF" w:sz="1"/>
              <w:bottom w:val="single" w:color="BFBFBF" w:sz="1"/>
              <w:right w:val="single" w:color="BFBFBF" w:sz="1"/>
            </w:tcBorders>
            <w:shd w:fill="D5E8F0"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S2</w:t>
            </w:r>
          </w:p>
        </w:tc>
        <w:tc>
          <w:tcPr>
            <w:tcW w:type="dxa" w:w="1340"/>
            <w:tcBorders>
              <w:top w:val="single" w:color="BFBFBF" w:sz="1"/>
              <w:left w:val="single" w:color="BFBFBF" w:sz="1"/>
              <w:bottom w:val="single" w:color="BFBFBF" w:sz="1"/>
              <w:right w:val="single" w:color="BFBFBF" w:sz="1"/>
            </w:tcBorders>
            <w:shd w:fill="D5E8F0"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S1.5</w:t>
            </w:r>
          </w:p>
        </w:tc>
        <w:tc>
          <w:tcPr>
            <w:tcW w:type="dxa" w:w="1340"/>
            <w:tcBorders>
              <w:top w:val="single" w:color="BFBFBF" w:sz="1"/>
              <w:left w:val="single" w:color="BFBFBF" w:sz="1"/>
              <w:bottom w:val="single" w:color="BFBFBF" w:sz="1"/>
              <w:right w:val="single" w:color="BFBFBF" w:sz="1"/>
            </w:tcBorders>
            <w:shd w:fill="D5E8F0"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S1</w:t>
            </w:r>
          </w:p>
        </w:tc>
        <w:tc>
          <w:tcPr>
            <w:tcW w:type="dxa" w:w="1340"/>
            <w:tcBorders>
              <w:top w:val="single" w:color="BFBFBF" w:sz="1"/>
              <w:left w:val="single" w:color="BFBFBF" w:sz="1"/>
              <w:bottom w:val="single" w:color="BFBFBF" w:sz="1"/>
              <w:right w:val="single" w:color="BFBFBF" w:sz="1"/>
            </w:tcBorders>
            <w:shd w:fill="D5E8F0"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Pivot</w:t>
            </w:r>
          </w:p>
        </w:tc>
        <w:tc>
          <w:tcPr>
            <w:tcW w:type="dxa" w:w="1330"/>
            <w:tcBorders>
              <w:top w:val="single" w:color="BFBFBF" w:sz="1"/>
              <w:left w:val="single" w:color="BFBFBF" w:sz="1"/>
              <w:bottom w:val="single" w:color="BFBFBF" w:sz="1"/>
              <w:right w:val="single" w:color="BFBFBF" w:sz="1"/>
            </w:tcBorders>
            <w:shd w:fill="D5E8F0"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R1</w:t>
            </w:r>
          </w:p>
        </w:tc>
        <w:tc>
          <w:tcPr>
            <w:tcW w:type="dxa" w:w="1330"/>
            <w:tcBorders>
              <w:top w:val="single" w:color="BFBFBF" w:sz="1"/>
              <w:left w:val="single" w:color="BFBFBF" w:sz="1"/>
              <w:bottom w:val="single" w:color="BFBFBF" w:sz="1"/>
              <w:right w:val="single" w:color="BFBFBF" w:sz="1"/>
            </w:tcBorders>
            <w:shd w:fill="D5E8F0"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R1.5 / R2</w:t>
            </w:r>
          </w:p>
        </w:tc>
      </w:tr>
      <w:tr>
        <w:tc>
          <w:tcPr>
            <w:tcW w:type="dxa" w:w="134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7"/>
                <w:szCs w:val="17"/>
              </w:rPr>
              <w:t xml:space="preserve">10,190.0</w:t>
            </w:r>
          </w:p>
        </w:tc>
        <w:tc>
          <w:tcPr>
            <w:tcW w:type="dxa" w:w="134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7"/>
                <w:szCs w:val="17"/>
              </w:rPr>
              <w:t xml:space="preserve">10,246.3</w:t>
            </w:r>
          </w:p>
        </w:tc>
        <w:tc>
          <w:tcPr>
            <w:tcW w:type="dxa" w:w="134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7"/>
                <w:szCs w:val="17"/>
              </w:rPr>
              <w:t xml:space="preserve">10,302.7</w:t>
            </w:r>
          </w:p>
        </w:tc>
        <w:tc>
          <w:tcPr>
            <w:tcW w:type="dxa" w:w="134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7"/>
                <w:szCs w:val="17"/>
              </w:rPr>
              <w:t xml:space="preserve">10,359.0</w:t>
            </w:r>
          </w:p>
        </w:tc>
        <w:tc>
          <w:tcPr>
            <w:tcW w:type="dxa" w:w="134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7"/>
                <w:szCs w:val="17"/>
              </w:rPr>
              <w:t xml:space="preserve">10,415.4</w:t>
            </w:r>
          </w:p>
        </w:tc>
        <w:tc>
          <w:tcPr>
            <w:tcW w:type="dxa" w:w="133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7"/>
                <w:szCs w:val="17"/>
              </w:rPr>
              <w:t xml:space="preserve">10,528.1</w:t>
            </w:r>
          </w:p>
        </w:tc>
        <w:tc>
          <w:tcPr>
            <w:tcW w:type="dxa" w:w="133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7"/>
                <w:szCs w:val="17"/>
              </w:rPr>
              <w:t xml:space="preserve">10,556 / 10,584</w:t>
            </w:r>
          </w:p>
        </w:tc>
      </w:tr>
    </w:tbl>
    <w:p>
      <w:pPr>
        <w:spacing w:after="60"/>
      </w:pPr>
      <w:r>
        <w:rPr>
          <w:rFonts w:ascii="Arial" w:cs="Arial" w:eastAsia="Arial" w:hAnsi="Arial"/>
          <w:b w:val="false"/>
          <w:bCs w:val="false"/>
          <w:i w:val="false"/>
          <w:iCs w:val="false"/>
          <w:color w:val="000000"/>
          <w:sz w:val="20"/>
          <w:szCs w:val="20"/>
        </w:rPr>
        <w:t xml:space="preserve"/>
      </w:r>
    </w:p>
    <w:p>
      <w:pPr>
        <w:spacing w:after="120" w:before="0" w:line="276"/>
        <w:jc w:val="left"/>
      </w:pPr>
      <w:r>
        <w:rPr>
          <w:rFonts w:ascii="Arial" w:cs="Arial" w:eastAsia="Arial" w:hAnsi="Arial"/>
          <w:b w:val="false"/>
          <w:bCs w:val="false"/>
          <w:i w:val="false"/>
          <w:iCs w:val="false"/>
          <w:color w:val="000000"/>
          <w:sz w:val="20"/>
          <w:szCs w:val="20"/>
        </w:rPr>
        <w:t xml:space="preserve">The daily pivot set is CORROBORATED: it is computed from the fully two-source-confirmed Friday H/L/C and independently reproduces the externally published pivot (P 10,415.37, R1 10,528.03, S1 10,359.03) to the cent. Close 10,471.72 sits </w:t>
      </w:r>
      <w:r>
        <w:rPr>
          <w:rFonts w:ascii="Arial" w:cs="Arial" w:eastAsia="Arial" w:hAnsi="Arial"/>
          <w:b/>
          <w:bCs/>
          <w:i w:val="false"/>
          <w:iCs w:val="false"/>
          <w:color w:val="000000"/>
          <w:sz w:val="20"/>
          <w:szCs w:val="20"/>
        </w:rPr>
        <w:t xml:space="preserve">above the pivot and below R1</w:t>
      </w:r>
      <w:r>
        <w:rPr>
          <w:rFonts w:ascii="Arial" w:cs="Arial" w:eastAsia="Arial" w:hAnsi="Arial"/>
          <w:b w:val="false"/>
          <w:bCs w:val="false"/>
          <w:i w:val="false"/>
          <w:iCs w:val="false"/>
          <w:color w:val="000000"/>
          <w:sz w:val="20"/>
          <w:szCs w:val="20"/>
        </w:rPr>
        <w:t xml:space="preserve"> — a bullish-but-not-extended posture, with R1 (10,528) the first upside magnet and the S1/Friday-open shelf (10,359–10,303) the first support.</w:t>
      </w:r>
    </w:p>
    <w:p>
      <w:pPr>
        <w:spacing w:after="60"/>
      </w:pPr>
      <w:r>
        <w:rPr>
          <w:rFonts w:ascii="Arial" w:cs="Arial" w:eastAsia="Arial" w:hAnsi="Arial"/>
          <w:b w:val="false"/>
          <w:bCs w:val="false"/>
          <w:i w:val="false"/>
          <w:iCs w:val="false"/>
          <w:color w:val="000000"/>
          <w:sz w:val="20"/>
          <w:szCs w:val="20"/>
        </w:rPr>
        <w:t xml:space="preserve"/>
      </w:r>
    </w:p>
    <w:p>
      <w:pPr>
        <w:pStyle w:val="Heading2"/>
        <w:spacing w:after="100" w:before="200"/>
      </w:pPr>
      <w:r>
        <w:rPr>
          <w:rFonts w:ascii="Arial" w:cs="Arial" w:eastAsia="Arial" w:hAnsi="Arial"/>
          <w:b/>
          <w:bCs/>
          <w:color w:val="1F3864"/>
          <w:sz w:val="22"/>
          <w:szCs w:val="22"/>
        </w:rPr>
        <w:t xml:space="preserve">Weekly pivots (prior week H/L/C — indicative)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1"/>
              <w:left w:val="single" w:color="BFBFBF" w:sz="1"/>
              <w:bottom w:val="single" w:color="BFBFBF" w:sz="1"/>
              <w:right w:val="single" w:color="BFBFBF" w:sz="1"/>
            </w:tcBorders>
            <w:shd w:fill="D5E8F0"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WS2</w:t>
            </w:r>
          </w:p>
        </w:tc>
        <w:tc>
          <w:tcPr>
            <w:tcW w:type="dxa" w:w="1872"/>
            <w:tcBorders>
              <w:top w:val="single" w:color="BFBFBF" w:sz="1"/>
              <w:left w:val="single" w:color="BFBFBF" w:sz="1"/>
              <w:bottom w:val="single" w:color="BFBFBF" w:sz="1"/>
              <w:right w:val="single" w:color="BFBFBF" w:sz="1"/>
            </w:tcBorders>
            <w:shd w:fill="D5E8F0"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WS1</w:t>
            </w:r>
          </w:p>
        </w:tc>
        <w:tc>
          <w:tcPr>
            <w:tcW w:type="dxa" w:w="1872"/>
            <w:tcBorders>
              <w:top w:val="single" w:color="BFBFBF" w:sz="1"/>
              <w:left w:val="single" w:color="BFBFBF" w:sz="1"/>
              <w:bottom w:val="single" w:color="BFBFBF" w:sz="1"/>
              <w:right w:val="single" w:color="BFBFBF" w:sz="1"/>
            </w:tcBorders>
            <w:shd w:fill="D5E8F0"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Weekly P</w:t>
            </w:r>
          </w:p>
        </w:tc>
        <w:tc>
          <w:tcPr>
            <w:tcW w:type="dxa" w:w="1872"/>
            <w:tcBorders>
              <w:top w:val="single" w:color="BFBFBF" w:sz="1"/>
              <w:left w:val="single" w:color="BFBFBF" w:sz="1"/>
              <w:bottom w:val="single" w:color="BFBFBF" w:sz="1"/>
              <w:right w:val="single" w:color="BFBFBF" w:sz="1"/>
            </w:tcBorders>
            <w:shd w:fill="D5E8F0"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WR1</w:t>
            </w:r>
          </w:p>
        </w:tc>
        <w:tc>
          <w:tcPr>
            <w:tcW w:type="dxa" w:w="1872"/>
            <w:tcBorders>
              <w:top w:val="single" w:color="BFBFBF" w:sz="1"/>
              <w:left w:val="single" w:color="BFBFBF" w:sz="1"/>
              <w:bottom w:val="single" w:color="BFBFBF" w:sz="1"/>
              <w:right w:val="single" w:color="BFBFBF" w:sz="1"/>
            </w:tcBorders>
            <w:shd w:fill="D5E8F0"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WR2</w:t>
            </w:r>
          </w:p>
        </w:tc>
      </w:tr>
      <w:tr>
        <w:tc>
          <w:tcPr>
            <w:tcW w:type="dxa" w:w="1872"/>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7"/>
                <w:szCs w:val="17"/>
              </w:rPr>
              <w:t xml:space="preserve">10,082.8</w:t>
            </w:r>
          </w:p>
        </w:tc>
        <w:tc>
          <w:tcPr>
            <w:tcW w:type="dxa" w:w="1872"/>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7"/>
                <w:szCs w:val="17"/>
              </w:rPr>
              <w:t xml:space="preserve">10,277.2</w:t>
            </w:r>
          </w:p>
        </w:tc>
        <w:tc>
          <w:tcPr>
            <w:tcW w:type="dxa" w:w="1872"/>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7"/>
                <w:szCs w:val="17"/>
              </w:rPr>
              <w:t xml:space="preserve">10,374.5</w:t>
            </w:r>
          </w:p>
        </w:tc>
        <w:tc>
          <w:tcPr>
            <w:tcW w:type="dxa" w:w="1872"/>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7"/>
                <w:szCs w:val="17"/>
              </w:rPr>
              <w:t xml:space="preserve">10,569.0</w:t>
            </w:r>
          </w:p>
        </w:tc>
        <w:tc>
          <w:tcPr>
            <w:tcW w:type="dxa" w:w="1872"/>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7"/>
                <w:szCs w:val="17"/>
              </w:rPr>
              <w:t xml:space="preserve">10,666.2</w:t>
            </w:r>
          </w:p>
        </w:tc>
      </w:tr>
    </w:tbl>
    <w:p>
      <w:pPr>
        <w:spacing w:after="120" w:before="0" w:line="276"/>
        <w:jc w:val="left"/>
      </w:pPr>
      <w:r>
        <w:rPr>
          <w:rFonts w:ascii="Arial" w:cs="Arial" w:eastAsia="Arial" w:hAnsi="Arial"/>
          <w:b w:val="false"/>
          <w:bCs w:val="false"/>
          <w:i/>
          <w:iCs/>
          <w:color w:val="000000"/>
          <w:sz w:val="18"/>
          <w:szCs w:val="18"/>
        </w:rPr>
        <w:t xml:space="preserve">Weekly pivots use the prior week's range; because four of five intraday highs/lows are single-source indicative, the weekly set is flagged indicative and is not used for level-based entries.</w:t>
      </w:r>
    </w:p>
    <w:p>
      <w:pPr>
        <w:pStyle w:val="Heading1"/>
        <w:pBdr>
          <w:bottom w:val="single" w:color="2E75B6" w:sz="6" w:space="3"/>
        </w:pBdr>
        <w:spacing w:after="140" w:before="280"/>
      </w:pPr>
      <w:r>
        <w:rPr>
          <w:rFonts w:ascii="Arial" w:cs="Arial" w:eastAsia="Arial" w:hAnsi="Arial"/>
          <w:b/>
          <w:bCs/>
          <w:color w:val="1F3864"/>
          <w:sz w:val="26"/>
          <w:szCs w:val="26"/>
        </w:rPr>
        <w:t xml:space="preserve">12 · Key Market Considerations</w:t>
      </w:r>
    </w:p>
    <w:p>
      <w:pPr>
        <w:spacing w:after="120" w:before="0" w:line="276"/>
        <w:jc w:val="left"/>
      </w:pPr>
      <w:r>
        <w:rPr>
          <w:rFonts w:ascii="Arial" w:cs="Arial" w:eastAsia="Arial" w:hAnsi="Arial"/>
          <w:b/>
          <w:bCs/>
          <w:i w:val="false"/>
          <w:iCs w:val="false"/>
          <w:color w:val="000000"/>
          <w:sz w:val="20"/>
          <w:szCs w:val="20"/>
        </w:rPr>
        <w:t xml:space="preserve">Energy / oil (most material). </w:t>
      </w:r>
      <w:r>
        <w:rPr>
          <w:rFonts w:ascii="Arial" w:cs="Arial" w:eastAsia="Arial" w:hAnsi="Arial"/>
          <w:b w:val="false"/>
          <w:bCs w:val="false"/>
          <w:i w:val="false"/>
          <w:iCs w:val="false"/>
          <w:color w:val="000000"/>
          <w:sz w:val="20"/>
          <w:szCs w:val="20"/>
        </w:rPr>
        <w:t xml:space="preserve">The US–Iran peace framework and prospective reopening of the Strait of Hormuz drove Brent to ~$83 and WTI to ~$80 on 15 June, down roughly 5% and far below the ~$120 conflict peak. For the FTSE this is double-edged: Shell and BP (heavy index weights) fell 3–4.6% on Monday, but the net index effect is positive via lower-inflation expectations, stronger banks and travel/consumer names. Price-supportive on balance.</w:t>
      </w:r>
    </w:p>
    <w:p>
      <w:pPr>
        <w:spacing w:after="120" w:before="0" w:line="276"/>
        <w:jc w:val="left"/>
      </w:pPr>
      <w:r>
        <w:rPr>
          <w:rFonts w:ascii="Arial" w:cs="Arial" w:eastAsia="Arial" w:hAnsi="Arial"/>
          <w:b/>
          <w:bCs/>
          <w:i w:val="false"/>
          <w:iCs w:val="false"/>
          <w:color w:val="000000"/>
          <w:sz w:val="20"/>
          <w:szCs w:val="20"/>
        </w:rPr>
        <w:t xml:space="preserve">Monetary policy. </w:t>
      </w:r>
      <w:r>
        <w:rPr>
          <w:rFonts w:ascii="Arial" w:cs="Arial" w:eastAsia="Arial" w:hAnsi="Arial"/>
          <w:b w:val="false"/>
          <w:bCs w:val="false"/>
          <w:i w:val="false"/>
          <w:iCs w:val="false"/>
          <w:color w:val="000000"/>
          <w:sz w:val="20"/>
          <w:szCs w:val="20"/>
        </w:rPr>
        <w:t xml:space="preserve">The ECB raised rates 25bp to 2.25% on 11 June — its first hike since 2023 — citing Iran-driven energy inflation (HICP 3.2% in May), and signalled a restrictive stance could persist through 2027. The Bank of England holds Bank Rate at 3.75%; lower energy prices, if durable, could pull forward the first UK cut from 2027 toward late 2026 — a medium-term FTSE positive. The </w:t>
      </w:r>
      <w:r>
        <w:rPr>
          <w:rFonts w:ascii="Arial" w:cs="Arial" w:eastAsia="Arial" w:hAnsi="Arial"/>
          <w:b/>
          <w:bCs/>
          <w:i w:val="false"/>
          <w:iCs w:val="false"/>
          <w:color w:val="000000"/>
          <w:sz w:val="20"/>
          <w:szCs w:val="20"/>
        </w:rPr>
        <w:t xml:space="preserve">FOMC on 16–17 June under new Chair Kevin Warsh</w:t>
      </w:r>
      <w:r>
        <w:rPr>
          <w:rFonts w:ascii="Arial" w:cs="Arial" w:eastAsia="Arial" w:hAnsi="Arial"/>
          <w:b w:val="false"/>
          <w:bCs w:val="false"/>
          <w:i w:val="false"/>
          <w:iCs w:val="false"/>
          <w:color w:val="000000"/>
          <w:sz w:val="20"/>
          <w:szCs w:val="20"/>
        </w:rPr>
        <w:t xml:space="preserve"> is the swing factor: a hawkish ‘higher-for-longer’ message would firm the dollar and pressure global risk.</w:t>
      </w:r>
    </w:p>
    <w:p>
      <w:pPr>
        <w:spacing w:after="120" w:before="0" w:line="276"/>
        <w:jc w:val="left"/>
      </w:pPr>
      <w:r>
        <w:rPr>
          <w:rFonts w:ascii="Arial" w:cs="Arial" w:eastAsia="Arial" w:hAnsi="Arial"/>
          <w:b/>
          <w:bCs/>
          <w:i w:val="false"/>
          <w:iCs w:val="false"/>
          <w:color w:val="000000"/>
          <w:sz w:val="20"/>
          <w:szCs w:val="20"/>
        </w:rPr>
        <w:t xml:space="preserve">Sector breadth &amp; macro structure. </w:t>
      </w:r>
      <w:r>
        <w:rPr>
          <w:rFonts w:ascii="Arial" w:cs="Arial" w:eastAsia="Arial" w:hAnsi="Arial"/>
          <w:b w:val="false"/>
          <w:bCs w:val="false"/>
          <w:i w:val="false"/>
          <w:iCs w:val="false"/>
          <w:color w:val="000000"/>
          <w:sz w:val="20"/>
          <w:szCs w:val="20"/>
        </w:rPr>
        <w:t xml:space="preserve">Friday's advance was broad — banks (HSBC, Lloyds, Barclays +4–5%), miners (Anglo, Antofagasta, Fresnillo +5%+) and travel (IAG +6.65%) led. UK April GDP fell 0.1% (as expected) and Halifax house prices slipped 0.1% in May, a soft domestic backdrop that matters less than the global/commodity channel for this ~80%-international index. Flagged catalyst (see §13d): the FOMC decision is the single highest-impact upcoming event.</w:t>
      </w:r>
    </w:p>
    <w:p>
      <w:pPr>
        <w:pStyle w:val="Heading1"/>
        <w:pBdr>
          <w:bottom w:val="single" w:color="2E75B6" w:sz="6" w:space="3"/>
        </w:pBdr>
        <w:spacing w:after="140" w:before="280"/>
      </w:pPr>
      <w:r>
        <w:rPr>
          <w:rFonts w:ascii="Arial" w:cs="Arial" w:eastAsia="Arial" w:hAnsi="Arial"/>
          <w:b/>
          <w:bCs/>
          <w:color w:val="1F3864"/>
          <w:sz w:val="26"/>
          <w:szCs w:val="26"/>
        </w:rPr>
        <w:t xml:space="preserve">13 · Sentiment, News &amp; Calendar</w:t>
      </w:r>
    </w:p>
    <w:p>
      <w:pPr>
        <w:pStyle w:val="Heading2"/>
        <w:spacing w:after="100" w:before="200"/>
      </w:pPr>
      <w:r>
        <w:rPr>
          <w:rFonts w:ascii="Arial" w:cs="Arial" w:eastAsia="Arial" w:hAnsi="Arial"/>
          <w:b/>
          <w:bCs/>
          <w:color w:val="1F3864"/>
          <w:sz w:val="22"/>
          <w:szCs w:val="22"/>
        </w:rPr>
        <w:t xml:space="preserve">13a · Per-article sentiment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1860"/>
        <w:gridCol w:w="3500"/>
      </w:tblGrid>
      <w:tr>
        <w:trPr>
          <w:tblHeader/>
        </w:trPr>
        <w:tc>
          <w:tcPr>
            <w:tcW w:type="dxa" w:w="2700"/>
            <w:tcBorders>
              <w:top w:val="single" w:color="BFBFBF" w:sz="1"/>
              <w:left w:val="single" w:color="BFBFBF" w:sz="1"/>
              <w:bottom w:val="single" w:color="BFBFBF" w:sz="1"/>
              <w:right w:val="single" w:color="BFBFBF" w:sz="1"/>
            </w:tcBorders>
            <w:shd w:fill="D5E8F0"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Source</w:t>
            </w:r>
          </w:p>
        </w:tc>
        <w:tc>
          <w:tcPr>
            <w:tcW w:type="dxa" w:w="1300"/>
            <w:tcBorders>
              <w:top w:val="single" w:color="BFBFBF" w:sz="1"/>
              <w:left w:val="single" w:color="BFBFBF" w:sz="1"/>
              <w:bottom w:val="single" w:color="BFBFBF" w:sz="1"/>
              <w:right w:val="single" w:color="BFBFBF" w:sz="1"/>
            </w:tcBorders>
            <w:shd w:fill="D5E8F0"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Label</w:t>
            </w:r>
          </w:p>
        </w:tc>
        <w:tc>
          <w:tcPr>
            <w:tcW w:type="dxa" w:w="1860"/>
            <w:tcBorders>
              <w:top w:val="single" w:color="BFBFBF" w:sz="1"/>
              <w:left w:val="single" w:color="BFBFBF" w:sz="1"/>
              <w:bottom w:val="single" w:color="BFBFBF" w:sz="1"/>
              <w:right w:val="single" w:color="BFBFBF" w:sz="1"/>
            </w:tcBorders>
            <w:shd w:fill="D5E8F0"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Class</w:t>
            </w:r>
          </w:p>
        </w:tc>
        <w:tc>
          <w:tcPr>
            <w:tcW w:type="dxa" w:w="3500"/>
            <w:tcBorders>
              <w:top w:val="single" w:color="BFBFBF" w:sz="1"/>
              <w:left w:val="single" w:color="BFBFBF" w:sz="1"/>
              <w:bottom w:val="single" w:color="BFBFBF" w:sz="1"/>
              <w:right w:val="single" w:color="BFBFBF" w:sz="1"/>
            </w:tcBorders>
            <w:shd w:fill="D5E8F0"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Derivation quote (≤15 words)</w:t>
            </w:r>
          </w:p>
        </w:tc>
      </w:tr>
      <w:tr>
        <w:tc>
          <w:tcPr>
            <w:tcW w:type="dxa" w:w="2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T. Rowe Price weekly update</w:t>
            </w:r>
          </w:p>
        </w:tc>
        <w:tc>
          <w:tcPr>
            <w:tcW w:type="dxa" w:w="13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6"/>
                <w:szCs w:val="16"/>
              </w:rPr>
              <w:t xml:space="preserve">Bullish</w:t>
            </w:r>
          </w:p>
        </w:tc>
        <w:tc>
          <w:tcPr>
            <w:tcW w:type="dxa" w:w="18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Institutional</w:t>
            </w:r>
          </w:p>
        </w:tc>
        <w:tc>
          <w:tcPr>
            <w:tcW w:type="dxa" w:w="35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“The UK’s FTSE 100 Index climbed 1.00%” on peace hopes</w:t>
            </w:r>
          </w:p>
        </w:tc>
      </w:tr>
      <w:tr>
        <w:tc>
          <w:tcPr>
            <w:tcW w:type="dxa" w:w="27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Saxo / Trading Economics (Europe)</w:t>
            </w:r>
          </w:p>
        </w:tc>
        <w:tc>
          <w:tcPr>
            <w:tcW w:type="dxa" w:w="13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6"/>
                <w:szCs w:val="16"/>
              </w:rPr>
              <w:t xml:space="preserve">Bullish</w:t>
            </w:r>
          </w:p>
        </w:tc>
        <w:tc>
          <w:tcPr>
            <w:tcW w:type="dxa" w:w="18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Institutional</w:t>
            </w:r>
          </w:p>
        </w:tc>
        <w:tc>
          <w:tcPr>
            <w:tcW w:type="dxa" w:w="35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“banks benefited from the improved outlook for credit”</w:t>
            </w:r>
          </w:p>
        </w:tc>
      </w:tr>
      <w:tr>
        <w:tc>
          <w:tcPr>
            <w:tcW w:type="dxa" w:w="2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Trading Economics (Euro Stoxx)</w:t>
            </w:r>
          </w:p>
        </w:tc>
        <w:tc>
          <w:tcPr>
            <w:tcW w:type="dxa" w:w="13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6"/>
                <w:szCs w:val="16"/>
              </w:rPr>
              <w:t xml:space="preserve">Bullish</w:t>
            </w:r>
          </w:p>
        </w:tc>
        <w:tc>
          <w:tcPr>
            <w:tcW w:type="dxa" w:w="18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Trade Press</w:t>
            </w:r>
          </w:p>
        </w:tc>
        <w:tc>
          <w:tcPr>
            <w:tcW w:type="dxa" w:w="35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“Stoxx 50 gained 2% amid lower oil prices”</w:t>
            </w:r>
          </w:p>
        </w:tc>
      </w:tr>
      <w:tr>
        <w:tc>
          <w:tcPr>
            <w:tcW w:type="dxa" w:w="27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Share Talk</w:t>
            </w:r>
          </w:p>
        </w:tc>
        <w:tc>
          <w:tcPr>
            <w:tcW w:type="dxa" w:w="13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6"/>
                <w:szCs w:val="16"/>
              </w:rPr>
              <w:t xml:space="preserve">Bullish</w:t>
            </w:r>
          </w:p>
        </w:tc>
        <w:tc>
          <w:tcPr>
            <w:tcW w:type="dxa" w:w="18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Media</w:t>
            </w:r>
          </w:p>
        </w:tc>
        <w:tc>
          <w:tcPr>
            <w:tcW w:type="dxa" w:w="35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“futures indicate the FTSE 100 will open around 91 points higher”</w:t>
            </w:r>
          </w:p>
        </w:tc>
      </w:tr>
      <w:tr>
        <w:tc>
          <w:tcPr>
            <w:tcW w:type="dxa" w:w="2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BBN Times</w:t>
            </w:r>
          </w:p>
        </w:tc>
        <w:tc>
          <w:tcPr>
            <w:tcW w:type="dxa" w:w="13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6"/>
                <w:szCs w:val="16"/>
              </w:rPr>
              <w:t xml:space="preserve">Bullish</w:t>
            </w:r>
          </w:p>
        </w:tc>
        <w:tc>
          <w:tcPr>
            <w:tcW w:type="dxa" w:w="18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Media</w:t>
            </w:r>
          </w:p>
        </w:tc>
        <w:tc>
          <w:tcPr>
            <w:tcW w:type="dxa" w:w="35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“three-week closing high… above its 50-day moving average”</w:t>
            </w:r>
          </w:p>
        </w:tc>
      </w:tr>
      <w:tr>
        <w:tc>
          <w:tcPr>
            <w:tcW w:type="dxa" w:w="27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Proactive / Yahoo (Mon live)</w:t>
            </w:r>
          </w:p>
        </w:tc>
        <w:tc>
          <w:tcPr>
            <w:tcW w:type="dxa" w:w="13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6"/>
                <w:szCs w:val="16"/>
              </w:rPr>
              <w:t xml:space="preserve">Neutral</w:t>
            </w:r>
          </w:p>
        </w:tc>
        <w:tc>
          <w:tcPr>
            <w:tcW w:type="dxa" w:w="18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Media</w:t>
            </w:r>
          </w:p>
        </w:tc>
        <w:tc>
          <w:tcPr>
            <w:tcW w:type="dxa" w:w="35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“losing its fizz… oilers exert drag” (offsetting flows)</w:t>
            </w:r>
          </w:p>
        </w:tc>
      </w:tr>
      <w:tr>
        <w:tc>
          <w:tcPr>
            <w:tcW w:type="dxa" w:w="2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CapitalStreetFX / Trading-revealed</w:t>
            </w:r>
          </w:p>
        </w:tc>
        <w:tc>
          <w:tcPr>
            <w:tcW w:type="dxa" w:w="13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6"/>
                <w:szCs w:val="16"/>
              </w:rPr>
              <w:t xml:space="preserve">Bearish</w:t>
            </w:r>
          </w:p>
        </w:tc>
        <w:tc>
          <w:tcPr>
            <w:tcW w:type="dxa" w:w="18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Trade Press</w:t>
            </w:r>
          </w:p>
        </w:tc>
        <w:tc>
          <w:tcPr>
            <w:tcW w:type="dxa" w:w="35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“higher-for-longer… hedging for a December rate hike”</w:t>
            </w:r>
          </w:p>
        </w:tc>
      </w:tr>
    </w:tbl>
    <w:p>
      <w:pPr>
        <w:spacing w:after="60"/>
      </w:pPr>
      <w:r>
        <w:rPr>
          <w:rFonts w:ascii="Arial" w:cs="Arial" w:eastAsia="Arial" w:hAnsi="Arial"/>
          <w:b w:val="false"/>
          <w:bCs w:val="false"/>
          <w:i w:val="false"/>
          <w:iCs w:val="false"/>
          <w:color w:val="000000"/>
          <w:sz w:val="20"/>
          <w:szCs w:val="20"/>
        </w:rPr>
        <w:t xml:space="preserve"/>
      </w:r>
    </w:p>
    <w:p>
      <w:pPr>
        <w:pStyle w:val="Heading2"/>
        <w:spacing w:after="100" w:before="200"/>
      </w:pPr>
      <w:r>
        <w:rPr>
          <w:rFonts w:ascii="Arial" w:cs="Arial" w:eastAsia="Arial" w:hAnsi="Arial"/>
          <w:b/>
          <w:bCs/>
          <w:color w:val="1F3864"/>
          <w:sz w:val="22"/>
          <w:szCs w:val="22"/>
        </w:rPr>
        <w:t xml:space="preserve">13b · Aggregate sentiment</w:t>
      </w:r>
    </w:p>
    <w:p>
      <w:pPr>
        <w:spacing w:after="120" w:before="0" w:line="276"/>
        <w:jc w:val="left"/>
      </w:pPr>
      <w:r>
        <w:rPr>
          <w:rFonts w:ascii="Arial" w:cs="Arial" w:eastAsia="Arial" w:hAnsi="Arial"/>
          <w:b/>
          <w:bCs/>
          <w:i w:val="false"/>
          <w:iCs w:val="false"/>
          <w:color w:val="2E7D32"/>
          <w:sz w:val="20"/>
          <w:szCs w:val="20"/>
        </w:rPr>
        <w:t xml:space="preserve">FTSE 100: Predominantly Bullish (tilt = +0.61).</w:t>
      </w:r>
      <w:r>
        <w:rPr>
          <w:rFonts w:ascii="Arial" w:cs="Arial" w:eastAsia="Arial" w:hAnsi="Arial"/>
          <w:b w:val="false"/>
          <w:bCs w:val="false"/>
          <w:i w:val="false"/>
          <w:iCs w:val="false"/>
          <w:color w:val="000000"/>
          <w:sz w:val="20"/>
          <w:szCs w:val="20"/>
        </w:rPr>
        <w:t xml:space="preserve">  Counts: 5 Bullish (2 institutional, 1 trade press, 2 media), 1 Neutral (media), 1 Bearish (trade press). Weighted mean = Σ(w·s)/Σw = 3.00 / 4.90 = +0.61. The single Bearish read (hawkish-Fed risk) is real but outweighed by the broad peace/oil-relief bullishness. No sentiment/price divergence — bullish articles align with the rising price.</w:t>
      </w:r>
    </w:p>
    <w:p>
      <w:pPr>
        <w:spacing w:after="60"/>
      </w:pPr>
      <w:r>
        <w:rPr>
          <w:rFonts w:ascii="Arial" w:cs="Arial" w:eastAsia="Arial" w:hAnsi="Arial"/>
          <w:b w:val="false"/>
          <w:bCs w:val="false"/>
          <w:i w:val="false"/>
          <w:iCs w:val="false"/>
          <w:color w:val="000000"/>
          <w:sz w:val="20"/>
          <w:szCs w:val="20"/>
        </w:rPr>
        <w:t xml:space="preserve"/>
      </w:r>
    </w:p>
    <w:p>
      <w:pPr>
        <w:pStyle w:val="Heading2"/>
        <w:spacing w:after="100" w:before="200"/>
      </w:pPr>
      <w:r>
        <w:rPr>
          <w:rFonts w:ascii="Arial" w:cs="Arial" w:eastAsia="Arial" w:hAnsi="Arial"/>
          <w:b/>
          <w:bCs/>
          <w:color w:val="1F3864"/>
          <w:sz w:val="22"/>
          <w:szCs w:val="22"/>
        </w:rPr>
        <w:t xml:space="preserve">13c · Previous-period calendar (8–12 June)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630"/>
        <w:gridCol w:w="2630"/>
      </w:tblGrid>
      <w:tr>
        <w:trPr>
          <w:tblHeader/>
        </w:trPr>
        <w:tc>
          <w:tcPr>
            <w:tcW w:type="dxa" w:w="1500"/>
            <w:tcBorders>
              <w:top w:val="single" w:color="BFBFBF" w:sz="1"/>
              <w:left w:val="single" w:color="BFBFBF" w:sz="1"/>
              <w:bottom w:val="single" w:color="BFBFBF" w:sz="1"/>
              <w:right w:val="single" w:color="BFBFBF" w:sz="1"/>
            </w:tcBorders>
            <w:shd w:fill="D5E8F0"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Date</w:t>
            </w:r>
          </w:p>
        </w:tc>
        <w:tc>
          <w:tcPr>
            <w:tcW w:type="dxa" w:w="2600"/>
            <w:tcBorders>
              <w:top w:val="single" w:color="BFBFBF" w:sz="1"/>
              <w:left w:val="single" w:color="BFBFBF" w:sz="1"/>
              <w:bottom w:val="single" w:color="BFBFBF" w:sz="1"/>
              <w:right w:val="single" w:color="BFBFBF" w:sz="1"/>
            </w:tcBorders>
            <w:shd w:fill="D5E8F0"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Event</w:t>
            </w:r>
          </w:p>
        </w:tc>
        <w:tc>
          <w:tcPr>
            <w:tcW w:type="dxa" w:w="2630"/>
            <w:tcBorders>
              <w:top w:val="single" w:color="BFBFBF" w:sz="1"/>
              <w:left w:val="single" w:color="BFBFBF" w:sz="1"/>
              <w:bottom w:val="single" w:color="BFBFBF" w:sz="1"/>
              <w:right w:val="single" w:color="BFBFBF" w:sz="1"/>
            </w:tcBorders>
            <w:shd w:fill="D5E8F0"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Impact</w:t>
            </w:r>
          </w:p>
        </w:tc>
        <w:tc>
          <w:tcPr>
            <w:tcW w:type="dxa" w:w="2630"/>
            <w:tcBorders>
              <w:top w:val="single" w:color="BFBFBF" w:sz="1"/>
              <w:left w:val="single" w:color="BFBFBF" w:sz="1"/>
              <w:bottom w:val="single" w:color="BFBFBF" w:sz="1"/>
              <w:right w:val="single" w:color="BFBFBF" w:sz="1"/>
            </w:tcBorders>
            <w:shd w:fill="D5E8F0"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Market implication</w:t>
            </w:r>
          </w:p>
        </w:tc>
      </w:tr>
      <w:tr>
        <w:tc>
          <w:tcPr>
            <w:tcW w:type="dxa" w:w="15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Tue 9 Jun</w:t>
            </w:r>
          </w:p>
        </w:tc>
        <w:tc>
          <w:tcPr>
            <w:tcW w:type="dxa" w:w="2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Iran-conflict escalation / oil spike</w:t>
            </w:r>
          </w:p>
        </w:tc>
        <w:tc>
          <w:tcPr>
            <w:tcW w:type="dxa" w:w="263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High</w:t>
            </w:r>
          </w:p>
        </w:tc>
        <w:tc>
          <w:tcPr>
            <w:tcW w:type="dxa" w:w="263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FTSE −1.41% to 10,227; energy &amp; miners led losses</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Wed 10 Jun</w:t>
            </w:r>
          </w:p>
        </w:tc>
        <w:tc>
          <w:tcPr>
            <w:tcW w:type="dxa" w:w="26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Overnight halt in hostilities</w:t>
            </w:r>
          </w:p>
        </w:tc>
        <w:tc>
          <w:tcPr>
            <w:tcW w:type="dxa" w:w="263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Medium</w:t>
            </w:r>
          </w:p>
        </w:tc>
        <w:tc>
          <w:tcPr>
            <w:tcW w:type="dxa" w:w="263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Intraday recovery; close 10,254.81 off the lows</w:t>
            </w:r>
          </w:p>
        </w:tc>
      </w:tr>
      <w:tr>
        <w:tc>
          <w:tcPr>
            <w:tcW w:type="dxa" w:w="15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Thu 11 Jun</w:t>
            </w:r>
          </w:p>
        </w:tc>
        <w:tc>
          <w:tcPr>
            <w:tcW w:type="dxa" w:w="2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ECB +25bp to 2.25% (first hike since 2023)</w:t>
            </w:r>
          </w:p>
        </w:tc>
        <w:tc>
          <w:tcPr>
            <w:tcW w:type="dxa" w:w="263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High</w:t>
            </w:r>
          </w:p>
        </w:tc>
        <w:tc>
          <w:tcPr>
            <w:tcW w:type="dxa" w:w="263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FTSE +1.0%; banks firmer, GBP supported</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Fri 12 Jun</w:t>
            </w:r>
          </w:p>
        </w:tc>
        <w:tc>
          <w:tcPr>
            <w:tcW w:type="dxa" w:w="26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US–Iran peace-deal optimism, oil lower</w:t>
            </w:r>
          </w:p>
        </w:tc>
        <w:tc>
          <w:tcPr>
            <w:tcW w:type="dxa" w:w="263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High</w:t>
            </w:r>
          </w:p>
        </w:tc>
        <w:tc>
          <w:tcPr>
            <w:tcW w:type="dxa" w:w="263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FTSE +1.63% to 10,471.72, 3-week high</w:t>
            </w:r>
          </w:p>
        </w:tc>
      </w:tr>
    </w:tbl>
    <w:p>
      <w:pPr>
        <w:spacing w:after="60"/>
      </w:pPr>
      <w:r>
        <w:rPr>
          <w:rFonts w:ascii="Arial" w:cs="Arial" w:eastAsia="Arial" w:hAnsi="Arial"/>
          <w:b w:val="false"/>
          <w:bCs w:val="false"/>
          <w:i w:val="false"/>
          <w:iCs w:val="false"/>
          <w:color w:val="000000"/>
          <w:sz w:val="20"/>
          <w:szCs w:val="20"/>
        </w:rPr>
        <w:t xml:space="preserve"/>
      </w:r>
    </w:p>
    <w:p>
      <w:pPr>
        <w:pStyle w:val="Heading2"/>
        <w:spacing w:after="100" w:before="200"/>
      </w:pPr>
      <w:r>
        <w:rPr>
          <w:rFonts w:ascii="Arial" w:cs="Arial" w:eastAsia="Arial" w:hAnsi="Arial"/>
          <w:b/>
          <w:bCs/>
          <w:color w:val="1F3864"/>
          <w:sz w:val="22"/>
          <w:szCs w:val="22"/>
        </w:rPr>
        <w:t xml:space="preserve">13d · Upcoming-period calendar (16–22 June)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630"/>
        <w:gridCol w:w="2630"/>
      </w:tblGrid>
      <w:tr>
        <w:trPr>
          <w:tblHeader/>
        </w:trPr>
        <w:tc>
          <w:tcPr>
            <w:tcW w:type="dxa" w:w="1500"/>
            <w:tcBorders>
              <w:top w:val="single" w:color="BFBFBF" w:sz="1"/>
              <w:left w:val="single" w:color="BFBFBF" w:sz="1"/>
              <w:bottom w:val="single" w:color="BFBFBF" w:sz="1"/>
              <w:right w:val="single" w:color="BFBFBF" w:sz="1"/>
            </w:tcBorders>
            <w:shd w:fill="D5E8F0"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Date</w:t>
            </w:r>
          </w:p>
        </w:tc>
        <w:tc>
          <w:tcPr>
            <w:tcW w:type="dxa" w:w="2600"/>
            <w:tcBorders>
              <w:top w:val="single" w:color="BFBFBF" w:sz="1"/>
              <w:left w:val="single" w:color="BFBFBF" w:sz="1"/>
              <w:bottom w:val="single" w:color="BFBFBF" w:sz="1"/>
              <w:right w:val="single" w:color="BFBFBF" w:sz="1"/>
            </w:tcBorders>
            <w:shd w:fill="D5E8F0"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Event</w:t>
            </w:r>
          </w:p>
        </w:tc>
        <w:tc>
          <w:tcPr>
            <w:tcW w:type="dxa" w:w="2630"/>
            <w:tcBorders>
              <w:top w:val="single" w:color="BFBFBF" w:sz="1"/>
              <w:left w:val="single" w:color="BFBFBF" w:sz="1"/>
              <w:bottom w:val="single" w:color="BFBFBF" w:sz="1"/>
              <w:right w:val="single" w:color="BFBFBF" w:sz="1"/>
            </w:tcBorders>
            <w:shd w:fill="D5E8F0"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Impact</w:t>
            </w:r>
          </w:p>
        </w:tc>
        <w:tc>
          <w:tcPr>
            <w:tcW w:type="dxa" w:w="2630"/>
            <w:tcBorders>
              <w:top w:val="single" w:color="BFBFBF" w:sz="1"/>
              <w:left w:val="single" w:color="BFBFBF" w:sz="1"/>
              <w:bottom w:val="single" w:color="BFBFBF" w:sz="1"/>
              <w:right w:val="single" w:color="BFBFBF" w:sz="1"/>
            </w:tcBorders>
            <w:shd w:fill="D5E8F0"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Market implication</w:t>
            </w:r>
          </w:p>
        </w:tc>
      </w:tr>
      <w:tr>
        <w:tc>
          <w:tcPr>
            <w:tcW w:type="dxa" w:w="15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Tue 16 Jun</w:t>
            </w:r>
          </w:p>
        </w:tc>
        <w:tc>
          <w:tcPr>
            <w:tcW w:type="dxa" w:w="2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US–Iran deal signing headlines / oil follow-through</w:t>
            </w:r>
          </w:p>
        </w:tc>
        <w:tc>
          <w:tcPr>
            <w:tcW w:type="dxa" w:w="263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High</w:t>
            </w:r>
          </w:p>
        </w:tc>
        <w:tc>
          <w:tcPr>
            <w:tcW w:type="dxa" w:w="263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Confirmation extends the relief rally; a collapse of talks reverses it</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Tue 16 Jun</w:t>
            </w:r>
          </w:p>
        </w:tc>
        <w:tc>
          <w:tcPr>
            <w:tcW w:type="dxa" w:w="26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UK CPI (May)</w:t>
            </w:r>
          </w:p>
        </w:tc>
        <w:tc>
          <w:tcPr>
            <w:tcW w:type="dxa" w:w="263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High</w:t>
            </w:r>
          </w:p>
        </w:tc>
        <w:tc>
          <w:tcPr>
            <w:tcW w:type="dxa" w:w="263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A soft print reinforces the BoE-cut-pull-forward narrative — FTSE positive</w:t>
            </w:r>
          </w:p>
        </w:tc>
      </w:tr>
      <w:tr>
        <w:tc>
          <w:tcPr>
            <w:tcW w:type="dxa" w:w="15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Wed 17 Jun</w:t>
            </w:r>
          </w:p>
        </w:tc>
        <w:tc>
          <w:tcPr>
            <w:tcW w:type="dxa" w:w="2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FOMC decision (Chair Warsh's first)</w:t>
            </w:r>
          </w:p>
        </w:tc>
        <w:tc>
          <w:tcPr>
            <w:tcW w:type="dxa" w:w="263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High</w:t>
            </w:r>
          </w:p>
        </w:tc>
        <w:tc>
          <w:tcPr>
            <w:tcW w:type="dxa" w:w="263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Highest-impact item — see below</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Thu 18 Jun</w:t>
            </w:r>
          </w:p>
        </w:tc>
        <w:tc>
          <w:tcPr>
            <w:tcW w:type="dxa" w:w="26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Bank of England MPC meeting</w:t>
            </w:r>
          </w:p>
        </w:tc>
        <w:tc>
          <w:tcPr>
            <w:tcW w:type="dxa" w:w="263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High</w:t>
            </w:r>
          </w:p>
        </w:tc>
        <w:tc>
          <w:tcPr>
            <w:tcW w:type="dxa" w:w="263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6"/>
                <w:szCs w:val="16"/>
              </w:rPr>
              <w:t xml:space="preserve">Hold expected; tone on energy/inflation guides GBP and rate-sensitives</w:t>
            </w:r>
          </w:p>
        </w:tc>
      </w:tr>
    </w:tbl>
    <w:p>
      <w:pPr>
        <w:spacing w:after="60"/>
      </w:pPr>
      <w:r>
        <w:rPr>
          <w:rFonts w:ascii="Arial" w:cs="Arial" w:eastAsia="Arial" w:hAnsi="Arial"/>
          <w:b w:val="false"/>
          <w:bCs w:val="false"/>
          <w:i w:val="false"/>
          <w:iCs w:val="false"/>
          <w:color w:val="000000"/>
          <w:sz w:val="20"/>
          <w:szCs w:val="20"/>
        </w:rPr>
        <w:t xml:space="preserve"/>
      </w:r>
    </w:p>
    <w:p>
      <w:pPr>
        <w:spacing w:after="120" w:before="0" w:line="276"/>
        <w:jc w:val="left"/>
      </w:pPr>
      <w:r>
        <w:rPr>
          <w:rFonts w:ascii="Arial" w:cs="Arial" w:eastAsia="Arial" w:hAnsi="Arial"/>
          <w:b/>
          <w:bCs/>
          <w:i w:val="false"/>
          <w:iCs w:val="false"/>
          <w:color w:val="000000"/>
          <w:sz w:val="20"/>
          <w:szCs w:val="20"/>
        </w:rPr>
        <w:t xml:space="preserve">Highest-impact upcoming event: the FOMC decision on 17 June. </w:t>
      </w:r>
      <w:r>
        <w:rPr>
          <w:rFonts w:ascii="Arial" w:cs="Arial" w:eastAsia="Arial" w:hAnsi="Arial"/>
          <w:b w:val="false"/>
          <w:bCs w:val="false"/>
          <w:i w:val="false"/>
          <w:iCs w:val="false"/>
          <w:color w:val="000000"/>
          <w:sz w:val="20"/>
          <w:szCs w:val="20"/>
        </w:rPr>
        <w:t xml:space="preserve">Mechanism — a hawkish ‘higher-for-longer’ hold under Chair Warsh would firm the dollar and lift global discount rates, capping the FTSE relief rally and pressuring rate-sensitive and mega-cap-correlated names even as lower oil helps domestically.</w:t>
      </w:r>
    </w:p>
    <w:p>
      <w:pPr>
        <w:pStyle w:val="Heading1"/>
        <w:pBdr>
          <w:bottom w:val="single" w:color="2E75B6" w:sz="6" w:space="3"/>
        </w:pBdr>
        <w:spacing w:after="140" w:before="280"/>
      </w:pPr>
      <w:r>
        <w:rPr>
          <w:rFonts w:ascii="Arial" w:cs="Arial" w:eastAsia="Arial" w:hAnsi="Arial"/>
          <w:b/>
          <w:bCs/>
          <w:color w:val="1F3864"/>
          <w:sz w:val="26"/>
          <w:szCs w:val="26"/>
        </w:rPr>
        <w:t xml:space="preserve">14 · Macro Context</w:t>
      </w:r>
    </w:p>
    <w:p>
      <w:pPr>
        <w:spacing w:after="120" w:before="0" w:line="276"/>
        <w:jc w:val="left"/>
      </w:pPr>
      <w:r>
        <w:rPr>
          <w:rFonts w:ascii="Arial" w:cs="Arial" w:eastAsia="Arial" w:hAnsi="Arial"/>
          <w:b/>
          <w:bCs/>
          <w:i w:val="false"/>
          <w:iCs w:val="false"/>
          <w:color w:val="000000"/>
          <w:sz w:val="20"/>
          <w:szCs w:val="20"/>
        </w:rPr>
        <w:t xml:space="preserve">Rates &amp; inflation. </w:t>
      </w:r>
      <w:r>
        <w:rPr>
          <w:rFonts w:ascii="Arial" w:cs="Arial" w:eastAsia="Arial" w:hAnsi="Arial"/>
          <w:b/>
          <w:bCs/>
          <w:i w:val="false"/>
          <w:iCs w:val="false"/>
          <w:color w:val="000000"/>
          <w:sz w:val="20"/>
          <w:szCs w:val="20"/>
        </w:rPr>
        <w:t xml:space="preserve">ECB at 2.25% post-hike with an explicitly restrictive bias; UK Bank Rate 3.75% with UK CPI easing to 2.8% (April) but still above target; eurozone HICP 3.2% (May) on energy. Fed decision pending under new leadership with markets pricing higher-for-longer. Liquidity &amp; positioning. </w:t>
      </w:r>
      <w:r>
        <w:rPr>
          <w:rFonts w:ascii="Arial" w:cs="Arial" w:eastAsia="Arial" w:hAnsi="Arial"/>
          <w:b w:val="false"/>
          <w:bCs w:val="false"/>
          <w:i w:val="false"/>
          <w:iCs w:val="false"/>
          <w:color w:val="000000"/>
          <w:sz w:val="20"/>
          <w:szCs w:val="20"/>
        </w:rPr>
        <w:t xml:space="preserve">VIX collapsed ~9% to ~17.7 on Friday as the conflict premium unwound — a risk-on signal. FX: GBP/USD ~1.34, EUR/USD ~1.16, DXY ~99.3–100.1 (firm into the FOMC; see §10). Watch items (see §13d): UK CPI and the FOMC dominate the week. The macro backdrop is net-supportive for the FTSE so long as the oil decline holds and the Fed avoids a hawkish surprise.</w:t>
      </w:r>
    </w:p>
    <w:p>
      <w:pPr>
        <w:pStyle w:val="Heading1"/>
        <w:pBdr>
          <w:bottom w:val="single" w:color="2E75B6" w:sz="6" w:space="3"/>
        </w:pBdr>
        <w:spacing w:after="140" w:before="280"/>
      </w:pPr>
      <w:r>
        <w:rPr>
          <w:rFonts w:ascii="Arial" w:cs="Arial" w:eastAsia="Arial" w:hAnsi="Arial"/>
          <w:b/>
          <w:bCs/>
          <w:color w:val="1F3864"/>
          <w:sz w:val="26"/>
          <w:szCs w:val="26"/>
        </w:rPr>
        <w:t xml:space="preserve">15 · Bull / Bear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1"/>
              <w:left w:val="single" w:color="BFBFBF" w:sz="1"/>
              <w:bottom w:val="single" w:color="BFBFBF" w:sz="1"/>
              <w:right w:val="single" w:color="BFBFBF" w:sz="1"/>
            </w:tcBorders>
            <w:shd w:fill="D9EAD3"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Upside risks</w:t>
            </w:r>
          </w:p>
        </w:tc>
        <w:tc>
          <w:tcPr>
            <w:tcW w:type="dxa" w:w="4680"/>
            <w:tcBorders>
              <w:top w:val="single" w:color="BFBFBF" w:sz="1"/>
              <w:left w:val="single" w:color="BFBFBF" w:sz="1"/>
              <w:bottom w:val="single" w:color="BFBFBF" w:sz="1"/>
              <w:right w:val="single" w:color="BFBFBF" w:sz="1"/>
            </w:tcBorders>
            <w:shd w:fill="F4CCCC"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Downside risks</w:t>
            </w:r>
          </w:p>
        </w:tc>
      </w:tr>
      <w:tr>
        <w:tc>
          <w:tcPr>
            <w:tcW w:type="dxa" w:w="468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7"/>
                <w:szCs w:val="17"/>
              </w:rPr>
              <w:t xml:space="preserve">Durable US–Iran deal sustains the oil decline → inflation relief, BoE-cut pull-forward, broad risk-on</w:t>
            </w:r>
          </w:p>
        </w:tc>
        <w:tc>
          <w:tcPr>
            <w:tcW w:type="dxa" w:w="468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7"/>
                <w:szCs w:val="17"/>
              </w:rPr>
              <w:t xml:space="preserve">FOMC delivers a hawkish higher-for-longer message → stronger USD, global de-rating, rally caps out</w:t>
            </w:r>
          </w:p>
        </w:tc>
      </w:tr>
      <w:tr>
        <w:tc>
          <w:tcPr>
            <w:tcW w:type="dxa" w:w="468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7"/>
                <w:szCs w:val="17"/>
              </w:rPr>
              <w:t xml:space="preserve">Close holds above daily pivot 10,415 and breaks R1 10,528 → momentum toward 10,556/10,584</w:t>
            </w:r>
          </w:p>
        </w:tc>
        <w:tc>
          <w:tcPr>
            <w:tcW w:type="dxa" w:w="468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7"/>
                <w:szCs w:val="17"/>
              </w:rPr>
              <w:t xml:space="preserve">Peace talks collapse / oil snaps back → energy premium and Iran-risk drawdown resume</w:t>
            </w:r>
          </w:p>
        </w:tc>
      </w:tr>
      <w:tr>
        <w:tc>
          <w:tcPr>
            <w:tcW w:type="dxa" w:w="468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7"/>
                <w:szCs w:val="17"/>
              </w:rPr>
              <w:t xml:space="preserve">Bank, miner and travel breadth (Friday's leaders) extends; RSI2 momentum confirmed</w:t>
            </w:r>
          </w:p>
        </w:tc>
        <w:tc>
          <w:tcPr>
            <w:tcW w:type="dxa" w:w="468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7"/>
                <w:szCs w:val="17"/>
              </w:rPr>
              <w:t xml:space="preserve">Stretched RSI2 (pinned 100) resets on the first lower close; loss of 10,359/10,303 support opens 10,246</w:t>
            </w:r>
          </w:p>
        </w:tc>
      </w:tr>
    </w:tbl>
    <w:p>
      <w:pPr>
        <w:spacing w:after="60"/>
      </w:pPr>
      <w:r>
        <w:rPr>
          <w:rFonts w:ascii="Arial" w:cs="Arial" w:eastAsia="Arial" w:hAnsi="Arial"/>
          <w:b w:val="false"/>
          <w:bCs w:val="false"/>
          <w:i w:val="false"/>
          <w:iCs w:val="false"/>
          <w:color w:val="000000"/>
          <w:sz w:val="20"/>
          <w:szCs w:val="20"/>
        </w:rPr>
        <w:t xml:space="preserve"/>
      </w:r>
    </w:p>
    <w:p>
      <w:pPr>
        <w:spacing w:after="120" w:before="0" w:line="276"/>
        <w:jc w:val="left"/>
      </w:pPr>
      <w:r>
        <w:rPr>
          <w:rFonts w:ascii="Arial" w:cs="Arial" w:eastAsia="Arial" w:hAnsi="Arial"/>
          <w:b w:val="false"/>
          <w:bCs w:val="false"/>
          <w:i/>
          <w:iCs/>
          <w:color w:val="000000"/>
          <w:sz w:val="18"/>
          <w:szCs w:val="18"/>
        </w:rPr>
        <w:t xml:space="preserve">Balance references the bullish pivot posture (close above P 10,415, see §11), the TREND_UP regime (see §9) and the FOMC as the dominant §13d event. On balance the bull case has the upper hand into the session, contingent on the FOMC.</w:t>
      </w:r>
    </w:p>
    <w:p>
      <w:pPr>
        <w:pStyle w:val="Heading1"/>
        <w:pBdr>
          <w:bottom w:val="single" w:color="2E75B6" w:sz="6" w:space="3"/>
        </w:pBdr>
        <w:spacing w:after="140" w:before="280"/>
      </w:pPr>
      <w:r>
        <w:rPr>
          <w:rFonts w:ascii="Arial" w:cs="Arial" w:eastAsia="Arial" w:hAnsi="Arial"/>
          <w:b/>
          <w:bCs/>
          <w:color w:val="1F3864"/>
          <w:sz w:val="26"/>
          <w:szCs w:val="26"/>
        </w:rPr>
        <w:t xml:space="preserve">16 · Forward View</w:t>
      </w:r>
    </w:p>
    <w:p>
      <w:pPr>
        <w:spacing w:after="120" w:before="0" w:line="276"/>
        <w:jc w:val="left"/>
      </w:pPr>
      <w:r>
        <w:rPr>
          <w:rFonts w:ascii="Arial" w:cs="Arial" w:eastAsia="Arial" w:hAnsi="Arial"/>
          <w:b w:val="false"/>
          <w:bCs w:val="false"/>
          <w:i w:val="false"/>
          <w:iCs w:val="false"/>
          <w:color w:val="000000"/>
          <w:sz w:val="20"/>
          <w:szCs w:val="20"/>
        </w:rPr>
        <w:t xml:space="preserve">Expected direction is </w:t>
      </w:r>
      <w:r>
        <w:rPr>
          <w:rFonts w:ascii="Arial" w:cs="Arial" w:eastAsia="Arial" w:hAnsi="Arial"/>
          <w:b/>
          <w:bCs/>
          <w:i w:val="false"/>
          <w:iCs w:val="false"/>
          <w:color w:val="000000"/>
          <w:sz w:val="20"/>
          <w:szCs w:val="20"/>
        </w:rPr>
        <w:t xml:space="preserve">higher with a bullish bias</w:t>
      </w:r>
      <w:r>
        <w:rPr>
          <w:rFonts w:ascii="Arial" w:cs="Arial" w:eastAsia="Arial" w:hAnsi="Arial"/>
          <w:b w:val="false"/>
          <w:bCs w:val="false"/>
          <w:i w:val="false"/>
          <w:iCs w:val="false"/>
          <w:color w:val="000000"/>
          <w:sz w:val="20"/>
          <w:szCs w:val="20"/>
        </w:rPr>
        <w:t xml:space="preserve"> over the next five sessions, respecting the TREND_UP regime (see §9). Expected trading range 10,300–10,600, with the daily pivot 10,415 as the bull/bear line and R1 10,528 / R1.5 10,556 the upside objectives; a clean break extends toward 10,584+. The base case is invalidated on a decisive daily close back below 10,359 (S1), which would signal the relief rally has stalled; below 10,246 (S2) the Iran-risk drawdown structure re-engages. This view aligns with — and does not contradict — the medium-term regime. The principal two-way risk is the 17 June FOMC (see §13d).</w:t>
      </w:r>
    </w:p>
    <w:p>
      <w:pPr>
        <w:pStyle w:val="Heading1"/>
        <w:pBdr>
          <w:bottom w:val="single" w:color="2E75B6" w:sz="6" w:space="3"/>
        </w:pBdr>
        <w:spacing w:after="140" w:before="280"/>
      </w:pPr>
      <w:r>
        <w:rPr>
          <w:rFonts w:ascii="Arial" w:cs="Arial" w:eastAsia="Arial" w:hAnsi="Arial"/>
          <w:b/>
          <w:bCs/>
          <w:color w:val="1F3864"/>
          <w:sz w:val="26"/>
          <w:szCs w:val="26"/>
        </w:rPr>
        <w:t xml:space="preserve">17 · Forecast</w:t>
      </w:r>
    </w:p>
    <w:p>
      <w:pPr>
        <w:spacing w:after="120" w:before="0" w:line="276"/>
        <w:jc w:val="left"/>
      </w:pPr>
      <w:r>
        <w:rPr>
          <w:rFonts w:ascii="Arial" w:cs="Arial" w:eastAsia="Arial" w:hAnsi="Arial"/>
          <w:b/>
          <w:bCs/>
          <w:i w:val="false"/>
          <w:iCs w:val="false"/>
          <w:color w:val="000000"/>
          <w:sz w:val="20"/>
          <w:szCs w:val="20"/>
        </w:rPr>
        <w:t xml:space="preserve">Holding above the 10,415 pivot with momentum, cross-asset confirmation and a +0.61 bullish sentiment tilt, the FTSE 100 is biased to extend toward the 10,528–10,556 resistance band over the coming sessions, contingent on the FOMC not delivering a hawkish surprise.</w:t>
      </w:r>
    </w:p>
    <w:p>
      <w:pPr>
        <w:pStyle w:val="Heading1"/>
        <w:pBdr>
          <w:bottom w:val="single" w:color="2E75B6" w:sz="6" w:space="3"/>
        </w:pBdr>
        <w:spacing w:after="140" w:before="280"/>
      </w:pPr>
      <w:r>
        <w:rPr>
          <w:rFonts w:ascii="Arial" w:cs="Arial" w:eastAsia="Arial" w:hAnsi="Arial"/>
          <w:b/>
          <w:bCs/>
          <w:color w:val="1F3864"/>
          <w:sz w:val="26"/>
          <w:szCs w:val="26"/>
        </w:rPr>
        <w:t xml:space="preserve">18 · Final Analyst Judgement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D5E8F0"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Item</w:t>
            </w:r>
          </w:p>
        </w:tc>
        <w:tc>
          <w:tcPr>
            <w:tcW w:type="dxa" w:w="6760"/>
            <w:tcBorders>
              <w:top w:val="single" w:color="BFBFBF" w:sz="1"/>
              <w:left w:val="single" w:color="BFBFBF" w:sz="1"/>
              <w:bottom w:val="single" w:color="BFBFBF" w:sz="1"/>
              <w:right w:val="single" w:color="BFBFBF" w:sz="1"/>
            </w:tcBorders>
            <w:shd w:fill="D5E8F0"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Judgement</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Consensus price call</w:t>
            </w:r>
          </w:p>
        </w:tc>
        <w:tc>
          <w:tcPr>
            <w:tcW w:type="dxa" w:w="67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8"/>
                <w:szCs w:val="18"/>
              </w:rPr>
              <w:t xml:space="preserve">10,471.72 pts (Friday 12 June official close) — CORROBORATED</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Confidence</w:t>
            </w:r>
          </w:p>
        </w:tc>
        <w:tc>
          <w:tcPr>
            <w:tcW w:type="dxa" w:w="67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8"/>
                <w:szCs w:val="18"/>
              </w:rPr>
              <w:t xml:space="preserve">High on the settlement level; Medium on the multi-session technical picture (indicative intraday H/L for four sessions)</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Reason 1</w:t>
            </w:r>
          </w:p>
        </w:tc>
        <w:tc>
          <w:tcPr>
            <w:tcW w:type="dxa" w:w="67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8"/>
                <w:szCs w:val="18"/>
              </w:rPr>
              <w:t xml:space="preserve">US–Iran peace framework collapsed oil ~5%, driving a broad European equity relief rally and a FTSE 3-week high</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Reason 2</w:t>
            </w:r>
          </w:p>
        </w:tc>
        <w:tc>
          <w:tcPr>
            <w:tcW w:type="dxa" w:w="67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8"/>
                <w:szCs w:val="18"/>
              </w:rPr>
              <w:t xml:space="preserve">Bullish technical posture: close above the daily pivot 10,415, RSI2 momentum, TREND_UP / Kaufman Trending-Up-Moderate, cross-asset CONFIRM</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Reason 3</w:t>
            </w:r>
          </w:p>
        </w:tc>
        <w:tc>
          <w:tcPr>
            <w:tcW w:type="dxa" w:w="67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8"/>
                <w:szCs w:val="18"/>
              </w:rPr>
              <w:t xml:space="preserve">Predominantly bullish news flow (tilt +0.61) and a potential BoE-cut pull-forward from lower energy</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Single watch item</w:t>
            </w:r>
          </w:p>
        </w:tc>
        <w:tc>
          <w:tcPr>
            <w:tcW w:type="dxa" w:w="67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8"/>
                <w:szCs w:val="18"/>
              </w:rPr>
              <w:t xml:space="preserve">FOMC decision, 17 June (Chair Warsh's first) — the dominant two-way catalyst</w:t>
            </w:r>
          </w:p>
        </w:tc>
      </w:tr>
    </w:tbl>
    <w:p>
      <w:pPr>
        <w:pStyle w:val="Heading1"/>
        <w:pBdr>
          <w:bottom w:val="single" w:color="2E75B6" w:sz="6" w:space="3"/>
        </w:pBdr>
        <w:spacing w:after="140" w:before="280"/>
      </w:pPr>
      <w:r>
        <w:rPr>
          <w:rFonts w:ascii="Arial" w:cs="Arial" w:eastAsia="Arial" w:hAnsi="Arial"/>
          <w:b/>
          <w:bCs/>
          <w:color w:val="1F3864"/>
          <w:sz w:val="26"/>
          <w:szCs w:val="26"/>
        </w:rPr>
        <w:t xml:space="preserve">19 · Source Discipline Note</w:t>
      </w:r>
    </w:p>
    <w:p>
      <w:pPr>
        <w:spacing w:after="120" w:before="0" w:line="276"/>
        <w:jc w:val="left"/>
      </w:pPr>
      <w:r>
        <w:rPr>
          <w:rFonts w:ascii="Arial" w:cs="Arial" w:eastAsia="Arial" w:hAnsi="Arial"/>
          <w:b/>
          <w:bCs/>
          <w:i w:val="false"/>
          <w:iCs w:val="false"/>
          <w:color w:val="000000"/>
          <w:sz w:val="20"/>
          <w:szCs w:val="20"/>
        </w:rPr>
        <w:t xml:space="preserve">Live vs indicative. </w:t>
      </w:r>
      <w:r>
        <w:rPr>
          <w:rFonts w:ascii="Arial" w:cs="Arial" w:eastAsia="Arial" w:hAnsi="Arial"/>
          <w:b w:val="false"/>
          <w:bCs w:val="false"/>
          <w:i w:val="false"/>
          <w:iCs w:val="false"/>
          <w:color w:val="000000"/>
          <w:sz w:val="20"/>
          <w:szCs w:val="20"/>
        </w:rPr>
        <w:t xml:space="preserve">The Friday 12 June FTSE close (10,471.72) and EURO STOXX 50 close (6,187.63) are LIVE, two-source-corroborated settlement values. The FTSE Wednesday (10,254.81) and Tuesday (−1.41% → 10,226.8) closes and the STOXX Thursday close (6,056.96) are corroborated; all intraday highs/lows for 8–11 June and the Monday 15 June close are indicative only.</w:t>
      </w:r>
    </w:p>
    <w:p>
      <w:pPr>
        <w:spacing w:after="120" w:before="0" w:line="276"/>
        <w:jc w:val="left"/>
      </w:pPr>
      <w:r>
        <w:rPr>
          <w:rFonts w:ascii="Arial" w:cs="Arial" w:eastAsia="Arial" w:hAnsi="Arial"/>
          <w:b/>
          <w:bCs/>
          <w:i w:val="false"/>
          <w:iCs w:val="false"/>
          <w:color w:val="000000"/>
          <w:sz w:val="20"/>
          <w:szCs w:val="20"/>
        </w:rPr>
        <w:t xml:space="preserve">Data gaps. </w:t>
      </w:r>
      <w:r>
        <w:rPr>
          <w:rFonts w:ascii="Arial" w:cs="Arial" w:eastAsia="Arial" w:hAnsi="Arial"/>
          <w:b w:val="false"/>
          <w:bCs w:val="false"/>
          <w:i w:val="false"/>
          <w:iCs w:val="false"/>
          <w:color w:val="000000"/>
          <w:sz w:val="20"/>
          <w:szCs w:val="20"/>
        </w:rPr>
        <w:t xml:space="preserve">The two primary free programmatic OHLC channels (Stooq, Twelve Data) and the deep historical web tables (Investing.com, Yahoo) were unreachable in the run-time environment, so a fully corroborated five-session OHLC matrix could not be assembled to the ±0.10pt tolerance. Per protocol, single-source fields are excluded from pivot and entry/stop pricing.</w:t>
      </w:r>
    </w:p>
    <w:p>
      <w:pPr>
        <w:spacing w:after="120" w:before="0" w:line="276"/>
        <w:jc w:val="left"/>
      </w:pPr>
      <w:r>
        <w:rPr>
          <w:rFonts w:ascii="Arial" w:cs="Arial" w:eastAsia="Arial" w:hAnsi="Arial"/>
          <w:b/>
          <w:bCs/>
          <w:i w:val="false"/>
          <w:iCs w:val="false"/>
          <w:color w:val="000000"/>
          <w:sz w:val="20"/>
          <w:szCs w:val="20"/>
        </w:rPr>
        <w:t xml:space="preserve">Corroboration status per instrument. </w:t>
      </w:r>
      <w:r>
        <w:rPr>
          <w:rFonts w:ascii="Arial" w:cs="Arial" w:eastAsia="Arial" w:hAnsi="Arial"/>
          <w:b w:val="false"/>
          <w:bCs w:val="false"/>
          <w:i w:val="false"/>
          <w:iCs w:val="false"/>
          <w:color w:val="000000"/>
          <w:sz w:val="20"/>
          <w:szCs w:val="20"/>
        </w:rPr>
        <w:t xml:space="preserve">FTSE daily pivots — CORROBORATED (built from Friday H/L/C; independently reconciled to external pivot publication). FTSE weekly pivots — SINGLE-SOURCE INDICATIVE. EURO STOXX 50 settlement — CORROBORATED. Counters (S&amp;P 500, DAX, USDX) — corroborated closing levels via Yahoo cross-asset panel and Trading Economics.</w:t>
      </w:r>
    </w:p>
    <w:p>
      <w:pPr>
        <w:pStyle w:val="Heading1"/>
        <w:pBdr>
          <w:bottom w:val="single" w:color="2E75B6" w:sz="6" w:space="3"/>
        </w:pBdr>
        <w:spacing w:after="140" w:before="280"/>
      </w:pPr>
      <w:r>
        <w:rPr>
          <w:rFonts w:ascii="Arial" w:cs="Arial" w:eastAsia="Arial" w:hAnsi="Arial"/>
          <w:b/>
          <w:bCs/>
          <w:color w:val="1F3864"/>
          <w:sz w:val="26"/>
          <w:szCs w:val="26"/>
        </w:rPr>
        <w:t xml:space="preserve">20 · Agent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D5E8F0"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Field</w:t>
            </w:r>
          </w:p>
        </w:tc>
        <w:tc>
          <w:tcPr>
            <w:tcW w:type="dxa" w:w="6760"/>
            <w:tcBorders>
              <w:top w:val="single" w:color="BFBFBF" w:sz="1"/>
              <w:left w:val="single" w:color="BFBFBF" w:sz="1"/>
              <w:bottom w:val="single" w:color="BFBFBF" w:sz="1"/>
              <w:right w:val="single" w:color="BFBFBF" w:sz="1"/>
            </w:tcBorders>
            <w:shd w:fill="D5E8F0"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Entry</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7"/>
                <w:szCs w:val="17"/>
              </w:rPr>
              <w:t xml:space="preserve">Run timestamp</w:t>
            </w:r>
          </w:p>
        </w:tc>
        <w:tc>
          <w:tcPr>
            <w:tcW w:type="dxa" w:w="67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7"/>
                <w:szCs w:val="17"/>
              </w:rPr>
              <w:t xml:space="preserve">16 June 2026 pre-open (Europe/London) — forward-test session</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7"/>
                <w:szCs w:val="17"/>
              </w:rPr>
              <w:t xml:space="preserve">Daily-open anchor</w:t>
            </w:r>
          </w:p>
        </w:tc>
        <w:tc>
          <w:tcPr>
            <w:tcW w:type="dxa" w:w="67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7"/>
                <w:szCs w:val="17"/>
              </w:rPr>
              <w:t xml:space="preserve">Overridden per request from the configured 07:00 UK pre-open to a 00:00 UK day-open basis for Trade 1 entry timing this run (logged as an instance override).</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7"/>
                <w:szCs w:val="17"/>
              </w:rPr>
              <w:t xml:space="preserve">Sources attempted</w:t>
            </w:r>
          </w:p>
        </w:tc>
        <w:tc>
          <w:tcPr>
            <w:tcW w:type="dxa" w:w="67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7"/>
                <w:szCs w:val="17"/>
              </w:rPr>
              <w:t xml:space="preserve">Stooq (blocked), Twelve Data (blocked), Investing.com (stale cache), Yahoo Finance (live snapshots), TradingView, AJ Bell, Fidelity, FT/BBN Times, STOXX Ltd, Trading Economics, Saxo, T. Rowe Price, Euronews, Share Talk, CapitalStreetFX.</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7"/>
                <w:szCs w:val="17"/>
              </w:rPr>
              <w:t xml:space="preserve">Corroboration pairs</w:t>
            </w:r>
          </w:p>
        </w:tc>
        <w:tc>
          <w:tcPr>
            <w:tcW w:type="dxa" w:w="67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7"/>
                <w:szCs w:val="17"/>
              </w:rPr>
              <w:t xml:space="preserve">FTSE 12 Jun close: FT × Yahoo × TradingView × AJ Bell × Fidelity (Δ=0.00 pts). STOXX 12 Jun: STOXX Ltd × Yahoo. Pivot cross-check: framework computation × external pivot publication (Δ≈0.00).</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7"/>
                <w:szCs w:val="17"/>
              </w:rPr>
              <w:t xml:space="preserve">Sentiment derivation</w:t>
            </w:r>
          </w:p>
        </w:tc>
        <w:tc>
          <w:tcPr>
            <w:tcW w:type="dxa" w:w="67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7"/>
                <w:szCs w:val="17"/>
              </w:rPr>
              <w:t xml:space="preserve">7 articles within lookback; weighted-mean tilt +0.61 (5 Bullish / 1 Neutral / 1 Bearish); each label carries a ≤15-word derivation quote (see §13a).</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7"/>
                <w:szCs w:val="17"/>
              </w:rPr>
              <w:t xml:space="preserve">Direction-score weights</w:t>
            </w:r>
          </w:p>
        </w:tc>
        <w:tc>
          <w:tcPr>
            <w:tcW w:type="dxa" w:w="67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7"/>
                <w:szCs w:val="17"/>
              </w:rPr>
              <w:t xml:space="preserve">Defaults (0.25/0.20/0.10/0.15/0.15/0.15), locked — no tuning. Score +0.68 → LONG (High).</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7"/>
                <w:szCs w:val="17"/>
              </w:rPr>
              <w:t xml:space="preserve">Backtest note</w:t>
            </w:r>
          </w:p>
        </w:tc>
        <w:tc>
          <w:tcPr>
            <w:tcW w:type="dxa" w:w="67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7"/>
                <w:szCs w:val="17"/>
              </w:rPr>
              <w:t xml:space="preserve">5-session reconstruction (8–12 June) run on best-available OHLC; intraday-dependent fills flagged indicative (see §21c).</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7"/>
                <w:szCs w:val="17"/>
              </w:rPr>
              <w:t xml:space="preserve">Anomalies</w:t>
            </w:r>
          </w:p>
        </w:tc>
        <w:tc>
          <w:tcPr>
            <w:tcW w:type="dxa" w:w="67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7"/>
                <w:szCs w:val="17"/>
              </w:rPr>
              <w:t xml:space="preserve">Trading Economics GB100 (~10,462) excluded as a CFD proxy distinct from the cash index. Programmatic data sources network-blocked at run time.</w:t>
            </w:r>
          </w:p>
        </w:tc>
      </w:tr>
    </w:tbl>
    <w:p>
      <w:pPr>
        <w:pStyle w:val="Heading1"/>
        <w:pBdr>
          <w:bottom w:val="single" w:color="2E75B6" w:sz="6" w:space="3"/>
        </w:pBdr>
        <w:spacing w:after="140" w:before="280"/>
      </w:pPr>
      <w:r>
        <w:rPr>
          <w:rFonts w:ascii="Arial" w:cs="Arial" w:eastAsia="Arial" w:hAnsi="Arial"/>
          <w:b/>
          <w:bCs/>
          <w:color w:val="1F3864"/>
          <w:sz w:val="26"/>
          <w:szCs w:val="26"/>
        </w:rPr>
        <w:t xml:space="preserve">21 · Strategy Recommendations</w:t>
      </w:r>
    </w:p>
    <w:p>
      <w:pPr>
        <w:pStyle w:val="Heading2"/>
        <w:spacing w:after="100" w:before="200"/>
      </w:pPr>
      <w:r>
        <w:rPr>
          <w:rFonts w:ascii="Arial" w:cs="Arial" w:eastAsia="Arial" w:hAnsi="Arial"/>
          <w:b/>
          <w:bCs/>
          <w:color w:val="9C27B0"/>
          <w:sz w:val="22"/>
          <w:szCs w:val="22"/>
        </w:rPr>
        <w:t xml:space="preserve">21a · Directional conviction</w:t>
      </w:r>
    </w:p>
    <w:p>
      <w:pPr>
        <w:spacing w:after="120" w:before="0" w:line="276"/>
        <w:jc w:val="left"/>
      </w:pPr>
      <w:r>
        <w:rPr>
          <w:rFonts w:ascii="Arial" w:cs="Arial" w:eastAsia="Arial" w:hAnsi="Arial"/>
          <w:b/>
          <w:bCs/>
          <w:i w:val="false"/>
          <w:iCs w:val="false"/>
          <w:color w:val="2E7D32"/>
          <w:sz w:val="20"/>
          <w:szCs w:val="20"/>
        </w:rPr>
        <w:t xml:space="preserve">Direction: LONG.  Score +0.68 (High).</w:t>
      </w:r>
      <w:r>
        <w:rPr>
          <w:rFonts w:ascii="Arial" w:cs="Arial" w:eastAsia="Arial" w:hAnsi="Arial"/>
          <w:b w:val="false"/>
          <w:bCs w:val="false"/>
          <w:i w:val="false"/>
          <w:iCs w:val="false"/>
          <w:color w:val="000000"/>
          <w:sz w:val="20"/>
          <w:szCs w:val="20"/>
        </w:rPr>
        <w:t xml:space="preserve">  The three highest-weighted contributors are short-term technical bias (+0.25: up-close with RSI2 100), cross-asset confirmation (+0.15: S&amp;P and DAX both up) and sentiment tilt (+0.09 net from +0.61). Medium-regime and VOLator add a further +0.15. The score sits well above the +0.25 conviction threshold, so Trade 1 is live. No conflict with the §17 forecast — both point higher.</w:t>
      </w:r>
    </w:p>
    <w:p>
      <w:pPr>
        <w:spacing w:after="120" w:before="0" w:line="276"/>
        <w:jc w:val="left"/>
      </w:pPr>
      <w:r>
        <w:rPr>
          <w:rFonts w:ascii="Arial" w:cs="Arial" w:eastAsia="Arial" w:hAnsi="Arial"/>
          <w:b/>
          <w:bCs/>
          <w:i w:val="false"/>
          <w:iCs w:val="false"/>
          <w:color w:val="C00000"/>
          <w:sz w:val="20"/>
          <w:szCs w:val="20"/>
        </w:rPr>
        <w:t xml:space="preserve">Lenient-corroboration note (per run instruction): </w:t>
      </w:r>
      <w:r>
        <w:rPr>
          <w:rFonts w:ascii="Arial" w:cs="Arial" w:eastAsia="Arial" w:hAnsi="Arial"/>
          <w:b w:val="false"/>
          <w:bCs w:val="false"/>
          <w:i w:val="false"/>
          <w:iCs w:val="false"/>
          <w:color w:val="000000"/>
          <w:sz w:val="18"/>
          <w:szCs w:val="18"/>
        </w:rPr>
        <w:t xml:space="preserve">trade cards are produced and NOT suppressed despite the indicative status of several OHLC fields. Entries, stops and targets are anchored to the CORROBORATED Friday 12 June daily pivots and settlement close wherever possible; levels that lean on indicative data carry an explicit caveat.</w:t>
      </w:r>
    </w:p>
    <w:p>
      <w:pPr>
        <w:spacing w:after="60"/>
      </w:pPr>
      <w:r>
        <w:rPr>
          <w:rFonts w:ascii="Arial" w:cs="Arial" w:eastAsia="Arial" w:hAnsi="Arial"/>
          <w:b w:val="false"/>
          <w:bCs w:val="false"/>
          <w:i w:val="false"/>
          <w:iCs w:val="false"/>
          <w:color w:val="000000"/>
          <w:sz w:val="20"/>
          <w:szCs w:val="20"/>
        </w:rPr>
        <w:t xml:space="preserve"/>
      </w:r>
    </w:p>
    <w:p>
      <w:pPr>
        <w:pStyle w:val="Heading2"/>
        <w:spacing w:after="100" w:before="200"/>
      </w:pPr>
      <w:r>
        <w:rPr>
          <w:rFonts w:ascii="Arial" w:cs="Arial" w:eastAsia="Arial" w:hAnsi="Arial"/>
          <w:b/>
          <w:bCs/>
          <w:color w:val="9C27B0"/>
          <w:sz w:val="22"/>
          <w:szCs w:val="22"/>
        </w:rPr>
        <w:t xml:space="preserve">21b · Trade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9360"/>
            <w:gridSpan w:val="2"/>
            <w:tcBorders>
              <w:top w:val="single" w:color="BFBFBF" w:sz="1"/>
              <w:left w:val="single" w:color="BFBFBF" w:sz="1"/>
              <w:bottom w:val="single" w:color="BFBFBF" w:sz="1"/>
              <w:right w:val="single" w:color="BFBFBF" w:sz="1"/>
            </w:tcBorders>
            <w:shd w:fill="EAD1F0" w:val="clear"/>
            <w:tcMar>
              <w:top w:type="dxa" w:w="70"/>
              <w:left w:type="dxa" w:w="90"/>
              <w:bottom w:type="dxa" w:w="70"/>
              <w:right w:type="dxa" w:w="90"/>
            </w:tcMar>
          </w:tcPr>
          <w:p>
            <w:r>
              <w:rPr>
                <w:rFonts w:ascii="Arial" w:cs="Arial" w:eastAsia="Arial" w:hAnsi="Arial"/>
                <w:b/>
                <w:bCs/>
                <w:i w:val="false"/>
                <w:iCs w:val="false"/>
                <w:color w:val="1F3864"/>
                <w:sz w:val="19"/>
                <w:szCs w:val="19"/>
              </w:rPr>
              <w:t xml:space="preserve">Trade 1 — Daily Directional (LONG · TREND_UP regime)</w:t>
            </w:r>
          </w:p>
        </w:tc>
      </w:tr>
      <w:tr>
        <w:tc>
          <w:tcPr>
            <w:tcW w:type="dxa" w:w="25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7"/>
                <w:szCs w:val="17"/>
              </w:rPr>
              <w:t xml:space="preserve">Direction</w:t>
            </w:r>
          </w:p>
        </w:tc>
        <w:tc>
          <w:tcPr>
            <w:tcW w:type="dxa" w:w="68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7"/>
                <w:szCs w:val="17"/>
              </w:rPr>
              <w:t xml:space="preserve">LONG — TREND_UP regime, conviction +0.68</w:t>
            </w:r>
          </w:p>
        </w:tc>
      </w:tr>
      <w:tr>
        <w:tc>
          <w:tcPr>
            <w:tcW w:type="dxa" w:w="25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7"/>
                <w:szCs w:val="17"/>
              </w:rPr>
              <w:t xml:space="preserve">Entry</w:t>
            </w:r>
          </w:p>
        </w:tc>
        <w:tc>
          <w:tcPr>
            <w:tcW w:type="dxa" w:w="68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7"/>
                <w:szCs w:val="17"/>
              </w:rPr>
              <w:t xml:space="preserve">Market at day-open (00:00 UK basis per this run's anchor override) ≈ 10,471.72 (Friday settle / Monday-gap reference)</w:t>
            </w:r>
          </w:p>
        </w:tc>
      </w:tr>
      <w:tr>
        <w:tc>
          <w:tcPr>
            <w:tcW w:type="dxa" w:w="25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7"/>
                <w:szCs w:val="17"/>
              </w:rPr>
              <w:t xml:space="preserve">Stop loss</w:t>
            </w:r>
          </w:p>
        </w:tc>
        <w:tc>
          <w:tcPr>
            <w:tcW w:type="dxa" w:w="68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7"/>
                <w:szCs w:val="17"/>
              </w:rPr>
              <w:t xml:space="preserve">10,359.0 — 113 pts below entry. Anchor: daily S1 / Friday-open support confluence (10,359 S1 ≈ 10,303 open)</w:t>
            </w:r>
          </w:p>
        </w:tc>
      </w:tr>
      <w:tr>
        <w:tc>
          <w:tcPr>
            <w:tcW w:type="dxa" w:w="25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7"/>
                <w:szCs w:val="17"/>
              </w:rPr>
              <w:t xml:space="preserve">Risk (R)</w:t>
            </w:r>
          </w:p>
        </w:tc>
        <w:tc>
          <w:tcPr>
            <w:tcW w:type="dxa" w:w="68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7"/>
                <w:szCs w:val="17"/>
              </w:rPr>
              <w:t xml:space="preserve">113 pts (≈ 0.96 × ATR(14))</w:t>
            </w:r>
          </w:p>
        </w:tc>
      </w:tr>
      <w:tr>
        <w:tc>
          <w:tcPr>
            <w:tcW w:type="dxa" w:w="25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7"/>
                <w:szCs w:val="17"/>
              </w:rPr>
              <w:t xml:space="preserve">TP1 (Unit 1)</w:t>
            </w:r>
          </w:p>
        </w:tc>
        <w:tc>
          <w:tcPr>
            <w:tcW w:type="dxa" w:w="68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7"/>
                <w:szCs w:val="17"/>
              </w:rPr>
              <w:t xml:space="preserve">10,584.7 — +1R (+113 pts). Confluence: daily R2 10,584</w:t>
            </w:r>
          </w:p>
        </w:tc>
      </w:tr>
      <w:tr>
        <w:tc>
          <w:tcPr>
            <w:tcW w:type="dxa" w:w="25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7"/>
                <w:szCs w:val="17"/>
              </w:rPr>
              <w:t xml:space="preserve">TP2 (Unit 2)</w:t>
            </w:r>
          </w:p>
        </w:tc>
        <w:tc>
          <w:tcPr>
            <w:tcW w:type="dxa" w:w="68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7"/>
                <w:szCs w:val="17"/>
              </w:rPr>
              <w:t xml:space="preserve">10,697.7 — +2R (+226 pts). Confluence: daily R3 10,697</w:t>
            </w:r>
          </w:p>
        </w:tc>
      </w:tr>
      <w:tr>
        <w:tc>
          <w:tcPr>
            <w:tcW w:type="dxa" w:w="25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7"/>
                <w:szCs w:val="17"/>
              </w:rPr>
              <w:t xml:space="preserve">TP3 (Unit 3 — runner)</w:t>
            </w:r>
          </w:p>
        </w:tc>
        <w:tc>
          <w:tcPr>
            <w:tcW w:type="dxa" w:w="68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7"/>
                <w:szCs w:val="17"/>
              </w:rPr>
              <w:t xml:space="preserve">Time-stop at session close + 3×ATR cap (≈ 354 pts); trail per rule</w:t>
            </w:r>
          </w:p>
        </w:tc>
      </w:tr>
      <w:tr>
        <w:tc>
          <w:tcPr>
            <w:tcW w:type="dxa" w:w="25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7"/>
                <w:szCs w:val="17"/>
              </w:rPr>
              <w:t xml:space="preserve">Tranche management</w:t>
            </w:r>
          </w:p>
        </w:tc>
        <w:tc>
          <w:tcPr>
            <w:tcW w:type="dxa" w:w="68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7"/>
                <w:szCs w:val="17"/>
              </w:rPr>
              <w:t xml:space="preserve">3 equal units; Unit 1 exits TP1; Unit 2 exits TP2; on Unit 2 fill, Unit 3 SL → entry + 0.2R (+23 pts ≈ 10,495)</w:t>
            </w:r>
          </w:p>
        </w:tc>
      </w:tr>
      <w:tr>
        <w:tc>
          <w:tcPr>
            <w:tcW w:type="dxa" w:w="25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7"/>
                <w:szCs w:val="17"/>
              </w:rPr>
              <w:t xml:space="preserve">Confluences</w:t>
            </w:r>
          </w:p>
        </w:tc>
        <w:tc>
          <w:tcPr>
            <w:tcW w:type="dxa" w:w="68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7"/>
                <w:szCs w:val="17"/>
              </w:rPr>
              <w:t xml:space="preserve">Entry near R-pivot shelf; SL at S1/open (strong confluence: two levels within 0.15×ATR)</w:t>
            </w:r>
          </w:p>
        </w:tc>
      </w:tr>
      <w:tr>
        <w:tc>
          <w:tcPr>
            <w:tcW w:type="dxa" w:w="25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7"/>
                <w:szCs w:val="17"/>
              </w:rPr>
              <w:t xml:space="preserve">Thesis invalidation</w:t>
            </w:r>
          </w:p>
        </w:tc>
        <w:tc>
          <w:tcPr>
            <w:tcW w:type="dxa" w:w="68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7"/>
                <w:szCs w:val="17"/>
              </w:rPr>
              <w:t xml:space="preserve">Daily close back below 10,359 (S1) — distinct from intraday stop</w:t>
            </w:r>
          </w:p>
        </w:tc>
      </w:tr>
      <w:tr>
        <w:tc>
          <w:tcPr>
            <w:tcW w:type="dxa" w:w="25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7"/>
                <w:szCs w:val="17"/>
              </w:rPr>
              <w:t xml:space="preserve">Caveats</w:t>
            </w:r>
          </w:p>
        </w:tc>
        <w:tc>
          <w:tcPr>
            <w:tcW w:type="dxa" w:w="68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7"/>
                <w:szCs w:val="17"/>
              </w:rPr>
              <w:t xml:space="preserve">ATR-stop within cap; holding period collides with §13d Tier-1 FOMC (17 Jun) — size with event risk in mind</w:t>
            </w:r>
          </w:p>
        </w:tc>
      </w:tr>
    </w:tbl>
    <w:p>
      <w:pPr>
        <w:spacing w:after="6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9360"/>
            <w:gridSpan w:val="2"/>
            <w:tcBorders>
              <w:top w:val="single" w:color="BFBFBF" w:sz="1"/>
              <w:left w:val="single" w:color="BFBFBF" w:sz="1"/>
              <w:bottom w:val="single" w:color="BFBFBF" w:sz="1"/>
              <w:right w:val="single" w:color="BFBFBF" w:sz="1"/>
            </w:tcBorders>
            <w:shd w:fill="EAD1F0" w:val="clear"/>
            <w:tcMar>
              <w:top w:type="dxa" w:w="70"/>
              <w:left w:type="dxa" w:w="90"/>
              <w:bottom w:type="dxa" w:w="70"/>
              <w:right w:type="dxa" w:w="90"/>
            </w:tcMar>
          </w:tcPr>
          <w:p>
            <w:r>
              <w:rPr>
                <w:rFonts w:ascii="Arial" w:cs="Arial" w:eastAsia="Arial" w:hAnsi="Arial"/>
                <w:b/>
                <w:bCs/>
                <w:i w:val="false"/>
                <w:iCs w:val="false"/>
                <w:color w:val="1F3864"/>
                <w:sz w:val="19"/>
                <w:szCs w:val="19"/>
              </w:rPr>
              <w:t xml:space="preserve">Trade 2 — Pivot (regime-aware, TREND_UP → buy-the-dip to support)</w:t>
            </w:r>
          </w:p>
        </w:tc>
      </w:tr>
      <w:tr>
        <w:tc>
          <w:tcPr>
            <w:tcW w:type="dxa" w:w="25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7"/>
                <w:szCs w:val="17"/>
              </w:rPr>
              <w:t xml:space="preserve">Direction</w:t>
            </w:r>
          </w:p>
        </w:tc>
        <w:tc>
          <w:tcPr>
            <w:tcW w:type="dxa" w:w="68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7"/>
                <w:szCs w:val="17"/>
              </w:rPr>
              <w:t xml:space="preserve">LONG — trend-pullback to pivot support</w:t>
            </w:r>
          </w:p>
        </w:tc>
      </w:tr>
      <w:tr>
        <w:tc>
          <w:tcPr>
            <w:tcW w:type="dxa" w:w="25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7"/>
                <w:szCs w:val="17"/>
              </w:rPr>
              <w:t xml:space="preserve">Entry</w:t>
            </w:r>
          </w:p>
        </w:tc>
        <w:tc>
          <w:tcPr>
            <w:tcW w:type="dxa" w:w="68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7"/>
                <w:szCs w:val="17"/>
              </w:rPr>
              <w:t xml:space="preserve">Buy limit at 10,415.4 (daily pivot P) — CORROBORATED level</w:t>
            </w:r>
          </w:p>
        </w:tc>
      </w:tr>
      <w:tr>
        <w:tc>
          <w:tcPr>
            <w:tcW w:type="dxa" w:w="25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7"/>
                <w:szCs w:val="17"/>
              </w:rPr>
              <w:t xml:space="preserve">Stop loss</w:t>
            </w:r>
          </w:p>
        </w:tc>
        <w:tc>
          <w:tcPr>
            <w:tcW w:type="dxa" w:w="68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7"/>
                <w:szCs w:val="17"/>
              </w:rPr>
              <w:t xml:space="preserve">10,302.7 — 113 pts below entry. Anchor: daily S1.5 / Friday-open (10,303)</w:t>
            </w:r>
          </w:p>
        </w:tc>
      </w:tr>
      <w:tr>
        <w:tc>
          <w:tcPr>
            <w:tcW w:type="dxa" w:w="25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7"/>
                <w:szCs w:val="17"/>
              </w:rPr>
              <w:t xml:space="preserve">Risk (R)</w:t>
            </w:r>
          </w:p>
        </w:tc>
        <w:tc>
          <w:tcPr>
            <w:tcW w:type="dxa" w:w="68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7"/>
                <w:szCs w:val="17"/>
              </w:rPr>
              <w:t xml:space="preserve">113 pts</w:t>
            </w:r>
          </w:p>
        </w:tc>
      </w:tr>
      <w:tr>
        <w:tc>
          <w:tcPr>
            <w:tcW w:type="dxa" w:w="25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7"/>
                <w:szCs w:val="17"/>
              </w:rPr>
              <w:t xml:space="preserve">TP1 (Unit 1)</w:t>
            </w:r>
          </w:p>
        </w:tc>
        <w:tc>
          <w:tcPr>
            <w:tcW w:type="dxa" w:w="68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7"/>
                <w:szCs w:val="17"/>
              </w:rPr>
              <w:t xml:space="preserve">10,528.1 — daily R1 (+1R)</w:t>
            </w:r>
          </w:p>
        </w:tc>
      </w:tr>
      <w:tr>
        <w:tc>
          <w:tcPr>
            <w:tcW w:type="dxa" w:w="25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7"/>
                <w:szCs w:val="17"/>
              </w:rPr>
              <w:t xml:space="preserve">TP2 (Unit 2)</w:t>
            </w:r>
          </w:p>
        </w:tc>
        <w:tc>
          <w:tcPr>
            <w:tcW w:type="dxa" w:w="68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7"/>
                <w:szCs w:val="17"/>
              </w:rPr>
              <w:t xml:space="preserve">10,556.2 — daily R1.5</w:t>
            </w:r>
          </w:p>
        </w:tc>
      </w:tr>
      <w:tr>
        <w:tc>
          <w:tcPr>
            <w:tcW w:type="dxa" w:w="25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7"/>
                <w:szCs w:val="17"/>
              </w:rPr>
              <w:t xml:space="preserve">TP3 (Unit 3 — runner)</w:t>
            </w:r>
          </w:p>
        </w:tc>
        <w:tc>
          <w:tcPr>
            <w:tcW w:type="dxa" w:w="68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7"/>
                <w:szCs w:val="17"/>
              </w:rPr>
              <w:t xml:space="preserve">Pivot-based runner: exit toward R2 10,584 / trail behind pivot P</w:t>
            </w:r>
          </w:p>
        </w:tc>
      </w:tr>
      <w:tr>
        <w:tc>
          <w:tcPr>
            <w:tcW w:type="dxa" w:w="25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7"/>
                <w:szCs w:val="17"/>
              </w:rPr>
              <w:t xml:space="preserve">Tranche management</w:t>
            </w:r>
          </w:p>
        </w:tc>
        <w:tc>
          <w:tcPr>
            <w:tcW w:type="dxa" w:w="68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7"/>
                <w:szCs w:val="17"/>
              </w:rPr>
              <w:t xml:space="preserve">3 equal units; standard BE+0.2R on Unit 2 fill</w:t>
            </w:r>
          </w:p>
        </w:tc>
      </w:tr>
      <w:tr>
        <w:tc>
          <w:tcPr>
            <w:tcW w:type="dxa" w:w="25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7"/>
                <w:szCs w:val="17"/>
              </w:rPr>
              <w:t xml:space="preserve">Confluences</w:t>
            </w:r>
          </w:p>
        </w:tc>
        <w:tc>
          <w:tcPr>
            <w:tcW w:type="dxa" w:w="68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7"/>
                <w:szCs w:val="17"/>
              </w:rPr>
              <w:t xml:space="preserve">Entry at corroborated daily pivot; TP1 at corroborated R1 — strong confluence</w:t>
            </w:r>
          </w:p>
        </w:tc>
      </w:tr>
      <w:tr>
        <w:tc>
          <w:tcPr>
            <w:tcW w:type="dxa" w:w="25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7"/>
                <w:szCs w:val="17"/>
              </w:rPr>
              <w:t xml:space="preserve">Thesis invalidation</w:t>
            </w:r>
          </w:p>
        </w:tc>
        <w:tc>
          <w:tcPr>
            <w:tcW w:type="dxa" w:w="68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7"/>
                <w:szCs w:val="17"/>
              </w:rPr>
              <w:t xml:space="preserve">Daily close below pivot P 10,415 negates the pullback-buy thesis</w:t>
            </w:r>
          </w:p>
        </w:tc>
      </w:tr>
      <w:tr>
        <w:tc>
          <w:tcPr>
            <w:tcW w:type="dxa" w:w="25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7"/>
                <w:szCs w:val="17"/>
              </w:rPr>
              <w:t xml:space="preserve">Caveats</w:t>
            </w:r>
          </w:p>
        </w:tc>
        <w:tc>
          <w:tcPr>
            <w:tcW w:type="dxa" w:w="68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7"/>
                <w:szCs w:val="17"/>
              </w:rPr>
              <w:t xml:space="preserve">Daily pivots CORROBORATED; weekly-pivot tier indicative (not used here)</w:t>
            </w:r>
          </w:p>
        </w:tc>
      </w:tr>
    </w:tbl>
    <w:p>
      <w:pPr>
        <w:spacing w:after="6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9360"/>
            <w:gridSpan w:val="2"/>
            <w:tcBorders>
              <w:top w:val="single" w:color="BFBFBF" w:sz="1"/>
              <w:left w:val="single" w:color="BFBFBF" w:sz="1"/>
              <w:bottom w:val="single" w:color="BFBFBF" w:sz="1"/>
              <w:right w:val="single" w:color="BFBFBF" w:sz="1"/>
            </w:tcBorders>
            <w:shd w:fill="EAD1F0" w:val="clear"/>
            <w:tcMar>
              <w:top w:type="dxa" w:w="70"/>
              <w:left w:type="dxa" w:w="90"/>
              <w:bottom w:type="dxa" w:w="70"/>
              <w:right w:type="dxa" w:w="90"/>
            </w:tcMar>
          </w:tcPr>
          <w:p>
            <w:r>
              <w:rPr>
                <w:rFonts w:ascii="Arial" w:cs="Arial" w:eastAsia="Arial" w:hAnsi="Arial"/>
                <w:b/>
                <w:bCs/>
                <w:i w:val="false"/>
                <w:iCs w:val="false"/>
                <w:color w:val="1F3864"/>
                <w:sz w:val="19"/>
                <w:szCs w:val="19"/>
              </w:rPr>
              <w:t xml:space="preserve">Trade 3A — Momentum-Pullback (complex, TREND_UP fork)</w:t>
            </w:r>
          </w:p>
        </w:tc>
      </w:tr>
      <w:tr>
        <w:tc>
          <w:tcPr>
            <w:tcW w:type="dxa" w:w="25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7"/>
                <w:szCs w:val="17"/>
              </w:rPr>
              <w:t xml:space="preserve">Direction</w:t>
            </w:r>
          </w:p>
        </w:tc>
        <w:tc>
          <w:tcPr>
            <w:tcW w:type="dxa" w:w="68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7"/>
                <w:szCs w:val="17"/>
              </w:rPr>
              <w:t xml:space="preserve">LONG — momentum continuation on shallow pullback</w:t>
            </w:r>
          </w:p>
        </w:tc>
      </w:tr>
      <w:tr>
        <w:tc>
          <w:tcPr>
            <w:tcW w:type="dxa" w:w="25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7"/>
                <w:szCs w:val="17"/>
              </w:rPr>
              <w:t xml:space="preserve">Entry</w:t>
            </w:r>
          </w:p>
        </w:tc>
        <w:tc>
          <w:tcPr>
            <w:tcW w:type="dxa" w:w="68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7"/>
                <w:szCs w:val="17"/>
              </w:rPr>
              <w:t xml:space="preserve">Stop entry at 10,500 on confirmed continuation through Friday's R-zone, or 38.2% pullback buy near 10,420</w:t>
            </w:r>
          </w:p>
        </w:tc>
      </w:tr>
      <w:tr>
        <w:tc>
          <w:tcPr>
            <w:tcW w:type="dxa" w:w="25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7"/>
                <w:szCs w:val="17"/>
              </w:rPr>
              <w:t xml:space="preserve">Stop loss</w:t>
            </w:r>
          </w:p>
        </w:tc>
        <w:tc>
          <w:tcPr>
            <w:tcW w:type="dxa" w:w="68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7"/>
                <w:szCs w:val="17"/>
              </w:rPr>
              <w:t xml:space="preserve">10,330.0 — structural 5-day swing anchor (Wed/Thu demand zone), ~170 pts / within ATR-cap</w:t>
            </w:r>
          </w:p>
        </w:tc>
      </w:tr>
      <w:tr>
        <w:tc>
          <w:tcPr>
            <w:tcW w:type="dxa" w:w="25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7"/>
                <w:szCs w:val="17"/>
              </w:rPr>
              <w:t xml:space="preserve">Risk (R)</w:t>
            </w:r>
          </w:p>
        </w:tc>
        <w:tc>
          <w:tcPr>
            <w:tcW w:type="dxa" w:w="68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7"/>
                <w:szCs w:val="17"/>
              </w:rPr>
              <w:t xml:space="preserve">~80 pts (stop-entry basis) — distance entry-to-SL</w:t>
            </w:r>
          </w:p>
        </w:tc>
      </w:tr>
      <w:tr>
        <w:tc>
          <w:tcPr>
            <w:tcW w:type="dxa" w:w="25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7"/>
                <w:szCs w:val="17"/>
              </w:rPr>
              <w:t xml:space="preserve">TP1 (Unit 1)</w:t>
            </w:r>
          </w:p>
        </w:tc>
        <w:tc>
          <w:tcPr>
            <w:tcW w:type="dxa" w:w="68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7"/>
                <w:szCs w:val="17"/>
              </w:rPr>
              <w:t xml:space="preserve">38.2% extension / R1 10,528</w:t>
            </w:r>
          </w:p>
        </w:tc>
      </w:tr>
      <w:tr>
        <w:tc>
          <w:tcPr>
            <w:tcW w:type="dxa" w:w="25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7"/>
                <w:szCs w:val="17"/>
              </w:rPr>
              <w:t xml:space="preserve">TP2 (Unit 2)</w:t>
            </w:r>
          </w:p>
        </w:tc>
        <w:tc>
          <w:tcPr>
            <w:tcW w:type="dxa" w:w="68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7"/>
                <w:szCs w:val="17"/>
              </w:rPr>
              <w:t xml:space="preserve">Range mid / R1.5–R2 10,556–10,584</w:t>
            </w:r>
          </w:p>
        </w:tc>
      </w:tr>
      <w:tr>
        <w:tc>
          <w:tcPr>
            <w:tcW w:type="dxa" w:w="25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7"/>
                <w:szCs w:val="17"/>
              </w:rPr>
              <w:t xml:space="preserve">TP3 (Unit 3 — runner)</w:t>
            </w:r>
          </w:p>
        </w:tc>
        <w:tc>
          <w:tcPr>
            <w:tcW w:type="dxa" w:w="68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7"/>
                <w:szCs w:val="17"/>
              </w:rPr>
              <w:t xml:space="preserve">100%+ measured-move extension toward 10,650–10,700; structural runner override on 100%-ext break (SL → halfway entry-to-anchor)</w:t>
            </w:r>
          </w:p>
        </w:tc>
      </w:tr>
      <w:tr>
        <w:tc>
          <w:tcPr>
            <w:tcW w:type="dxa" w:w="25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7"/>
                <w:szCs w:val="17"/>
              </w:rPr>
              <w:t xml:space="preserve">Tranche management</w:t>
            </w:r>
          </w:p>
        </w:tc>
        <w:tc>
          <w:tcPr>
            <w:tcW w:type="dxa" w:w="68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7"/>
                <w:szCs w:val="17"/>
              </w:rPr>
              <w:t xml:space="preserve">3 equal units; Trade 3A structural runner override applies on the 100%-extension break</w:t>
            </w:r>
          </w:p>
        </w:tc>
      </w:tr>
      <w:tr>
        <w:tc>
          <w:tcPr>
            <w:tcW w:type="dxa" w:w="25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7"/>
                <w:szCs w:val="17"/>
              </w:rPr>
              <w:t xml:space="preserve">Confluences</w:t>
            </w:r>
          </w:p>
        </w:tc>
        <w:tc>
          <w:tcPr>
            <w:tcW w:type="dxa" w:w="68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7"/>
                <w:szCs w:val="17"/>
              </w:rPr>
              <w:t xml:space="preserve">Fib swing magnitude ≥ 2×ATR satisfied by the 5-day V-reversal; R-pivot confluence at TPs</w:t>
            </w:r>
          </w:p>
        </w:tc>
      </w:tr>
      <w:tr>
        <w:tc>
          <w:tcPr>
            <w:tcW w:type="dxa" w:w="25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7"/>
                <w:szCs w:val="17"/>
              </w:rPr>
              <w:t xml:space="preserve">Thesis invalidation</w:t>
            </w:r>
          </w:p>
        </w:tc>
        <w:tc>
          <w:tcPr>
            <w:tcW w:type="dxa" w:w="68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7"/>
                <w:szCs w:val="17"/>
              </w:rPr>
              <w:t xml:space="preserve">Close below the 10,330 swing anchor breaks the momentum-pullback narrative</w:t>
            </w:r>
          </w:p>
        </w:tc>
      </w:tr>
      <w:tr>
        <w:tc>
          <w:tcPr>
            <w:tcW w:type="dxa" w:w="25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7"/>
                <w:szCs w:val="17"/>
              </w:rPr>
              <w:t xml:space="preserve">Caveats</w:t>
            </w:r>
          </w:p>
        </w:tc>
        <w:tc>
          <w:tcPr>
            <w:tcW w:type="dxa" w:w="68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7"/>
                <w:szCs w:val="17"/>
              </w:rPr>
              <w:t xml:space="preserve">Fib anchor uses indicative intraday swing lows — flagged; FOMC event-risk in holding window</w:t>
            </w:r>
          </w:p>
        </w:tc>
      </w:tr>
    </w:tbl>
    <w:p>
      <w:pPr>
        <w:spacing w:after="60"/>
      </w:pPr>
      <w:r>
        <w:rPr>
          <w:rFonts w:ascii="Arial" w:cs="Arial" w:eastAsia="Arial" w:hAnsi="Arial"/>
          <w:b w:val="false"/>
          <w:bCs w:val="false"/>
          <w:i w:val="false"/>
          <w:iCs w:val="false"/>
          <w:color w:val="000000"/>
          <w:sz w:val="20"/>
          <w:szCs w:val="20"/>
        </w:rPr>
        <w:t xml:space="preserve"/>
      </w:r>
    </w:p>
    <w:p>
      <w:pPr>
        <w:pStyle w:val="Heading2"/>
        <w:spacing w:after="100" w:before="200"/>
      </w:pPr>
      <w:r>
        <w:rPr>
          <w:rFonts w:ascii="Arial" w:cs="Arial" w:eastAsia="Arial" w:hAnsi="Arial"/>
          <w:b/>
          <w:bCs/>
          <w:color w:val="9C27B0"/>
          <w:sz w:val="22"/>
          <w:szCs w:val="22"/>
        </w:rPr>
        <w:t xml:space="preserve">21c · 5-Session no-leakage backtest (8–12 June)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240"/>
        <w:gridCol w:w="1100"/>
        <w:gridCol w:w="2000"/>
        <w:gridCol w:w="1100"/>
        <w:gridCol w:w="1120"/>
      </w:tblGrid>
      <w:tr>
        <w:trPr>
          <w:tblHeader/>
        </w:trPr>
        <w:tc>
          <w:tcPr>
            <w:tcW w:type="dxa" w:w="1500"/>
            <w:tcBorders>
              <w:top w:val="single" w:color="BFBFBF" w:sz="1"/>
              <w:left w:val="single" w:color="BFBFBF" w:sz="1"/>
              <w:bottom w:val="single" w:color="BFBFBF" w:sz="1"/>
              <w:right w:val="single" w:color="BFBFBF" w:sz="1"/>
            </w:tcBorders>
            <w:shd w:fill="D5E8F0"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Date (t)</w:t>
            </w:r>
          </w:p>
        </w:tc>
        <w:tc>
          <w:tcPr>
            <w:tcW w:type="dxa" w:w="1300"/>
            <w:tcBorders>
              <w:top w:val="single" w:color="BFBFBF" w:sz="1"/>
              <w:left w:val="single" w:color="BFBFBF" w:sz="1"/>
              <w:bottom w:val="single" w:color="BFBFBF" w:sz="1"/>
              <w:right w:val="single" w:color="BFBFBF" w:sz="1"/>
            </w:tcBorders>
            <w:shd w:fill="D5E8F0"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Strategy</w:t>
            </w:r>
          </w:p>
        </w:tc>
        <w:tc>
          <w:tcPr>
            <w:tcW w:type="dxa" w:w="1240"/>
            <w:tcBorders>
              <w:top w:val="single" w:color="BFBFBF" w:sz="1"/>
              <w:left w:val="single" w:color="BFBFBF" w:sz="1"/>
              <w:bottom w:val="single" w:color="BFBFBF" w:sz="1"/>
              <w:right w:val="single" w:color="BFBFBF" w:sz="1"/>
            </w:tcBorders>
            <w:shd w:fill="D5E8F0"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Direction</w:t>
            </w:r>
          </w:p>
        </w:tc>
        <w:tc>
          <w:tcPr>
            <w:tcW w:type="dxa" w:w="1100"/>
            <w:tcBorders>
              <w:top w:val="single" w:color="BFBFBF" w:sz="1"/>
              <w:left w:val="single" w:color="BFBFBF" w:sz="1"/>
              <w:bottom w:val="single" w:color="BFBFBF" w:sz="1"/>
              <w:right w:val="single" w:color="BFBFBF" w:sz="1"/>
            </w:tcBorders>
            <w:shd w:fill="D5E8F0"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Triggered</w:t>
            </w:r>
          </w:p>
        </w:tc>
        <w:tc>
          <w:tcPr>
            <w:tcW w:type="dxa" w:w="2000"/>
            <w:tcBorders>
              <w:top w:val="single" w:color="BFBFBF" w:sz="1"/>
              <w:left w:val="single" w:color="BFBFBF" w:sz="1"/>
              <w:bottom w:val="single" w:color="BFBFBF" w:sz="1"/>
              <w:right w:val="single" w:color="BFBFBF" w:sz="1"/>
            </w:tcBorders>
            <w:shd w:fill="D5E8F0"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Entry → Exit</w:t>
            </w:r>
          </w:p>
        </w:tc>
        <w:tc>
          <w:tcPr>
            <w:tcW w:type="dxa" w:w="1100"/>
            <w:tcBorders>
              <w:top w:val="single" w:color="BFBFBF" w:sz="1"/>
              <w:left w:val="single" w:color="BFBFBF" w:sz="1"/>
              <w:bottom w:val="single" w:color="BFBFBF" w:sz="1"/>
              <w:right w:val="single" w:color="BFBFBF" w:sz="1"/>
            </w:tcBorders>
            <w:shd w:fill="D5E8F0"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Outcome (R)</w:t>
            </w:r>
          </w:p>
        </w:tc>
        <w:tc>
          <w:tcPr>
            <w:tcW w:type="dxa" w:w="1120"/>
            <w:tcBorders>
              <w:top w:val="single" w:color="BFBFBF" w:sz="1"/>
              <w:left w:val="single" w:color="BFBFBF" w:sz="1"/>
              <w:bottom w:val="single" w:color="BFBFBF" w:sz="1"/>
              <w:right w:val="single" w:color="BFBFBF" w:sz="1"/>
            </w:tcBorders>
            <w:shd w:fill="D5E8F0"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8"/>
                <w:szCs w:val="18"/>
              </w:rPr>
              <w:t xml:space="preserve">Days</w:t>
            </w:r>
          </w:p>
        </w:tc>
      </w:tr>
      <w:tr>
        <w:tc>
          <w:tcPr>
            <w:tcW w:type="dxa" w:w="15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5"/>
                <w:szCs w:val="15"/>
              </w:rPr>
              <w:t xml:space="preserve">Tue 9 Jun (t−4)</w:t>
            </w:r>
          </w:p>
        </w:tc>
        <w:tc>
          <w:tcPr>
            <w:tcW w:type="dxa" w:w="13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5"/>
                <w:szCs w:val="15"/>
              </w:rPr>
              <w:t xml:space="preserve">Trade 1</w:t>
            </w:r>
          </w:p>
        </w:tc>
        <w:tc>
          <w:tcPr>
            <w:tcW w:type="dxa" w:w="124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5"/>
                <w:szCs w:val="15"/>
              </w:rPr>
              <w:t xml:space="preserve">LONG</w:t>
            </w:r>
          </w:p>
        </w:tc>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5"/>
                <w:szCs w:val="15"/>
              </w:rPr>
              <w:t xml:space="preserve">YES</w:t>
            </w:r>
          </w:p>
        </w:tc>
        <w:tc>
          <w:tcPr>
            <w:tcW w:type="dxa" w:w="20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5"/>
                <w:szCs w:val="15"/>
              </w:rPr>
              <w:t xml:space="preserve">10,360 → SL 10,250</w:t>
            </w:r>
          </w:p>
        </w:tc>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5"/>
                <w:szCs w:val="15"/>
              </w:rPr>
              <w:t xml:space="preserve">−1.0R</w:t>
            </w:r>
          </w:p>
        </w:tc>
        <w:tc>
          <w:tcPr>
            <w:tcW w:type="dxa" w:w="112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5"/>
                <w:szCs w:val="15"/>
              </w:rPr>
              <w:t xml:space="preserve">1</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5"/>
                <w:szCs w:val="15"/>
              </w:rPr>
              <w:t xml:space="preserve">Wed 10 Jun (t−3)</w:t>
            </w:r>
          </w:p>
        </w:tc>
        <w:tc>
          <w:tcPr>
            <w:tcW w:type="dxa" w:w="13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5"/>
                <w:szCs w:val="15"/>
              </w:rPr>
              <w:t xml:space="preserve">Trade 2</w:t>
            </w:r>
          </w:p>
        </w:tc>
        <w:tc>
          <w:tcPr>
            <w:tcW w:type="dxa" w:w="124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5"/>
                <w:szCs w:val="15"/>
              </w:rPr>
              <w:t xml:space="preserve">LONG</w:t>
            </w:r>
          </w:p>
        </w:tc>
        <w:tc>
          <w:tcPr>
            <w:tcW w:type="dxa" w:w="11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5"/>
                <w:szCs w:val="15"/>
              </w:rPr>
              <w:t xml:space="preserve">YES</w:t>
            </w:r>
          </w:p>
        </w:tc>
        <w:tc>
          <w:tcPr>
            <w:tcW w:type="dxa" w:w="20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5"/>
                <w:szCs w:val="15"/>
              </w:rPr>
              <w:t xml:space="preserve">limit 10,300 → 10,254</w:t>
            </w:r>
          </w:p>
        </w:tc>
        <w:tc>
          <w:tcPr>
            <w:tcW w:type="dxa" w:w="11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5"/>
                <w:szCs w:val="15"/>
              </w:rPr>
              <w:t xml:space="preserve">OPEN → resolved +1R Fri</w:t>
            </w:r>
          </w:p>
        </w:tc>
        <w:tc>
          <w:tcPr>
            <w:tcW w:type="dxa" w:w="112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5"/>
                <w:szCs w:val="15"/>
              </w:rPr>
              <w:t xml:space="preserve">3</w:t>
            </w:r>
          </w:p>
        </w:tc>
      </w:tr>
      <w:tr>
        <w:tc>
          <w:tcPr>
            <w:tcW w:type="dxa" w:w="15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5"/>
                <w:szCs w:val="15"/>
              </w:rPr>
              <w:t xml:space="preserve">Thu 11 Jun (t−2)</w:t>
            </w:r>
          </w:p>
        </w:tc>
        <w:tc>
          <w:tcPr>
            <w:tcW w:type="dxa" w:w="13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5"/>
                <w:szCs w:val="15"/>
              </w:rPr>
              <w:t xml:space="preserve">Trade 1</w:t>
            </w:r>
          </w:p>
        </w:tc>
        <w:tc>
          <w:tcPr>
            <w:tcW w:type="dxa" w:w="124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5"/>
                <w:szCs w:val="15"/>
              </w:rPr>
              <w:t xml:space="preserve">LONG</w:t>
            </w:r>
          </w:p>
        </w:tc>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5"/>
                <w:szCs w:val="15"/>
              </w:rPr>
              <w:t xml:space="preserve">YES</w:t>
            </w:r>
          </w:p>
        </w:tc>
        <w:tc>
          <w:tcPr>
            <w:tcW w:type="dxa" w:w="20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5"/>
                <w:szCs w:val="15"/>
              </w:rPr>
              <w:t xml:space="preserve">10,260 → +1R 10,360</w:t>
            </w:r>
          </w:p>
        </w:tc>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5"/>
                <w:szCs w:val="15"/>
              </w:rPr>
              <w:t xml:space="preserve">+1.0R</w:t>
            </w:r>
          </w:p>
        </w:tc>
        <w:tc>
          <w:tcPr>
            <w:tcW w:type="dxa" w:w="112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5"/>
                <w:szCs w:val="15"/>
              </w:rPr>
              <w:t xml:space="preserve">1</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5"/>
                <w:szCs w:val="15"/>
              </w:rPr>
              <w:t xml:space="preserve">Thu 11 Jun (t−2)</w:t>
            </w:r>
          </w:p>
        </w:tc>
        <w:tc>
          <w:tcPr>
            <w:tcW w:type="dxa" w:w="13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5"/>
                <w:szCs w:val="15"/>
              </w:rPr>
              <w:t xml:space="preserve">Trade 3A</w:t>
            </w:r>
          </w:p>
        </w:tc>
        <w:tc>
          <w:tcPr>
            <w:tcW w:type="dxa" w:w="124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5"/>
                <w:szCs w:val="15"/>
              </w:rPr>
              <w:t xml:space="preserve">LONG</w:t>
            </w:r>
          </w:p>
        </w:tc>
        <w:tc>
          <w:tcPr>
            <w:tcW w:type="dxa" w:w="11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5"/>
                <w:szCs w:val="15"/>
              </w:rPr>
              <w:t xml:space="preserve">YES</w:t>
            </w:r>
          </w:p>
        </w:tc>
        <w:tc>
          <w:tcPr>
            <w:tcW w:type="dxa" w:w="20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5"/>
                <w:szCs w:val="15"/>
              </w:rPr>
              <w:t xml:space="preserve">10,290 → R1 hit</w:t>
            </w:r>
          </w:p>
        </w:tc>
        <w:tc>
          <w:tcPr>
            <w:tcW w:type="dxa" w:w="11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5"/>
                <w:szCs w:val="15"/>
              </w:rPr>
              <w:t xml:space="preserve">+1.0R</w:t>
            </w:r>
          </w:p>
        </w:tc>
        <w:tc>
          <w:tcPr>
            <w:tcW w:type="dxa" w:w="112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5"/>
                <w:szCs w:val="15"/>
              </w:rPr>
              <w:t xml:space="preserve">1</w:t>
            </w:r>
          </w:p>
        </w:tc>
      </w:tr>
      <w:tr>
        <w:tc>
          <w:tcPr>
            <w:tcW w:type="dxa" w:w="15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5"/>
                <w:szCs w:val="15"/>
              </w:rPr>
              <w:t xml:space="preserve">Fri 12 Jun (t−1)</w:t>
            </w:r>
          </w:p>
        </w:tc>
        <w:tc>
          <w:tcPr>
            <w:tcW w:type="dxa" w:w="13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5"/>
                <w:szCs w:val="15"/>
              </w:rPr>
              <w:t xml:space="preserve">Trade 1</w:t>
            </w:r>
          </w:p>
        </w:tc>
        <w:tc>
          <w:tcPr>
            <w:tcW w:type="dxa" w:w="124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5"/>
                <w:szCs w:val="15"/>
              </w:rPr>
              <w:t xml:space="preserve">LONG</w:t>
            </w:r>
          </w:p>
        </w:tc>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5"/>
                <w:szCs w:val="15"/>
              </w:rPr>
              <w:t xml:space="preserve">YES</w:t>
            </w:r>
          </w:p>
        </w:tc>
        <w:tc>
          <w:tcPr>
            <w:tcW w:type="dxa" w:w="20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5"/>
                <w:szCs w:val="15"/>
              </w:rPr>
              <w:t xml:space="preserve">10,302.68 → close 10,471.72</w:t>
            </w:r>
          </w:p>
        </w:tc>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5"/>
                <w:szCs w:val="15"/>
              </w:rPr>
              <w:t xml:space="preserve">+1.5R (open runner)</w:t>
            </w:r>
          </w:p>
        </w:tc>
        <w:tc>
          <w:tcPr>
            <w:tcW w:type="dxa" w:w="112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5"/>
                <w:szCs w:val="15"/>
              </w:rPr>
              <w:t xml:space="preserve">1</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5"/>
                <w:szCs w:val="15"/>
              </w:rPr>
              <w:t xml:space="preserve">Fri 12 Jun (t−1)</w:t>
            </w:r>
          </w:p>
        </w:tc>
        <w:tc>
          <w:tcPr>
            <w:tcW w:type="dxa" w:w="13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5"/>
                <w:szCs w:val="15"/>
              </w:rPr>
              <w:t xml:space="preserve">Trade 2</w:t>
            </w:r>
          </w:p>
        </w:tc>
        <w:tc>
          <w:tcPr>
            <w:tcW w:type="dxa" w:w="124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5"/>
                <w:szCs w:val="15"/>
              </w:rPr>
              <w:t xml:space="preserve">LONG</w:t>
            </w:r>
          </w:p>
        </w:tc>
        <w:tc>
          <w:tcPr>
            <w:tcW w:type="dxa" w:w="11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5"/>
                <w:szCs w:val="15"/>
              </w:rPr>
              <w:t xml:space="preserve">NO</w:t>
            </w:r>
          </w:p>
        </w:tc>
        <w:tc>
          <w:tcPr>
            <w:tcW w:type="dxa" w:w="20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5"/>
                <w:szCs w:val="15"/>
              </w:rPr>
              <w:t xml:space="preserve">limit below market — not reached</w:t>
            </w:r>
          </w:p>
        </w:tc>
        <w:tc>
          <w:tcPr>
            <w:tcW w:type="dxa" w:w="11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bCs/>
                <w:i w:val="false"/>
                <w:iCs w:val="false"/>
                <w:color w:val="000000"/>
                <w:sz w:val="15"/>
                <w:szCs w:val="15"/>
              </w:rPr>
              <w:t xml:space="preserve">—</w:t>
            </w:r>
          </w:p>
        </w:tc>
        <w:tc>
          <w:tcPr>
            <w:tcW w:type="dxa" w:w="112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48"/>
              <w:jc w:val="left"/>
            </w:pPr>
            <w:r>
              <w:rPr>
                <w:rFonts w:ascii="Arial" w:cs="Arial" w:eastAsia="Arial" w:hAnsi="Arial"/>
                <w:b w:val="false"/>
                <w:bCs w:val="false"/>
                <w:i w:val="false"/>
                <w:iCs w:val="false"/>
                <w:color w:val="000000"/>
                <w:sz w:val="15"/>
                <w:szCs w:val="15"/>
              </w:rPr>
              <w:t xml:space="preserve">—</w:t>
            </w:r>
          </w:p>
        </w:tc>
      </w:tr>
    </w:tbl>
    <w:p>
      <w:pPr>
        <w:spacing w:after="60"/>
      </w:pPr>
      <w:r>
        <w:rPr>
          <w:rFonts w:ascii="Arial" w:cs="Arial" w:eastAsia="Arial" w:hAnsi="Arial"/>
          <w:b w:val="false"/>
          <w:bCs w:val="false"/>
          <w:i w:val="false"/>
          <w:iCs w:val="false"/>
          <w:color w:val="000000"/>
          <w:sz w:val="20"/>
          <w:szCs w:val="20"/>
        </w:rPr>
        <w:t xml:space="preserve"/>
      </w:r>
    </w:p>
    <w:p>
      <w:pPr>
        <w:spacing w:after="120" w:before="0" w:line="276"/>
        <w:jc w:val="left"/>
      </w:pPr>
      <w:r>
        <w:rPr>
          <w:rFonts w:ascii="Arial" w:cs="Arial" w:eastAsia="Arial" w:hAnsi="Arial"/>
          <w:b w:val="false"/>
          <w:bCs w:val="false"/>
          <w:i/>
          <w:iCs/>
          <w:color w:val="000000"/>
          <w:sz w:val="17"/>
          <w:szCs w:val="17"/>
        </w:rPr>
        <w:t xml:space="preserve">Reconstruction uses only data available at each t−1 close; intraday-dependent fills are flagged indicative given the single-source H/L caveat. The week's V-reversal means early-week longs were whipsawed (Tuesday −1R) before the Thursday–Friday recovery rewarded trend and pullback entries.</w:t>
      </w:r>
    </w:p>
    <w:p>
      <w:pPr>
        <w:spacing w:after="60"/>
      </w:pPr>
      <w:r>
        <w:rPr>
          <w:rFonts w:ascii="Arial" w:cs="Arial" w:eastAsia="Arial" w:hAnsi="Arial"/>
          <w:b w:val="false"/>
          <w:bCs w:val="false"/>
          <w:i w:val="false"/>
          <w:iCs w:val="false"/>
          <w:color w:val="000000"/>
          <w:sz w:val="20"/>
          <w:szCs w:val="20"/>
        </w:rPr>
        <w:t xml:space="preserve"/>
      </w:r>
    </w:p>
    <w:p>
      <w:pPr>
        <w:pStyle w:val="Heading2"/>
        <w:spacing w:after="100" w:before="200"/>
      </w:pPr>
      <w:r>
        <w:rPr>
          <w:rFonts w:ascii="Arial" w:cs="Arial" w:eastAsia="Arial" w:hAnsi="Arial"/>
          <w:b/>
          <w:bCs/>
          <w:color w:val="9C27B0"/>
          <w:sz w:val="22"/>
          <w:szCs w:val="22"/>
        </w:rPr>
        <w:t xml:space="preserve">21d · What is working</w:t>
      </w:r>
    </w:p>
    <w:p>
      <w:pPr>
        <w:spacing w:after="120" w:before="0" w:line="276"/>
        <w:jc w:val="left"/>
      </w:pPr>
      <w:r>
        <w:rPr>
          <w:rFonts w:ascii="Arial" w:cs="Arial" w:eastAsia="Arial" w:hAnsi="Arial"/>
          <w:b w:val="false"/>
          <w:bCs w:val="false"/>
          <w:i w:val="false"/>
          <w:iCs w:val="false"/>
          <w:color w:val="000000"/>
          <w:sz w:val="20"/>
          <w:szCs w:val="20"/>
        </w:rPr>
        <w:t xml:space="preserve">Trade 1 (Daily Directional) over the last 5 sessions: triggered 3/3 times, mean R ≈ +0.50, TP1/TP2/TP3 hit rates ≈ 67% / 33% / 0% (one −1R whipsaw Tuesday, +1R Thursday, +1.5R open runner Friday). Trade 2 (Pivot) triggered 1/2, the triggered instance resolving +1R. Trade 3A (Momentum-Pullback) triggered 1/1 at +1R. Strongest performer: Trade 3A (highest mean R on closed positions). Weakest: insufficient triggers to rank Trade 2 robustly. The common thread — long-side trend and pullback entries worked once the Thursday ECB-day base formed; the only loss was the Tuesday counter-trend whipsaw during the oil-spike drawdown.</w:t>
      </w:r>
    </w:p>
    <w:p>
      <w:pPr>
        <w:spacing w:after="120" w:before="0" w:line="276"/>
        <w:jc w:val="left"/>
      </w:pPr>
      <w:r>
        <w:rPr>
          <w:rFonts w:ascii="Arial" w:cs="Arial" w:eastAsia="Arial" w:hAnsi="Arial"/>
          <w:b w:val="false"/>
          <w:bCs w:val="false"/>
          <w:i/>
          <w:iCs/>
          <w:color w:val="000000"/>
          <w:sz w:val="18"/>
          <w:szCs w:val="18"/>
        </w:rPr>
        <w:t xml:space="preserve">Five-session windows are too small to support statistical claims. The backtest cannot model intraday tick-level fills, slippage, or commission. Treat as a directional sanity-check, not a strategy-validation framework.</w:t>
      </w:r>
    </w:p>
    <w:p>
      <w:pPr>
        <w:pBdr>
          <w:top w:val="single" w:color="2E75B6" w:sz="6" w:space="3"/>
        </w:pBdr>
        <w:spacing w:before="240"/>
      </w:pPr>
      <w:r>
        <w:rPr>
          <w:rFonts w:ascii="Arial" w:cs="Arial" w:eastAsia="Arial" w:hAnsi="Arial"/>
          <w:b w:val="false"/>
          <w:bCs w:val="false"/>
          <w:i/>
          <w:iCs/>
          <w:color w:val="595959"/>
          <w:sz w:val="16"/>
          <w:szCs w:val="16"/>
        </w:rPr>
        <w:t xml:space="preserve">Prepared on a forward-test basis for the 16 June 2026 pre-open. Settlement reference: Friday 12 June 2026 official close. Levels and trade cards are analytical, not investment advice; the analyst is not a financial adviser.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595959"/>
        <w:sz w:val="16"/>
        <w:szCs w:val="16"/>
      </w:rPr>
      <w:t xml:space="preserve">FTSE 100 Daily Report │ 12 June 2026 settle │ Senior European Equity Strategist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val="false"/>
        <w:bCs w:val="false"/>
        <w:i w:val="false"/>
        <w:iCs w:val="false"/>
        <w:color w:val="595959"/>
        <w:sz w:val="16"/>
        <w:szCs w:val="16"/>
      </w:rPr>
      <w:t xml:space="preserve">FTSE 100 Daily Report  ·  16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26"/>
      <w:szCs w:val="26"/>
    </w:rPr>
  </w:style>
  <w:style w:type="paragraph" w:styleId="Heading2">
    <w:name w:val="Heading 2"/>
    <w:basedOn w:val="Normal"/>
    <w:next w:val="Normal"/>
    <w:qFormat/>
    <w:pPr>
      <w:spacing w:after="100" w:before="200"/>
      <w:outlineLvl w:val="1"/>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2026-06-15T21:45:48.352Z</dcterms:created>
  <dcterms:modified xsi:type="dcterms:W3CDTF">2026-06-15T21:45:48.352Z</dcterms:modified>
</cp:coreProperties>
</file>

<file path=docProps/custom.xml><?xml version="1.0" encoding="utf-8"?>
<Properties xmlns="http://schemas.openxmlformats.org/officeDocument/2006/custom-properties" xmlns:vt="http://schemas.openxmlformats.org/officeDocument/2006/docPropsVTypes"/>
</file>