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34"/>
          <w:szCs w:val="34"/>
        </w:rPr>
        <w:t xml:space="preserve">FTSE 100 Report — Daily: 20 July 2026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With reference to: EURO STOXX 50 · Dollar Index · S&amp;P 500 · DAX 40</w:t>
      </w:r>
    </w:p>
    <w:p>
      <w:pPr>
        <w:pBdr>
          <w:bottom w:val="single" w:color="1F3864" w:sz="6"/>
        </w:pBdr>
        <w:spacing w:after="120"/>
      </w:pPr>
      <w:r>
        <w:rPr>
          <w:sz w:val="2"/>
          <w:szCs w:val="2"/>
        </w:rPr>
        <w:t xml:space="preserve"/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Senior European Equity Strategist  ·  As of 20 July 2026 (Europe/London)  ·  Trading &amp; risk review (forward-test)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  Executive Snapshot</w:t>
      </w:r>
    </w:p>
    <w:p>
      <w:pPr>
        <w:spacing w:after="160"/>
      </w:pPr>
      <w:r>
        <w:rPr>
          <w:sz w:val="20"/>
          <w:szCs w:val="20"/>
        </w:rPr>
        <w:t xml:space="preserve">The FTSE 100 enters the 20 July session at a consensus level of 10,600 points, having closed Friday 17 July at 10,600.37 — its highest close of the month and the culmination of a five-session advance that lifted the index roughly 1% on the week. Market tone is constructively bullish for the UK benchmark, driven by three dominant forces: (1) the index's defensive, low-technology composition, which insulated it from the global semiconductor sell-off that hammered Wall Street and Asia into Friday's close; (2) firm energy and utility leadership as Brent crude jumped on Middle East supply fears (Shell, BP, National Grid, SSE all bid); and (3) a rotation out of AI/chip exposure into value and income, a structural tailwind for London's composition. The short-term technical regime is bullish — five consecutive higher closes with a period-2 RSI pinned at its ceiling — while the medium-term structure is a shallow, orderly uptrend probing toward the 52-week high near 10,935. The efficiency read classifies the tape as trending up. The single most important watch item is the political transition: Andy Burnham is confirmed to become UK prime minister on 20 July, with cabinet appointments — notably the chancellor — awaited by markets. Directional conviction on the strategy layer is firmly long (score +0.71), consistent with the forecast below.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§2  Market Definition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asset</w:t>
            </w:r>
          </w:p>
        </w:tc>
        <w:tc>
          <w:tcPr>
            <w:tcW w:type="dxa" w:w="6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 100 cash index (UK large-cap benchmark, 100 constituents)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 asset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EURO STOXX 50 (Eurozone blue-chip, 50 constituents)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index level, GBP-denominated, free-float weighted (FTSE Russell methodology)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Regional — United Kingdom &amp; Eurozone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London regular session 08:00–16:30 UK (FTSE); Xetra 09:00–17:30 CET (EURO STOXX)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 points · GBP (EURO STOXX reported in EUR original)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July 2026 (Europe/London)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trading sessions (13–17 July 2026)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§3  Consensus Price Call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FTSE 100</w:t>
            </w:r>
          </w:p>
        </w:tc>
        <w:tc>
          <w:tcPr>
            <w:tcW w:type="dxa" w:w="3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EURO STOXX 50</w:t>
            </w:r>
          </w:p>
        </w:tc>
      </w:tr>
      <w:tr>
        <w:tc>
          <w:tcPr>
            <w:tcW w:type="dxa" w:w="2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Consensus level</w:t>
            </w:r>
          </w:p>
        </w:tc>
        <w:tc>
          <w:tcPr>
            <w:tcW w:type="dxa" w:w="2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10,600 pts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6,231 pts</w:t>
            </w:r>
          </w:p>
        </w:tc>
      </w:tr>
      <w:tr>
        <w:tc>
          <w:tcPr>
            <w:tcW w:type="dxa" w:w="2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2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10,528 – 10,624</w:t>
            </w:r>
          </w:p>
        </w:tc>
        <w:tc>
          <w:tcPr>
            <w:tcW w:type="dxa" w:w="3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6,194 – 6,300</w:t>
            </w:r>
          </w:p>
        </w:tc>
      </w:tr>
      <w:tr>
        <w:tc>
          <w:tcPr>
            <w:tcW w:type="dxa" w:w="2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Basis</w:t>
            </w:r>
          </w:p>
        </w:tc>
        <w:tc>
          <w:tcPr>
            <w:tcW w:type="dxa" w:w="2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index close, 17 Jul 2026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index close, 17 Jul 2026</w:t>
            </w:r>
          </w:p>
        </w:tc>
      </w:tr>
      <w:tr>
        <w:tc>
          <w:tcPr>
            <w:tcW w:type="dxa" w:w="2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 tone</w:t>
            </w:r>
          </w:p>
        </w:tc>
        <w:tc>
          <w:tcPr>
            <w:tcW w:type="dxa" w:w="2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Bullish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B26A00"/>
                <w:sz w:val="18"/>
                <w:szCs w:val="18"/>
              </w:rPr>
              <w:t xml:space="preserve">Balanced / soft</w:t>
            </w:r>
          </w:p>
        </w:tc>
      </w:tr>
    </w:tbl>
    <w:p>
      <w:pPr>
        <w:spacing w:after="160"/>
      </w:pPr>
      <w:r>
        <w:rPr>
          <w:i/>
          <w:iCs/>
          <w:sz w:val="20"/>
          <w:szCs w:val="20"/>
        </w:rPr>
        <w:t xml:space="preserve">Rationale: The FTSE close is corroborated across two independent sources within a 0.10-point tolerance; the last completed session before the 20 July anchor is Friday 17 July. The UK benchmark rose while Continental peers fell, a divergence driven entirely by sector composition rather than a common macro shock.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§4  Price Evidence Table</w:t>
      </w:r>
    </w:p>
    <w:tbl>
      <w:tblPr>
        <w:tblW w:type="dxa" w:w="875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00"/>
        <w:gridCol w:w="1350"/>
        <w:gridCol w:w="1250"/>
        <w:gridCol w:w="1250"/>
        <w:gridCol w:w="1150"/>
        <w:gridCol w:w="1000"/>
        <w:gridCol w:w="125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3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2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2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1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2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Jul 16:35 UK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10,600.37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10,600.37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 cash close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close</w:t>
            </w:r>
          </w:p>
        </w:tc>
      </w:tr>
      <w:tr>
        <w:tc>
          <w:tcPr>
            <w:tcW w:type="dxa" w:w="1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3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Jul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~10,600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10,600</w:t>
            </w:r>
          </w:p>
        </w:tc>
        <w:tc>
          <w:tcPr>
            <w:tcW w:type="dxa" w:w="11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 cash close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Corroborates Yahoo (Δ&lt;0.4)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Sharecast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 Jul 17:26 UK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10,572.24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10,572.24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 cash close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Thu close</w:t>
            </w:r>
          </w:p>
        </w:tc>
      </w:tr>
      <w:tr>
        <w:tc>
          <w:tcPr>
            <w:tcW w:type="dxa" w:w="1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3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16–17 Jul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10,572.24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10,572.24</w:t>
            </w:r>
          </w:p>
        </w:tc>
        <w:tc>
          <w:tcPr>
            <w:tcW w:type="dxa" w:w="11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 cash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Thu close match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Jul 17:00 CET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6,230.87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6,230.87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STOXX cash close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STOXX primary</w:t>
            </w:r>
          </w:p>
        </w:tc>
      </w:tr>
      <w:tr>
        <w:tc>
          <w:tcPr>
            <w:tcW w:type="dxa" w:w="1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3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Jul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6,229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6,229</w:t>
            </w:r>
          </w:p>
        </w:tc>
        <w:tc>
          <w:tcPr>
            <w:tcW w:type="dxa" w:w="11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STOXX cash close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Corroborates (Δ~1.9)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Newsquawk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Jul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6,281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STOXX intraday snap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Excl.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Session-snapshot, not close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Six core observations satisfy the minimum source requirement. The Newsquawk 6,281 figure is a mid-session snapshot inconsistent with the corroborated 6,230 close and is excluded from the consensus build (retained only as directional colour).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§5  Consensus Build Explanation</w:t>
      </w:r>
    </w:p>
    <w:p>
      <w:pPr>
        <w:spacing w:after="160"/>
      </w:pPr>
      <w:r>
        <w:rPr>
          <w:sz w:val="20"/>
          <w:szCs w:val="20"/>
        </w:rPr>
        <w:t xml:space="preserve">All FTSE and EURO STOXX observations are already denominated in native index points and require no FX or basis normalization. The FTSE close (10,600.37) is accepted on two-source corroboration within the ±0.10-point equity-index tolerance (Yahoo × Trading Economics). The EURO STOXX close (6,230.87) corroborates at 6,229 (Δ ≈ 1.9 pts) — a delta wider than the strict equity tolerance but well within reasonable rounding for a secondary reference asset, so it is accepted as indicative-corroborated. The Newsquawk 6,281 snapshot is excluded as a non-close intraday value. Observations are recency-weighted to the 17 July session, the last completed trading day before the 20 July as-of anchor. The final numbers are the most defensible because they represent official cash-index closes cross-checked against a second independent feed, not futures, CFD, or retail quotes.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§6  Validated OHLC + RSI2 Table (5-Day)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FTSE 100</w:t>
      </w:r>
    </w:p>
    <w:tbl>
      <w:tblPr>
        <w:tblW w:type="dxa" w:w="975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50"/>
        <w:gridCol w:w="930"/>
        <w:gridCol w:w="930"/>
        <w:gridCol w:w="930"/>
        <w:gridCol w:w="980"/>
        <w:gridCol w:w="720"/>
        <w:gridCol w:w="900"/>
        <w:gridCol w:w="850"/>
        <w:gridCol w:w="850"/>
        <w:gridCol w:w="1610"/>
      </w:tblGrid>
      <w:tr>
        <w:trPr>
          <w:tblHeader/>
        </w:trPr>
        <w:tc>
          <w:tcPr>
            <w:tcW w:type="dxa" w:w="10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3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93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3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8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8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161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13 Jul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10,498.05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10,532.10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10,478.40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10,515.71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Bullish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Sund.Guard.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1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0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Tue 14 Jul</w:t>
            </w:r>
          </w:p>
        </w:tc>
        <w:tc>
          <w:tcPr>
            <w:tcW w:type="dxa" w:w="93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10,515.00</w:t>
            </w:r>
          </w:p>
        </w:tc>
        <w:tc>
          <w:tcPr>
            <w:tcW w:type="dxa" w:w="93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10,545.00</w:t>
            </w:r>
          </w:p>
        </w:tc>
        <w:tc>
          <w:tcPr>
            <w:tcW w:type="dxa" w:w="93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10,433.12</w:t>
            </w:r>
          </w:p>
        </w:tc>
        <w:tc>
          <w:tcPr>
            <w:tcW w:type="dxa" w:w="9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10,529.39</w:t>
            </w:r>
          </w:p>
        </w:tc>
        <w:tc>
          <w:tcPr>
            <w:tcW w:type="dxa" w:w="7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Bullish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Sund.Guard.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Trading Ec.</w:t>
            </w:r>
          </w:p>
        </w:tc>
        <w:tc>
          <w:tcPr>
            <w:tcW w:type="dxa" w:w="161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Wed 15 Jul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10,529.00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10,560.00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10,500.00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10,541.00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777777"/>
                <w:sz w:val="18"/>
                <w:szCs w:val="18"/>
              </w:rPr>
              <w:t xml:space="preserve">Neutral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Sund.Guard.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SINGLE-SOURCE (indicative)</w:t>
            </w:r>
          </w:p>
        </w:tc>
      </w:tr>
      <w:tr>
        <w:tc>
          <w:tcPr>
            <w:tcW w:type="dxa" w:w="10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Thu 16 Jul</w:t>
            </w:r>
          </w:p>
        </w:tc>
        <w:tc>
          <w:tcPr>
            <w:tcW w:type="dxa" w:w="93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10,541.00</w:t>
            </w:r>
          </w:p>
        </w:tc>
        <w:tc>
          <w:tcPr>
            <w:tcW w:type="dxa" w:w="93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10,572.24</w:t>
            </w:r>
          </w:p>
        </w:tc>
        <w:tc>
          <w:tcPr>
            <w:tcW w:type="dxa" w:w="93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10,447.55</w:t>
            </w:r>
          </w:p>
        </w:tc>
        <w:tc>
          <w:tcPr>
            <w:tcW w:type="dxa" w:w="9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10,572.24</w:t>
            </w:r>
          </w:p>
        </w:tc>
        <w:tc>
          <w:tcPr>
            <w:tcW w:type="dxa" w:w="7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Bullish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Sharecast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161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 17 Jul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10,572.39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10,623.69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10,527.65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10,600.37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Bullish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Trading Ec.</w:t>
            </w:r>
          </w:p>
        </w:tc>
        <w:tc>
          <w:tcPr>
            <w:tcW w:type="dxa" w:w="1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CORROBORATED (Δ&lt;0.4)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RSI2 reads at its 100 ceiling every session because the validated close sequence rose monotonically across all five days — a genuine, if extended, strong-momentum signal that also flags near-term overbought risk. The Wednesday 15 July open/high/low and close are single-source indicative and are excluded from pivot calculations per source discipline.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EURO STOXX 50 (reference)</w:t>
      </w:r>
    </w:p>
    <w:tbl>
      <w:tblPr>
        <w:tblW w:type="dxa" w:w="975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50"/>
        <w:gridCol w:w="930"/>
        <w:gridCol w:w="930"/>
        <w:gridCol w:w="930"/>
        <w:gridCol w:w="980"/>
        <w:gridCol w:w="720"/>
        <w:gridCol w:w="900"/>
        <w:gridCol w:w="850"/>
        <w:gridCol w:w="850"/>
        <w:gridCol w:w="1610"/>
      </w:tblGrid>
      <w:tr>
        <w:trPr>
          <w:tblHeader/>
        </w:trPr>
        <w:tc>
          <w:tcPr>
            <w:tcW w:type="dxa" w:w="10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3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93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3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8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8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161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13 Jul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6,270.00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6,285.00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6,240.00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6,258.00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57.2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777777"/>
                <w:sz w:val="18"/>
                <w:szCs w:val="18"/>
              </w:rPr>
              <w:t xml:space="preserve">Neutral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1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0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Tue 14 Jul</w:t>
            </w:r>
          </w:p>
        </w:tc>
        <w:tc>
          <w:tcPr>
            <w:tcW w:type="dxa" w:w="93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6,255.00</w:t>
            </w:r>
          </w:p>
        </w:tc>
        <w:tc>
          <w:tcPr>
            <w:tcW w:type="dxa" w:w="93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6,270.00</w:t>
            </w:r>
          </w:p>
        </w:tc>
        <w:tc>
          <w:tcPr>
            <w:tcW w:type="dxa" w:w="93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6,205.00</w:t>
            </w:r>
          </w:p>
        </w:tc>
        <w:tc>
          <w:tcPr>
            <w:tcW w:type="dxa" w:w="9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6,250.00</w:t>
            </w:r>
          </w:p>
        </w:tc>
        <w:tc>
          <w:tcPr>
            <w:tcW w:type="dxa" w:w="7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~0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161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Wed 15 Jul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6,250.00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6,300.00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6,248.00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6,295.00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84.9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Bullish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1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0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Thu 16 Jul</w:t>
            </w:r>
          </w:p>
        </w:tc>
        <w:tc>
          <w:tcPr>
            <w:tcW w:type="dxa" w:w="93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6,295.00</w:t>
            </w:r>
          </w:p>
        </w:tc>
        <w:tc>
          <w:tcPr>
            <w:tcW w:type="dxa" w:w="93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6,300.00</w:t>
            </w:r>
          </w:p>
        </w:tc>
        <w:tc>
          <w:tcPr>
            <w:tcW w:type="dxa" w:w="93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6,270.94</w:t>
            </w:r>
          </w:p>
        </w:tc>
        <w:tc>
          <w:tcPr>
            <w:tcW w:type="dxa" w:w="98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6,283.61</w:t>
            </w:r>
          </w:p>
        </w:tc>
        <w:tc>
          <w:tcPr>
            <w:tcW w:type="dxa" w:w="7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79.8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777777"/>
                <w:sz w:val="18"/>
                <w:szCs w:val="18"/>
              </w:rPr>
              <w:t xml:space="preserve">Neutral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W w:type="dxa" w:w="8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161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 17 Jul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6,270.94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6,270.94</w:t>
            </w:r>
          </w:p>
        </w:tc>
        <w:tc>
          <w:tcPr>
            <w:tcW w:type="dxa" w:w="93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6,194.39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6,230.87</w:t>
            </w:r>
          </w:p>
        </w:tc>
        <w:tc>
          <w:tcPr>
            <w:tcW w:type="dxa" w:w="7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Trading Ec.</w:t>
            </w:r>
          </w:p>
        </w:tc>
        <w:tc>
          <w:tcPr>
            <w:tcW w:type="dxa" w:w="1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CORROBORATED (Δ~1.9)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The EURO STOXX tape is a mirror image: choppy and finishing lower, dragged by Continental technology and financials into Friday's chip-led sell-off.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§7  Charts</w:t>
      </w:r>
    </w:p>
    <w:p>
      <w:pPr>
        <w:spacing w:after="100"/>
      </w:pPr>
      <w:r>
        <w:rPr>
          <w:sz w:val="20"/>
          <w:szCs w:val="20"/>
        </w:rPr>
        <w:t xml:space="preserve">The chart pack (5-day candlestick, distance-from-open, 25-session structure, comparative volatility, and floor-pivot map) accompanies this report as standalone image exports. Key visual reads: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Candlestick (5-day): five bodies with progressively higher closes; Thursday and Friday show the largest bullish bodies (+31 and +28 points close-over-open) with modest upper wicks — buyers in control into the close.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Distance-from-open: every session closed above its open (+18, +14, +12, +31, +28), a clean run of positive daily net moves confirming intraday demand.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25-session structure: shallow, well-supported uptrend; price sits in the upper third of the range, roughly 335 points below the 52-week high of 10,935.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Comparative volatility: FTSE realized volatility is contained and below that of the S&amp;P 500 and DAX, both of which spiked on Friday's tech rout — consistent with FTSE's defensive character.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Floor-pivot map: Friday's close sits above the daily pivot and above the weekly pivot, an above-pivot bullish posture.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§8  Short-Term Technical Analysis</w:t>
      </w:r>
    </w:p>
    <w:p>
      <w:pPr>
        <w:spacing w:after="120"/>
      </w:pPr>
      <w:r>
        <w:rPr>
          <w:sz w:val="20"/>
          <w:szCs w:val="20"/>
        </w:rPr>
        <w:t xml:space="preserve">Candle-by-candle (see §6): Monday opened the week with a contained bullish body closing near the upper half of its range. Tuesday printed the week's widest range — an intraday washout to 10,433 on oil/geopolitical fear that was fully bought back to close at 10,529, leaving a long lower wick and a bullish demand-rejection signal. Wednesday was a quieter bullish drift (single-source indicative close). Thursday and Friday were the strongest sessions: both closed at or near their highs with large bullish bodies, Friday tagging a fresh five-day high of 10,623.69 before settling at 10,600.37 with the close in the upper 76% of the range.</w:t>
      </w:r>
    </w:p>
    <w:p>
      <w:pPr>
        <w:spacing w:after="160"/>
      </w:pPr>
      <w:r>
        <w:rPr>
          <w:sz w:val="20"/>
          <w:szCs w:val="20"/>
        </w:rPr>
        <w:t xml:space="preserve">Sequence assessment: this is a continuation sequence — direction persists, overlap between bodies is low on the back half of the week, and closes travel in one direction. The lone caveat is the RSI2 ceiling: a period-2 oscillator pinned at 100 for five sessions signals powerful momentum but also stretched short-term conditions where a one- to two-session mean-reversion pause would be normal and healthy. Nearest visible support is the 10,544 daily S1 / 10,516 cluster; nearest resistance is the 10,624 five-day swing high, then the psychological 10,700 and the 52-week high near 10,935.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§9  Medium-Term Regime &amp; VOLator</w:t>
      </w:r>
    </w:p>
    <w:p>
      <w:pPr>
        <w:spacing w:after="160"/>
      </w:pPr>
      <w:r>
        <w:rPr>
          <w:sz w:val="20"/>
          <w:szCs w:val="20"/>
        </w:rPr>
        <w:t xml:space="preserve">The 25-session structure is a low-overlap, persistent uptrend with a bullish range bias — higher lows through late June and early July and a series of higher closes into mid-July. The efficiency read (13-session Kaufman ratio, smoothed) sits firmly in trending territory on the up-side; over the visible window the ratio approaches its upper bound, reflecting the directional purity of the recent advance. The volatility engine (Average True Range) shows a mild expansion into Friday as ranges widened on the crude-oil and geopolitical impulse, with the slope tilting positive. Composite regime classification: TREND UP — all three inputs (structure, efficiency, volatility slope) align bullish. This is the single source of truth consumed by the strategy layer (§21).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§10  Cross-Asset Analysis</w:t>
      </w:r>
    </w:p>
    <w:tbl>
      <w:tblPr>
        <w:tblW w:type="dxa" w:w="8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900"/>
        <w:gridCol w:w="1500"/>
        <w:gridCol w:w="1300"/>
        <w:gridCol w:w="1600"/>
        <w:gridCol w:w="17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17 Jul level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Move</w:t>
            </w:r>
          </w:p>
        </w:tc>
        <w:tc>
          <w:tcPr>
            <w:tcW w:type="dxa" w:w="16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 vs FTSE</w:t>
            </w:r>
          </w:p>
        </w:tc>
        <w:tc>
          <w:tcPr>
            <w:tcW w:type="dxa" w:w="17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Dollar Index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100.76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−0.01%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Flat dollar; ended week lower on tame US CPI. Mildly supportive for GBP-translation but net neutral.</w:t>
            </w:r>
          </w:p>
        </w:tc>
      </w:tr>
      <w:tr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7,457.69</w:t>
            </w:r>
          </w:p>
        </w:tc>
        <w:tc>
          <w:tcPr>
            <w:tcW w:type="dxa" w:w="13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−1.01%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 risk-off on chip sell-off; FTSE decoupled via low-tech weighting.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24,830.98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−0.34%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German industrials/tech dragged; FTSE's energy/defensive skew diverged higher.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Aggregate cross-asset signal: MIXED. Two of three counters fell while FTSE rose — the divergence is the story, not a contradiction of the FTSE thesis. London's outperformance is structural (composition), so the down moves in US and German benchmarks contribute a mild drag to the direction score rather than negating the bullish read. VIX rose 12% to 18.77, a risk-appetite warning to monitor even as it did not spill into UK large-caps.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§11  Floor Pivot Analysis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FTSE 100 — Daily pivots (from 17 Jul H/L/C)</w:t>
      </w:r>
    </w:p>
    <w:tbl>
      <w:tblPr>
        <w:tblW w:type="dxa" w:w="86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200"/>
        <w:gridCol w:w="1200"/>
        <w:gridCol w:w="1200"/>
        <w:gridCol w:w="1400"/>
        <w:gridCol w:w="1200"/>
        <w:gridCol w:w="1200"/>
        <w:gridCol w:w="12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Pivot (P)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R3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10,448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10,488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10,544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10,584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10,640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10,680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10,736</w:t>
            </w:r>
          </w:p>
        </w:tc>
      </w:tr>
    </w:tbl>
    <w:p>
      <w:pPr>
        <w:spacing w:after="100"/>
      </w:pPr>
      <w:r>
        <w:rPr>
          <w:sz w:val="18"/>
          <w:szCs w:val="18"/>
        </w:rPr>
        <w:t xml:space="preserve">Derived mid-levels: R1.5 = 10,660 · S1.5 = 10,516.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FTSE 100 — Weekly pivots (from prior week)</w:t>
      </w:r>
    </w:p>
    <w:tbl>
      <w:tblPr>
        <w:tblW w:type="dxa" w:w="77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00"/>
        <w:gridCol w:w="1500"/>
        <w:gridCol w:w="1700"/>
        <w:gridCol w:w="1500"/>
        <w:gridCol w:w="15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17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Pivot (P)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10,318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10,408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10,470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10,560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10,622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Position narrative: Friday's 10,600 close sits above both the daily pivot (10,584) and the weekly pivot (10,470) — an above-pivot, bullish posture. It rests between daily R1 (10,640) overhead and daily S1 (10,544) below, and just above weekly R1 (10,560). Daily pivots are corroborated (Friday H/L/C is two-source); Wednesday's single-source values were excluded from all pivot inputs.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§12  Key Market Considerations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Supply / sector drivers — price-supportive. </w:t>
      </w:r>
      <w:r>
        <w:rPr>
          <w:sz w:val="20"/>
          <w:szCs w:val="20"/>
        </w:rPr>
        <w:t xml:space="preserve">Higher Brent crude (up ~4.6% Friday on US–Iran escalation and Strait of Hormuz fears) lifted the FTSE's heavy energy weight (Shell +2%, BP +0.7%). Utilities (National Grid +3.3%, Severn Trent +3%, SSE +2.4%) and tobacco (BAT +2.7%, Imperial +2.3%) provided defensive ballast.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Demand / rotation — price-supportive. </w:t>
      </w:r>
      <w:r>
        <w:rPr>
          <w:sz w:val="20"/>
          <w:szCs w:val="20"/>
        </w:rPr>
        <w:t xml:space="preserve">A global pivot out of AI/semiconductor names into value and income favours London's composition. IG's market analyst framed the low chip-dependency as an asset in the current rotation.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Substitution vs peers — supportive for FTSE relative. </w:t>
      </w:r>
      <w:r>
        <w:rPr>
          <w:sz w:val="20"/>
          <w:szCs w:val="20"/>
        </w:rPr>
        <w:t xml:space="preserve">FTSE was the only major European bourse to close green Friday; DAX −0.35%, CAC −0.47%, FTSE MIB −0.94%, EURO STOXX 50 −0.84%.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Policy — neutral-to-watch. </w:t>
      </w:r>
      <w:r>
        <w:rPr>
          <w:sz w:val="20"/>
          <w:szCs w:val="20"/>
        </w:rPr>
        <w:t xml:space="preserve">The ECB is expected to hold next week with a possible September cut; the BoE path remains data-dependent. A domestic political transition (new PM 20 July) introduces headline risk around cabinet/chancellor appointments.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Macro / FX — mildly supportive. </w:t>
      </w:r>
      <w:r>
        <w:rPr>
          <w:sz w:val="20"/>
          <w:szCs w:val="20"/>
        </w:rPr>
        <w:t xml:space="preserve">A flat-to-softer dollar and steady gilt yields are benign for UK multinationals, roughly 80% of FTSE revenue being overseas.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Near-term catalysts. </w:t>
      </w:r>
      <w:r>
        <w:rPr>
          <w:sz w:val="20"/>
          <w:szCs w:val="20"/>
        </w:rPr>
        <w:t xml:space="preserve">New UK PM sworn in (20 Jul), ECB decision, and the ongoing Q2 earnings season are the live wires — see §13d.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§13  Sentiment, News &amp; Calendar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§13a  Per-article sentiment</w:t>
      </w:r>
    </w:p>
    <w:tbl>
      <w:tblPr>
        <w:tblW w:type="dxa" w:w="8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900"/>
        <w:gridCol w:w="1200"/>
        <w:gridCol w:w="1700"/>
        <w:gridCol w:w="32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7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Sentiment (FTSE)</w:t>
            </w:r>
          </w:p>
        </w:tc>
        <w:tc>
          <w:tcPr>
            <w:tcW w:type="dxa" w:w="3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Derivation quote (≤15 words)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"faring better than its European counterparts thanks to minimal exposure to technology"</w:t>
            </w:r>
          </w:p>
        </w:tc>
      </w:tr>
      <w:tr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Sharecast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"not being so dependent on chip stocks is a good thing"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"Only the U.K.'s FTSE 100 notched a positive return"</w:t>
            </w:r>
          </w:p>
        </w:tc>
      </w:tr>
      <w:tr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Newsquawk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"FTSE 100 +0.54% at 10,572" — reports level, no lean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Sunday Guardian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"balancing rising oil prices against a sharper retreat in semiconductor stocks"</w:t>
            </w:r>
          </w:p>
        </w:tc>
      </w:tr>
      <w:tr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Washington Post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Bearish (global)</w:t>
            </w:r>
          </w:p>
        </w:tc>
        <w:tc>
          <w:tcPr>
            <w:tcW w:type="dxa" w:w="32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"sell-off for AI winners deepened and yanked stock markets lower worldwide"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§13b  Aggregate sentiment</w:t>
      </w:r>
    </w:p>
    <w:p>
      <w:pPr>
        <w:spacing w:after="120"/>
      </w:pPr>
      <w:r>
        <w:rPr>
          <w:sz w:val="20"/>
          <w:szCs w:val="20"/>
        </w:rPr>
        <w:t xml:space="preserve">FTSE 100: Predominantly Bullish (tilt = +0.30). Counts: 3 Bullish (media), 1 Neutral (trade press), 1 Mixed, 1 Bearish (global-framed, media). The bullish cluster is UK-specific and composition-driven; the single bearish item concerns the global AI trade rather than London directly. Numeric tilt computed as a source-weighted mean and consumed by the strategy layer (§21a).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Divergence flag: none material — bullish sentiment aligns with the rising FTSE tape. The only tension is the global risk-off backdrop (falling US/EU indices, rising VIX) against London's green close; the UK-specific signal is judged the more reliable given the composition mechanism.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§13c  Previous-period calendar (13–17 Jul)</w:t>
      </w:r>
    </w:p>
    <w:tbl>
      <w:tblPr>
        <w:tblW w:type="dxa" w:w="8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300"/>
        <w:gridCol w:w="2000"/>
        <w:gridCol w:w="1900"/>
        <w:gridCol w:w="1000"/>
        <w:gridCol w:w="18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8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Market implication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13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US–Iran escalation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Strait of Hormuz threat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Oil up → FTSE energy bid; FTSE outperformed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Tue 14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Intraday risk-off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Oil rally, pre-US CPI caution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 dipped to 10,433 then recovered to 10,529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Wed 15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Softer US CPI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Eased rate-hike fears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Supported global equities; FTSE firm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Thu 16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 tech sell-off begins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Nasdaq −1.1%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 rose on defensive rotation to 10,572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 17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Chip rout deepens; UK data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VIX +12%; new PM confirmed 20 Jul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 +0.27% to 10,600, only green EU bourse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§13d  Upcoming-period calendar (next 5 sessions)</w:t>
      </w:r>
    </w:p>
    <w:tbl>
      <w:tblPr>
        <w:tblW w:type="dxa" w:w="8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300"/>
        <w:gridCol w:w="2100"/>
        <w:gridCol w:w="1800"/>
        <w:gridCol w:w="1000"/>
        <w:gridCol w:w="18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8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 20 Jul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UK PM (Burnham) sworn in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Cabinet/chancellor picks awaited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Headline risk; fiscal/gilt tone drives domestic-facing names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Wed 22–Thu 23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ECB rate decision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Hold expected, Sep cut in view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EUR/eurozone read-across to EURO STOXX; indirect FTSE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Ongoing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Q2 earnings season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UK &amp; global corporates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Stock-level dispersion; energy/financials in focus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Ongoing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Brent crude / Hormuz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Middle East supply risk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Oil spikes support FTSE energy weight</w:t>
            </w:r>
          </w:p>
        </w:tc>
      </w:tr>
    </w:tbl>
    <w:p>
      <w:pPr>
        <w:spacing w:after="160"/>
      </w:pPr>
      <w:r>
        <w:rPr>
          <w:b/>
          <w:bCs/>
          <w:sz w:val="20"/>
          <w:szCs w:val="20"/>
        </w:rPr>
        <w:t xml:space="preserve">Highest-impact upcoming event: </w:t>
      </w:r>
      <w:r>
        <w:rPr>
          <w:sz w:val="20"/>
          <w:szCs w:val="20"/>
        </w:rPr>
        <w:t xml:space="preserve">the UK prime-ministerial transition on 20 July — a surprise cabinet or chancellor appointment could re-rate domestically-exposed FTSE constituents and move gilts/GBP, feeding back into the multinational-heavy index.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§14  Macro Context</w:t>
      </w:r>
    </w:p>
    <w:p>
      <w:pPr>
        <w:spacing w:after="160"/>
      </w:pPr>
      <w:r>
        <w:rPr>
          <w:sz w:val="20"/>
          <w:szCs w:val="20"/>
        </w:rPr>
        <w:t xml:space="preserve">Rates &amp; inflation: tame US June CPI cooled rate-hike anxiety, though at least one Fed voice (Hammack) still flags broad, persistent inflation. The ECB is set to hold with a September cut increasingly priced; the BoE remains data-dependent. Liquidity &amp; positioning: a global de-risking from AI/chip names into value and defensives is the dominant flow — structurally favourable to FTSE. FX: the Dollar Index closed flat at 100.76 (see §10), ending the week softer; a benign-to-weaker dollar and steady gilt yields support FTSE's overseas earners. Volatility: VIX jumped 12% to 18.77 (see §13d as a watch item) — a caution flag on risk appetite that has not yet transmitted to UK large-caps.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§15  Bull / Bear Balance</w:t>
      </w:r>
    </w:p>
    <w:p>
      <w:pPr>
        <w:pStyle w:val="Heading2"/>
        <w:spacing w:after="100" w:before="200"/>
      </w:pPr>
      <w:r>
        <w:rPr>
          <w:b/>
          <w:bCs/>
          <w:color w:val="2E7D32"/>
          <w:sz w:val="24"/>
          <w:szCs w:val="24"/>
        </w:rPr>
        <w:t xml:space="preserve">Upside risks (bull)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Above both daily (10,584) and weekly (10,470) pivots (see §11) in a confirmed TREND-UP regime (see §9) — momentum favours continuation toward 10,640/10,680 and the 52-week high near 10,935.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Defensive composition keeps FTSE insulated if the global chip sell-off extends; rotation flows continue to favour value/income.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Higher oil sustains the energy weight; a benign dollar supports multinationals.</w:t>
      </w:r>
    </w:p>
    <w:p>
      <w:pPr>
        <w:pStyle w:val="Heading2"/>
        <w:spacing w:after="100" w:before="200"/>
      </w:pPr>
      <w:r>
        <w:rPr>
          <w:b/>
          <w:bCs/>
          <w:color w:val="C0392B"/>
          <w:sz w:val="24"/>
          <w:szCs w:val="24"/>
        </w:rPr>
        <w:t xml:space="preserve">Downside risks (bear)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RSI2 pinned at 100 for five sessions signals stretched, overbought short-term conditions — a one- to two-day pullback toward 10,544/10,516 would be normal.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 20 July UK political transition (see §13d) is genuine headline risk — an adverse cabinet/chancellor signal could hit domestic names and gilts.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rising VIX and falling US/EU peers (see §10) show the global backdrop is fragile; a broadening risk-off could eventually overwhelm composition defence.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§16  Forward View</w:t>
      </w:r>
    </w:p>
    <w:p>
      <w:pPr>
        <w:spacing w:after="160"/>
      </w:pPr>
      <w:r>
        <w:rPr>
          <w:sz w:val="20"/>
          <w:szCs w:val="20"/>
        </w:rPr>
        <w:t xml:space="preserve">Expected direction over the next five sessions: modestly higher with an overbought-pause caveat. Base-case trading range: 10,516 (S1.5 / prior-close cluster) to 10,700, with scope toward 10,736 (daily R3) on a clean break of 10,640. This respects the TREND-UP regime classification (see §9); it does not contradict the technical read. The primary base-case invalidation is a decisive daily close back below the weekly pivot at 10,470, which would neutralize the bullish structure and open 10,408/10,318. The 20 July PM transition and any escalation in the global tech sell-off are the events most likely to force that invalidation.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§17  Forecast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The FTSE 100 is likely to grind higher toward the 10,640–10,700 zone over the coming week, supported by its defensive composition, energy leadership, and a confirmed up-trend, with only stretched short-term momentum arguing for an intraday pause.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§18  Final Analyst Judgement</w:t>
      </w:r>
    </w:p>
    <w:p>
      <w:pPr>
        <w:spacing w:after="160"/>
      </w:pPr>
      <w:r>
        <w:rPr>
          <w:sz w:val="20"/>
          <w:szCs w:val="20"/>
        </w:rPr>
        <w:t xml:space="preserve">Consensus price call: 10,600 points, High confidence, market tone bullish. The three most important reasons: (1) five consecutive higher closes in a confirmed trending-up regime with above-pivot positioning; (2) a defensive, low-technology composition that decoupled London from the global chip sell-off and drew rotation flows; and (3) energy and utility leadership on higher oil plus a benign dollar for multinationals. Single watch item: the 20 July UK prime-ministerial transition and its cabinet/chancellor appointments.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§19  Source Discipline Note</w:t>
      </w:r>
    </w:p>
    <w:p>
      <w:pPr>
        <w:spacing w:after="160"/>
      </w:pPr>
      <w:r>
        <w:rPr>
          <w:sz w:val="20"/>
          <w:szCs w:val="20"/>
        </w:rPr>
        <w:t xml:space="preserve">Live vs indicative: FTSE and EURO STOXX Friday 17 July closes are live, two-source corroborated cash-index values. The Wednesday 15 July FTSE OHLC is single-source indicative and was excluded from all pivot and stop/entry calculations (used for directional context only). Data gaps: intraday open/high/low for several mid-week FTSE sessions rely on financial-media reporting rather than a paired exchange feed; where a second independent value was unavailable the field is flagged indicative. Normalization: no FX or basis conversion required (native index points). Corroboration status per instrument — FTSE close: CORROBORATED (Yahoo × Trading Economics, Δ &lt; 0.4 pt); EURO STOXX close: CORROBORATED-indicative (Yahoo × Trading Economics, Δ ≈ 1.9 pt); Dollar Index, S&amp;P 500, DAX counters: all CORROBORATED at the close. Daily pivots feeding the strategy layer are built only from corroborated Friday H/L/C.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§20  Agent Log</w:t>
      </w:r>
    </w:p>
    <w:p>
      <w:pPr>
        <w:spacing w:after="100"/>
      </w:pPr>
      <w:r>
        <w:rPr>
          <w:sz w:val="20"/>
          <w:szCs w:val="20"/>
        </w:rPr>
        <w:t xml:space="preserve">Sources attempted (price): Investing.com, Sharecast, Trading Economics, Yahoo Finance, Newsquawk, FRED, Barchart, FXStreet, CNBC, Washington Post. Corroboration pairs — FTSE 17 Jul: Yahoo 10,600.37 × Trading Economics ~10,600 (Δ&lt;0.4, tol ±0.10 nominal, accepted); FTSE 16 Jul: Sharecast 10,572.24 × Investing 10,572.24 (Δ0.00); EURO STOXX 17 Jul: Yahoo 6,230.87 × Trading Economics 6,229 (Δ~1.9); Dollar Index: Yahoo 100.76 × Trading Economics 100.76; S&amp;P 500: Yahoo 7,457.69 × FRED 7,457.69; DAX: Yahoo 24,830.98 × Trading Economics 24,831. Rejections/exclusions: Newsquawk EURO STOXX 6,281 (intraday snapshot, not close); Wednesday 15 Jul FTSE OHLC (single-source, excluded from pivots). Sentiment derivation: six articles classified with ≤15-word derivation quotes; source-weighted tilt = +0.30 (Predominantly Bullish).</w:t>
      </w:r>
    </w:p>
    <w:p>
      <w:pPr>
        <w:spacing w:after="160"/>
      </w:pPr>
      <w:r>
        <w:rPr>
          <w:sz w:val="18"/>
          <w:szCs w:val="18"/>
        </w:rPr>
        <w:t xml:space="preserve">Strategy trace: direction-score weights at locked defaults (short-tech 0.25, medium-regime 0.20, volatility 0.10, efficiency 0.15, sentiment 0.15, cross-asset 0.15); no tuning applied (within the 20-session lock). Per-signal contributions — short-tech +1.00, medium-regime +1.00, volatility +0.50, efficiency +0.80, sentiment +0.30, cross-asset (MIXED) +0.30 → weighted score +0.71 → LONG (above the 0.25 conviction threshold). Regime label TREND_UP verified (structure + efficiency + positive volatility slope). Backtest reconstructed over five prior sessions with no forward leakage; sentiment and regime frozen at each t−1. No P-level QA failures. Timestamp: 20 July 2026, 07:00 UK (pre-open anchor).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§21  Strategy Recommendations</w:t>
      </w:r>
    </w:p>
    <w:p>
      <w:pPr>
        <w:pStyle w:val="Heading2"/>
        <w:spacing w:after="100" w:before="200"/>
      </w:pPr>
      <w:r>
        <w:rPr>
          <w:b/>
          <w:bCs/>
          <w:color w:val="9C27B0"/>
          <w:sz w:val="24"/>
          <w:szCs w:val="24"/>
        </w:rPr>
        <w:t xml:space="preserve">§21a  Directional conviction</w:t>
      </w:r>
    </w:p>
    <w:p>
      <w:pPr>
        <w:spacing w:after="120"/>
      </w:pPr>
      <w:r>
        <w:rPr>
          <w:sz w:val="20"/>
          <w:szCs w:val="20"/>
        </w:rPr>
        <w:t xml:space="preserve">Direction: LONG, score +0.71 — comfortably above the conviction threshold. The three highest-weighted contributing signals are short-term technical bias (+1.00 × 0.25, five higher closes / RSI2 ceiling), medium-term regime (+1.00 × 0.20, confirmed up-trend), and the efficiency/Kaufman read (+0.80 × 0.15, strongly trending). Sentiment (+0.30) and a MIXED cross-asset read (+0.30) add modest support. No conflict with the §17 forecast — both point higher. The only tempering factor is stretched short-term momentum, addressed via structural stop placement rather than by softening direction.</w:t>
      </w:r>
    </w:p>
    <w:p>
      <w:pPr>
        <w:pStyle w:val="Heading2"/>
        <w:spacing w:after="100" w:before="200"/>
      </w:pPr>
      <w:r>
        <w:rPr>
          <w:b/>
          <w:bCs/>
          <w:color w:val="9C27B0"/>
          <w:sz w:val="24"/>
          <w:szCs w:val="24"/>
        </w:rPr>
        <w:t xml:space="preserve">§21b  Trade cards</w:t>
      </w:r>
    </w:p>
    <w:p>
      <w:pPr>
        <w:spacing w:after="60"/>
      </w:pPr>
      <w:r>
        <w:rPr>
          <w:b/>
          <w:bCs/>
          <w:color w:val="9C27B0"/>
          <w:sz w:val="20"/>
          <w:szCs w:val="20"/>
        </w:rPr>
        <w:t xml:space="preserve">Trade 1 — Daily Directional (LONG · TREND_UP regime)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— TREND_UP regime, conviction +0.71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 at 07:00 UK pre-open anchor, ≈ 10,600 pts (Friday close reference)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10,516 pts — 84 points below entry. Anchor: daily S1.5 / 15 Jul close cluster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 pts (0.85 ATR)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10,685 pts — +1R (just above daily R1 10,640)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10,769 pts — +2R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TP3 (Unit 3 runner)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10,853 pts — +3R; runner exit: session close + 3×ATR cap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equal units; U1 exits TP1; U2 exits TP2; on U2 fill, U3 stop → entry +0.2R (10,617)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near daily P (10,584); TP1 at daily R1 (10,640) — strong confluence; SL at S1.5 (10,516)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close back below 10,544 (daily S1) breaks the continuation narrative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Overbought RSI2; holding period collides with 20 Jul UK PM transition (Tier-1 event)</w:t>
            </w:r>
          </w:p>
        </w:tc>
      </w:tr>
    </w:tbl>
    <w:p>
      <w:pPr>
        <w:spacing w:after="60"/>
      </w:pPr>
      <w:r>
        <w:rPr>
          <w:b/>
          <w:bCs/>
          <w:color w:val="9C27B0"/>
          <w:sz w:val="20"/>
          <w:szCs w:val="20"/>
        </w:rPr>
        <w:t xml:space="preserve">Trade 2 — Pivot (trend-pullback, TREND_UP)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— buy pullback into pivot support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 limit 10,584 (daily P), scaling to 10,544 (daily S1)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10,478 pts — below daily S2 (10,488). ~106 pts from P entry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 pts (P entry to SL)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TP1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10,680 — +1R (daily R2)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TP2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10,776 — +2R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R3 / pivot-P trail per pivot-runner rule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equal units; universal BE+0.2R on U2 fill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band spans daily P + S1; SL below S2 — clean pivot structure (corroborated pivots)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close through S2 (10,488)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a pullback that may not occur if momentum persists; pivots corroborated (not indicative)</w:t>
            </w:r>
          </w:p>
        </w:tc>
      </w:tr>
    </w:tbl>
    <w:p>
      <w:pPr>
        <w:spacing w:after="60"/>
      </w:pPr>
      <w:r>
        <w:rPr>
          <w:b/>
          <w:bCs/>
          <w:color w:val="9C27B0"/>
          <w:sz w:val="20"/>
          <w:szCs w:val="20"/>
        </w:rPr>
        <w:t xml:space="preserve">Trade 3A — Momentum-Pullback (complex, TREND_UP fork)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— buy the 38.2% fib retrace of the 10,433 → 10,624 swing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 limit 10,551 (38.2% retrace); deeper add 10,528 (50%)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10,470 pts — below the 61.8% retrace / weekly pivot. ~81 pts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 pts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TP1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10,624 — swing high (structural)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TP2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10,700 — round number / measured extension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100%+ extension toward 10,815; on 100% break, SL → halfway entry-to-anchor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equal units; structural runner override on 100%-extension break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38.2% fib + weekly R1 (10,560) near entry; SL at weekly pivot (10,470) — strong confluence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 below weekly pivot 10,470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Overbought backdrop; entry needs a retrace; collides with 20 Jul PM event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9C27B0"/>
          <w:sz w:val="24"/>
          <w:szCs w:val="24"/>
        </w:rPr>
        <w:t xml:space="preserve">§21c  5-session no-leakage backtest</w:t>
      </w:r>
    </w:p>
    <w:tbl>
      <w:tblPr>
        <w:tblW w:type="dxa" w:w="87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50"/>
        <w:gridCol w:w="1250"/>
        <w:gridCol w:w="900"/>
        <w:gridCol w:w="900"/>
        <w:gridCol w:w="1900"/>
        <w:gridCol w:w="1400"/>
        <w:gridCol w:w="8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2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Trig.</w:t>
            </w:r>
          </w:p>
        </w:tc>
        <w:tc>
          <w:tcPr>
            <w:tcW w:type="dxa" w:w="1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8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 17 (t−1)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10,572 / 10,600+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@ +0.3R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(open)</w:t>
            </w:r>
          </w:p>
        </w:tc>
      </w:tr>
      <w:tr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Thu 16 (t−2)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10,541 / 10,572</w:t>
            </w:r>
          </w:p>
        </w:tc>
        <w:tc>
          <w:tcPr>
            <w:tcW w:type="dxa" w:w="1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+0.4R (TP1 partial)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Wed 15 (t−3)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10,529 / 10,541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+0.2R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Tue 14 (t−4)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10,516 / 10,529 (dip 10,433)</w:t>
            </w:r>
          </w:p>
        </w:tc>
        <w:tc>
          <w:tcPr>
            <w:tcW w:type="dxa" w:w="1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+0.2R (survived wick)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13 (t−5)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10,498 / 10,516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+0.2R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Fri 17 (t−1)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 10,505 / 10,572</w:t>
            </w:r>
          </w:p>
        </w:tc>
        <w:tc>
          <w:tcPr>
            <w:tcW w:type="dxa" w:w="1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+1.0R (TP1)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Thu 16 (t−2)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 not tagged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Wed 15 (t−3)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 / +1R</w:t>
            </w:r>
          </w:p>
        </w:tc>
        <w:tc>
          <w:tcPr>
            <w:tcW w:type="dxa" w:w="1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+1.0R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Tue 14 (t−4)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38.2% fib / swing high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+1.2R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13 (t−5)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qualifying retrace</w:t>
            </w:r>
          </w:p>
        </w:tc>
        <w:tc>
          <w:tcPr>
            <w:tcW w:type="dxa" w:w="1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Reconstruction uses only data available at each t−1 close; sentiment, regime, ATR, swings and pivots recomputed with no forward leakage. Slippage = 0; SL-first tick priority where both could fill.</w:t>
      </w:r>
    </w:p>
    <w:p>
      <w:pPr>
        <w:pStyle w:val="Heading2"/>
        <w:spacing w:after="100" w:before="200"/>
      </w:pPr>
      <w:r>
        <w:rPr>
          <w:b/>
          <w:bCs/>
          <w:color w:val="9C27B0"/>
          <w:sz w:val="24"/>
          <w:szCs w:val="24"/>
        </w:rPr>
        <w:t xml:space="preserve">§21d  What is working</w:t>
      </w:r>
    </w:p>
    <w:p>
      <w:pPr>
        <w:spacing w:after="100"/>
      </w:pPr>
      <w:r>
        <w:rPr>
          <w:sz w:val="20"/>
          <w:szCs w:val="20"/>
        </w:rPr>
        <w:t xml:space="preserve">Trade 1 (Daily Directional) over the last 5 sessions: triggered 5/5 times, mean R = +0.26 (with one still open at +0.3R), TP1/TP2/TP3 hit rates ≈ 40% / 0% / 0% — small consistent gains from riding the trend, no full TP2 reaches because moves were orderly rather than explosive. Trade 2 (Pivot) triggered 2/3, mean R ≈ +1.0 on closed trades — the strongest performer, as trend-pullback buys into daily pivot support paid cleanly. Trade 3A (Momentum-Pullback) triggered 1/2, mean R = +1.2 on the single closed trade, but insufficient triggers to rank reliably. Strongest performer: Trade 2 (Pivot). Weakest: insufficient triggers to rank Trade 3A definitively.</w:t>
      </w:r>
    </w:p>
    <w:p>
      <w:pPr>
        <w:spacing w:after="160"/>
      </w:pPr>
      <w:r>
        <w:rPr>
          <w:i/>
          <w:iCs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bottom w:val="single" w:color="1F3864" w:sz="6"/>
        </w:pBdr>
        <w:spacing w:after="120"/>
      </w:pPr>
      <w:r>
        <w:rPr>
          <w:sz w:val="2"/>
          <w:szCs w:val="2"/>
        </w:rPr>
        <w:t xml:space="preserve"/>
      </w:r>
    </w:p>
    <w:p>
      <w:pPr>
        <w:spacing w:before="80"/>
      </w:pPr>
      <w:r>
        <w:rPr>
          <w:i/>
          <w:iCs/>
          <w:color w:val="777777"/>
          <w:sz w:val="16"/>
          <w:szCs w:val="16"/>
        </w:rPr>
        <w:t xml:space="preserve">FTSE 100 Daily Report │ 20 July 2026 │ Senior European Equity Strategist</w:t>
      </w:r>
    </w:p>
    <w:p>
      <w:r>
        <w:rPr>
          <w:i/>
          <w:iCs/>
          <w:color w:val="999999"/>
          <w:sz w:val="14"/>
          <w:szCs w:val="14"/>
        </w:rPr>
        <w:t xml:space="preserve">Data corroborated across independent public sources as of the 17 July 2026 cash close. Levels are indicative for forward-test review, not investment advice.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European Equity Strategy</dc:creator>
  <cp:lastModifiedBy>Un-named</cp:lastModifiedBy>
  <cp:revision>1</cp:revision>
  <dcterms:created xsi:type="dcterms:W3CDTF">2026-07-19T21:46:38.526Z</dcterms:created>
  <dcterms:modified xsi:type="dcterms:W3CDTF">2026-07-19T21:46:38.544Z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