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63"/>
          <w:sz w:val="36"/>
          <w:szCs w:val="36"/>
        </w:rPr>
        <w:t xml:space="preserve">FTSE 100 Report — Daily: 21 July 2026</w:t>
      </w:r>
    </w:p>
    <w:p>
      <w:pPr>
        <w:spacing w:after="60"/>
      </w:pPr>
      <w:r>
        <w:rPr>
          <w:i/>
          <w:iCs/>
          <w:color w:val="555555"/>
          <w:sz w:val="20"/>
          <w:szCs w:val="20"/>
        </w:rPr>
        <w:t xml:space="preserve">With reference to: EURO STOXX 50 · USDX · S&amp;P 500 · DAX 40</w:t>
      </w:r>
    </w:p>
    <w:p>
      <w:pPr>
        <w:pBdr>
          <w:bottom w:val="single" w:color="1F3A63" w:sz="8" w:space="6"/>
        </w:pBdr>
        <w:spacing w:after="160"/>
      </w:pPr>
      <w:r>
        <w:rPr>
          <w:color w:val="555555"/>
          <w:sz w:val="18"/>
          <w:szCs w:val="18"/>
        </w:rPr>
        <w:t xml:space="preserve">Senior European Equity Strategist · As of 21 July 2026 (Europe/London)</w:t>
      </w:r>
    </w:p>
    <w:p>
      <w:pPr>
        <w:pStyle w:val="Heading1"/>
        <w:spacing w:after="120" w:before="260"/>
      </w:pPr>
      <w:r>
        <w:rPr>
          <w:b/>
          <w:bCs/>
          <w:color w:val="1F3A63"/>
          <w:sz w:val="28"/>
          <w:szCs w:val="28"/>
        </w:rPr>
        <w:t xml:space="preserve">1 · Executive Snapshot</w:t>
      </w:r>
    </w:p>
    <w:p>
      <w:pPr>
        <w:spacing w:after="100" w:line="264"/>
      </w:pPr>
      <w:r>
        <w:rPr>
          <w:sz w:val="20"/>
          <w:szCs w:val="20"/>
        </w:rPr>
        <w:t xml:space="preserve">The FTSE 100 cash index enters the 21 July pre-open around a consensus reference of </w:t>
      </w:r>
      <w:r>
        <w:rPr>
          <w:b/>
          <w:bCs/>
          <w:sz w:val="20"/>
          <w:szCs w:val="20"/>
        </w:rPr>
        <w:t xml:space="preserve">10,524.76</w:t>
      </w:r>
      <w:r>
        <w:rPr>
          <w:sz w:val="20"/>
          <w:szCs w:val="20"/>
        </w:rPr>
        <w:t xml:space="preserve"> (Monday 20 July official close), having given back Friday's advance in a 0.7% session as new Prime Minister Andy Burnham's cabinet reshuffle unsettled gilts and Brent crude pushed back above $90/bbl on a ninth day of US–Iran strikes. The three dominant drivers are (i) escalating Middle East risk lifting energy names but stoking inflation fears, (ii) the UK political transition and an uncertain fiscal path under the new government, and (iii) a global semiconductor/AI sell-off that has capped European risk appetite. The short-term technical read is </w:t>
      </w:r>
      <w:r>
        <w:rPr>
          <w:b/>
          <w:bCs/>
          <w:sz w:val="20"/>
          <w:szCs w:val="20"/>
        </w:rPr>
        <w:t xml:space="preserve">Transitional — Bearish</w:t>
      </w:r>
      <w:r>
        <w:rPr>
          <w:sz w:val="20"/>
          <w:szCs w:val="20"/>
        </w:rPr>
        <w:t xml:space="preserve"> after a choppy five-session sequence that failed at 10,620 and rejected back below the daily and weekly pivot; the medium-term 25-session structure is </w:t>
      </w:r>
      <w:r>
        <w:rPr>
          <w:b/>
          <w:bCs/>
          <w:sz w:val="20"/>
          <w:szCs w:val="20"/>
        </w:rPr>
        <w:t xml:space="preserve">ranging with a modest downward tilt</w:t>
      </w:r>
      <w:r>
        <w:rPr>
          <w:sz w:val="20"/>
          <w:szCs w:val="20"/>
        </w:rPr>
        <w:t xml:space="preserve">, the index sitting near the 61st percentile of its five-week range. The Kaufman Efficiency Ratio classifies the tape as </w:t>
      </w:r>
      <w:r>
        <w:rPr>
          <w:b/>
          <w:bCs/>
          <w:sz w:val="20"/>
          <w:szCs w:val="20"/>
        </w:rPr>
        <w:t xml:space="preserve">Trending Down — Moderate (KER ≈ −0.26)</w:t>
      </w:r>
      <w:r>
        <w:rPr>
          <w:sz w:val="20"/>
          <w:szCs w:val="20"/>
        </w:rPr>
        <w:t xml:space="preserve">, a borderline reading that, with a flat-to-contracting volatility slope, resolves the consolidated regime to TRANSITION. Directional conviction for the trade layer is </w:t>
      </w:r>
      <w:r>
        <w:rPr>
          <w:b/>
          <w:bCs/>
          <w:color w:val="9B2D6B"/>
          <w:sz w:val="20"/>
          <w:szCs w:val="20"/>
        </w:rPr>
        <w:t xml:space="preserve">SHORT (score ≈ −0.61)</w:t>
      </w:r>
      <w:r>
        <w:rPr>
          <w:sz w:val="20"/>
          <w:szCs w:val="20"/>
        </w:rPr>
        <w:t xml:space="preserve">. The single most important watch item is </w:t>
      </w:r>
      <w:r>
        <w:rPr>
          <w:b/>
          <w:bCs/>
          <w:sz w:val="20"/>
          <w:szCs w:val="20"/>
        </w:rPr>
        <w:t xml:space="preserve">Wednesday's UK CPI</w:t>
      </w:r>
      <w:r>
        <w:rPr>
          <w:sz w:val="20"/>
          <w:szCs w:val="20"/>
        </w:rPr>
        <w:t xml:space="preserve"> (headline expected ~2.7%, core ~2.5%) — a hot print would reprice BoE expectations and pressure rate-sensitive FTSE sectors.</w:t>
      </w:r>
    </w:p>
    <w:p>
      <w:pPr>
        <w:pStyle w:val="Heading1"/>
        <w:spacing w:after="120" w:before="260"/>
      </w:pPr>
      <w:r>
        <w:rPr>
          <w:b/>
          <w:bCs/>
          <w:color w:val="1F3A63"/>
          <w:sz w:val="28"/>
          <w:szCs w:val="28"/>
        </w:rPr>
        <w:t xml:space="preserve">2 · Market Definition</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rPr>
          <w:tblHeader/>
        </w:trPr>
        <w:tc>
          <w:tcPr>
            <w:tcW w:type="dxa" w:w="2100"/>
            <w:shd w:fill="1F3A63" w:color="auto" w:val="clear"/>
            <w:tcMar>
              <w:top w:type="dxa" w:w="40"/>
              <w:left w:type="dxa" w:w="70"/>
              <w:bottom w:type="dxa" w:w="40"/>
              <w:right w:type="dxa" w:w="70"/>
            </w:tcMar>
          </w:tcPr>
          <w:p>
            <w:r>
              <w:rPr>
                <w:b/>
                <w:bCs/>
                <w:color w:val="FFFFFF"/>
                <w:sz w:val="17"/>
                <w:szCs w:val="17"/>
              </w:rPr>
              <w:t xml:space="preserve">Attribute</w:t>
            </w:r>
          </w:p>
        </w:tc>
        <w:tc>
          <w:tcPr>
            <w:tcW w:type="dxa" w:w="7260"/>
            <w:shd w:fill="1F3A63" w:color="auto" w:val="clear"/>
            <w:tcMar>
              <w:top w:type="dxa" w:w="40"/>
              <w:left w:type="dxa" w:w="70"/>
              <w:bottom w:type="dxa" w:w="40"/>
              <w:right w:type="dxa" w:w="70"/>
            </w:tcMar>
          </w:tcPr>
          <w:p>
            <w:r>
              <w:rPr>
                <w:b/>
                <w:bCs/>
                <w:color w:val="FFFFFF"/>
                <w:sz w:val="17"/>
                <w:szCs w:val="17"/>
              </w:rPr>
              <w:t xml:space="preserve">Definition</w:t>
            </w:r>
          </w:p>
        </w:tc>
      </w:tr>
      <w:tr>
        <w:tc>
          <w:tcPr>
            <w:tcW w:type="dxa" w:w="2100"/>
            <w:tcMar>
              <w:top w:type="dxa" w:w="34"/>
              <w:left w:type="dxa" w:w="70"/>
              <w:bottom w:type="dxa" w:w="34"/>
              <w:right w:type="dxa" w:w="70"/>
            </w:tcMar>
          </w:tcPr>
          <w:p>
            <w:r>
              <w:rPr>
                <w:b w:val="false"/>
                <w:bCs w:val="false"/>
                <w:color w:val="222222"/>
                <w:sz w:val="16"/>
                <w:szCs w:val="16"/>
              </w:rPr>
              <w:t xml:space="preserve">Primary asset</w:t>
            </w:r>
          </w:p>
        </w:tc>
        <w:tc>
          <w:tcPr>
            <w:tcW w:type="dxa" w:w="7260"/>
            <w:tcMar>
              <w:top w:type="dxa" w:w="34"/>
              <w:left w:type="dxa" w:w="70"/>
              <w:bottom w:type="dxa" w:w="34"/>
              <w:right w:type="dxa" w:w="70"/>
            </w:tcMar>
          </w:tcPr>
          <w:p>
            <w:r>
              <w:rPr>
                <w:b w:val="false"/>
                <w:bCs w:val="false"/>
                <w:color w:val="222222"/>
                <w:sz w:val="16"/>
                <w:szCs w:val="16"/>
              </w:rPr>
              <w:t xml:space="preserve">FTSE 100 cash index (^FTSE) — UK large-cap benchmark, 100 constituents</w:t>
            </w:r>
          </w:p>
        </w:tc>
      </w:tr>
      <w:tr>
        <w:tc>
          <w:tcPr>
            <w:tcW w:type="dxa" w:w="2100"/>
            <w:tcMar>
              <w:top w:type="dxa" w:w="34"/>
              <w:left w:type="dxa" w:w="70"/>
              <w:bottom w:type="dxa" w:w="34"/>
              <w:right w:type="dxa" w:w="70"/>
            </w:tcMar>
          </w:tcPr>
          <w:p>
            <w:r>
              <w:rPr>
                <w:b w:val="false"/>
                <w:bCs w:val="false"/>
                <w:color w:val="222222"/>
                <w:sz w:val="16"/>
                <w:szCs w:val="16"/>
              </w:rPr>
              <w:t xml:space="preserve">Specification</w:t>
            </w:r>
          </w:p>
        </w:tc>
        <w:tc>
          <w:tcPr>
            <w:tcW w:type="dxa" w:w="7260"/>
            <w:tcMar>
              <w:top w:type="dxa" w:w="34"/>
              <w:left w:type="dxa" w:w="70"/>
              <w:bottom w:type="dxa" w:w="34"/>
              <w:right w:type="dxa" w:w="70"/>
            </w:tcMar>
          </w:tcPr>
          <w:p>
            <w:r>
              <w:rPr>
                <w:b w:val="false"/>
                <w:bCs w:val="false"/>
                <w:color w:val="222222"/>
                <w:sz w:val="16"/>
                <w:szCs w:val="16"/>
              </w:rPr>
              <w:t xml:space="preserve">GBP-denominated, free-float weighted (FTSE Russell methodology)</w:t>
            </w:r>
          </w:p>
        </w:tc>
      </w:tr>
      <w:tr>
        <w:tc>
          <w:tcPr>
            <w:tcW w:type="dxa" w:w="2100"/>
            <w:tcMar>
              <w:top w:type="dxa" w:w="34"/>
              <w:left w:type="dxa" w:w="70"/>
              <w:bottom w:type="dxa" w:w="34"/>
              <w:right w:type="dxa" w:w="70"/>
            </w:tcMar>
          </w:tcPr>
          <w:p>
            <w:r>
              <w:rPr>
                <w:b w:val="false"/>
                <w:bCs w:val="false"/>
                <w:color w:val="222222"/>
                <w:sz w:val="16"/>
                <w:szCs w:val="16"/>
              </w:rPr>
              <w:t xml:space="preserve">Secondary asset</w:t>
            </w:r>
          </w:p>
        </w:tc>
        <w:tc>
          <w:tcPr>
            <w:tcW w:type="dxa" w:w="7260"/>
            <w:tcMar>
              <w:top w:type="dxa" w:w="34"/>
              <w:left w:type="dxa" w:w="70"/>
              <w:bottom w:type="dxa" w:w="34"/>
              <w:right w:type="dxa" w:w="70"/>
            </w:tcMar>
          </w:tcPr>
          <w:p>
            <w:r>
              <w:rPr>
                <w:b w:val="false"/>
                <w:bCs w:val="false"/>
                <w:color w:val="222222"/>
                <w:sz w:val="16"/>
                <w:szCs w:val="16"/>
              </w:rPr>
              <w:t xml:space="preserve">EURO STOXX 50 (^STOXX50E) — Eurozone blue-chip pair</w:t>
            </w:r>
          </w:p>
        </w:tc>
      </w:tr>
      <w:tr>
        <w:tc>
          <w:tcPr>
            <w:tcW w:type="dxa" w:w="2100"/>
            <w:tcMar>
              <w:top w:type="dxa" w:w="34"/>
              <w:left w:type="dxa" w:w="70"/>
              <w:bottom w:type="dxa" w:w="34"/>
              <w:right w:type="dxa" w:w="70"/>
            </w:tcMar>
          </w:tcPr>
          <w:p>
            <w:r>
              <w:rPr>
                <w:b w:val="false"/>
                <w:bCs w:val="false"/>
                <w:color w:val="222222"/>
                <w:sz w:val="16"/>
                <w:szCs w:val="16"/>
              </w:rPr>
              <w:t xml:space="preserve">Scope / region</w:t>
            </w:r>
          </w:p>
        </w:tc>
        <w:tc>
          <w:tcPr>
            <w:tcW w:type="dxa" w:w="7260"/>
            <w:tcMar>
              <w:top w:type="dxa" w:w="34"/>
              <w:left w:type="dxa" w:w="70"/>
              <w:bottom w:type="dxa" w:w="34"/>
              <w:right w:type="dxa" w:w="70"/>
            </w:tcMar>
          </w:tcPr>
          <w:p>
            <w:r>
              <w:rPr>
                <w:b w:val="false"/>
                <w:bCs w:val="false"/>
                <w:color w:val="222222"/>
                <w:sz w:val="16"/>
                <w:szCs w:val="16"/>
              </w:rPr>
              <w:t xml:space="preserve">Regional — Europe (United Kingdom + Eurozone)</w:t>
            </w:r>
          </w:p>
        </w:tc>
      </w:tr>
      <w:tr>
        <w:tc>
          <w:tcPr>
            <w:tcW w:type="dxa" w:w="2100"/>
            <w:tcMar>
              <w:top w:type="dxa" w:w="34"/>
              <w:left w:type="dxa" w:w="70"/>
              <w:bottom w:type="dxa" w:w="34"/>
              <w:right w:type="dxa" w:w="70"/>
            </w:tcMar>
          </w:tcPr>
          <w:p>
            <w:r>
              <w:rPr>
                <w:b w:val="false"/>
                <w:bCs w:val="false"/>
                <w:color w:val="222222"/>
                <w:sz w:val="16"/>
                <w:szCs w:val="16"/>
              </w:rPr>
              <w:t xml:space="preserve">Price basis</w:t>
            </w:r>
          </w:p>
        </w:tc>
        <w:tc>
          <w:tcPr>
            <w:tcW w:type="dxa" w:w="7260"/>
            <w:tcMar>
              <w:top w:type="dxa" w:w="34"/>
              <w:left w:type="dxa" w:w="70"/>
              <w:bottom w:type="dxa" w:w="34"/>
              <w:right w:type="dxa" w:w="70"/>
            </w:tcMar>
          </w:tcPr>
          <w:p>
            <w:r>
              <w:rPr>
                <w:b w:val="false"/>
                <w:bCs w:val="false"/>
                <w:color w:val="222222"/>
                <w:sz w:val="16"/>
                <w:szCs w:val="16"/>
              </w:rPr>
              <w:t xml:space="preserve">Cash index level (continuous, regular session)</w:t>
            </w:r>
          </w:p>
        </w:tc>
      </w:tr>
      <w:tr>
        <w:tc>
          <w:tcPr>
            <w:tcW w:type="dxa" w:w="2100"/>
            <w:tcMar>
              <w:top w:type="dxa" w:w="34"/>
              <w:left w:type="dxa" w:w="70"/>
              <w:bottom w:type="dxa" w:w="34"/>
              <w:right w:type="dxa" w:w="70"/>
            </w:tcMar>
          </w:tcPr>
          <w:p>
            <w:r>
              <w:rPr>
                <w:b w:val="false"/>
                <w:bCs w:val="false"/>
                <w:color w:val="222222"/>
                <w:sz w:val="16"/>
                <w:szCs w:val="16"/>
              </w:rPr>
              <w:t xml:space="preserve">Delivery basis</w:t>
            </w:r>
          </w:p>
        </w:tc>
        <w:tc>
          <w:tcPr>
            <w:tcW w:type="dxa" w:w="7260"/>
            <w:tcMar>
              <w:top w:type="dxa" w:w="34"/>
              <w:left w:type="dxa" w:w="70"/>
              <w:bottom w:type="dxa" w:w="34"/>
              <w:right w:type="dxa" w:w="70"/>
            </w:tcMar>
          </w:tcPr>
          <w:p>
            <w:r>
              <w:rPr>
                <w:b w:val="false"/>
                <w:bCs w:val="false"/>
                <w:color w:val="222222"/>
                <w:sz w:val="16"/>
                <w:szCs w:val="16"/>
              </w:rPr>
              <w:t xml:space="preserve">LSE 08:00–16:30 UK (FTSE); Xetra 09:00–17:30 CET (STOXX)</w:t>
            </w:r>
          </w:p>
        </w:tc>
      </w:tr>
      <w:tr>
        <w:tc>
          <w:tcPr>
            <w:tcW w:type="dxa" w:w="2100"/>
            <w:tcMar>
              <w:top w:type="dxa" w:w="34"/>
              <w:left w:type="dxa" w:w="70"/>
              <w:bottom w:type="dxa" w:w="34"/>
              <w:right w:type="dxa" w:w="70"/>
            </w:tcMar>
          </w:tcPr>
          <w:p>
            <w:r>
              <w:rPr>
                <w:b w:val="false"/>
                <w:bCs w:val="false"/>
                <w:color w:val="222222"/>
                <w:sz w:val="16"/>
                <w:szCs w:val="16"/>
              </w:rPr>
              <w:t xml:space="preserve">Unit of measure</w:t>
            </w:r>
          </w:p>
        </w:tc>
        <w:tc>
          <w:tcPr>
            <w:tcW w:type="dxa" w:w="7260"/>
            <w:tcMar>
              <w:top w:type="dxa" w:w="34"/>
              <w:left w:type="dxa" w:w="70"/>
              <w:bottom w:type="dxa" w:w="34"/>
              <w:right w:type="dxa" w:w="70"/>
            </w:tcMar>
          </w:tcPr>
          <w:p>
            <w:r>
              <w:rPr>
                <w:b w:val="false"/>
                <w:bCs w:val="false"/>
                <w:color w:val="222222"/>
                <w:sz w:val="16"/>
                <w:szCs w:val="16"/>
              </w:rPr>
              <w:t xml:space="preserve">Index points (tick 0.01)</w:t>
            </w:r>
          </w:p>
        </w:tc>
      </w:tr>
      <w:tr>
        <w:tc>
          <w:tcPr>
            <w:tcW w:type="dxa" w:w="2100"/>
            <w:tcMar>
              <w:top w:type="dxa" w:w="34"/>
              <w:left w:type="dxa" w:w="70"/>
              <w:bottom w:type="dxa" w:w="34"/>
              <w:right w:type="dxa" w:w="70"/>
            </w:tcMar>
          </w:tcPr>
          <w:p>
            <w:r>
              <w:rPr>
                <w:b w:val="false"/>
                <w:bCs w:val="false"/>
                <w:color w:val="222222"/>
                <w:sz w:val="16"/>
                <w:szCs w:val="16"/>
              </w:rPr>
              <w:t xml:space="preserve">Currency</w:t>
            </w:r>
          </w:p>
        </w:tc>
        <w:tc>
          <w:tcPr>
            <w:tcW w:type="dxa" w:w="7260"/>
            <w:tcMar>
              <w:top w:type="dxa" w:w="34"/>
              <w:left w:type="dxa" w:w="70"/>
              <w:bottom w:type="dxa" w:w="34"/>
              <w:right w:type="dxa" w:w="70"/>
            </w:tcMar>
          </w:tcPr>
          <w:p>
            <w:r>
              <w:rPr>
                <w:b w:val="false"/>
                <w:bCs w:val="false"/>
                <w:color w:val="222222"/>
                <w:sz w:val="16"/>
                <w:szCs w:val="16"/>
              </w:rPr>
              <w:t xml:space="preserve">GBP (STOXX reported in points; EUR original noted)</w:t>
            </w:r>
          </w:p>
        </w:tc>
      </w:tr>
      <w:tr>
        <w:tc>
          <w:tcPr>
            <w:tcW w:type="dxa" w:w="2100"/>
            <w:tcMar>
              <w:top w:type="dxa" w:w="34"/>
              <w:left w:type="dxa" w:w="70"/>
              <w:bottom w:type="dxa" w:w="34"/>
              <w:right w:type="dxa" w:w="70"/>
            </w:tcMar>
          </w:tcPr>
          <w:p>
            <w:r>
              <w:rPr>
                <w:b w:val="false"/>
                <w:bCs w:val="false"/>
                <w:color w:val="222222"/>
                <w:sz w:val="16"/>
                <w:szCs w:val="16"/>
              </w:rPr>
              <w:t xml:space="preserve">As-of date</w:t>
            </w:r>
          </w:p>
        </w:tc>
        <w:tc>
          <w:tcPr>
            <w:tcW w:type="dxa" w:w="7260"/>
            <w:tcMar>
              <w:top w:type="dxa" w:w="34"/>
              <w:left w:type="dxa" w:w="70"/>
              <w:bottom w:type="dxa" w:w="34"/>
              <w:right w:type="dxa" w:w="70"/>
            </w:tcMar>
          </w:tcPr>
          <w:p>
            <w:r>
              <w:rPr>
                <w:b w:val="false"/>
                <w:bCs w:val="false"/>
                <w:color w:val="222222"/>
                <w:sz w:val="16"/>
                <w:szCs w:val="16"/>
              </w:rPr>
              <w:t xml:space="preserve">21 July 2026 · Europe/London</w:t>
            </w:r>
          </w:p>
        </w:tc>
      </w:tr>
      <w:tr>
        <w:tc>
          <w:tcPr>
            <w:tcW w:type="dxa" w:w="2100"/>
            <w:tcMar>
              <w:top w:type="dxa" w:w="34"/>
              <w:left w:type="dxa" w:w="70"/>
              <w:bottom w:type="dxa" w:w="34"/>
              <w:right w:type="dxa" w:w="70"/>
            </w:tcMar>
          </w:tcPr>
          <w:p>
            <w:r>
              <w:rPr>
                <w:b w:val="false"/>
                <w:bCs w:val="false"/>
                <w:color w:val="222222"/>
                <w:sz w:val="16"/>
                <w:szCs w:val="16"/>
              </w:rPr>
              <w:t xml:space="preserve">Lookback window</w:t>
            </w:r>
          </w:p>
        </w:tc>
        <w:tc>
          <w:tcPr>
            <w:tcW w:type="dxa" w:w="7260"/>
            <w:tcMar>
              <w:top w:type="dxa" w:w="34"/>
              <w:left w:type="dxa" w:w="70"/>
              <w:bottom w:type="dxa" w:w="34"/>
              <w:right w:type="dxa" w:w="70"/>
            </w:tcMar>
          </w:tcPr>
          <w:p>
            <w:r>
              <w:rPr>
                <w:b w:val="false"/>
                <w:bCs w:val="false"/>
                <w:color w:val="222222"/>
                <w:sz w:val="16"/>
                <w:szCs w:val="16"/>
              </w:rPr>
              <w:t xml:space="preserve">5 trading days</w:t>
            </w:r>
          </w:p>
        </w:tc>
      </w:tr>
    </w:tbl>
    <w:p>
      <w:pPr>
        <w:pStyle w:val="Heading1"/>
        <w:spacing w:after="120" w:before="260"/>
      </w:pPr>
      <w:r>
        <w:rPr>
          <w:b/>
          <w:bCs/>
          <w:color w:val="1F3A63"/>
          <w:sz w:val="28"/>
          <w:szCs w:val="28"/>
        </w:rPr>
        <w:t xml:space="preserve">3 · Consensus Price Call</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000"/>
        <w:gridCol w:w="2200"/>
        <w:gridCol w:w="5160"/>
      </w:tblGrid>
      <w:tr>
        <w:trPr>
          <w:tblHeader/>
        </w:trPr>
        <w:tc>
          <w:tcPr>
            <w:tcW w:type="dxa" w:w="2000"/>
            <w:shd w:fill="1F3A63" w:color="auto" w:val="clear"/>
            <w:tcMar>
              <w:top w:type="dxa" w:w="40"/>
              <w:left w:type="dxa" w:w="70"/>
              <w:bottom w:type="dxa" w:w="40"/>
              <w:right w:type="dxa" w:w="70"/>
            </w:tcMar>
          </w:tcPr>
          <w:p>
            <w:r>
              <w:rPr>
                <w:b/>
                <w:bCs/>
                <w:color w:val="FFFFFF"/>
                <w:sz w:val="17"/>
                <w:szCs w:val="17"/>
              </w:rPr>
              <w:t xml:space="preserve">Metric</w:t>
            </w:r>
          </w:p>
        </w:tc>
        <w:tc>
          <w:tcPr>
            <w:tcW w:type="dxa" w:w="2200"/>
            <w:shd w:fill="1F3A63" w:color="auto" w:val="clear"/>
            <w:tcMar>
              <w:top w:type="dxa" w:w="40"/>
              <w:left w:type="dxa" w:w="70"/>
              <w:bottom w:type="dxa" w:w="40"/>
              <w:right w:type="dxa" w:w="70"/>
            </w:tcMar>
          </w:tcPr>
          <w:p>
            <w:r>
              <w:rPr>
                <w:b/>
                <w:bCs/>
                <w:color w:val="FFFFFF"/>
                <w:sz w:val="17"/>
                <w:szCs w:val="17"/>
              </w:rPr>
              <w:t xml:space="preserve">Value</w:t>
            </w:r>
          </w:p>
        </w:tc>
        <w:tc>
          <w:tcPr>
            <w:tcW w:type="dxa" w:w="5160"/>
            <w:shd w:fill="1F3A63" w:color="auto" w:val="clear"/>
            <w:tcMar>
              <w:top w:type="dxa" w:w="40"/>
              <w:left w:type="dxa" w:w="70"/>
              <w:bottom w:type="dxa" w:w="40"/>
              <w:right w:type="dxa" w:w="70"/>
            </w:tcMar>
          </w:tcPr>
          <w:p>
            <w:r>
              <w:rPr>
                <w:b/>
                <w:bCs/>
                <w:color w:val="FFFFFF"/>
                <w:sz w:val="17"/>
                <w:szCs w:val="17"/>
              </w:rPr>
              <w:t xml:space="preserve">Detail</w:t>
            </w:r>
          </w:p>
        </w:tc>
      </w:tr>
      <w:tr>
        <w:tc>
          <w:tcPr>
            <w:tcW w:type="dxa" w:w="2000"/>
            <w:tcMar>
              <w:top w:type="dxa" w:w="34"/>
              <w:left w:type="dxa" w:w="70"/>
              <w:bottom w:type="dxa" w:w="34"/>
              <w:right w:type="dxa" w:w="70"/>
            </w:tcMar>
          </w:tcPr>
          <w:p>
            <w:r>
              <w:rPr>
                <w:b w:val="false"/>
                <w:bCs w:val="false"/>
                <w:color w:val="222222"/>
                <w:sz w:val="16"/>
                <w:szCs w:val="16"/>
              </w:rPr>
              <w:t xml:space="preserve">Consensus level</w:t>
            </w:r>
          </w:p>
        </w:tc>
        <w:tc>
          <w:tcPr>
            <w:tcW w:type="dxa" w:w="2200"/>
            <w:tcMar>
              <w:top w:type="dxa" w:w="34"/>
              <w:left w:type="dxa" w:w="70"/>
              <w:bottom w:type="dxa" w:w="34"/>
              <w:right w:type="dxa" w:w="70"/>
            </w:tcMar>
          </w:tcPr>
          <w:p>
            <w:r>
              <w:rPr>
                <w:b/>
                <w:bCs/>
                <w:color w:val="222222"/>
                <w:sz w:val="16"/>
                <w:szCs w:val="16"/>
              </w:rPr>
              <w:t xml:space="preserve">10,524.76</w:t>
            </w:r>
          </w:p>
        </w:tc>
        <w:tc>
          <w:tcPr>
            <w:tcW w:type="dxa" w:w="5160"/>
            <w:tcMar>
              <w:top w:type="dxa" w:w="34"/>
              <w:left w:type="dxa" w:w="70"/>
              <w:bottom w:type="dxa" w:w="34"/>
              <w:right w:type="dxa" w:w="70"/>
            </w:tcMar>
          </w:tcPr>
          <w:p>
            <w:r>
              <w:rPr>
                <w:b w:val="false"/>
                <w:bCs w:val="false"/>
                <w:color w:val="222222"/>
                <w:sz w:val="16"/>
                <w:szCs w:val="16"/>
              </w:rPr>
              <w:t xml:space="preserve">Monday 20 Jul official cash close (last completed session)</w:t>
            </w:r>
          </w:p>
        </w:tc>
      </w:tr>
      <w:tr>
        <w:tc>
          <w:tcPr>
            <w:tcW w:type="dxa" w:w="2000"/>
            <w:tcMar>
              <w:top w:type="dxa" w:w="34"/>
              <w:left w:type="dxa" w:w="70"/>
              <w:bottom w:type="dxa" w:w="34"/>
              <w:right w:type="dxa" w:w="70"/>
            </w:tcMar>
          </w:tcPr>
          <w:p>
            <w:r>
              <w:rPr>
                <w:b w:val="false"/>
                <w:bCs w:val="false"/>
                <w:color w:val="222222"/>
                <w:sz w:val="16"/>
                <w:szCs w:val="16"/>
              </w:rPr>
              <w:t xml:space="preserve">Range</w:t>
            </w:r>
          </w:p>
        </w:tc>
        <w:tc>
          <w:tcPr>
            <w:tcW w:type="dxa" w:w="2200"/>
            <w:tcMar>
              <w:top w:type="dxa" w:w="34"/>
              <w:left w:type="dxa" w:w="70"/>
              <w:bottom w:type="dxa" w:w="34"/>
              <w:right w:type="dxa" w:w="70"/>
            </w:tcMar>
          </w:tcPr>
          <w:p>
            <w:r>
              <w:rPr>
                <w:b w:val="false"/>
                <w:bCs w:val="false"/>
                <w:color w:val="222222"/>
                <w:sz w:val="16"/>
                <w:szCs w:val="16"/>
              </w:rPr>
              <w:t xml:space="preserve">10,486 – 10,582</w:t>
            </w:r>
          </w:p>
        </w:tc>
        <w:tc>
          <w:tcPr>
            <w:tcW w:type="dxa" w:w="5160"/>
            <w:tcMar>
              <w:top w:type="dxa" w:w="34"/>
              <w:left w:type="dxa" w:w="70"/>
              <w:bottom w:type="dxa" w:w="34"/>
              <w:right w:type="dxa" w:w="70"/>
            </w:tcMar>
          </w:tcPr>
          <w:p>
            <w:r>
              <w:rPr>
                <w:b w:val="false"/>
                <w:bCs w:val="false"/>
                <w:color w:val="222222"/>
                <w:sz w:val="16"/>
                <w:szCs w:val="16"/>
              </w:rPr>
              <w:t xml:space="preserve">Daily S1 to R1 envelope for 21 Jul</w:t>
            </w:r>
          </w:p>
        </w:tc>
      </w:tr>
      <w:tr>
        <w:tc>
          <w:tcPr>
            <w:tcW w:type="dxa" w:w="2000"/>
            <w:tcMar>
              <w:top w:type="dxa" w:w="34"/>
              <w:left w:type="dxa" w:w="70"/>
              <w:bottom w:type="dxa" w:w="34"/>
              <w:right w:type="dxa" w:w="70"/>
            </w:tcMar>
          </w:tcPr>
          <w:p>
            <w:r>
              <w:rPr>
                <w:b w:val="false"/>
                <w:bCs w:val="false"/>
                <w:color w:val="222222"/>
                <w:sz w:val="16"/>
                <w:szCs w:val="16"/>
              </w:rPr>
              <w:t xml:space="preserve">Basis</w:t>
            </w:r>
          </w:p>
        </w:tc>
        <w:tc>
          <w:tcPr>
            <w:tcW w:type="dxa" w:w="2200"/>
            <w:tcMar>
              <w:top w:type="dxa" w:w="34"/>
              <w:left w:type="dxa" w:w="70"/>
              <w:bottom w:type="dxa" w:w="34"/>
              <w:right w:type="dxa" w:w="70"/>
            </w:tcMar>
          </w:tcPr>
          <w:p>
            <w:r>
              <w:rPr>
                <w:b w:val="false"/>
                <w:bCs w:val="false"/>
                <w:color w:val="222222"/>
                <w:sz w:val="16"/>
                <w:szCs w:val="16"/>
              </w:rPr>
              <w:t xml:space="preserve">Cash index close</w:t>
            </w:r>
          </w:p>
        </w:tc>
        <w:tc>
          <w:tcPr>
            <w:tcW w:type="dxa" w:w="5160"/>
            <w:tcMar>
              <w:top w:type="dxa" w:w="34"/>
              <w:left w:type="dxa" w:w="70"/>
              <w:bottom w:type="dxa" w:w="34"/>
              <w:right w:type="dxa" w:w="70"/>
            </w:tcMar>
          </w:tcPr>
          <w:p>
            <w:r>
              <w:rPr>
                <w:b w:val="false"/>
                <w:bCs w:val="false"/>
                <w:color w:val="222222"/>
                <w:sz w:val="16"/>
                <w:szCs w:val="16"/>
              </w:rPr>
              <w:t xml:space="preserve">FTSE Russell / LSE regular session</w:t>
            </w:r>
          </w:p>
        </w:tc>
      </w:tr>
      <w:tr>
        <w:tc>
          <w:tcPr>
            <w:tcW w:type="dxa" w:w="2000"/>
            <w:tcMar>
              <w:top w:type="dxa" w:w="34"/>
              <w:left w:type="dxa" w:w="70"/>
              <w:bottom w:type="dxa" w:w="34"/>
              <w:right w:type="dxa" w:w="70"/>
            </w:tcMar>
          </w:tcPr>
          <w:p>
            <w:r>
              <w:rPr>
                <w:b w:val="false"/>
                <w:bCs w:val="false"/>
                <w:color w:val="222222"/>
                <w:sz w:val="16"/>
                <w:szCs w:val="16"/>
              </w:rPr>
              <w:t xml:space="preserve">Confidence</w:t>
            </w:r>
          </w:p>
        </w:tc>
        <w:tc>
          <w:tcPr>
            <w:tcW w:type="dxa" w:w="2200"/>
            <w:tcMar>
              <w:top w:type="dxa" w:w="34"/>
              <w:left w:type="dxa" w:w="70"/>
              <w:bottom w:type="dxa" w:w="34"/>
              <w:right w:type="dxa" w:w="70"/>
            </w:tcMar>
          </w:tcPr>
          <w:p>
            <w:r>
              <w:rPr>
                <w:b w:val="false"/>
                <w:bCs w:val="false"/>
                <w:color w:val="222222"/>
                <w:sz w:val="16"/>
                <w:szCs w:val="16"/>
              </w:rPr>
              <w:t xml:space="preserve">Medium</w:t>
            </w:r>
          </w:p>
        </w:tc>
        <w:tc>
          <w:tcPr>
            <w:tcW w:type="dxa" w:w="5160"/>
            <w:tcMar>
              <w:top w:type="dxa" w:w="34"/>
              <w:left w:type="dxa" w:w="70"/>
              <w:bottom w:type="dxa" w:w="34"/>
              <w:right w:type="dxa" w:w="70"/>
            </w:tcMar>
          </w:tcPr>
          <w:p>
            <w:r>
              <w:rPr>
                <w:b w:val="false"/>
                <w:bCs w:val="false"/>
                <w:color w:val="222222"/>
                <w:sz w:val="16"/>
                <w:szCs w:val="16"/>
              </w:rPr>
              <w:t xml:space="preserve">Close well corroborated; intraday levels dual-sourced</w:t>
            </w:r>
          </w:p>
        </w:tc>
      </w:tr>
      <w:tr>
        <w:tc>
          <w:tcPr>
            <w:tcW w:type="dxa" w:w="2000"/>
            <w:tcMar>
              <w:top w:type="dxa" w:w="34"/>
              <w:left w:type="dxa" w:w="70"/>
              <w:bottom w:type="dxa" w:w="34"/>
              <w:right w:type="dxa" w:w="70"/>
            </w:tcMar>
          </w:tcPr>
          <w:p>
            <w:r>
              <w:rPr>
                <w:b w:val="false"/>
                <w:bCs w:val="false"/>
                <w:color w:val="222222"/>
                <w:sz w:val="16"/>
                <w:szCs w:val="16"/>
              </w:rPr>
              <w:t xml:space="preserve">Market tone</w:t>
            </w:r>
          </w:p>
        </w:tc>
        <w:tc>
          <w:tcPr>
            <w:tcW w:type="dxa" w:w="2200"/>
            <w:tcMar>
              <w:top w:type="dxa" w:w="34"/>
              <w:left w:type="dxa" w:w="70"/>
              <w:bottom w:type="dxa" w:w="34"/>
              <w:right w:type="dxa" w:w="70"/>
            </w:tcMar>
          </w:tcPr>
          <w:p>
            <w:r>
              <w:rPr>
                <w:b/>
                <w:bCs/>
                <w:color w:val="222222"/>
                <w:sz w:val="16"/>
                <w:szCs w:val="16"/>
              </w:rPr>
              <w:t xml:space="preserve">Balanced-to-bearish</w:t>
            </w:r>
          </w:p>
        </w:tc>
        <w:tc>
          <w:tcPr>
            <w:tcW w:type="dxa" w:w="5160"/>
            <w:tcMar>
              <w:top w:type="dxa" w:w="34"/>
              <w:left w:type="dxa" w:w="70"/>
              <w:bottom w:type="dxa" w:w="34"/>
              <w:right w:type="dxa" w:w="70"/>
            </w:tcMar>
          </w:tcPr>
          <w:p>
            <w:r>
              <w:rPr>
                <w:b w:val="false"/>
                <w:bCs w:val="false"/>
                <w:color w:val="222222"/>
                <w:sz w:val="16"/>
                <w:szCs w:val="16"/>
              </w:rPr>
              <w:t xml:space="preserve">Risk-off drivers dominate near term</w:t>
            </w:r>
          </w:p>
        </w:tc>
      </w:tr>
    </w:tbl>
    <w:p>
      <w:pPr>
        <w:spacing w:after="100" w:line="264"/>
      </w:pPr>
      <w:r>
        <w:rPr>
          <w:b/>
          <w:bCs/>
          <w:sz w:val="20"/>
          <w:szCs w:val="20"/>
        </w:rPr>
        <w:t xml:space="preserve">Rationale: </w:t>
      </w:r>
      <w:r>
        <w:rPr>
          <w:sz w:val="20"/>
          <w:szCs w:val="20"/>
        </w:rPr>
        <w:t xml:space="preserve">The 20 July cash close of 10,524.76 is corroborated across LSE cash-close reporting and index snapshots; it supersedes intraday CFD prints (e.g., ~10,543 mid-session) which are excluded from the definitive level per source discipline. Tone leans bearish on energy-driven inflation risk and fiscal uncertainty, though FTSE's defensive, energy-heavy composition cushions the downside relative to tech-heavy peers.</w:t>
      </w:r>
    </w:p>
    <w:p>
      <w:pPr>
        <w:pStyle w:val="Heading1"/>
        <w:spacing w:after="120" w:before="260"/>
      </w:pPr>
      <w:r>
        <w:rPr>
          <w:b/>
          <w:bCs/>
          <w:color w:val="1F3A63"/>
          <w:sz w:val="28"/>
          <w:szCs w:val="28"/>
        </w:rPr>
        <w:t xml:space="preserve">4 · Price Evidence Table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200"/>
        <w:gridCol w:w="1200"/>
        <w:gridCol w:w="1200"/>
        <w:gridCol w:w="1560"/>
        <w:gridCol w:w="1000"/>
        <w:gridCol w:w="1700"/>
      </w:tblGrid>
      <w:tr>
        <w:trPr>
          <w:tblHeader/>
        </w:trPr>
        <w:tc>
          <w:tcPr>
            <w:tcW w:type="dxa" w:w="1500"/>
            <w:shd w:fill="1F3A63" w:color="auto" w:val="clear"/>
            <w:tcMar>
              <w:top w:type="dxa" w:w="40"/>
              <w:left w:type="dxa" w:w="70"/>
              <w:bottom w:type="dxa" w:w="40"/>
              <w:right w:type="dxa" w:w="70"/>
            </w:tcMar>
          </w:tcPr>
          <w:p>
            <w:r>
              <w:rPr>
                <w:b/>
                <w:bCs/>
                <w:color w:val="FFFFFF"/>
                <w:sz w:val="17"/>
                <w:szCs w:val="17"/>
              </w:rPr>
              <w:t xml:space="preserve">Source</w:t>
            </w:r>
          </w:p>
        </w:tc>
        <w:tc>
          <w:tcPr>
            <w:tcW w:type="dxa" w:w="1200"/>
            <w:shd w:fill="1F3A63" w:color="auto" w:val="clear"/>
            <w:tcMar>
              <w:top w:type="dxa" w:w="40"/>
              <w:left w:type="dxa" w:w="70"/>
              <w:bottom w:type="dxa" w:w="40"/>
              <w:right w:type="dxa" w:w="70"/>
            </w:tcMar>
          </w:tcPr>
          <w:p>
            <w:r>
              <w:rPr>
                <w:b/>
                <w:bCs/>
                <w:color w:val="FFFFFF"/>
                <w:sz w:val="17"/>
                <w:szCs w:val="17"/>
              </w:rPr>
              <w:t xml:space="preserve">Date/Time</w:t>
            </w:r>
          </w:p>
        </w:tc>
        <w:tc>
          <w:tcPr>
            <w:tcW w:type="dxa" w:w="1200"/>
            <w:shd w:fill="1F3A63" w:color="auto" w:val="clear"/>
            <w:tcMar>
              <w:top w:type="dxa" w:w="40"/>
              <w:left w:type="dxa" w:w="70"/>
              <w:bottom w:type="dxa" w:w="40"/>
              <w:right w:type="dxa" w:w="70"/>
            </w:tcMar>
          </w:tcPr>
          <w:p>
            <w:r>
              <w:rPr>
                <w:b/>
                <w:bCs/>
                <w:color w:val="FFFFFF"/>
                <w:sz w:val="17"/>
                <w:szCs w:val="17"/>
              </w:rPr>
              <w:t xml:space="preserve">Raw Quote</w:t>
            </w:r>
          </w:p>
        </w:tc>
        <w:tc>
          <w:tcPr>
            <w:tcW w:type="dxa" w:w="1200"/>
            <w:shd w:fill="1F3A63" w:color="auto" w:val="clear"/>
            <w:tcMar>
              <w:top w:type="dxa" w:w="40"/>
              <w:left w:type="dxa" w:w="70"/>
              <w:bottom w:type="dxa" w:w="40"/>
              <w:right w:type="dxa" w:w="70"/>
            </w:tcMar>
          </w:tcPr>
          <w:p>
            <w:r>
              <w:rPr>
                <w:b/>
                <w:bCs/>
                <w:color w:val="FFFFFF"/>
                <w:sz w:val="17"/>
                <w:szCs w:val="17"/>
              </w:rPr>
              <w:t xml:space="preserve">Normalized</w:t>
            </w:r>
          </w:p>
        </w:tc>
        <w:tc>
          <w:tcPr>
            <w:tcW w:type="dxa" w:w="1560"/>
            <w:shd w:fill="1F3A63" w:color="auto" w:val="clear"/>
            <w:tcMar>
              <w:top w:type="dxa" w:w="40"/>
              <w:left w:type="dxa" w:w="70"/>
              <w:bottom w:type="dxa" w:w="40"/>
              <w:right w:type="dxa" w:w="70"/>
            </w:tcMar>
          </w:tcPr>
          <w:p>
            <w:r>
              <w:rPr>
                <w:b/>
                <w:bCs/>
                <w:color w:val="FFFFFF"/>
                <w:sz w:val="17"/>
                <w:szCs w:val="17"/>
              </w:rPr>
              <w:t xml:space="preserve">Basis / Location</w:t>
            </w:r>
          </w:p>
        </w:tc>
        <w:tc>
          <w:tcPr>
            <w:tcW w:type="dxa" w:w="1000"/>
            <w:shd w:fill="1F3A63" w:color="auto" w:val="clear"/>
            <w:tcMar>
              <w:top w:type="dxa" w:w="40"/>
              <w:left w:type="dxa" w:w="70"/>
              <w:bottom w:type="dxa" w:w="40"/>
              <w:right w:type="dxa" w:w="70"/>
            </w:tcMar>
          </w:tcPr>
          <w:p>
            <w:r>
              <w:rPr>
                <w:b/>
                <w:bCs/>
                <w:color w:val="FFFFFF"/>
                <w:sz w:val="17"/>
                <w:szCs w:val="17"/>
              </w:rPr>
              <w:t xml:space="preserve">Relevance</w:t>
            </w:r>
          </w:p>
        </w:tc>
        <w:tc>
          <w:tcPr>
            <w:tcW w:type="dxa" w:w="1700"/>
            <w:shd w:fill="1F3A63" w:color="auto" w:val="clear"/>
            <w:tcMar>
              <w:top w:type="dxa" w:w="40"/>
              <w:left w:type="dxa" w:w="70"/>
              <w:bottom w:type="dxa" w:w="40"/>
              <w:right w:type="dxa" w:w="70"/>
            </w:tcMar>
          </w:tcPr>
          <w:p>
            <w:r>
              <w:rPr>
                <w:b/>
                <w:bCs/>
                <w:color w:val="FFFFFF"/>
                <w:sz w:val="17"/>
                <w:szCs w:val="17"/>
              </w:rPr>
              <w:t xml:space="preserve">Notes</w:t>
            </w:r>
          </w:p>
        </w:tc>
      </w:tr>
      <w:tr>
        <w:tc>
          <w:tcPr>
            <w:tcW w:type="dxa" w:w="1500"/>
            <w:tcMar>
              <w:top w:type="dxa" w:w="34"/>
              <w:left w:type="dxa" w:w="70"/>
              <w:bottom w:type="dxa" w:w="34"/>
              <w:right w:type="dxa" w:w="70"/>
            </w:tcMar>
          </w:tcPr>
          <w:p>
            <w:r>
              <w:rPr>
                <w:b w:val="false"/>
                <w:bCs w:val="false"/>
                <w:color w:val="222222"/>
                <w:sz w:val="16"/>
                <w:szCs w:val="16"/>
              </w:rPr>
              <w:t xml:space="preserve">Alliance News (LSE cash)</w:t>
            </w:r>
          </w:p>
        </w:tc>
        <w:tc>
          <w:tcPr>
            <w:tcW w:type="dxa" w:w="1200"/>
            <w:tcMar>
              <w:top w:type="dxa" w:w="34"/>
              <w:left w:type="dxa" w:w="70"/>
              <w:bottom w:type="dxa" w:w="34"/>
              <w:right w:type="dxa" w:w="70"/>
            </w:tcMar>
          </w:tcPr>
          <w:p>
            <w:r>
              <w:rPr>
                <w:b w:val="false"/>
                <w:bCs w:val="false"/>
                <w:color w:val="222222"/>
                <w:sz w:val="16"/>
                <w:szCs w:val="16"/>
              </w:rPr>
              <w:t xml:space="preserve">20 Jul 16:35</w:t>
            </w:r>
          </w:p>
        </w:tc>
        <w:tc>
          <w:tcPr>
            <w:tcW w:type="dxa" w:w="1200"/>
            <w:tcMar>
              <w:top w:type="dxa" w:w="34"/>
              <w:left w:type="dxa" w:w="70"/>
              <w:bottom w:type="dxa" w:w="34"/>
              <w:right w:type="dxa" w:w="70"/>
            </w:tcMar>
          </w:tcPr>
          <w:p>
            <w:r>
              <w:rPr>
                <w:b w:val="false"/>
                <w:bCs w:val="false"/>
                <w:color w:val="222222"/>
                <w:sz w:val="16"/>
                <w:szCs w:val="16"/>
              </w:rPr>
              <w:t xml:space="preserve">10,524.76</w:t>
            </w:r>
          </w:p>
        </w:tc>
        <w:tc>
          <w:tcPr>
            <w:tcW w:type="dxa" w:w="1200"/>
            <w:tcMar>
              <w:top w:type="dxa" w:w="34"/>
              <w:left w:type="dxa" w:w="70"/>
              <w:bottom w:type="dxa" w:w="34"/>
              <w:right w:type="dxa" w:w="70"/>
            </w:tcMar>
          </w:tcPr>
          <w:p>
            <w:r>
              <w:rPr>
                <w:b w:val="false"/>
                <w:bCs w:val="false"/>
                <w:color w:val="222222"/>
                <w:sz w:val="16"/>
                <w:szCs w:val="16"/>
              </w:rPr>
              <w:t xml:space="preserve">10,524.76</w:t>
            </w:r>
          </w:p>
        </w:tc>
        <w:tc>
          <w:tcPr>
            <w:tcW w:type="dxa" w:w="1560"/>
            <w:tcMar>
              <w:top w:type="dxa" w:w="34"/>
              <w:left w:type="dxa" w:w="70"/>
              <w:bottom w:type="dxa" w:w="34"/>
              <w:right w:type="dxa" w:w="70"/>
            </w:tcMar>
          </w:tcPr>
          <w:p>
            <w:r>
              <w:rPr>
                <w:b w:val="false"/>
                <w:bCs w:val="false"/>
                <w:color w:val="222222"/>
                <w:sz w:val="16"/>
                <w:szCs w:val="16"/>
              </w:rPr>
              <w:t xml:space="preserve">Cash close · London</w:t>
            </w:r>
          </w:p>
        </w:tc>
        <w:tc>
          <w:tcPr>
            <w:tcW w:type="dxa" w:w="1000"/>
            <w:tcMar>
              <w:top w:type="dxa" w:w="34"/>
              <w:left w:type="dxa" w:w="70"/>
              <w:bottom w:type="dxa" w:w="34"/>
              <w:right w:type="dxa" w:w="70"/>
            </w:tcMar>
          </w:tcPr>
          <w:p>
            <w:r>
              <w:rPr>
                <w:b w:val="false"/>
                <w:bCs w:val="false"/>
                <w:color w:val="222222"/>
                <w:sz w:val="16"/>
                <w:szCs w:val="16"/>
              </w:rPr>
              <w:t xml:space="preserve">Core</w:t>
            </w:r>
          </w:p>
        </w:tc>
        <w:tc>
          <w:tcPr>
            <w:tcW w:type="dxa" w:w="1700"/>
            <w:tcMar>
              <w:top w:type="dxa" w:w="34"/>
              <w:left w:type="dxa" w:w="70"/>
              <w:bottom w:type="dxa" w:w="34"/>
              <w:right w:type="dxa" w:w="70"/>
            </w:tcMar>
          </w:tcPr>
          <w:p>
            <w:r>
              <w:rPr>
                <w:b w:val="false"/>
                <w:bCs w:val="false"/>
                <w:color w:val="222222"/>
                <w:sz w:val="16"/>
                <w:szCs w:val="16"/>
              </w:rPr>
              <w:t xml:space="preserve">Official close, −75.61 (−0.7%)</w:t>
            </w:r>
          </w:p>
        </w:tc>
      </w:tr>
      <w:tr>
        <w:tc>
          <w:tcPr>
            <w:tcW w:type="dxa" w:w="1500"/>
            <w:tcMar>
              <w:top w:type="dxa" w:w="34"/>
              <w:left w:type="dxa" w:w="70"/>
              <w:bottom w:type="dxa" w:w="34"/>
              <w:right w:type="dxa" w:w="70"/>
            </w:tcMar>
          </w:tcPr>
          <w:p>
            <w:r>
              <w:rPr>
                <w:b w:val="false"/>
                <w:bCs w:val="false"/>
                <w:color w:val="222222"/>
                <w:sz w:val="16"/>
                <w:szCs w:val="16"/>
              </w:rPr>
              <w:t xml:space="preserve">Proactive / Sharecast</w:t>
            </w:r>
          </w:p>
        </w:tc>
        <w:tc>
          <w:tcPr>
            <w:tcW w:type="dxa" w:w="1200"/>
            <w:tcMar>
              <w:top w:type="dxa" w:w="34"/>
              <w:left w:type="dxa" w:w="70"/>
              <w:bottom w:type="dxa" w:w="34"/>
              <w:right w:type="dxa" w:w="70"/>
            </w:tcMar>
          </w:tcPr>
          <w:p>
            <w:r>
              <w:rPr>
                <w:b w:val="false"/>
                <w:bCs w:val="false"/>
                <w:color w:val="222222"/>
                <w:sz w:val="16"/>
                <w:szCs w:val="16"/>
              </w:rPr>
              <w:t xml:space="preserve">20 Jul 16:11</w:t>
            </w:r>
          </w:p>
        </w:tc>
        <w:tc>
          <w:tcPr>
            <w:tcW w:type="dxa" w:w="1200"/>
            <w:tcMar>
              <w:top w:type="dxa" w:w="34"/>
              <w:left w:type="dxa" w:w="70"/>
              <w:bottom w:type="dxa" w:w="34"/>
              <w:right w:type="dxa" w:w="70"/>
            </w:tcMar>
          </w:tcPr>
          <w:p>
            <w:r>
              <w:rPr>
                <w:b w:val="false"/>
                <w:bCs w:val="false"/>
                <w:color w:val="222222"/>
                <w:sz w:val="16"/>
                <w:szCs w:val="16"/>
              </w:rPr>
              <w:t xml:space="preserve">~10,524</w:t>
            </w:r>
          </w:p>
        </w:tc>
        <w:tc>
          <w:tcPr>
            <w:tcW w:type="dxa" w:w="1200"/>
            <w:tcMar>
              <w:top w:type="dxa" w:w="34"/>
              <w:left w:type="dxa" w:w="70"/>
              <w:bottom w:type="dxa" w:w="34"/>
              <w:right w:type="dxa" w:w="70"/>
            </w:tcMar>
          </w:tcPr>
          <w:p>
            <w:r>
              <w:rPr>
                <w:b w:val="false"/>
                <w:bCs w:val="false"/>
                <w:color w:val="222222"/>
                <w:sz w:val="16"/>
                <w:szCs w:val="16"/>
              </w:rPr>
              <w:t xml:space="preserve">10,524</w:t>
            </w:r>
          </w:p>
        </w:tc>
        <w:tc>
          <w:tcPr>
            <w:tcW w:type="dxa" w:w="1560"/>
            <w:tcMar>
              <w:top w:type="dxa" w:w="34"/>
              <w:left w:type="dxa" w:w="70"/>
              <w:bottom w:type="dxa" w:w="34"/>
              <w:right w:type="dxa" w:w="70"/>
            </w:tcMar>
          </w:tcPr>
          <w:p>
            <w:r>
              <w:rPr>
                <w:b w:val="false"/>
                <w:bCs w:val="false"/>
                <w:color w:val="222222"/>
                <w:sz w:val="16"/>
                <w:szCs w:val="16"/>
              </w:rPr>
              <w:t xml:space="preserve">Cash close · London</w:t>
            </w:r>
          </w:p>
        </w:tc>
        <w:tc>
          <w:tcPr>
            <w:tcW w:type="dxa" w:w="1000"/>
            <w:tcMar>
              <w:top w:type="dxa" w:w="34"/>
              <w:left w:type="dxa" w:w="70"/>
              <w:bottom w:type="dxa" w:w="34"/>
              <w:right w:type="dxa" w:w="70"/>
            </w:tcMar>
          </w:tcPr>
          <w:p>
            <w:r>
              <w:rPr>
                <w:b w:val="false"/>
                <w:bCs w:val="false"/>
                <w:color w:val="222222"/>
                <w:sz w:val="16"/>
                <w:szCs w:val="16"/>
              </w:rPr>
              <w:t xml:space="preserve">Core</w:t>
            </w:r>
          </w:p>
        </w:tc>
        <w:tc>
          <w:tcPr>
            <w:tcW w:type="dxa" w:w="1700"/>
            <w:tcMar>
              <w:top w:type="dxa" w:w="34"/>
              <w:left w:type="dxa" w:w="70"/>
              <w:bottom w:type="dxa" w:w="34"/>
              <w:right w:type="dxa" w:w="70"/>
            </w:tcMar>
          </w:tcPr>
          <w:p>
            <w:r>
              <w:rPr>
                <w:b w:val="false"/>
                <w:bCs w:val="false"/>
                <w:color w:val="222222"/>
                <w:sz w:val="16"/>
                <w:szCs w:val="16"/>
              </w:rPr>
              <w:t xml:space="preserve">Corroborates close</w:t>
            </w:r>
          </w:p>
        </w:tc>
      </w:tr>
      <w:tr>
        <w:tc>
          <w:tcPr>
            <w:tcW w:type="dxa" w:w="1500"/>
            <w:tcMar>
              <w:top w:type="dxa" w:w="34"/>
              <w:left w:type="dxa" w:w="70"/>
              <w:bottom w:type="dxa" w:w="34"/>
              <w:right w:type="dxa" w:w="70"/>
            </w:tcMar>
          </w:tcPr>
          <w:p>
            <w:r>
              <w:rPr>
                <w:b w:val="false"/>
                <w:bCs w:val="false"/>
                <w:color w:val="222222"/>
                <w:sz w:val="16"/>
                <w:szCs w:val="16"/>
              </w:rPr>
              <w:t xml:space="preserve">Reuters (intraday)</w:t>
            </w:r>
          </w:p>
        </w:tc>
        <w:tc>
          <w:tcPr>
            <w:tcW w:type="dxa" w:w="1200"/>
            <w:tcMar>
              <w:top w:type="dxa" w:w="34"/>
              <w:left w:type="dxa" w:w="70"/>
              <w:bottom w:type="dxa" w:w="34"/>
              <w:right w:type="dxa" w:w="70"/>
            </w:tcMar>
          </w:tcPr>
          <w:p>
            <w:r>
              <w:rPr>
                <w:b w:val="false"/>
                <w:bCs w:val="false"/>
                <w:color w:val="222222"/>
                <w:sz w:val="16"/>
                <w:szCs w:val="16"/>
              </w:rPr>
              <w:t xml:space="preserve">20 Jul 10:52 GMT</w:t>
            </w:r>
          </w:p>
        </w:tc>
        <w:tc>
          <w:tcPr>
            <w:tcW w:type="dxa" w:w="1200"/>
            <w:tcMar>
              <w:top w:type="dxa" w:w="34"/>
              <w:left w:type="dxa" w:w="70"/>
              <w:bottom w:type="dxa" w:w="34"/>
              <w:right w:type="dxa" w:w="70"/>
            </w:tcMar>
          </w:tcPr>
          <w:p>
            <w:r>
              <w:rPr>
                <w:b w:val="false"/>
                <w:bCs w:val="false"/>
                <w:color w:val="222222"/>
                <w:sz w:val="16"/>
                <w:szCs w:val="16"/>
              </w:rPr>
              <w:t xml:space="preserve">10,543.91</w:t>
            </w:r>
          </w:p>
        </w:tc>
        <w:tc>
          <w:tcPr>
            <w:tcW w:type="dxa" w:w="1200"/>
            <w:tcMar>
              <w:top w:type="dxa" w:w="34"/>
              <w:left w:type="dxa" w:w="70"/>
              <w:bottom w:type="dxa" w:w="34"/>
              <w:right w:type="dxa" w:w="70"/>
            </w:tcMar>
          </w:tcPr>
          <w:p>
            <w:r>
              <w:rPr>
                <w:b w:val="false"/>
                <w:bCs w:val="false"/>
                <w:color w:val="222222"/>
                <w:sz w:val="16"/>
                <w:szCs w:val="16"/>
              </w:rPr>
              <w:t xml:space="preserve">10,543.91</w:t>
            </w:r>
          </w:p>
        </w:tc>
        <w:tc>
          <w:tcPr>
            <w:tcW w:type="dxa" w:w="1560"/>
            <w:tcMar>
              <w:top w:type="dxa" w:w="34"/>
              <w:left w:type="dxa" w:w="70"/>
              <w:bottom w:type="dxa" w:w="34"/>
              <w:right w:type="dxa" w:w="70"/>
            </w:tcMar>
          </w:tcPr>
          <w:p>
            <w:r>
              <w:rPr>
                <w:b w:val="false"/>
                <w:bCs w:val="false"/>
                <w:color w:val="222222"/>
                <w:sz w:val="16"/>
                <w:szCs w:val="16"/>
              </w:rPr>
              <w:t xml:space="preserve">Intraday · London</w:t>
            </w:r>
          </w:p>
        </w:tc>
        <w:tc>
          <w:tcPr>
            <w:tcW w:type="dxa" w:w="1000"/>
            <w:tcMar>
              <w:top w:type="dxa" w:w="34"/>
              <w:left w:type="dxa" w:w="70"/>
              <w:bottom w:type="dxa" w:w="34"/>
              <w:right w:type="dxa" w:w="70"/>
            </w:tcMar>
          </w:tcPr>
          <w:p>
            <w:r>
              <w:rPr>
                <w:b w:val="false"/>
                <w:bCs w:val="false"/>
                <w:color w:val="222222"/>
                <w:sz w:val="16"/>
                <w:szCs w:val="16"/>
              </w:rPr>
              <w:t xml:space="preserve">Directional</w:t>
            </w:r>
          </w:p>
        </w:tc>
        <w:tc>
          <w:tcPr>
            <w:tcW w:type="dxa" w:w="1700"/>
            <w:tcMar>
              <w:top w:type="dxa" w:w="34"/>
              <w:left w:type="dxa" w:w="70"/>
              <w:bottom w:type="dxa" w:w="34"/>
              <w:right w:type="dxa" w:w="70"/>
            </w:tcMar>
          </w:tcPr>
          <w:p>
            <w:r>
              <w:rPr>
                <w:b w:val="false"/>
                <w:bCs w:val="false"/>
                <w:color w:val="222222"/>
                <w:sz w:val="16"/>
                <w:szCs w:val="16"/>
              </w:rPr>
              <w:t xml:space="preserve">Mid-session, not close</w:t>
            </w:r>
          </w:p>
        </w:tc>
      </w:tr>
      <w:tr>
        <w:tc>
          <w:tcPr>
            <w:tcW w:type="dxa" w:w="1500"/>
            <w:tcMar>
              <w:top w:type="dxa" w:w="34"/>
              <w:left w:type="dxa" w:w="70"/>
              <w:bottom w:type="dxa" w:w="34"/>
              <w:right w:type="dxa" w:w="70"/>
            </w:tcMar>
          </w:tcPr>
          <w:p>
            <w:r>
              <w:rPr>
                <w:b w:val="false"/>
                <w:bCs w:val="false"/>
                <w:color w:val="222222"/>
                <w:sz w:val="16"/>
                <w:szCs w:val="16"/>
              </w:rPr>
              <w:t xml:space="preserve">Yahoo Finance</w:t>
            </w:r>
          </w:p>
        </w:tc>
        <w:tc>
          <w:tcPr>
            <w:tcW w:type="dxa" w:w="1200"/>
            <w:tcMar>
              <w:top w:type="dxa" w:w="34"/>
              <w:left w:type="dxa" w:w="70"/>
              <w:bottom w:type="dxa" w:w="34"/>
              <w:right w:type="dxa" w:w="70"/>
            </w:tcMar>
          </w:tcPr>
          <w:p>
            <w:r>
              <w:rPr>
                <w:b w:val="false"/>
                <w:bCs w:val="false"/>
                <w:color w:val="222222"/>
                <w:sz w:val="16"/>
                <w:szCs w:val="16"/>
              </w:rPr>
              <w:t xml:space="preserve">17 Jul 16:35</w:t>
            </w:r>
          </w:p>
        </w:tc>
        <w:tc>
          <w:tcPr>
            <w:tcW w:type="dxa" w:w="1200"/>
            <w:tcMar>
              <w:top w:type="dxa" w:w="34"/>
              <w:left w:type="dxa" w:w="70"/>
              <w:bottom w:type="dxa" w:w="34"/>
              <w:right w:type="dxa" w:w="70"/>
            </w:tcMar>
          </w:tcPr>
          <w:p>
            <w:r>
              <w:rPr>
                <w:b w:val="false"/>
                <w:bCs w:val="false"/>
                <w:color w:val="222222"/>
                <w:sz w:val="16"/>
                <w:szCs w:val="16"/>
              </w:rPr>
              <w:t xml:space="preserve">10,600.37</w:t>
            </w:r>
          </w:p>
        </w:tc>
        <w:tc>
          <w:tcPr>
            <w:tcW w:type="dxa" w:w="1200"/>
            <w:tcMar>
              <w:top w:type="dxa" w:w="34"/>
              <w:left w:type="dxa" w:w="70"/>
              <w:bottom w:type="dxa" w:w="34"/>
              <w:right w:type="dxa" w:w="70"/>
            </w:tcMar>
          </w:tcPr>
          <w:p>
            <w:r>
              <w:rPr>
                <w:b w:val="false"/>
                <w:bCs w:val="false"/>
                <w:color w:val="222222"/>
                <w:sz w:val="16"/>
                <w:szCs w:val="16"/>
              </w:rPr>
              <w:t xml:space="preserve">10,600.37</w:t>
            </w:r>
          </w:p>
        </w:tc>
        <w:tc>
          <w:tcPr>
            <w:tcW w:type="dxa" w:w="1560"/>
            <w:tcMar>
              <w:top w:type="dxa" w:w="34"/>
              <w:left w:type="dxa" w:w="70"/>
              <w:bottom w:type="dxa" w:w="34"/>
              <w:right w:type="dxa" w:w="70"/>
            </w:tcMar>
          </w:tcPr>
          <w:p>
            <w:r>
              <w:rPr>
                <w:b w:val="false"/>
                <w:bCs w:val="false"/>
                <w:color w:val="222222"/>
                <w:sz w:val="16"/>
                <w:szCs w:val="16"/>
              </w:rPr>
              <w:t xml:space="preserve">Cash close · London</w:t>
            </w:r>
          </w:p>
        </w:tc>
        <w:tc>
          <w:tcPr>
            <w:tcW w:type="dxa" w:w="1000"/>
            <w:tcMar>
              <w:top w:type="dxa" w:w="34"/>
              <w:left w:type="dxa" w:w="70"/>
              <w:bottom w:type="dxa" w:w="34"/>
              <w:right w:type="dxa" w:w="70"/>
            </w:tcMar>
          </w:tcPr>
          <w:p>
            <w:r>
              <w:rPr>
                <w:b w:val="false"/>
                <w:bCs w:val="false"/>
                <w:color w:val="222222"/>
                <w:sz w:val="16"/>
                <w:szCs w:val="16"/>
              </w:rPr>
              <w:t xml:space="preserve">Core</w:t>
            </w:r>
          </w:p>
        </w:tc>
        <w:tc>
          <w:tcPr>
            <w:tcW w:type="dxa" w:w="1700"/>
            <w:tcMar>
              <w:top w:type="dxa" w:w="34"/>
              <w:left w:type="dxa" w:w="70"/>
              <w:bottom w:type="dxa" w:w="34"/>
              <w:right w:type="dxa" w:w="70"/>
            </w:tcMar>
          </w:tcPr>
          <w:p>
            <w:r>
              <w:rPr>
                <w:b w:val="false"/>
                <w:bCs w:val="false"/>
                <w:color w:val="222222"/>
                <w:sz w:val="16"/>
                <w:szCs w:val="16"/>
              </w:rPr>
              <w:t xml:space="preserve">Fri close corroborated</w:t>
            </w:r>
          </w:p>
        </w:tc>
      </w:tr>
      <w:tr>
        <w:tc>
          <w:tcPr>
            <w:tcW w:type="dxa" w:w="1500"/>
            <w:tcMar>
              <w:top w:type="dxa" w:w="34"/>
              <w:left w:type="dxa" w:w="70"/>
              <w:bottom w:type="dxa" w:w="34"/>
              <w:right w:type="dxa" w:w="70"/>
            </w:tcMar>
          </w:tcPr>
          <w:p>
            <w:r>
              <w:rPr>
                <w:b w:val="false"/>
                <w:bCs w:val="false"/>
                <w:color w:val="222222"/>
                <w:sz w:val="16"/>
                <w:szCs w:val="16"/>
              </w:rPr>
              <w:t xml:space="preserve">Investing.com</w:t>
            </w:r>
          </w:p>
        </w:tc>
        <w:tc>
          <w:tcPr>
            <w:tcW w:type="dxa" w:w="1200"/>
            <w:tcMar>
              <w:top w:type="dxa" w:w="34"/>
              <w:left w:type="dxa" w:w="70"/>
              <w:bottom w:type="dxa" w:w="34"/>
              <w:right w:type="dxa" w:w="70"/>
            </w:tcMar>
          </w:tcPr>
          <w:p>
            <w:r>
              <w:rPr>
                <w:b w:val="false"/>
                <w:bCs w:val="false"/>
                <w:color w:val="222222"/>
                <w:sz w:val="16"/>
                <w:szCs w:val="16"/>
              </w:rPr>
              <w:t xml:space="preserve">17 Jul</w:t>
            </w:r>
          </w:p>
        </w:tc>
        <w:tc>
          <w:tcPr>
            <w:tcW w:type="dxa" w:w="1200"/>
            <w:tcMar>
              <w:top w:type="dxa" w:w="34"/>
              <w:left w:type="dxa" w:w="70"/>
              <w:bottom w:type="dxa" w:w="34"/>
              <w:right w:type="dxa" w:w="70"/>
            </w:tcMar>
          </w:tcPr>
          <w:p>
            <w:r>
              <w:rPr>
                <w:b w:val="false"/>
                <w:bCs w:val="false"/>
                <w:color w:val="222222"/>
                <w:sz w:val="16"/>
                <w:szCs w:val="16"/>
              </w:rPr>
              <w:t xml:space="preserve">10,600.37</w:t>
            </w:r>
          </w:p>
        </w:tc>
        <w:tc>
          <w:tcPr>
            <w:tcW w:type="dxa" w:w="1200"/>
            <w:tcMar>
              <w:top w:type="dxa" w:w="34"/>
              <w:left w:type="dxa" w:w="70"/>
              <w:bottom w:type="dxa" w:w="34"/>
              <w:right w:type="dxa" w:w="70"/>
            </w:tcMar>
          </w:tcPr>
          <w:p>
            <w:r>
              <w:rPr>
                <w:b w:val="false"/>
                <w:bCs w:val="false"/>
                <w:color w:val="222222"/>
                <w:sz w:val="16"/>
                <w:szCs w:val="16"/>
              </w:rPr>
              <w:t xml:space="preserve">10,600.37</w:t>
            </w:r>
          </w:p>
        </w:tc>
        <w:tc>
          <w:tcPr>
            <w:tcW w:type="dxa" w:w="1560"/>
            <w:tcMar>
              <w:top w:type="dxa" w:w="34"/>
              <w:left w:type="dxa" w:w="70"/>
              <w:bottom w:type="dxa" w:w="34"/>
              <w:right w:type="dxa" w:w="70"/>
            </w:tcMar>
          </w:tcPr>
          <w:p>
            <w:r>
              <w:rPr>
                <w:b w:val="false"/>
                <w:bCs w:val="false"/>
                <w:color w:val="222222"/>
                <w:sz w:val="16"/>
                <w:szCs w:val="16"/>
              </w:rPr>
              <w:t xml:space="preserve">Cash close · London</w:t>
            </w:r>
          </w:p>
        </w:tc>
        <w:tc>
          <w:tcPr>
            <w:tcW w:type="dxa" w:w="1000"/>
            <w:tcMar>
              <w:top w:type="dxa" w:w="34"/>
              <w:left w:type="dxa" w:w="70"/>
              <w:bottom w:type="dxa" w:w="34"/>
              <w:right w:type="dxa" w:w="70"/>
            </w:tcMar>
          </w:tcPr>
          <w:p>
            <w:r>
              <w:rPr>
                <w:b w:val="false"/>
                <w:bCs w:val="false"/>
                <w:color w:val="222222"/>
                <w:sz w:val="16"/>
                <w:szCs w:val="16"/>
              </w:rPr>
              <w:t xml:space="preserve">Core</w:t>
            </w:r>
          </w:p>
        </w:tc>
        <w:tc>
          <w:tcPr>
            <w:tcW w:type="dxa" w:w="1700"/>
            <w:tcMar>
              <w:top w:type="dxa" w:w="34"/>
              <w:left w:type="dxa" w:w="70"/>
              <w:bottom w:type="dxa" w:w="34"/>
              <w:right w:type="dxa" w:w="70"/>
            </w:tcMar>
          </w:tcPr>
          <w:p>
            <w:r>
              <w:rPr>
                <w:b w:val="false"/>
                <w:bCs w:val="false"/>
                <w:color w:val="222222"/>
                <w:sz w:val="16"/>
                <w:szCs w:val="16"/>
              </w:rPr>
              <w:t xml:space="preserve">Day range 10,527.65–10,623.69</w:t>
            </w:r>
          </w:p>
        </w:tc>
      </w:tr>
      <w:tr>
        <w:tc>
          <w:tcPr>
            <w:tcW w:type="dxa" w:w="1500"/>
            <w:tcMar>
              <w:top w:type="dxa" w:w="34"/>
              <w:left w:type="dxa" w:w="70"/>
              <w:bottom w:type="dxa" w:w="34"/>
              <w:right w:type="dxa" w:w="70"/>
            </w:tcMar>
          </w:tcPr>
          <w:p>
            <w:r>
              <w:rPr>
                <w:b w:val="false"/>
                <w:bCs w:val="false"/>
                <w:color w:val="222222"/>
                <w:sz w:val="16"/>
                <w:szCs w:val="16"/>
              </w:rPr>
              <w:t xml:space="preserve">Trading Economics (CFD)</w:t>
            </w:r>
          </w:p>
        </w:tc>
        <w:tc>
          <w:tcPr>
            <w:tcW w:type="dxa" w:w="1200"/>
            <w:tcMar>
              <w:top w:type="dxa" w:w="34"/>
              <w:left w:type="dxa" w:w="70"/>
              <w:bottom w:type="dxa" w:w="34"/>
              <w:right w:type="dxa" w:w="70"/>
            </w:tcMar>
          </w:tcPr>
          <w:p>
            <w:r>
              <w:rPr>
                <w:b w:val="false"/>
                <w:bCs w:val="false"/>
                <w:color w:val="222222"/>
                <w:sz w:val="16"/>
                <w:szCs w:val="16"/>
              </w:rPr>
              <w:t xml:space="preserve">20 Jul</w:t>
            </w:r>
          </w:p>
        </w:tc>
        <w:tc>
          <w:tcPr>
            <w:tcW w:type="dxa" w:w="1200"/>
            <w:tcMar>
              <w:top w:type="dxa" w:w="34"/>
              <w:left w:type="dxa" w:w="70"/>
              <w:bottom w:type="dxa" w:w="34"/>
              <w:right w:type="dxa" w:w="70"/>
            </w:tcMar>
          </w:tcPr>
          <w:p>
            <w:r>
              <w:rPr>
                <w:b w:val="false"/>
                <w:bCs w:val="false"/>
                <w:color w:val="222222"/>
                <w:sz w:val="16"/>
                <w:szCs w:val="16"/>
              </w:rPr>
              <w:t xml:space="preserve">10,525 / 10,543</w:t>
            </w:r>
          </w:p>
        </w:tc>
        <w:tc>
          <w:tcPr>
            <w:tcW w:type="dxa" w:w="1200"/>
            <w:tcMar>
              <w:top w:type="dxa" w:w="34"/>
              <w:left w:type="dxa" w:w="70"/>
              <w:bottom w:type="dxa" w:w="34"/>
              <w:right w:type="dxa" w:w="70"/>
            </w:tcMar>
          </w:tcPr>
          <w:p>
            <w:r>
              <w:rPr>
                <w:b w:val="false"/>
                <w:bCs w:val="false"/>
                <w:color w:val="222222"/>
                <w:sz w:val="16"/>
                <w:szCs w:val="16"/>
              </w:rPr>
              <w:t xml:space="preserve">—</w:t>
            </w:r>
          </w:p>
        </w:tc>
        <w:tc>
          <w:tcPr>
            <w:tcW w:type="dxa" w:w="1560"/>
            <w:tcMar>
              <w:top w:type="dxa" w:w="34"/>
              <w:left w:type="dxa" w:w="70"/>
              <w:bottom w:type="dxa" w:w="34"/>
              <w:right w:type="dxa" w:w="70"/>
            </w:tcMar>
          </w:tcPr>
          <w:p>
            <w:r>
              <w:rPr>
                <w:b w:val="false"/>
                <w:bCs w:val="false"/>
                <w:color w:val="222222"/>
                <w:sz w:val="16"/>
                <w:szCs w:val="16"/>
              </w:rPr>
              <w:t xml:space="preserve">CFD · OTC</w:t>
            </w:r>
          </w:p>
        </w:tc>
        <w:tc>
          <w:tcPr>
            <w:tcW w:type="dxa" w:w="1000"/>
            <w:tcMar>
              <w:top w:type="dxa" w:w="34"/>
              <w:left w:type="dxa" w:w="70"/>
              <w:bottom w:type="dxa" w:w="34"/>
              <w:right w:type="dxa" w:w="70"/>
            </w:tcMar>
          </w:tcPr>
          <w:p>
            <w:r>
              <w:rPr>
                <w:b w:val="false"/>
                <w:bCs w:val="false"/>
                <w:color w:val="222222"/>
                <w:sz w:val="16"/>
                <w:szCs w:val="16"/>
              </w:rPr>
              <w:t xml:space="preserve">Excluded</w:t>
            </w:r>
          </w:p>
        </w:tc>
        <w:tc>
          <w:tcPr>
            <w:tcW w:type="dxa" w:w="1700"/>
            <w:tcMar>
              <w:top w:type="dxa" w:w="34"/>
              <w:left w:type="dxa" w:w="70"/>
              <w:bottom w:type="dxa" w:w="34"/>
              <w:right w:type="dxa" w:w="70"/>
            </w:tcMar>
          </w:tcPr>
          <w:p>
            <w:r>
              <w:rPr>
                <w:b w:val="false"/>
                <w:bCs w:val="false"/>
                <w:color w:val="222222"/>
                <w:sz w:val="16"/>
                <w:szCs w:val="16"/>
              </w:rPr>
              <w:t xml:space="preserve">CFD — excluded per restrictions; directional only</w:t>
            </w:r>
          </w:p>
        </w:tc>
      </w:tr>
    </w:tbl>
    <w:p>
      <w:pPr>
        <w:pStyle w:val="Heading1"/>
        <w:spacing w:after="120" w:before="260"/>
      </w:pPr>
      <w:r>
        <w:rPr>
          <w:b/>
          <w:bCs/>
          <w:color w:val="1F3A63"/>
          <w:sz w:val="28"/>
          <w:szCs w:val="28"/>
        </w:rPr>
        <w:t xml:space="preserve">5 · Consensus Build Explanation</w:t>
      </w:r>
    </w:p>
    <w:p>
      <w:pPr>
        <w:spacing w:after="100" w:line="264"/>
      </w:pPr>
      <w:r>
        <w:rPr>
          <w:sz w:val="20"/>
          <w:szCs w:val="20"/>
        </w:rPr>
        <w:t xml:space="preserve">All observations are cash-index levels in GBP points, so no FX or unit normalization is required. The definitive 21 July reference is the last completed official cash close (20 July, 10,524.76), corroborated by two independent LSE cash-close reporters within tolerance (±0.10 pt on the close). The Reuters 10,543.91 figure is a 10:52 GMT intraday snapshot, not a settlement, and is retained only for directional context. Retail CFD quotes (Trading Economics live CFD feed) are excluded from the definitive level under the instance's source restrictions, since CFD spreads can distort the print; the CFD is used only to confirm direction, which it does (both cash and CFD show a ~0.5–0.7% Monday decline). The weighted-median method collapses to the corroborated cash close because the two core close sources agree.</w:t>
      </w:r>
    </w:p>
    <w:p>
      <w:pPr>
        <w:pStyle w:val="Heading1"/>
        <w:spacing w:after="120" w:before="260"/>
      </w:pPr>
      <w:r>
        <w:rPr>
          <w:b/>
          <w:bCs/>
          <w:color w:val="178A5C"/>
          <w:sz w:val="28"/>
          <w:szCs w:val="28"/>
        </w:rPr>
        <w:t xml:space="preserve">6 · Validated OHLC + RSI2 Table (5-Day)</w:t>
      </w:r>
    </w:p>
    <w:p>
      <w:pPr>
        <w:pStyle w:val="Heading2"/>
        <w:spacing w:after="80" w:before="180"/>
      </w:pPr>
      <w:r>
        <w:rPr>
          <w:b/>
          <w:bCs/>
          <w:color w:val="178A5C"/>
          <w:sz w:val="24"/>
          <w:szCs w:val="24"/>
        </w:rPr>
        <w:t xml:space="preserve">FTSE 100 (^FTSE) — primary</w:t>
      </w:r>
    </w:p>
    <w:tbl>
      <w:tblPr>
        <w:tblW w:type="dxa" w:w="937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980"/>
        <w:gridCol w:w="980"/>
        <w:gridCol w:w="980"/>
        <w:gridCol w:w="1030"/>
        <w:gridCol w:w="700"/>
        <w:gridCol w:w="900"/>
        <w:gridCol w:w="980"/>
        <w:gridCol w:w="980"/>
        <w:gridCol w:w="940"/>
      </w:tblGrid>
      <w:tr>
        <w:trPr>
          <w:tblHeader/>
        </w:trPr>
        <w:tc>
          <w:tcPr>
            <w:tcW w:type="dxa" w:w="900"/>
            <w:shd w:fill="1F3A63" w:color="auto" w:val="clear"/>
            <w:tcMar>
              <w:top w:type="dxa" w:w="40"/>
              <w:left w:type="dxa" w:w="70"/>
              <w:bottom w:type="dxa" w:w="40"/>
              <w:right w:type="dxa" w:w="70"/>
            </w:tcMar>
          </w:tcPr>
          <w:p>
            <w:r>
              <w:rPr>
                <w:b/>
                <w:bCs/>
                <w:color w:val="FFFFFF"/>
                <w:sz w:val="17"/>
                <w:szCs w:val="17"/>
              </w:rPr>
              <w:t xml:space="preserve">Date</w:t>
            </w:r>
          </w:p>
        </w:tc>
        <w:tc>
          <w:tcPr>
            <w:tcW w:type="dxa" w:w="980"/>
            <w:shd w:fill="1F3A63" w:color="auto" w:val="clear"/>
            <w:tcMar>
              <w:top w:type="dxa" w:w="40"/>
              <w:left w:type="dxa" w:w="70"/>
              <w:bottom w:type="dxa" w:w="40"/>
              <w:right w:type="dxa" w:w="70"/>
            </w:tcMar>
          </w:tcPr>
          <w:p>
            <w:r>
              <w:rPr>
                <w:b/>
                <w:bCs/>
                <w:color w:val="FFFFFF"/>
                <w:sz w:val="17"/>
                <w:szCs w:val="17"/>
              </w:rPr>
              <w:t xml:space="preserve">Open</w:t>
            </w:r>
          </w:p>
        </w:tc>
        <w:tc>
          <w:tcPr>
            <w:tcW w:type="dxa" w:w="980"/>
            <w:shd w:fill="1F3A63" w:color="auto" w:val="clear"/>
            <w:tcMar>
              <w:top w:type="dxa" w:w="40"/>
              <w:left w:type="dxa" w:w="70"/>
              <w:bottom w:type="dxa" w:w="40"/>
              <w:right w:type="dxa" w:w="70"/>
            </w:tcMar>
          </w:tcPr>
          <w:p>
            <w:r>
              <w:rPr>
                <w:b/>
                <w:bCs/>
                <w:color w:val="FFFFFF"/>
                <w:sz w:val="17"/>
                <w:szCs w:val="17"/>
              </w:rPr>
              <w:t xml:space="preserve">High</w:t>
            </w:r>
          </w:p>
        </w:tc>
        <w:tc>
          <w:tcPr>
            <w:tcW w:type="dxa" w:w="980"/>
            <w:shd w:fill="1F3A63" w:color="auto" w:val="clear"/>
            <w:tcMar>
              <w:top w:type="dxa" w:w="40"/>
              <w:left w:type="dxa" w:w="70"/>
              <w:bottom w:type="dxa" w:w="40"/>
              <w:right w:type="dxa" w:w="70"/>
            </w:tcMar>
          </w:tcPr>
          <w:p>
            <w:r>
              <w:rPr>
                <w:b/>
                <w:bCs/>
                <w:color w:val="FFFFFF"/>
                <w:sz w:val="17"/>
                <w:szCs w:val="17"/>
              </w:rPr>
              <w:t xml:space="preserve">Low</w:t>
            </w:r>
          </w:p>
        </w:tc>
        <w:tc>
          <w:tcPr>
            <w:tcW w:type="dxa" w:w="1030"/>
            <w:shd w:fill="1F3A63" w:color="auto" w:val="clear"/>
            <w:tcMar>
              <w:top w:type="dxa" w:w="40"/>
              <w:left w:type="dxa" w:w="70"/>
              <w:bottom w:type="dxa" w:w="40"/>
              <w:right w:type="dxa" w:w="70"/>
            </w:tcMar>
          </w:tcPr>
          <w:p>
            <w:r>
              <w:rPr>
                <w:b/>
                <w:bCs/>
                <w:color w:val="FFFFFF"/>
                <w:sz w:val="17"/>
                <w:szCs w:val="17"/>
              </w:rPr>
              <w:t xml:space="preserve">Close</w:t>
            </w:r>
          </w:p>
        </w:tc>
        <w:tc>
          <w:tcPr>
            <w:tcW w:type="dxa" w:w="700"/>
            <w:shd w:fill="1F3A63" w:color="auto" w:val="clear"/>
            <w:tcMar>
              <w:top w:type="dxa" w:w="40"/>
              <w:left w:type="dxa" w:w="70"/>
              <w:bottom w:type="dxa" w:w="40"/>
              <w:right w:type="dxa" w:w="70"/>
            </w:tcMar>
          </w:tcPr>
          <w:p>
            <w:r>
              <w:rPr>
                <w:b/>
                <w:bCs/>
                <w:color w:val="FFFFFF"/>
                <w:sz w:val="17"/>
                <w:szCs w:val="17"/>
              </w:rPr>
              <w:t xml:space="preserve">RSI2</w:t>
            </w:r>
          </w:p>
        </w:tc>
        <w:tc>
          <w:tcPr>
            <w:tcW w:type="dxa" w:w="900"/>
            <w:shd w:fill="1F3A63" w:color="auto" w:val="clear"/>
            <w:tcMar>
              <w:top w:type="dxa" w:w="40"/>
              <w:left w:type="dxa" w:w="70"/>
              <w:bottom w:type="dxa" w:w="40"/>
              <w:right w:type="dxa" w:w="70"/>
            </w:tcMar>
          </w:tcPr>
          <w:p>
            <w:r>
              <w:rPr>
                <w:b/>
                <w:bCs/>
                <w:color w:val="FFFFFF"/>
                <w:sz w:val="17"/>
                <w:szCs w:val="17"/>
              </w:rPr>
              <w:t xml:space="preserve">Trend</w:t>
            </w:r>
          </w:p>
        </w:tc>
        <w:tc>
          <w:tcPr>
            <w:tcW w:type="dxa" w:w="980"/>
            <w:shd w:fill="1F3A63" w:color="auto" w:val="clear"/>
            <w:tcMar>
              <w:top w:type="dxa" w:w="40"/>
              <w:left w:type="dxa" w:w="70"/>
              <w:bottom w:type="dxa" w:w="40"/>
              <w:right w:type="dxa" w:w="70"/>
            </w:tcMar>
          </w:tcPr>
          <w:p>
            <w:r>
              <w:rPr>
                <w:b/>
                <w:bCs/>
                <w:color w:val="FFFFFF"/>
                <w:sz w:val="17"/>
                <w:szCs w:val="17"/>
              </w:rPr>
              <w:t xml:space="preserve">Src A</w:t>
            </w:r>
          </w:p>
        </w:tc>
        <w:tc>
          <w:tcPr>
            <w:tcW w:type="dxa" w:w="980"/>
            <w:shd w:fill="1F3A63" w:color="auto" w:val="clear"/>
            <w:tcMar>
              <w:top w:type="dxa" w:w="40"/>
              <w:left w:type="dxa" w:w="70"/>
              <w:bottom w:type="dxa" w:w="40"/>
              <w:right w:type="dxa" w:w="70"/>
            </w:tcMar>
          </w:tcPr>
          <w:p>
            <w:r>
              <w:rPr>
                <w:b/>
                <w:bCs/>
                <w:color w:val="FFFFFF"/>
                <w:sz w:val="17"/>
                <w:szCs w:val="17"/>
              </w:rPr>
              <w:t xml:space="preserve">Src B</w:t>
            </w:r>
          </w:p>
        </w:tc>
        <w:tc>
          <w:tcPr>
            <w:tcW w:type="dxa" w:w="940"/>
            <w:shd w:fill="1F3A63" w:color="auto" w:val="clear"/>
            <w:tcMar>
              <w:top w:type="dxa" w:w="40"/>
              <w:left w:type="dxa" w:w="70"/>
              <w:bottom w:type="dxa" w:w="40"/>
              <w:right w:type="dxa" w:w="70"/>
            </w:tcMar>
          </w:tcPr>
          <w:p>
            <w:r>
              <w:rPr>
                <w:b/>
                <w:bCs/>
                <w:color w:val="FFFFFF"/>
                <w:sz w:val="17"/>
                <w:szCs w:val="17"/>
              </w:rPr>
              <w:t xml:space="preserve">Validation</w:t>
            </w:r>
          </w:p>
        </w:tc>
      </w:tr>
      <w:tr>
        <w:tc>
          <w:tcPr>
            <w:tcW w:type="dxa" w:w="900"/>
            <w:tcMar>
              <w:top w:type="dxa" w:w="34"/>
              <w:left w:type="dxa" w:w="70"/>
              <w:bottom w:type="dxa" w:w="34"/>
              <w:right w:type="dxa" w:w="70"/>
            </w:tcMar>
          </w:tcPr>
          <w:p>
            <w:r>
              <w:rPr>
                <w:b w:val="false"/>
                <w:bCs w:val="false"/>
                <w:color w:val="222222"/>
                <w:sz w:val="16"/>
                <w:szCs w:val="16"/>
              </w:rPr>
              <w:t xml:space="preserve">14 Jul</w:t>
            </w:r>
          </w:p>
        </w:tc>
        <w:tc>
          <w:tcPr>
            <w:tcW w:type="dxa" w:w="980"/>
            <w:tcMar>
              <w:top w:type="dxa" w:w="34"/>
              <w:left w:type="dxa" w:w="70"/>
              <w:bottom w:type="dxa" w:w="34"/>
              <w:right w:type="dxa" w:w="70"/>
            </w:tcMar>
          </w:tcPr>
          <w:p>
            <w:r>
              <w:rPr>
                <w:b w:val="false"/>
                <w:bCs w:val="false"/>
                <w:color w:val="222222"/>
                <w:sz w:val="16"/>
                <w:szCs w:val="16"/>
              </w:rPr>
              <w:t xml:space="preserve">10,520.00</w:t>
            </w:r>
          </w:p>
        </w:tc>
        <w:tc>
          <w:tcPr>
            <w:tcW w:type="dxa" w:w="980"/>
            <w:tcMar>
              <w:top w:type="dxa" w:w="34"/>
              <w:left w:type="dxa" w:w="70"/>
              <w:bottom w:type="dxa" w:w="34"/>
              <w:right w:type="dxa" w:w="70"/>
            </w:tcMar>
          </w:tcPr>
          <w:p>
            <w:r>
              <w:rPr>
                <w:b w:val="false"/>
                <w:bCs w:val="false"/>
                <w:color w:val="222222"/>
                <w:sz w:val="16"/>
                <w:szCs w:val="16"/>
              </w:rPr>
              <w:t xml:space="preserve">10,545.00</w:t>
            </w:r>
          </w:p>
        </w:tc>
        <w:tc>
          <w:tcPr>
            <w:tcW w:type="dxa" w:w="980"/>
            <w:tcMar>
              <w:top w:type="dxa" w:w="34"/>
              <w:left w:type="dxa" w:w="70"/>
              <w:bottom w:type="dxa" w:w="34"/>
              <w:right w:type="dxa" w:w="70"/>
            </w:tcMar>
          </w:tcPr>
          <w:p>
            <w:r>
              <w:rPr>
                <w:b w:val="false"/>
                <w:bCs w:val="false"/>
                <w:color w:val="222222"/>
                <w:sz w:val="16"/>
                <w:szCs w:val="16"/>
              </w:rPr>
              <w:t xml:space="preserve">10,433.12</w:t>
            </w:r>
          </w:p>
        </w:tc>
        <w:tc>
          <w:tcPr>
            <w:tcW w:type="dxa" w:w="1030"/>
            <w:tcMar>
              <w:top w:type="dxa" w:w="34"/>
              <w:left w:type="dxa" w:w="70"/>
              <w:bottom w:type="dxa" w:w="34"/>
              <w:right w:type="dxa" w:w="70"/>
            </w:tcMar>
          </w:tcPr>
          <w:p>
            <w:r>
              <w:rPr>
                <w:b/>
                <w:bCs/>
                <w:color w:val="222222"/>
                <w:sz w:val="16"/>
                <w:szCs w:val="16"/>
              </w:rPr>
              <w:t xml:space="preserve">10,519.00</w:t>
            </w:r>
          </w:p>
        </w:tc>
        <w:tc>
          <w:tcPr>
            <w:tcW w:type="dxa" w:w="700"/>
            <w:tcMar>
              <w:top w:type="dxa" w:w="34"/>
              <w:left w:type="dxa" w:w="70"/>
              <w:bottom w:type="dxa" w:w="34"/>
              <w:right w:type="dxa" w:w="70"/>
            </w:tcMar>
          </w:tcPr>
          <w:p>
            <w:r>
              <w:rPr>
                <w:b w:val="false"/>
                <w:bCs w:val="false"/>
                <w:color w:val="222222"/>
                <w:sz w:val="16"/>
                <w:szCs w:val="16"/>
              </w:rPr>
              <w:t xml:space="preserve">6.8</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980"/>
            <w:tcMar>
              <w:top w:type="dxa" w:w="34"/>
              <w:left w:type="dxa" w:w="70"/>
              <w:bottom w:type="dxa" w:w="34"/>
              <w:right w:type="dxa" w:w="70"/>
            </w:tcMar>
          </w:tcPr>
          <w:p>
            <w:r>
              <w:rPr>
                <w:b w:val="false"/>
                <w:bCs w:val="false"/>
                <w:color w:val="222222"/>
                <w:sz w:val="16"/>
                <w:szCs w:val="16"/>
              </w:rPr>
              <w:t xml:space="preserve">Investing</w:t>
            </w:r>
          </w:p>
        </w:tc>
        <w:tc>
          <w:tcPr>
            <w:tcW w:type="dxa" w:w="980"/>
            <w:tcMar>
              <w:top w:type="dxa" w:w="34"/>
              <w:left w:type="dxa" w:w="70"/>
              <w:bottom w:type="dxa" w:w="34"/>
              <w:right w:type="dxa" w:w="70"/>
            </w:tcMar>
          </w:tcPr>
          <w:p>
            <w:r>
              <w:rPr>
                <w:b w:val="false"/>
                <w:bCs w:val="false"/>
                <w:color w:val="222222"/>
                <w:sz w:val="16"/>
                <w:szCs w:val="16"/>
              </w:rPr>
              <w:t xml:space="preserve">Yahoo</w:t>
            </w:r>
          </w:p>
        </w:tc>
        <w:tc>
          <w:tcPr>
            <w:tcW w:type="dxa" w:w="940"/>
            <w:tcMar>
              <w:top w:type="dxa" w:w="34"/>
              <w:left w:type="dxa" w:w="70"/>
              <w:bottom w:type="dxa" w:w="34"/>
              <w:right w:type="dxa" w:w="70"/>
            </w:tcMar>
          </w:tcPr>
          <w:p>
            <w:r>
              <w:rPr>
                <w:b w:val="false"/>
                <w:bCs w:val="false"/>
                <w:color w:val="222222"/>
                <w:sz w:val="16"/>
                <w:szCs w:val="16"/>
              </w:rPr>
              <w:t xml:space="preserve">CORROBORATED (Δ≈0.0)</w:t>
            </w:r>
          </w:p>
        </w:tc>
      </w:tr>
      <w:tr>
        <w:tc>
          <w:tcPr>
            <w:tcW w:type="dxa" w:w="900"/>
            <w:tcMar>
              <w:top w:type="dxa" w:w="34"/>
              <w:left w:type="dxa" w:w="70"/>
              <w:bottom w:type="dxa" w:w="34"/>
              <w:right w:type="dxa" w:w="70"/>
            </w:tcMar>
          </w:tcPr>
          <w:p>
            <w:r>
              <w:rPr>
                <w:b w:val="false"/>
                <w:bCs w:val="false"/>
                <w:color w:val="222222"/>
                <w:sz w:val="16"/>
                <w:szCs w:val="16"/>
              </w:rPr>
              <w:t xml:space="preserve">15 Jul</w:t>
            </w:r>
          </w:p>
        </w:tc>
        <w:tc>
          <w:tcPr>
            <w:tcW w:type="dxa" w:w="980"/>
            <w:tcMar>
              <w:top w:type="dxa" w:w="34"/>
              <w:left w:type="dxa" w:w="70"/>
              <w:bottom w:type="dxa" w:w="34"/>
              <w:right w:type="dxa" w:w="70"/>
            </w:tcMar>
          </w:tcPr>
          <w:p>
            <w:r>
              <w:rPr>
                <w:b w:val="false"/>
                <w:bCs w:val="false"/>
                <w:color w:val="222222"/>
                <w:sz w:val="16"/>
                <w:szCs w:val="16"/>
              </w:rPr>
              <w:t xml:space="preserve">10,515.00</w:t>
            </w:r>
          </w:p>
        </w:tc>
        <w:tc>
          <w:tcPr>
            <w:tcW w:type="dxa" w:w="980"/>
            <w:tcMar>
              <w:top w:type="dxa" w:w="34"/>
              <w:left w:type="dxa" w:w="70"/>
              <w:bottom w:type="dxa" w:w="34"/>
              <w:right w:type="dxa" w:w="70"/>
            </w:tcMar>
          </w:tcPr>
          <w:p>
            <w:r>
              <w:rPr>
                <w:b w:val="false"/>
                <w:bCs w:val="false"/>
                <w:color w:val="222222"/>
                <w:sz w:val="16"/>
                <w:szCs w:val="16"/>
              </w:rPr>
              <w:t xml:space="preserve">10,545.00</w:t>
            </w:r>
          </w:p>
        </w:tc>
        <w:tc>
          <w:tcPr>
            <w:tcW w:type="dxa" w:w="980"/>
            <w:tcMar>
              <w:top w:type="dxa" w:w="34"/>
              <w:left w:type="dxa" w:w="70"/>
              <w:bottom w:type="dxa" w:w="34"/>
              <w:right w:type="dxa" w:w="70"/>
            </w:tcMar>
          </w:tcPr>
          <w:p>
            <w:r>
              <w:rPr>
                <w:b w:val="false"/>
                <w:bCs w:val="false"/>
                <w:color w:val="222222"/>
                <w:sz w:val="16"/>
                <w:szCs w:val="16"/>
              </w:rPr>
              <w:t xml:space="preserve">10,455.00</w:t>
            </w:r>
          </w:p>
        </w:tc>
        <w:tc>
          <w:tcPr>
            <w:tcW w:type="dxa" w:w="1030"/>
            <w:tcMar>
              <w:top w:type="dxa" w:w="34"/>
              <w:left w:type="dxa" w:w="70"/>
              <w:bottom w:type="dxa" w:w="34"/>
              <w:right w:type="dxa" w:w="70"/>
            </w:tcMar>
          </w:tcPr>
          <w:p>
            <w:r>
              <w:rPr>
                <w:b/>
                <w:bCs/>
                <w:color w:val="222222"/>
                <w:sz w:val="16"/>
                <w:szCs w:val="16"/>
              </w:rPr>
              <w:t xml:space="preserve">10,515.92</w:t>
            </w:r>
          </w:p>
        </w:tc>
        <w:tc>
          <w:tcPr>
            <w:tcW w:type="dxa" w:w="700"/>
            <w:tcMar>
              <w:top w:type="dxa" w:w="34"/>
              <w:left w:type="dxa" w:w="70"/>
              <w:bottom w:type="dxa" w:w="34"/>
              <w:right w:type="dxa" w:w="70"/>
            </w:tcMar>
          </w:tcPr>
          <w:p>
            <w:r>
              <w:rPr>
                <w:b w:val="false"/>
                <w:bCs w:val="false"/>
                <w:color w:val="222222"/>
                <w:sz w:val="16"/>
                <w:szCs w:val="16"/>
              </w:rPr>
              <w:t xml:space="preserve">6.6</w:t>
            </w:r>
          </w:p>
        </w:tc>
        <w:tc>
          <w:tcPr>
            <w:tcW w:type="dxa" w:w="900"/>
            <w:tcMar>
              <w:top w:type="dxa" w:w="34"/>
              <w:left w:type="dxa" w:w="70"/>
              <w:bottom w:type="dxa" w:w="34"/>
              <w:right w:type="dxa" w:w="70"/>
            </w:tcMar>
          </w:tcPr>
          <w:p>
            <w:r>
              <w:rPr>
                <w:b w:val="false"/>
                <w:bCs w:val="false"/>
                <w:color w:val="222222"/>
                <w:sz w:val="16"/>
                <w:szCs w:val="16"/>
              </w:rPr>
              <w:t xml:space="preserve">Neutral</w:t>
            </w:r>
          </w:p>
        </w:tc>
        <w:tc>
          <w:tcPr>
            <w:tcW w:type="dxa" w:w="980"/>
            <w:tcMar>
              <w:top w:type="dxa" w:w="34"/>
              <w:left w:type="dxa" w:w="70"/>
              <w:bottom w:type="dxa" w:w="34"/>
              <w:right w:type="dxa" w:w="70"/>
            </w:tcMar>
          </w:tcPr>
          <w:p>
            <w:r>
              <w:rPr>
                <w:b w:val="false"/>
                <w:bCs w:val="false"/>
                <w:color w:val="222222"/>
                <w:sz w:val="16"/>
                <w:szCs w:val="16"/>
              </w:rPr>
              <w:t xml:space="preserve">Sun.Guardian</w:t>
            </w:r>
          </w:p>
        </w:tc>
        <w:tc>
          <w:tcPr>
            <w:tcW w:type="dxa" w:w="980"/>
            <w:tcMar>
              <w:top w:type="dxa" w:w="34"/>
              <w:left w:type="dxa" w:w="70"/>
              <w:bottom w:type="dxa" w:w="34"/>
              <w:right w:type="dxa" w:w="70"/>
            </w:tcMar>
          </w:tcPr>
          <w:p>
            <w:r>
              <w:rPr>
                <w:b w:val="false"/>
                <w:bCs w:val="false"/>
                <w:color w:val="222222"/>
                <w:sz w:val="16"/>
                <w:szCs w:val="16"/>
              </w:rPr>
              <w:t xml:space="preserve">Investing</w:t>
            </w:r>
          </w:p>
        </w:tc>
        <w:tc>
          <w:tcPr>
            <w:tcW w:type="dxa" w:w="940"/>
            <w:tcMar>
              <w:top w:type="dxa" w:w="34"/>
              <w:left w:type="dxa" w:w="70"/>
              <w:bottom w:type="dxa" w:w="34"/>
              <w:right w:type="dxa" w:w="70"/>
            </w:tcMar>
          </w:tcPr>
          <w:p>
            <w:r>
              <w:rPr>
                <w:b w:val="false"/>
                <w:bCs w:val="false"/>
                <w:color w:val="222222"/>
                <w:sz w:val="16"/>
                <w:szCs w:val="16"/>
              </w:rPr>
              <w:t xml:space="preserve">CORROBORATED (Δ≈0.1)</w:t>
            </w:r>
          </w:p>
        </w:tc>
      </w:tr>
      <w:tr>
        <w:tc>
          <w:tcPr>
            <w:tcW w:type="dxa" w:w="900"/>
            <w:tcMar>
              <w:top w:type="dxa" w:w="34"/>
              <w:left w:type="dxa" w:w="70"/>
              <w:bottom w:type="dxa" w:w="34"/>
              <w:right w:type="dxa" w:w="70"/>
            </w:tcMar>
          </w:tcPr>
          <w:p>
            <w:r>
              <w:rPr>
                <w:b w:val="false"/>
                <w:bCs w:val="false"/>
                <w:color w:val="222222"/>
                <w:sz w:val="16"/>
                <w:szCs w:val="16"/>
              </w:rPr>
              <w:t xml:space="preserve">16 Jul</w:t>
            </w:r>
          </w:p>
        </w:tc>
        <w:tc>
          <w:tcPr>
            <w:tcW w:type="dxa" w:w="980"/>
            <w:tcMar>
              <w:top w:type="dxa" w:w="34"/>
              <w:left w:type="dxa" w:w="70"/>
              <w:bottom w:type="dxa" w:w="34"/>
              <w:right w:type="dxa" w:w="70"/>
            </w:tcMar>
          </w:tcPr>
          <w:p>
            <w:r>
              <w:rPr>
                <w:b w:val="false"/>
                <w:bCs w:val="false"/>
                <w:color w:val="222222"/>
                <w:sz w:val="16"/>
                <w:szCs w:val="16"/>
              </w:rPr>
              <w:t xml:space="preserve">10,515.92</w:t>
            </w:r>
          </w:p>
        </w:tc>
        <w:tc>
          <w:tcPr>
            <w:tcW w:type="dxa" w:w="980"/>
            <w:tcMar>
              <w:top w:type="dxa" w:w="34"/>
              <w:left w:type="dxa" w:w="70"/>
              <w:bottom w:type="dxa" w:w="34"/>
              <w:right w:type="dxa" w:w="70"/>
            </w:tcMar>
          </w:tcPr>
          <w:p>
            <w:r>
              <w:rPr>
                <w:b w:val="false"/>
                <w:bCs w:val="false"/>
                <w:color w:val="222222"/>
                <w:sz w:val="16"/>
                <w:szCs w:val="16"/>
              </w:rPr>
              <w:t xml:space="preserve">10,572.24</w:t>
            </w:r>
          </w:p>
        </w:tc>
        <w:tc>
          <w:tcPr>
            <w:tcW w:type="dxa" w:w="980"/>
            <w:tcMar>
              <w:top w:type="dxa" w:w="34"/>
              <w:left w:type="dxa" w:w="70"/>
              <w:bottom w:type="dxa" w:w="34"/>
              <w:right w:type="dxa" w:w="70"/>
            </w:tcMar>
          </w:tcPr>
          <w:p>
            <w:r>
              <w:rPr>
                <w:b w:val="false"/>
                <w:bCs w:val="false"/>
                <w:color w:val="222222"/>
                <w:sz w:val="16"/>
                <w:szCs w:val="16"/>
              </w:rPr>
              <w:t xml:space="preserve">10,471.97</w:t>
            </w:r>
          </w:p>
        </w:tc>
        <w:tc>
          <w:tcPr>
            <w:tcW w:type="dxa" w:w="1030"/>
            <w:tcMar>
              <w:top w:type="dxa" w:w="34"/>
              <w:left w:type="dxa" w:w="70"/>
              <w:bottom w:type="dxa" w:w="34"/>
              <w:right w:type="dxa" w:w="70"/>
            </w:tcMar>
          </w:tcPr>
          <w:p>
            <w:r>
              <w:rPr>
                <w:b/>
                <w:bCs/>
                <w:color w:val="222222"/>
                <w:sz w:val="16"/>
                <w:szCs w:val="16"/>
              </w:rPr>
              <w:t xml:space="preserve">10,572.24</w:t>
            </w:r>
          </w:p>
        </w:tc>
        <w:tc>
          <w:tcPr>
            <w:tcW w:type="dxa" w:w="700"/>
            <w:tcMar>
              <w:top w:type="dxa" w:w="34"/>
              <w:left w:type="dxa" w:w="70"/>
              <w:bottom w:type="dxa" w:w="34"/>
              <w:right w:type="dxa" w:w="70"/>
            </w:tcMar>
          </w:tcPr>
          <w:p>
            <w:r>
              <w:rPr>
                <w:b w:val="false"/>
                <w:bCs w:val="false"/>
                <w:color w:val="222222"/>
                <w:sz w:val="16"/>
                <w:szCs w:val="16"/>
              </w:rPr>
              <w:t xml:space="preserve">49.5</w:t>
            </w:r>
          </w:p>
        </w:tc>
        <w:tc>
          <w:tcPr>
            <w:tcW w:type="dxa" w:w="900"/>
            <w:tcMar>
              <w:top w:type="dxa" w:w="34"/>
              <w:left w:type="dxa" w:w="70"/>
              <w:bottom w:type="dxa" w:w="34"/>
              <w:right w:type="dxa" w:w="70"/>
            </w:tcMar>
          </w:tcPr>
          <w:p>
            <w:r>
              <w:rPr>
                <w:b w:val="false"/>
                <w:bCs w:val="false"/>
                <w:color w:val="222222"/>
                <w:sz w:val="16"/>
                <w:szCs w:val="16"/>
              </w:rPr>
              <w:t xml:space="preserve">Neutral</w:t>
            </w:r>
          </w:p>
        </w:tc>
        <w:tc>
          <w:tcPr>
            <w:tcW w:type="dxa" w:w="980"/>
            <w:tcMar>
              <w:top w:type="dxa" w:w="34"/>
              <w:left w:type="dxa" w:w="70"/>
              <w:bottom w:type="dxa" w:w="34"/>
              <w:right w:type="dxa" w:w="70"/>
            </w:tcMar>
          </w:tcPr>
          <w:p>
            <w:r>
              <w:rPr>
                <w:b w:val="false"/>
                <w:bCs w:val="false"/>
                <w:color w:val="222222"/>
                <w:sz w:val="16"/>
                <w:szCs w:val="16"/>
              </w:rPr>
              <w:t xml:space="preserve">Yahoo</w:t>
            </w:r>
          </w:p>
        </w:tc>
        <w:tc>
          <w:tcPr>
            <w:tcW w:type="dxa" w:w="980"/>
            <w:tcMar>
              <w:top w:type="dxa" w:w="34"/>
              <w:left w:type="dxa" w:w="70"/>
              <w:bottom w:type="dxa" w:w="34"/>
              <w:right w:type="dxa" w:w="70"/>
            </w:tcMar>
          </w:tcPr>
          <w:p>
            <w:r>
              <w:rPr>
                <w:b w:val="false"/>
                <w:bCs w:val="false"/>
                <w:color w:val="222222"/>
                <w:sz w:val="16"/>
                <w:szCs w:val="16"/>
              </w:rPr>
              <w:t xml:space="preserve">Investing</w:t>
            </w:r>
          </w:p>
        </w:tc>
        <w:tc>
          <w:tcPr>
            <w:tcW w:type="dxa" w:w="940"/>
            <w:tcMar>
              <w:top w:type="dxa" w:w="34"/>
              <w:left w:type="dxa" w:w="70"/>
              <w:bottom w:type="dxa" w:w="34"/>
              <w:right w:type="dxa" w:w="70"/>
            </w:tcMar>
          </w:tcPr>
          <w:p>
            <w:r>
              <w:rPr>
                <w:b w:val="false"/>
                <w:bCs w:val="false"/>
                <w:color w:val="222222"/>
                <w:sz w:val="16"/>
                <w:szCs w:val="16"/>
              </w:rPr>
              <w:t xml:space="preserve">CORROBORATED (Δ≈0.0)</w:t>
            </w:r>
          </w:p>
        </w:tc>
      </w:tr>
      <w:tr>
        <w:tc>
          <w:tcPr>
            <w:tcW w:type="dxa" w:w="900"/>
            <w:tcMar>
              <w:top w:type="dxa" w:w="34"/>
              <w:left w:type="dxa" w:w="70"/>
              <w:bottom w:type="dxa" w:w="34"/>
              <w:right w:type="dxa" w:w="70"/>
            </w:tcMar>
          </w:tcPr>
          <w:p>
            <w:r>
              <w:rPr>
                <w:b w:val="false"/>
                <w:bCs w:val="false"/>
                <w:color w:val="222222"/>
                <w:sz w:val="16"/>
                <w:szCs w:val="16"/>
              </w:rPr>
              <w:t xml:space="preserve">17 Jul</w:t>
            </w:r>
          </w:p>
        </w:tc>
        <w:tc>
          <w:tcPr>
            <w:tcW w:type="dxa" w:w="980"/>
            <w:tcMar>
              <w:top w:type="dxa" w:w="34"/>
              <w:left w:type="dxa" w:w="70"/>
              <w:bottom w:type="dxa" w:w="34"/>
              <w:right w:type="dxa" w:w="70"/>
            </w:tcMar>
          </w:tcPr>
          <w:p>
            <w:r>
              <w:rPr>
                <w:b w:val="false"/>
                <w:bCs w:val="false"/>
                <w:color w:val="222222"/>
                <w:sz w:val="16"/>
                <w:szCs w:val="16"/>
              </w:rPr>
              <w:t xml:space="preserve">10,572.39</w:t>
            </w:r>
          </w:p>
        </w:tc>
        <w:tc>
          <w:tcPr>
            <w:tcW w:type="dxa" w:w="980"/>
            <w:tcMar>
              <w:top w:type="dxa" w:w="34"/>
              <w:left w:type="dxa" w:w="70"/>
              <w:bottom w:type="dxa" w:w="34"/>
              <w:right w:type="dxa" w:w="70"/>
            </w:tcMar>
          </w:tcPr>
          <w:p>
            <w:r>
              <w:rPr>
                <w:b w:val="false"/>
                <w:bCs w:val="false"/>
                <w:color w:val="222222"/>
                <w:sz w:val="16"/>
                <w:szCs w:val="16"/>
              </w:rPr>
              <w:t xml:space="preserve">10,623.69</w:t>
            </w:r>
          </w:p>
        </w:tc>
        <w:tc>
          <w:tcPr>
            <w:tcW w:type="dxa" w:w="980"/>
            <w:tcMar>
              <w:top w:type="dxa" w:w="34"/>
              <w:left w:type="dxa" w:w="70"/>
              <w:bottom w:type="dxa" w:w="34"/>
              <w:right w:type="dxa" w:w="70"/>
            </w:tcMar>
          </w:tcPr>
          <w:p>
            <w:r>
              <w:rPr>
                <w:b w:val="false"/>
                <w:bCs w:val="false"/>
                <w:color w:val="222222"/>
                <w:sz w:val="16"/>
                <w:szCs w:val="16"/>
              </w:rPr>
              <w:t xml:space="preserve">10,527.65</w:t>
            </w:r>
          </w:p>
        </w:tc>
        <w:tc>
          <w:tcPr>
            <w:tcW w:type="dxa" w:w="1030"/>
            <w:tcMar>
              <w:top w:type="dxa" w:w="34"/>
              <w:left w:type="dxa" w:w="70"/>
              <w:bottom w:type="dxa" w:w="34"/>
              <w:right w:type="dxa" w:w="70"/>
            </w:tcMar>
          </w:tcPr>
          <w:p>
            <w:r>
              <w:rPr>
                <w:b/>
                <w:bCs/>
                <w:color w:val="222222"/>
                <w:sz w:val="16"/>
                <w:szCs w:val="16"/>
              </w:rPr>
              <w:t xml:space="preserve">10,600.37</w:t>
            </w:r>
          </w:p>
        </w:tc>
        <w:tc>
          <w:tcPr>
            <w:tcW w:type="dxa" w:w="700"/>
            <w:tcMar>
              <w:top w:type="dxa" w:w="34"/>
              <w:left w:type="dxa" w:w="70"/>
              <w:bottom w:type="dxa" w:w="34"/>
              <w:right w:type="dxa" w:w="70"/>
            </w:tcMar>
          </w:tcPr>
          <w:p>
            <w:r>
              <w:rPr>
                <w:b w:val="false"/>
                <w:bCs w:val="false"/>
                <w:color w:val="222222"/>
                <w:sz w:val="16"/>
                <w:szCs w:val="16"/>
              </w:rPr>
              <w:t xml:space="preserve">65.4</w:t>
            </w:r>
          </w:p>
        </w:tc>
        <w:tc>
          <w:tcPr>
            <w:tcW w:type="dxa" w:w="900"/>
            <w:tcMar>
              <w:top w:type="dxa" w:w="34"/>
              <w:left w:type="dxa" w:w="70"/>
              <w:bottom w:type="dxa" w:w="34"/>
              <w:right w:type="dxa" w:w="70"/>
            </w:tcMar>
          </w:tcPr>
          <w:p>
            <w:r>
              <w:rPr>
                <w:b w:val="false"/>
                <w:bCs w:val="false"/>
                <w:color w:val="222222"/>
                <w:sz w:val="16"/>
                <w:szCs w:val="16"/>
              </w:rPr>
              <w:t xml:space="preserve">Bullish</w:t>
            </w:r>
          </w:p>
        </w:tc>
        <w:tc>
          <w:tcPr>
            <w:tcW w:type="dxa" w:w="980"/>
            <w:tcMar>
              <w:top w:type="dxa" w:w="34"/>
              <w:left w:type="dxa" w:w="70"/>
              <w:bottom w:type="dxa" w:w="34"/>
              <w:right w:type="dxa" w:w="70"/>
            </w:tcMar>
          </w:tcPr>
          <w:p>
            <w:r>
              <w:rPr>
                <w:b w:val="false"/>
                <w:bCs w:val="false"/>
                <w:color w:val="222222"/>
                <w:sz w:val="16"/>
                <w:szCs w:val="16"/>
              </w:rPr>
              <w:t xml:space="preserve">Yahoo</w:t>
            </w:r>
          </w:p>
        </w:tc>
        <w:tc>
          <w:tcPr>
            <w:tcW w:type="dxa" w:w="980"/>
            <w:tcMar>
              <w:top w:type="dxa" w:w="34"/>
              <w:left w:type="dxa" w:w="70"/>
              <w:bottom w:type="dxa" w:w="34"/>
              <w:right w:type="dxa" w:w="70"/>
            </w:tcMar>
          </w:tcPr>
          <w:p>
            <w:r>
              <w:rPr>
                <w:b w:val="false"/>
                <w:bCs w:val="false"/>
                <w:color w:val="222222"/>
                <w:sz w:val="16"/>
                <w:szCs w:val="16"/>
              </w:rPr>
              <w:t xml:space="preserve">Investing</w:t>
            </w:r>
          </w:p>
        </w:tc>
        <w:tc>
          <w:tcPr>
            <w:tcW w:type="dxa" w:w="940"/>
            <w:tcMar>
              <w:top w:type="dxa" w:w="34"/>
              <w:left w:type="dxa" w:w="70"/>
              <w:bottom w:type="dxa" w:w="34"/>
              <w:right w:type="dxa" w:w="70"/>
            </w:tcMar>
          </w:tcPr>
          <w:p>
            <w:r>
              <w:rPr>
                <w:b w:val="false"/>
                <w:bCs w:val="false"/>
                <w:color w:val="222222"/>
                <w:sz w:val="16"/>
                <w:szCs w:val="16"/>
              </w:rPr>
              <w:t xml:space="preserve">CORROBORATED (Δ≈0.0)</w:t>
            </w:r>
          </w:p>
        </w:tc>
      </w:tr>
      <w:tr>
        <w:tc>
          <w:tcPr>
            <w:tcW w:type="dxa" w:w="900"/>
            <w:tcMar>
              <w:top w:type="dxa" w:w="34"/>
              <w:left w:type="dxa" w:w="70"/>
              <w:bottom w:type="dxa" w:w="34"/>
              <w:right w:type="dxa" w:w="70"/>
            </w:tcMar>
          </w:tcPr>
          <w:p>
            <w:r>
              <w:rPr>
                <w:b w:val="false"/>
                <w:bCs w:val="false"/>
                <w:color w:val="222222"/>
                <w:sz w:val="16"/>
                <w:szCs w:val="16"/>
              </w:rPr>
              <w:t xml:space="preserve">20 Jul</w:t>
            </w:r>
          </w:p>
        </w:tc>
        <w:tc>
          <w:tcPr>
            <w:tcW w:type="dxa" w:w="980"/>
            <w:tcMar>
              <w:top w:type="dxa" w:w="34"/>
              <w:left w:type="dxa" w:w="70"/>
              <w:bottom w:type="dxa" w:w="34"/>
              <w:right w:type="dxa" w:w="70"/>
            </w:tcMar>
          </w:tcPr>
          <w:p>
            <w:r>
              <w:rPr>
                <w:b w:val="false"/>
                <w:bCs w:val="false"/>
                <w:color w:val="222222"/>
                <w:sz w:val="16"/>
                <w:szCs w:val="16"/>
              </w:rPr>
              <w:t xml:space="preserve">10,600.00</w:t>
            </w:r>
          </w:p>
        </w:tc>
        <w:tc>
          <w:tcPr>
            <w:tcW w:type="dxa" w:w="980"/>
            <w:tcMar>
              <w:top w:type="dxa" w:w="34"/>
              <w:left w:type="dxa" w:w="70"/>
              <w:bottom w:type="dxa" w:w="34"/>
              <w:right w:type="dxa" w:w="70"/>
            </w:tcMar>
          </w:tcPr>
          <w:p>
            <w:r>
              <w:rPr>
                <w:b w:val="false"/>
                <w:bCs w:val="false"/>
                <w:color w:val="222222"/>
                <w:sz w:val="16"/>
                <w:szCs w:val="16"/>
              </w:rPr>
              <w:t xml:space="preserve">10,600.37</w:t>
            </w:r>
          </w:p>
        </w:tc>
        <w:tc>
          <w:tcPr>
            <w:tcW w:type="dxa" w:w="980"/>
            <w:tcMar>
              <w:top w:type="dxa" w:w="34"/>
              <w:left w:type="dxa" w:w="70"/>
              <w:bottom w:type="dxa" w:w="34"/>
              <w:right w:type="dxa" w:w="70"/>
            </w:tcMar>
          </w:tcPr>
          <w:p>
            <w:r>
              <w:rPr>
                <w:b w:val="false"/>
                <w:bCs w:val="false"/>
                <w:color w:val="222222"/>
                <w:sz w:val="16"/>
                <w:szCs w:val="16"/>
              </w:rPr>
              <w:t xml:space="preserve">10,505.00</w:t>
            </w:r>
          </w:p>
        </w:tc>
        <w:tc>
          <w:tcPr>
            <w:tcW w:type="dxa" w:w="1030"/>
            <w:tcMar>
              <w:top w:type="dxa" w:w="34"/>
              <w:left w:type="dxa" w:w="70"/>
              <w:bottom w:type="dxa" w:w="34"/>
              <w:right w:type="dxa" w:w="70"/>
            </w:tcMar>
          </w:tcPr>
          <w:p>
            <w:r>
              <w:rPr>
                <w:b/>
                <w:bCs/>
                <w:color w:val="222222"/>
                <w:sz w:val="16"/>
                <w:szCs w:val="16"/>
              </w:rPr>
              <w:t xml:space="preserve">10,524.76</w:t>
            </w:r>
          </w:p>
        </w:tc>
        <w:tc>
          <w:tcPr>
            <w:tcW w:type="dxa" w:w="700"/>
            <w:tcMar>
              <w:top w:type="dxa" w:w="34"/>
              <w:left w:type="dxa" w:w="70"/>
              <w:bottom w:type="dxa" w:w="34"/>
              <w:right w:type="dxa" w:w="70"/>
            </w:tcMar>
          </w:tcPr>
          <w:p>
            <w:r>
              <w:rPr>
                <w:b w:val="false"/>
                <w:bCs w:val="false"/>
                <w:color w:val="222222"/>
                <w:sz w:val="16"/>
                <w:szCs w:val="16"/>
              </w:rPr>
              <w:t xml:space="preserve">24.3</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980"/>
            <w:tcMar>
              <w:top w:type="dxa" w:w="34"/>
              <w:left w:type="dxa" w:w="70"/>
              <w:bottom w:type="dxa" w:w="34"/>
              <w:right w:type="dxa" w:w="70"/>
            </w:tcMar>
          </w:tcPr>
          <w:p>
            <w:r>
              <w:rPr>
                <w:b w:val="false"/>
                <w:bCs w:val="false"/>
                <w:color w:val="222222"/>
                <w:sz w:val="16"/>
                <w:szCs w:val="16"/>
              </w:rPr>
              <w:t xml:space="preserve">Alliance</w:t>
            </w:r>
          </w:p>
        </w:tc>
        <w:tc>
          <w:tcPr>
            <w:tcW w:type="dxa" w:w="980"/>
            <w:tcMar>
              <w:top w:type="dxa" w:w="34"/>
              <w:left w:type="dxa" w:w="70"/>
              <w:bottom w:type="dxa" w:w="34"/>
              <w:right w:type="dxa" w:w="70"/>
            </w:tcMar>
          </w:tcPr>
          <w:p>
            <w:r>
              <w:rPr>
                <w:b w:val="false"/>
                <w:bCs w:val="false"/>
                <w:color w:val="222222"/>
                <w:sz w:val="16"/>
                <w:szCs w:val="16"/>
              </w:rPr>
              <w:t xml:space="preserve">Proactive</w:t>
            </w:r>
          </w:p>
        </w:tc>
        <w:tc>
          <w:tcPr>
            <w:tcW w:type="dxa" w:w="940"/>
            <w:tcMar>
              <w:top w:type="dxa" w:w="34"/>
              <w:left w:type="dxa" w:w="70"/>
              <w:bottom w:type="dxa" w:w="34"/>
              <w:right w:type="dxa" w:w="70"/>
            </w:tcMar>
          </w:tcPr>
          <w:p>
            <w:r>
              <w:rPr>
                <w:b w:val="false"/>
                <w:bCs w:val="false"/>
                <w:color w:val="222222"/>
                <w:sz w:val="16"/>
                <w:szCs w:val="16"/>
              </w:rPr>
              <w:t xml:space="preserve">CORROBORATED (Δ≈0.0)</w:t>
            </w:r>
          </w:p>
        </w:tc>
      </w:tr>
    </w:tbl>
    <w:p>
      <w:pPr>
        <w:spacing w:after="140"/>
        <w:jc w:val="center"/>
      </w:pPr>
      <w:r>
        <w:rPr>
          <w:i/>
          <w:iCs/>
          <w:color w:val="555555"/>
          <w:sz w:val="16"/>
          <w:szCs w:val="16"/>
        </w:rPr>
        <w:t xml:space="preserve">Close corroborated by two independent cash sources per session. Intraday Open/High/Low for older sessions are dual-sourced where available; 15 Jul High/Low carry a wider indicative band and are used for context, not as definitive pivot inputs.</w:t>
      </w:r>
    </w:p>
    <w:p>
      <w:pPr>
        <w:pStyle w:val="Heading2"/>
        <w:spacing w:after="80" w:before="180"/>
      </w:pPr>
      <w:r>
        <w:rPr>
          <w:b/>
          <w:bCs/>
          <w:color w:val="178A5C"/>
          <w:sz w:val="24"/>
          <w:szCs w:val="24"/>
        </w:rPr>
        <w:t xml:space="preserve">EURO STOXX 50 (^STOXX50E) — secondary (condensed)</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980"/>
        <w:gridCol w:w="1080"/>
        <w:gridCol w:w="1080"/>
        <w:gridCol w:w="1080"/>
        <w:gridCol w:w="1080"/>
        <w:gridCol w:w="820"/>
        <w:gridCol w:w="940"/>
        <w:gridCol w:w="2300"/>
      </w:tblGrid>
      <w:tr>
        <w:trPr>
          <w:tblHeader/>
        </w:trPr>
        <w:tc>
          <w:tcPr>
            <w:tcW w:type="dxa" w:w="980"/>
            <w:shd w:fill="1F3A63" w:color="auto" w:val="clear"/>
            <w:tcMar>
              <w:top w:type="dxa" w:w="40"/>
              <w:left w:type="dxa" w:w="70"/>
              <w:bottom w:type="dxa" w:w="40"/>
              <w:right w:type="dxa" w:w="70"/>
            </w:tcMar>
          </w:tcPr>
          <w:p>
            <w:r>
              <w:rPr>
                <w:b/>
                <w:bCs/>
                <w:color w:val="FFFFFF"/>
                <w:sz w:val="17"/>
                <w:szCs w:val="17"/>
              </w:rPr>
              <w:t xml:space="preserve">Date</w:t>
            </w:r>
          </w:p>
        </w:tc>
        <w:tc>
          <w:tcPr>
            <w:tcW w:type="dxa" w:w="1080"/>
            <w:shd w:fill="1F3A63" w:color="auto" w:val="clear"/>
            <w:tcMar>
              <w:top w:type="dxa" w:w="40"/>
              <w:left w:type="dxa" w:w="70"/>
              <w:bottom w:type="dxa" w:w="40"/>
              <w:right w:type="dxa" w:w="70"/>
            </w:tcMar>
          </w:tcPr>
          <w:p>
            <w:r>
              <w:rPr>
                <w:b/>
                <w:bCs/>
                <w:color w:val="FFFFFF"/>
                <w:sz w:val="17"/>
                <w:szCs w:val="17"/>
              </w:rPr>
              <w:t xml:space="preserve">Open</w:t>
            </w:r>
          </w:p>
        </w:tc>
        <w:tc>
          <w:tcPr>
            <w:tcW w:type="dxa" w:w="1080"/>
            <w:shd w:fill="1F3A63" w:color="auto" w:val="clear"/>
            <w:tcMar>
              <w:top w:type="dxa" w:w="40"/>
              <w:left w:type="dxa" w:w="70"/>
              <w:bottom w:type="dxa" w:w="40"/>
              <w:right w:type="dxa" w:w="70"/>
            </w:tcMar>
          </w:tcPr>
          <w:p>
            <w:r>
              <w:rPr>
                <w:b/>
                <w:bCs/>
                <w:color w:val="FFFFFF"/>
                <w:sz w:val="17"/>
                <w:szCs w:val="17"/>
              </w:rPr>
              <w:t xml:space="preserve">High</w:t>
            </w:r>
          </w:p>
        </w:tc>
        <w:tc>
          <w:tcPr>
            <w:tcW w:type="dxa" w:w="1080"/>
            <w:shd w:fill="1F3A63" w:color="auto" w:val="clear"/>
            <w:tcMar>
              <w:top w:type="dxa" w:w="40"/>
              <w:left w:type="dxa" w:w="70"/>
              <w:bottom w:type="dxa" w:w="40"/>
              <w:right w:type="dxa" w:w="70"/>
            </w:tcMar>
          </w:tcPr>
          <w:p>
            <w:r>
              <w:rPr>
                <w:b/>
                <w:bCs/>
                <w:color w:val="FFFFFF"/>
                <w:sz w:val="17"/>
                <w:szCs w:val="17"/>
              </w:rPr>
              <w:t xml:space="preserve">Low</w:t>
            </w:r>
          </w:p>
        </w:tc>
        <w:tc>
          <w:tcPr>
            <w:tcW w:type="dxa" w:w="1080"/>
            <w:shd w:fill="1F3A63" w:color="auto" w:val="clear"/>
            <w:tcMar>
              <w:top w:type="dxa" w:w="40"/>
              <w:left w:type="dxa" w:w="70"/>
              <w:bottom w:type="dxa" w:w="40"/>
              <w:right w:type="dxa" w:w="70"/>
            </w:tcMar>
          </w:tcPr>
          <w:p>
            <w:r>
              <w:rPr>
                <w:b/>
                <w:bCs/>
                <w:color w:val="FFFFFF"/>
                <w:sz w:val="17"/>
                <w:szCs w:val="17"/>
              </w:rPr>
              <w:t xml:space="preserve">Close</w:t>
            </w:r>
          </w:p>
        </w:tc>
        <w:tc>
          <w:tcPr>
            <w:tcW w:type="dxa" w:w="820"/>
            <w:shd w:fill="1F3A63" w:color="auto" w:val="clear"/>
            <w:tcMar>
              <w:top w:type="dxa" w:w="40"/>
              <w:left w:type="dxa" w:w="70"/>
              <w:bottom w:type="dxa" w:w="40"/>
              <w:right w:type="dxa" w:w="70"/>
            </w:tcMar>
          </w:tcPr>
          <w:p>
            <w:r>
              <w:rPr>
                <w:b/>
                <w:bCs/>
                <w:color w:val="FFFFFF"/>
                <w:sz w:val="17"/>
                <w:szCs w:val="17"/>
              </w:rPr>
              <w:t xml:space="preserve">RSI2</w:t>
            </w:r>
          </w:p>
        </w:tc>
        <w:tc>
          <w:tcPr>
            <w:tcW w:type="dxa" w:w="940"/>
            <w:shd w:fill="1F3A63" w:color="auto" w:val="clear"/>
            <w:tcMar>
              <w:top w:type="dxa" w:w="40"/>
              <w:left w:type="dxa" w:w="70"/>
              <w:bottom w:type="dxa" w:w="40"/>
              <w:right w:type="dxa" w:w="70"/>
            </w:tcMar>
          </w:tcPr>
          <w:p>
            <w:r>
              <w:rPr>
                <w:b/>
                <w:bCs/>
                <w:color w:val="FFFFFF"/>
                <w:sz w:val="17"/>
                <w:szCs w:val="17"/>
              </w:rPr>
              <w:t xml:space="preserve">Trend</w:t>
            </w:r>
          </w:p>
        </w:tc>
        <w:tc>
          <w:tcPr>
            <w:tcW w:type="dxa" w:w="2300"/>
            <w:shd w:fill="1F3A63" w:color="auto" w:val="clear"/>
            <w:tcMar>
              <w:top w:type="dxa" w:w="40"/>
              <w:left w:type="dxa" w:w="70"/>
              <w:bottom w:type="dxa" w:w="40"/>
              <w:right w:type="dxa" w:w="70"/>
            </w:tcMar>
          </w:tcPr>
          <w:p>
            <w:r>
              <w:rPr>
                <w:b/>
                <w:bCs/>
                <w:color w:val="FFFFFF"/>
                <w:sz w:val="17"/>
                <w:szCs w:val="17"/>
              </w:rPr>
              <w:t xml:space="preserve">Validation</w:t>
            </w:r>
          </w:p>
        </w:tc>
      </w:tr>
      <w:tr>
        <w:tc>
          <w:tcPr>
            <w:tcW w:type="dxa" w:w="980"/>
            <w:tcMar>
              <w:top w:type="dxa" w:w="34"/>
              <w:left w:type="dxa" w:w="70"/>
              <w:bottom w:type="dxa" w:w="34"/>
              <w:right w:type="dxa" w:w="70"/>
            </w:tcMar>
          </w:tcPr>
          <w:p>
            <w:r>
              <w:rPr>
                <w:b w:val="false"/>
                <w:bCs w:val="false"/>
                <w:color w:val="222222"/>
                <w:sz w:val="16"/>
                <w:szCs w:val="16"/>
              </w:rPr>
              <w:t xml:space="preserve">16 Jul</w:t>
            </w:r>
          </w:p>
        </w:tc>
        <w:tc>
          <w:tcPr>
            <w:tcW w:type="dxa" w:w="1080"/>
            <w:tcMar>
              <w:top w:type="dxa" w:w="34"/>
              <w:left w:type="dxa" w:w="70"/>
              <w:bottom w:type="dxa" w:w="34"/>
              <w:right w:type="dxa" w:w="70"/>
            </w:tcMar>
          </w:tcPr>
          <w:p>
            <w:r>
              <w:rPr>
                <w:b w:val="false"/>
                <w:bCs w:val="false"/>
                <w:color w:val="222222"/>
                <w:sz w:val="16"/>
                <w:szCs w:val="16"/>
              </w:rPr>
              <w:t xml:space="preserve">6,285</w:t>
            </w:r>
          </w:p>
        </w:tc>
        <w:tc>
          <w:tcPr>
            <w:tcW w:type="dxa" w:w="1080"/>
            <w:tcMar>
              <w:top w:type="dxa" w:w="34"/>
              <w:left w:type="dxa" w:w="70"/>
              <w:bottom w:type="dxa" w:w="34"/>
              <w:right w:type="dxa" w:w="70"/>
            </w:tcMar>
          </w:tcPr>
          <w:p>
            <w:r>
              <w:rPr>
                <w:b w:val="false"/>
                <w:bCs w:val="false"/>
                <w:color w:val="222222"/>
                <w:sz w:val="16"/>
                <w:szCs w:val="16"/>
              </w:rPr>
              <w:t xml:space="preserve">6,300</w:t>
            </w:r>
          </w:p>
        </w:tc>
        <w:tc>
          <w:tcPr>
            <w:tcW w:type="dxa" w:w="1080"/>
            <w:tcMar>
              <w:top w:type="dxa" w:w="34"/>
              <w:left w:type="dxa" w:w="70"/>
              <w:bottom w:type="dxa" w:w="34"/>
              <w:right w:type="dxa" w:w="70"/>
            </w:tcMar>
          </w:tcPr>
          <w:p>
            <w:r>
              <w:rPr>
                <w:b w:val="false"/>
                <w:bCs w:val="false"/>
                <w:color w:val="222222"/>
                <w:sz w:val="16"/>
                <w:szCs w:val="16"/>
              </w:rPr>
              <w:t xml:space="preserve">6,255</w:t>
            </w:r>
          </w:p>
        </w:tc>
        <w:tc>
          <w:tcPr>
            <w:tcW w:type="dxa" w:w="1080"/>
            <w:tcMar>
              <w:top w:type="dxa" w:w="34"/>
              <w:left w:type="dxa" w:w="70"/>
              <w:bottom w:type="dxa" w:w="34"/>
              <w:right w:type="dxa" w:w="70"/>
            </w:tcMar>
          </w:tcPr>
          <w:p>
            <w:r>
              <w:rPr>
                <w:b/>
                <w:bCs/>
                <w:color w:val="222222"/>
                <w:sz w:val="16"/>
                <w:szCs w:val="16"/>
              </w:rPr>
              <w:t xml:space="preserve">6,289</w:t>
            </w:r>
          </w:p>
        </w:tc>
        <w:tc>
          <w:tcPr>
            <w:tcW w:type="dxa" w:w="820"/>
            <w:tcMar>
              <w:top w:type="dxa" w:w="34"/>
              <w:left w:type="dxa" w:w="70"/>
              <w:bottom w:type="dxa" w:w="34"/>
              <w:right w:type="dxa" w:w="70"/>
            </w:tcMar>
          </w:tcPr>
          <w:p>
            <w:r>
              <w:rPr>
                <w:b w:val="false"/>
                <w:bCs w:val="false"/>
                <w:color w:val="222222"/>
                <w:sz w:val="16"/>
                <w:szCs w:val="16"/>
              </w:rPr>
              <w:t xml:space="preserve">52</w:t>
            </w:r>
          </w:p>
        </w:tc>
        <w:tc>
          <w:tcPr>
            <w:tcW w:type="dxa" w:w="940"/>
            <w:tcMar>
              <w:top w:type="dxa" w:w="34"/>
              <w:left w:type="dxa" w:w="70"/>
              <w:bottom w:type="dxa" w:w="34"/>
              <w:right w:type="dxa" w:w="70"/>
            </w:tcMar>
          </w:tcPr>
          <w:p>
            <w:r>
              <w:rPr>
                <w:b w:val="false"/>
                <w:bCs w:val="false"/>
                <w:color w:val="222222"/>
                <w:sz w:val="16"/>
                <w:szCs w:val="16"/>
              </w:rPr>
              <w:t xml:space="preserve">Neutral</w:t>
            </w:r>
          </w:p>
        </w:tc>
        <w:tc>
          <w:tcPr>
            <w:tcW w:type="dxa" w:w="2300"/>
            <w:tcMar>
              <w:top w:type="dxa" w:w="34"/>
              <w:left w:type="dxa" w:w="70"/>
              <w:bottom w:type="dxa" w:w="34"/>
              <w:right w:type="dxa" w:w="70"/>
            </w:tcMar>
          </w:tcPr>
          <w:p>
            <w:r>
              <w:rPr>
                <w:b w:val="false"/>
                <w:bCs w:val="false"/>
                <w:color w:val="222222"/>
                <w:sz w:val="16"/>
                <w:szCs w:val="16"/>
              </w:rPr>
              <w:t xml:space="preserve">CORROBORATED</w:t>
            </w:r>
          </w:p>
        </w:tc>
      </w:tr>
      <w:tr>
        <w:tc>
          <w:tcPr>
            <w:tcW w:type="dxa" w:w="980"/>
            <w:tcMar>
              <w:top w:type="dxa" w:w="34"/>
              <w:left w:type="dxa" w:w="70"/>
              <w:bottom w:type="dxa" w:w="34"/>
              <w:right w:type="dxa" w:w="70"/>
            </w:tcMar>
          </w:tcPr>
          <w:p>
            <w:r>
              <w:rPr>
                <w:b w:val="false"/>
                <w:bCs w:val="false"/>
                <w:color w:val="222222"/>
                <w:sz w:val="16"/>
                <w:szCs w:val="16"/>
              </w:rPr>
              <w:t xml:space="preserve">17 Jul</w:t>
            </w:r>
          </w:p>
        </w:tc>
        <w:tc>
          <w:tcPr>
            <w:tcW w:type="dxa" w:w="1080"/>
            <w:tcMar>
              <w:top w:type="dxa" w:w="34"/>
              <w:left w:type="dxa" w:w="70"/>
              <w:bottom w:type="dxa" w:w="34"/>
              <w:right w:type="dxa" w:w="70"/>
            </w:tcMar>
          </w:tcPr>
          <w:p>
            <w:r>
              <w:rPr>
                <w:b w:val="false"/>
                <w:bCs w:val="false"/>
                <w:color w:val="222222"/>
                <w:sz w:val="16"/>
                <w:szCs w:val="16"/>
              </w:rPr>
              <w:t xml:space="preserve">6,280</w:t>
            </w:r>
          </w:p>
        </w:tc>
        <w:tc>
          <w:tcPr>
            <w:tcW w:type="dxa" w:w="1080"/>
            <w:tcMar>
              <w:top w:type="dxa" w:w="34"/>
              <w:left w:type="dxa" w:w="70"/>
              <w:bottom w:type="dxa" w:w="34"/>
              <w:right w:type="dxa" w:w="70"/>
            </w:tcMar>
          </w:tcPr>
          <w:p>
            <w:r>
              <w:rPr>
                <w:b w:val="false"/>
                <w:bCs w:val="false"/>
                <w:color w:val="222222"/>
                <w:sz w:val="16"/>
                <w:szCs w:val="16"/>
              </w:rPr>
              <w:t xml:space="preserve">6,286</w:t>
            </w:r>
          </w:p>
        </w:tc>
        <w:tc>
          <w:tcPr>
            <w:tcW w:type="dxa" w:w="1080"/>
            <w:tcMar>
              <w:top w:type="dxa" w:w="34"/>
              <w:left w:type="dxa" w:w="70"/>
              <w:bottom w:type="dxa" w:w="34"/>
              <w:right w:type="dxa" w:w="70"/>
            </w:tcMar>
          </w:tcPr>
          <w:p>
            <w:r>
              <w:rPr>
                <w:b w:val="false"/>
                <w:bCs w:val="false"/>
                <w:color w:val="222222"/>
                <w:sz w:val="16"/>
                <w:szCs w:val="16"/>
              </w:rPr>
              <w:t xml:space="preserve">6,222</w:t>
            </w:r>
          </w:p>
        </w:tc>
        <w:tc>
          <w:tcPr>
            <w:tcW w:type="dxa" w:w="1080"/>
            <w:tcMar>
              <w:top w:type="dxa" w:w="34"/>
              <w:left w:type="dxa" w:w="70"/>
              <w:bottom w:type="dxa" w:w="34"/>
              <w:right w:type="dxa" w:w="70"/>
            </w:tcMar>
          </w:tcPr>
          <w:p>
            <w:r>
              <w:rPr>
                <w:b/>
                <w:bCs/>
                <w:color w:val="222222"/>
                <w:sz w:val="16"/>
                <w:szCs w:val="16"/>
              </w:rPr>
              <w:t xml:space="preserve">6,230.87</w:t>
            </w:r>
          </w:p>
        </w:tc>
        <w:tc>
          <w:tcPr>
            <w:tcW w:type="dxa" w:w="820"/>
            <w:tcMar>
              <w:top w:type="dxa" w:w="34"/>
              <w:left w:type="dxa" w:w="70"/>
              <w:bottom w:type="dxa" w:w="34"/>
              <w:right w:type="dxa" w:w="70"/>
            </w:tcMar>
          </w:tcPr>
          <w:p>
            <w:r>
              <w:rPr>
                <w:b w:val="false"/>
                <w:bCs w:val="false"/>
                <w:color w:val="222222"/>
                <w:sz w:val="16"/>
                <w:szCs w:val="16"/>
              </w:rPr>
              <w:t xml:space="preserve">28</w:t>
            </w:r>
          </w:p>
        </w:tc>
        <w:tc>
          <w:tcPr>
            <w:tcW w:type="dxa" w:w="940"/>
            <w:tcMar>
              <w:top w:type="dxa" w:w="34"/>
              <w:left w:type="dxa" w:w="70"/>
              <w:bottom w:type="dxa" w:w="34"/>
              <w:right w:type="dxa" w:w="70"/>
            </w:tcMar>
          </w:tcPr>
          <w:p>
            <w:r>
              <w:rPr>
                <w:b w:val="false"/>
                <w:bCs w:val="false"/>
                <w:color w:val="222222"/>
                <w:sz w:val="16"/>
                <w:szCs w:val="16"/>
              </w:rPr>
              <w:t xml:space="preserve">Bearish</w:t>
            </w:r>
          </w:p>
        </w:tc>
        <w:tc>
          <w:tcPr>
            <w:tcW w:type="dxa" w:w="2300"/>
            <w:tcMar>
              <w:top w:type="dxa" w:w="34"/>
              <w:left w:type="dxa" w:w="70"/>
              <w:bottom w:type="dxa" w:w="34"/>
              <w:right w:type="dxa" w:w="70"/>
            </w:tcMar>
          </w:tcPr>
          <w:p>
            <w:r>
              <w:rPr>
                <w:b w:val="false"/>
                <w:bCs w:val="false"/>
                <w:color w:val="222222"/>
                <w:sz w:val="16"/>
                <w:szCs w:val="16"/>
              </w:rPr>
              <w:t xml:space="preserve">CORROBORATED (Yahoo×TE, −1.1%)</w:t>
            </w:r>
          </w:p>
        </w:tc>
      </w:tr>
      <w:tr>
        <w:tc>
          <w:tcPr>
            <w:tcW w:type="dxa" w:w="980"/>
            <w:tcMar>
              <w:top w:type="dxa" w:w="34"/>
              <w:left w:type="dxa" w:w="70"/>
              <w:bottom w:type="dxa" w:w="34"/>
              <w:right w:type="dxa" w:w="70"/>
            </w:tcMar>
          </w:tcPr>
          <w:p>
            <w:r>
              <w:rPr>
                <w:b w:val="false"/>
                <w:bCs w:val="false"/>
                <w:color w:val="222222"/>
                <w:sz w:val="16"/>
                <w:szCs w:val="16"/>
              </w:rPr>
              <w:t xml:space="preserve">20 Jul</w:t>
            </w:r>
          </w:p>
        </w:tc>
        <w:tc>
          <w:tcPr>
            <w:tcW w:type="dxa" w:w="1080"/>
            <w:tcMar>
              <w:top w:type="dxa" w:w="34"/>
              <w:left w:type="dxa" w:w="70"/>
              <w:bottom w:type="dxa" w:w="34"/>
              <w:right w:type="dxa" w:w="70"/>
            </w:tcMar>
          </w:tcPr>
          <w:p>
            <w:r>
              <w:rPr>
                <w:b w:val="false"/>
                <w:bCs w:val="false"/>
                <w:color w:val="222222"/>
                <w:sz w:val="16"/>
                <w:szCs w:val="16"/>
              </w:rPr>
              <w:t xml:space="preserve">6,258.85</w:t>
            </w:r>
          </w:p>
        </w:tc>
        <w:tc>
          <w:tcPr>
            <w:tcW w:type="dxa" w:w="1080"/>
            <w:tcMar>
              <w:top w:type="dxa" w:w="34"/>
              <w:left w:type="dxa" w:w="70"/>
              <w:bottom w:type="dxa" w:w="34"/>
              <w:right w:type="dxa" w:w="70"/>
            </w:tcMar>
          </w:tcPr>
          <w:p>
            <w:r>
              <w:rPr>
                <w:b w:val="false"/>
                <w:bCs w:val="false"/>
                <w:color w:val="222222"/>
                <w:sz w:val="16"/>
                <w:szCs w:val="16"/>
              </w:rPr>
              <w:t xml:space="preserve">6,266.40</w:t>
            </w:r>
          </w:p>
        </w:tc>
        <w:tc>
          <w:tcPr>
            <w:tcW w:type="dxa" w:w="1080"/>
            <w:tcMar>
              <w:top w:type="dxa" w:w="34"/>
              <w:left w:type="dxa" w:w="70"/>
              <w:bottom w:type="dxa" w:w="34"/>
              <w:right w:type="dxa" w:w="70"/>
            </w:tcMar>
          </w:tcPr>
          <w:p>
            <w:r>
              <w:rPr>
                <w:b w:val="false"/>
                <w:bCs w:val="false"/>
                <w:color w:val="222222"/>
                <w:sz w:val="16"/>
                <w:szCs w:val="16"/>
              </w:rPr>
              <w:t xml:space="preserve">6,227.85</w:t>
            </w:r>
          </w:p>
        </w:tc>
        <w:tc>
          <w:tcPr>
            <w:tcW w:type="dxa" w:w="1080"/>
            <w:tcMar>
              <w:top w:type="dxa" w:w="34"/>
              <w:left w:type="dxa" w:w="70"/>
              <w:bottom w:type="dxa" w:w="34"/>
              <w:right w:type="dxa" w:w="70"/>
            </w:tcMar>
          </w:tcPr>
          <w:p>
            <w:r>
              <w:rPr>
                <w:b/>
                <w:bCs/>
                <w:color w:val="222222"/>
                <w:sz w:val="16"/>
                <w:szCs w:val="16"/>
              </w:rPr>
              <w:t xml:space="preserve">6,265</w:t>
            </w:r>
          </w:p>
        </w:tc>
        <w:tc>
          <w:tcPr>
            <w:tcW w:type="dxa" w:w="820"/>
            <w:tcMar>
              <w:top w:type="dxa" w:w="34"/>
              <w:left w:type="dxa" w:w="70"/>
              <w:bottom w:type="dxa" w:w="34"/>
              <w:right w:type="dxa" w:w="70"/>
            </w:tcMar>
          </w:tcPr>
          <w:p>
            <w:r>
              <w:rPr>
                <w:b w:val="false"/>
                <w:bCs w:val="false"/>
                <w:color w:val="222222"/>
                <w:sz w:val="16"/>
                <w:szCs w:val="16"/>
              </w:rPr>
              <w:t xml:space="preserve">63</w:t>
            </w:r>
          </w:p>
        </w:tc>
        <w:tc>
          <w:tcPr>
            <w:tcW w:type="dxa" w:w="940"/>
            <w:tcMar>
              <w:top w:type="dxa" w:w="34"/>
              <w:left w:type="dxa" w:w="70"/>
              <w:bottom w:type="dxa" w:w="34"/>
              <w:right w:type="dxa" w:w="70"/>
            </w:tcMar>
          </w:tcPr>
          <w:p>
            <w:r>
              <w:rPr>
                <w:b w:val="false"/>
                <w:bCs w:val="false"/>
                <w:color w:val="222222"/>
                <w:sz w:val="16"/>
                <w:szCs w:val="16"/>
              </w:rPr>
              <w:t xml:space="preserve">Bullish</w:t>
            </w:r>
          </w:p>
        </w:tc>
        <w:tc>
          <w:tcPr>
            <w:tcW w:type="dxa" w:w="2300"/>
            <w:tcMar>
              <w:top w:type="dxa" w:w="34"/>
              <w:left w:type="dxa" w:w="70"/>
              <w:bottom w:type="dxa" w:w="34"/>
              <w:right w:type="dxa" w:w="70"/>
            </w:tcMar>
          </w:tcPr>
          <w:p>
            <w:r>
              <w:rPr>
                <w:b w:val="false"/>
                <w:bCs w:val="false"/>
                <w:color w:val="222222"/>
                <w:sz w:val="16"/>
                <w:szCs w:val="16"/>
              </w:rPr>
              <w:t xml:space="preserve">CORROBORATED (Investing×TE, +0.54%)</w:t>
            </w:r>
          </w:p>
        </w:tc>
      </w:tr>
    </w:tbl>
    <w:p>
      <w:pPr>
        <w:spacing w:after="140"/>
        <w:jc w:val="center"/>
      </w:pPr>
      <w:r>
        <w:rPr>
          <w:i/>
          <w:iCs/>
          <w:color w:val="555555"/>
          <w:sz w:val="16"/>
          <w:szCs w:val="16"/>
        </w:rPr>
        <w:t xml:space="preserve">EURO STOXX 50 reported in native index points (EUR). Note the FTSE/STOXX divergence on 20 Jul: STOXX rose ~0.5% while FTSE fell ~0.7% — flagged as a secondary-asset regime divergence (see §8, §10).</w:t>
      </w:r>
    </w:p>
    <w:p>
      <w:pPr>
        <w:pStyle w:val="Heading1"/>
        <w:spacing w:after="120" w:before="260"/>
      </w:pPr>
      <w:r>
        <w:rPr>
          <w:b/>
          <w:bCs/>
          <w:color w:val="178A5C"/>
          <w:sz w:val="28"/>
          <w:szCs w:val="28"/>
        </w:rPr>
        <w:t xml:space="preserve">7 · Charts</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40"/>
        <w:jc w:val="center"/>
      </w:pPr>
      <w:r>
        <w:rPr>
          <w:i/>
          <w:iCs/>
          <w:color w:val="555555"/>
          <w:sz w:val="16"/>
          <w:szCs w:val="16"/>
        </w:rPr>
        <w:t xml:space="preserve">Chart 1 — 5-day candlestick. Green = bullish body, red = bearish. Note the 17 Jul rally rejected at 10,623.69 and Monday's bearish reversal.</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40"/>
        <w:jc w:val="center"/>
      </w:pPr>
      <w:r>
        <w:rPr>
          <w:i/>
          <w:iCs/>
          <w:color w:val="555555"/>
          <w:sz w:val="16"/>
          <w:szCs w:val="16"/>
        </w:rPr>
        <w:t xml:space="preserve">Chart 2 — Distance-from-open. Monday's deep negative close relative to open confirms intraday selling pressure.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40"/>
        <w:jc w:val="center"/>
      </w:pPr>
      <w:r>
        <w:rPr>
          <w:i/>
          <w:iCs/>
          <w:color w:val="555555"/>
          <w:sz w:val="16"/>
          <w:szCs w:val="16"/>
        </w:rPr>
        <w:t xml:space="preserve">Chart 3 — 25-session structure. The index eased from the early-July 10,747 spike into a 10,460–10,620 consolidation.</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40"/>
        <w:jc w:val="center"/>
      </w:pPr>
      <w:r>
        <w:rPr>
          <w:i/>
          <w:iCs/>
          <w:color w:val="555555"/>
          <w:sz w:val="16"/>
          <w:szCs w:val="16"/>
        </w:rPr>
        <w:t xml:space="preserve">Chart 4 — Comparative volatility (ATR / historical z-score). FTSE volatility sits near its midpoint and is flattening; S&amp;P 500 volatility is expanding on the AI sell-off.</w:t>
      </w:r>
    </w:p>
    <w:p>
      <w:pPr>
        <w:spacing w:after="120" w:before="80"/>
        <w:jc w:val="center"/>
      </w:pPr>
      <w:r>
        <w:drawing>
          <wp:inline distT="0" distB="0" distL="0" distR="0">
            <wp:extent cx="55816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029075"/>
                    </a:xfrm>
                    <a:prstGeom prst="rect">
                      <a:avLst/>
                    </a:prstGeom>
                  </pic:spPr>
                </pic:pic>
              </a:graphicData>
            </a:graphic>
          </wp:inline>
        </w:drawing>
      </w:r>
    </w:p>
    <w:p>
      <w:pPr>
        <w:spacing w:after="140"/>
        <w:jc w:val="center"/>
      </w:pPr>
      <w:r>
        <w:rPr>
          <w:i/>
          <w:iCs/>
          <w:color w:val="555555"/>
          <w:sz w:val="16"/>
          <w:szCs w:val="16"/>
        </w:rPr>
        <w:t xml:space="preserve">Chart 5 — Weekly candles with smart-scaled floor pivots (daily = blue solid, weekly = purple dashed, monthly = red dash-dot). Close sits just below daily P and weekly P.</w:t>
      </w:r>
    </w:p>
    <w:p>
      <w:pPr>
        <w:pStyle w:val="Heading1"/>
        <w:spacing w:after="120" w:before="260"/>
      </w:pPr>
      <w:r>
        <w:rPr>
          <w:b/>
          <w:bCs/>
          <w:color w:val="178A5C"/>
          <w:sz w:val="28"/>
          <w:szCs w:val="28"/>
        </w:rPr>
        <w:t xml:space="preserve">8 · Short-Term Technical Analysis</w:t>
      </w:r>
    </w:p>
    <w:p>
      <w:pPr>
        <w:pStyle w:val="ListParagraph"/>
        <w:numPr>
          <w:ilvl w:val="0"/>
          <w:numId w:val="1"/>
        </w:numPr>
        <w:spacing w:after="60" w:line="260"/>
      </w:pPr>
      <w:r>
        <w:rPr>
          <w:b/>
          <w:bCs/>
          <w:sz w:val="20"/>
          <w:szCs w:val="20"/>
        </w:rPr>
        <w:t xml:space="preserve">14 Jul (see §6): </w:t>
      </w:r>
      <w:r>
        <w:rPr>
          <w:sz w:val="20"/>
          <w:szCs w:val="20"/>
        </w:rPr>
        <w:t xml:space="preserve">Wide-range bearish session; open and close near-identical around 10,519 with a long lower wick to 10,433 (close ~77% up the range). RSI2 collapsed to 6.8 — deeply oversold, signalling a snap-back risk rather than trend confirmation.</w:t>
      </w:r>
    </w:p>
    <w:p>
      <w:pPr>
        <w:pStyle w:val="ListParagraph"/>
        <w:numPr>
          <w:ilvl w:val="0"/>
          <w:numId w:val="1"/>
        </w:numPr>
        <w:spacing w:after="60" w:line="260"/>
      </w:pPr>
      <w:r>
        <w:rPr>
          <w:b/>
          <w:bCs/>
          <w:sz w:val="20"/>
          <w:szCs w:val="20"/>
        </w:rPr>
        <w:t xml:space="preserve">15 Jul (see §6): </w:t>
      </w:r>
      <w:r>
        <w:rPr>
          <w:sz w:val="20"/>
          <w:szCs w:val="20"/>
        </w:rPr>
        <w:t xml:space="preserve">Doji-like session (close 10,515.92 ≈ open), RSI2 pinned at 6.6. Indecision at the lows; sellers unable to extend, buyers not yet engaged.</w:t>
      </w:r>
    </w:p>
    <w:p>
      <w:pPr>
        <w:pStyle w:val="ListParagraph"/>
        <w:numPr>
          <w:ilvl w:val="0"/>
          <w:numId w:val="1"/>
        </w:numPr>
        <w:spacing w:after="60" w:line="260"/>
      </w:pPr>
      <w:r>
        <w:rPr>
          <w:b/>
          <w:bCs/>
          <w:sz w:val="20"/>
          <w:szCs w:val="20"/>
        </w:rPr>
        <w:t xml:space="preserve">16 Jul (see §6): </w:t>
      </w:r>
      <w:r>
        <w:rPr>
          <w:sz w:val="20"/>
          <w:szCs w:val="20"/>
        </w:rPr>
        <w:t xml:space="preserve">Bullish recovery candle closing at the high (10,572.24), RSI2 normalising to 49.5. The reversal off oversold began here, aided by strong UK GDP.</w:t>
      </w:r>
    </w:p>
    <w:p>
      <w:pPr>
        <w:pStyle w:val="ListParagraph"/>
        <w:numPr>
          <w:ilvl w:val="0"/>
          <w:numId w:val="1"/>
        </w:numPr>
        <w:spacing w:after="60" w:line="260"/>
      </w:pPr>
      <w:r>
        <w:rPr>
          <w:b/>
          <w:bCs/>
          <w:sz w:val="20"/>
          <w:szCs w:val="20"/>
        </w:rPr>
        <w:t xml:space="preserve">17 Jul (see §6): </w:t>
      </w:r>
      <w:r>
        <w:rPr>
          <w:sz w:val="20"/>
          <w:szCs w:val="20"/>
        </w:rPr>
        <w:t xml:space="preserve">Continuation higher, close 10,600.37 near the upper range but rejected at 10,623.69. RSI2 65.4 — the only clean bullish session, driven by Burberry and utility strength offsetting global tech weakness.</w:t>
      </w:r>
    </w:p>
    <w:p>
      <w:pPr>
        <w:pStyle w:val="ListParagraph"/>
        <w:numPr>
          <w:ilvl w:val="0"/>
          <w:numId w:val="1"/>
        </w:numPr>
        <w:spacing w:after="60" w:line="260"/>
      </w:pPr>
      <w:r>
        <w:rPr>
          <w:b/>
          <w:bCs/>
          <w:sz w:val="20"/>
          <w:szCs w:val="20"/>
        </w:rPr>
        <w:t xml:space="preserve">20 Jul (see §6): </w:t>
      </w:r>
      <w:r>
        <w:rPr>
          <w:sz w:val="20"/>
          <w:szCs w:val="20"/>
        </w:rPr>
        <w:t xml:space="preserve">Bearish reversal, −75.61 pts to 10,524.76, close near the session low (~20% up the range), RSI2 back to 24.3. The rally failed and price closed below both the daily and weekly pivot.</w:t>
      </w:r>
    </w:p>
    <w:p>
      <w:pPr>
        <w:spacing w:after="100" w:line="264"/>
      </w:pPr>
      <w:r>
        <w:rPr>
          <w:b/>
          <w:bCs/>
          <w:sz w:val="20"/>
          <w:szCs w:val="20"/>
        </w:rPr>
        <w:t xml:space="preserve">Sequence assessment: </w:t>
      </w:r>
      <w:r>
        <w:rPr>
          <w:sz w:val="20"/>
          <w:szCs w:val="20"/>
        </w:rPr>
        <w:t xml:space="preserve">Indecision / Transition. The five sessions alternate direction (bear–doji–bull–bull–bear) with prominent two-sided wicks and RSI2 swinging from 6 to 65 to 24 — classic choppy, non-trending behaviour that failed at range resistance (~10,620) and reversed.</w:t>
      </w:r>
    </w:p>
    <w:p>
      <w:pPr>
        <w:spacing w:after="100" w:line="264"/>
      </w:pPr>
      <w:r>
        <w:rPr>
          <w:b/>
          <w:bCs/>
          <w:sz w:val="20"/>
          <w:szCs w:val="20"/>
        </w:rPr>
        <w:t xml:space="preserve">Nearest support / resistance (from the validated window): </w:t>
      </w:r>
      <w:r>
        <w:rPr>
          <w:sz w:val="20"/>
          <w:szCs w:val="20"/>
        </w:rPr>
        <w:t xml:space="preserve">support 10,505 / 10,433 (5-day swing low); resistance 10,600 / 10,623.69 (5-day swing high).</w:t>
      </w:r>
    </w:p>
    <w:p>
      <w:pPr>
        <w:spacing w:after="100" w:line="264"/>
      </w:pPr>
      <w:r>
        <w:rPr>
          <w:b/>
          <w:bCs/>
          <w:sz w:val="20"/>
          <w:szCs w:val="20"/>
        </w:rPr>
        <w:t xml:space="preserve">Judgement label: </w:t>
      </w:r>
      <w:r>
        <w:rPr>
          <w:b/>
          <w:bCs/>
          <w:color w:val="9B2D6B"/>
          <w:sz w:val="20"/>
          <w:szCs w:val="20"/>
        </w:rPr>
        <w:t xml:space="preserve">Indecision → tilting to Range / Exhaustion — reversal risk. </w:t>
      </w:r>
      <w:r>
        <w:rPr>
          <w:sz w:val="20"/>
          <w:szCs w:val="20"/>
        </w:rPr>
        <w:t xml:space="preserve">Consistent with the medium-term ranging regime in §9; the short-term bearish momentum on the latest bar is the tactical tilt within that range.</w:t>
      </w:r>
    </w:p>
    <w:p>
      <w:pPr>
        <w:pStyle w:val="Heading1"/>
        <w:spacing w:after="120" w:before="260"/>
      </w:pPr>
      <w:r>
        <w:rPr>
          <w:b/>
          <w:bCs/>
          <w:color w:val="178A5C"/>
          <w:sz w:val="28"/>
          <w:szCs w:val="28"/>
        </w:rPr>
        <w:t xml:space="preserve">9 · Medium-Term Regime &amp; VOLator</w:t>
      </w:r>
    </w:p>
    <w:p>
      <w:pPr>
        <w:pStyle w:val="ListParagraph"/>
        <w:numPr>
          <w:ilvl w:val="0"/>
          <w:numId w:val="1"/>
        </w:numPr>
        <w:spacing w:after="60" w:line="260"/>
      </w:pPr>
      <w:r>
        <w:rPr>
          <w:b/>
          <w:bCs/>
          <w:sz w:val="20"/>
          <w:szCs w:val="20"/>
        </w:rPr>
        <w:t xml:space="preserve">Regime classification: </w:t>
      </w:r>
      <w:r>
        <w:rPr>
          <w:sz w:val="20"/>
          <w:szCs w:val="20"/>
        </w:rPr>
        <w:t xml:space="preserve">Transitional (leaning Ranging). Overlap ratio elevated (~0.6 — sessions heavily overlap), directional persistence low (~0.45), VOLator slope flat-to-negative, median RSI2 ~35, range-position bias mid-to-upper (~61st percentile of the 25-session 10,180–10,747 range).</w:t>
      </w:r>
    </w:p>
    <w:p>
      <w:pPr>
        <w:pStyle w:val="ListParagraph"/>
        <w:numPr>
          <w:ilvl w:val="0"/>
          <w:numId w:val="1"/>
        </w:numPr>
        <w:spacing w:after="60" w:line="260"/>
      </w:pPr>
      <w:r>
        <w:rPr>
          <w:b/>
          <w:bCs/>
          <w:sz w:val="20"/>
          <w:szCs w:val="20"/>
        </w:rPr>
        <w:t xml:space="preserve">Bias: </w:t>
      </w:r>
      <w:r>
        <w:rPr>
          <w:sz w:val="20"/>
          <w:szCs w:val="20"/>
        </w:rPr>
        <w:t xml:space="preserve">Neutral-to-Bearish (directional component).</w:t>
      </w:r>
    </w:p>
    <w:p>
      <w:pPr>
        <w:pStyle w:val="ListParagraph"/>
        <w:numPr>
          <w:ilvl w:val="0"/>
          <w:numId w:val="1"/>
        </w:numPr>
        <w:spacing w:after="60" w:line="260"/>
      </w:pPr>
      <w:r>
        <w:rPr>
          <w:b/>
          <w:bCs/>
          <w:sz w:val="20"/>
          <w:szCs w:val="20"/>
        </w:rPr>
        <w:t xml:space="preserve">VOLator current readings: </w:t>
      </w:r>
      <w:r>
        <w:rPr>
          <w:sz w:val="20"/>
          <w:szCs w:val="20"/>
        </w:rPr>
        <w:t xml:space="preserve">FTSE ≈ +0.10 (near midpoint, flattening); S&amp;P 500 ≈ +0.50 (above midpoint, expanding on AI rout); DAX ≈ +0.05 (near midpoint); USDX ≈ −0.30 (below midpoint, contracting). FTSE volatility is neither compressed nor expanding decisively.</w:t>
      </w:r>
    </w:p>
    <w:p>
      <w:pPr>
        <w:pStyle w:val="ListParagraph"/>
        <w:numPr>
          <w:ilvl w:val="0"/>
          <w:numId w:val="1"/>
        </w:numPr>
        <w:spacing w:after="60" w:line="260"/>
      </w:pPr>
      <w:r>
        <w:rPr>
          <w:b/>
          <w:bCs/>
          <w:sz w:val="20"/>
          <w:szCs w:val="20"/>
        </w:rPr>
        <w:t xml:space="preserve">Preferred trade protocol: </w:t>
      </w:r>
      <w:r>
        <w:rPr>
          <w:sz w:val="20"/>
          <w:szCs w:val="20"/>
        </w:rPr>
        <w:t xml:space="preserve">Reduced-conviction / breakout-watch. Short-term indecision over a ranging medium-term structure argues for fading extremes and waiting for a confirmed break rather than committing to trend.</w:t>
      </w:r>
    </w:p>
    <w:p>
      <w:pPr>
        <w:pStyle w:val="ListParagraph"/>
        <w:numPr>
          <w:ilvl w:val="0"/>
          <w:numId w:val="1"/>
        </w:numPr>
        <w:spacing w:after="60" w:line="260"/>
      </w:pPr>
      <w:r>
        <w:rPr>
          <w:b/>
          <w:bCs/>
          <w:sz w:val="20"/>
          <w:szCs w:val="20"/>
        </w:rPr>
        <w:t xml:space="preserve">Kaufman confirmation: </w:t>
      </w:r>
      <w:r>
        <w:rPr>
          <w:sz w:val="20"/>
          <w:szCs w:val="20"/>
        </w:rPr>
        <w:t xml:space="preserve">KER ≈ −0.26 classifies Trending Down — Moderate, marginally past the −0.13 trend threshold. This partially disagrees with the ranging structure. Because the VOLator slope is flat/contracting (a clean RANGE requires a negative slope and |KER| below threshold, while a clean TREND requires an expanding slope), neither gate is unambiguously met and the consolidated regime resolves to TRANSITION. KER's negative sign is retained as the directional lean within that transition.</w:t>
      </w:r>
    </w:p>
    <w:p>
      <w:pPr>
        <w:pStyle w:val="Heading1"/>
        <w:spacing w:after="120" w:before="260"/>
      </w:pPr>
      <w:r>
        <w:rPr>
          <w:b/>
          <w:bCs/>
          <w:color w:val="178A5C"/>
          <w:sz w:val="28"/>
          <w:szCs w:val="28"/>
        </w:rPr>
        <w:t xml:space="preserve">10 · Cross-Asset Analysis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300"/>
        <w:gridCol w:w="3160"/>
        <w:gridCol w:w="1300"/>
        <w:gridCol w:w="2100"/>
      </w:tblGrid>
      <w:tr>
        <w:trPr>
          <w:tblHeader/>
        </w:trPr>
        <w:tc>
          <w:tcPr>
            <w:tcW w:type="dxa" w:w="1500"/>
            <w:shd w:fill="1F3A63" w:color="auto" w:val="clear"/>
            <w:tcMar>
              <w:top w:type="dxa" w:w="40"/>
              <w:left w:type="dxa" w:w="70"/>
              <w:bottom w:type="dxa" w:w="40"/>
              <w:right w:type="dxa" w:w="70"/>
            </w:tcMar>
          </w:tcPr>
          <w:p>
            <w:r>
              <w:rPr>
                <w:b/>
                <w:bCs/>
                <w:color w:val="FFFFFF"/>
                <w:sz w:val="17"/>
                <w:szCs w:val="17"/>
              </w:rPr>
              <w:t xml:space="preserve">Counter</w:t>
            </w:r>
          </w:p>
        </w:tc>
        <w:tc>
          <w:tcPr>
            <w:tcW w:type="dxa" w:w="1300"/>
            <w:shd w:fill="1F3A63" w:color="auto" w:val="clear"/>
            <w:tcMar>
              <w:top w:type="dxa" w:w="40"/>
              <w:left w:type="dxa" w:w="70"/>
              <w:bottom w:type="dxa" w:w="40"/>
              <w:right w:type="dxa" w:w="70"/>
            </w:tcMar>
          </w:tcPr>
          <w:p>
            <w:r>
              <w:rPr>
                <w:b/>
                <w:bCs/>
                <w:color w:val="FFFFFF"/>
                <w:sz w:val="17"/>
                <w:szCs w:val="17"/>
              </w:rPr>
              <w:t xml:space="preserve">5-day dir.</w:t>
            </w:r>
          </w:p>
        </w:tc>
        <w:tc>
          <w:tcPr>
            <w:tcW w:type="dxa" w:w="3160"/>
            <w:shd w:fill="1F3A63" w:color="auto" w:val="clear"/>
            <w:tcMar>
              <w:top w:type="dxa" w:w="40"/>
              <w:left w:type="dxa" w:w="70"/>
              <w:bottom w:type="dxa" w:w="40"/>
              <w:right w:type="dxa" w:w="70"/>
            </w:tcMar>
          </w:tcPr>
          <w:p>
            <w:r>
              <w:rPr>
                <w:b/>
                <w:bCs/>
                <w:color w:val="FFFFFF"/>
                <w:sz w:val="17"/>
                <w:szCs w:val="17"/>
              </w:rPr>
              <w:t xml:space="preserve">Mechanism</w:t>
            </w:r>
          </w:p>
        </w:tc>
        <w:tc>
          <w:tcPr>
            <w:tcW w:type="dxa" w:w="1300"/>
            <w:shd w:fill="1F3A63" w:color="auto" w:val="clear"/>
            <w:tcMar>
              <w:top w:type="dxa" w:w="40"/>
              <w:left w:type="dxa" w:w="70"/>
              <w:bottom w:type="dxa" w:w="40"/>
              <w:right w:type="dxa" w:w="70"/>
            </w:tcMar>
          </w:tcPr>
          <w:p>
            <w:r>
              <w:rPr>
                <w:b/>
                <w:bCs/>
                <w:color w:val="FFFFFF"/>
                <w:sz w:val="17"/>
                <w:szCs w:val="17"/>
              </w:rPr>
              <w:t xml:space="preserve">Confirmation</w:t>
            </w:r>
          </w:p>
        </w:tc>
        <w:tc>
          <w:tcPr>
            <w:tcW w:type="dxa" w:w="2100"/>
            <w:shd w:fill="1F3A63" w:color="auto" w:val="clear"/>
            <w:tcMar>
              <w:top w:type="dxa" w:w="40"/>
              <w:left w:type="dxa" w:w="70"/>
              <w:bottom w:type="dxa" w:w="40"/>
              <w:right w:type="dxa" w:w="70"/>
            </w:tcMar>
          </w:tcPr>
          <w:p>
            <w:r>
              <w:rPr>
                <w:b/>
                <w:bCs/>
                <w:color w:val="FFFFFF"/>
                <w:sz w:val="17"/>
                <w:szCs w:val="17"/>
              </w:rPr>
              <w:t xml:space="preserve">Implication</w:t>
            </w:r>
          </w:p>
        </w:tc>
      </w:tr>
      <w:tr>
        <w:tc>
          <w:tcPr>
            <w:tcW w:type="dxa" w:w="1500"/>
            <w:tcMar>
              <w:top w:type="dxa" w:w="34"/>
              <w:left w:type="dxa" w:w="70"/>
              <w:bottom w:type="dxa" w:w="34"/>
              <w:right w:type="dxa" w:w="70"/>
            </w:tcMar>
          </w:tcPr>
          <w:p>
            <w:r>
              <w:rPr>
                <w:b w:val="false"/>
                <w:bCs w:val="false"/>
                <w:color w:val="222222"/>
                <w:sz w:val="16"/>
                <w:szCs w:val="16"/>
              </w:rPr>
              <w:t xml:space="preserve">USDX</w:t>
            </w:r>
          </w:p>
        </w:tc>
        <w:tc>
          <w:tcPr>
            <w:tcW w:type="dxa" w:w="1300"/>
            <w:tcMar>
              <w:top w:type="dxa" w:w="34"/>
              <w:left w:type="dxa" w:w="70"/>
              <w:bottom w:type="dxa" w:w="34"/>
              <w:right w:type="dxa" w:w="70"/>
            </w:tcMar>
          </w:tcPr>
          <w:p>
            <w:r>
              <w:rPr>
                <w:b w:val="false"/>
                <w:bCs w:val="false"/>
                <w:color w:val="222222"/>
                <w:sz w:val="16"/>
                <w:szCs w:val="16"/>
              </w:rPr>
              <w:t xml:space="preserve">Flat / mildly firmer</w:t>
            </w:r>
          </w:p>
        </w:tc>
        <w:tc>
          <w:tcPr>
            <w:tcW w:type="dxa" w:w="3160"/>
            <w:tcMar>
              <w:top w:type="dxa" w:w="34"/>
              <w:left w:type="dxa" w:w="70"/>
              <w:bottom w:type="dxa" w:w="34"/>
              <w:right w:type="dxa" w:w="70"/>
            </w:tcMar>
          </w:tcPr>
          <w:p>
            <w:r>
              <w:rPr>
                <w:b w:val="false"/>
                <w:bCs w:val="false"/>
                <w:color w:val="222222"/>
                <w:sz w:val="16"/>
                <w:szCs w:val="16"/>
              </w:rPr>
              <w:t xml:space="preserve">A firmer dollar tightens global conditions and pressures risk; but GBP/EUR weakness lifts FTSE/STOXX multinational earnings translation.</w:t>
            </w:r>
          </w:p>
        </w:tc>
        <w:tc>
          <w:tcPr>
            <w:tcW w:type="dxa" w:w="1300"/>
            <w:tcMar>
              <w:top w:type="dxa" w:w="34"/>
              <w:left w:type="dxa" w:w="70"/>
              <w:bottom w:type="dxa" w:w="34"/>
              <w:right w:type="dxa" w:w="70"/>
            </w:tcMar>
          </w:tcPr>
          <w:p>
            <w:r>
              <w:rPr>
                <w:b w:val="false"/>
                <w:bCs w:val="false"/>
                <w:color w:val="222222"/>
                <w:sz w:val="16"/>
                <w:szCs w:val="16"/>
              </w:rPr>
              <w:t xml:space="preserve">Neutral / mild confirm</w:t>
            </w:r>
          </w:p>
        </w:tc>
        <w:tc>
          <w:tcPr>
            <w:tcW w:type="dxa" w:w="2100"/>
            <w:tcMar>
              <w:top w:type="dxa" w:w="34"/>
              <w:left w:type="dxa" w:w="70"/>
              <w:bottom w:type="dxa" w:w="34"/>
              <w:right w:type="dxa" w:w="70"/>
            </w:tcMar>
          </w:tcPr>
          <w:p>
            <w:r>
              <w:rPr>
                <w:b w:val="false"/>
                <w:bCs w:val="false"/>
                <w:color w:val="222222"/>
                <w:sz w:val="16"/>
                <w:szCs w:val="16"/>
              </w:rPr>
              <w:t xml:space="preserve">Two-sided — modest headwind to risk, modest tailwind to overseas earners.</w:t>
            </w:r>
          </w:p>
        </w:tc>
      </w:tr>
      <w:tr>
        <w:tc>
          <w:tcPr>
            <w:tcW w:type="dxa" w:w="1500"/>
            <w:tcMar>
              <w:top w:type="dxa" w:w="34"/>
              <w:left w:type="dxa" w:w="70"/>
              <w:bottom w:type="dxa" w:w="34"/>
              <w:right w:type="dxa" w:w="70"/>
            </w:tcMar>
          </w:tcPr>
          <w:p>
            <w:r>
              <w:rPr>
                <w:b w:val="false"/>
                <w:bCs w:val="false"/>
                <w:color w:val="222222"/>
                <w:sz w:val="16"/>
                <w:szCs w:val="16"/>
              </w:rPr>
              <w:t xml:space="preserve">S&amp;P 500</w:t>
            </w:r>
          </w:p>
        </w:tc>
        <w:tc>
          <w:tcPr>
            <w:tcW w:type="dxa" w:w="1300"/>
            <w:tcMar>
              <w:top w:type="dxa" w:w="34"/>
              <w:left w:type="dxa" w:w="70"/>
              <w:bottom w:type="dxa" w:w="34"/>
              <w:right w:type="dxa" w:w="70"/>
            </w:tcMar>
          </w:tcPr>
          <w:p>
            <w:r>
              <w:rPr>
                <w:b w:val="false"/>
                <w:bCs w:val="false"/>
                <w:color w:val="222222"/>
                <w:sz w:val="16"/>
                <w:szCs w:val="16"/>
              </w:rPr>
              <w:t xml:space="preserve">Falling (−1.6% wk)</w:t>
            </w:r>
          </w:p>
        </w:tc>
        <w:tc>
          <w:tcPr>
            <w:tcW w:type="dxa" w:w="3160"/>
            <w:tcMar>
              <w:top w:type="dxa" w:w="34"/>
              <w:left w:type="dxa" w:w="70"/>
              <w:bottom w:type="dxa" w:w="34"/>
              <w:right w:type="dxa" w:w="70"/>
            </w:tcMar>
          </w:tcPr>
          <w:p>
            <w:r>
              <w:rPr>
                <w:b w:val="false"/>
                <w:bCs w:val="false"/>
                <w:color w:val="222222"/>
                <w:sz w:val="16"/>
                <w:szCs w:val="16"/>
              </w:rPr>
              <w:t xml:space="preserve">Common-factor risk beta; a US AI-led sell-off drains global risk appetite.</w:t>
            </w:r>
          </w:p>
        </w:tc>
        <w:tc>
          <w:tcPr>
            <w:tcW w:type="dxa" w:w="1300"/>
            <w:tcMar>
              <w:top w:type="dxa" w:w="34"/>
              <w:left w:type="dxa" w:w="70"/>
              <w:bottom w:type="dxa" w:w="34"/>
              <w:right w:type="dxa" w:w="70"/>
            </w:tcMar>
          </w:tcPr>
          <w:p>
            <w:r>
              <w:rPr>
                <w:b w:val="false"/>
                <w:bCs w:val="false"/>
                <w:color w:val="222222"/>
                <w:sz w:val="16"/>
                <w:szCs w:val="16"/>
              </w:rPr>
              <w:t xml:space="preserve">Confirms (bearish)</w:t>
            </w:r>
          </w:p>
        </w:tc>
        <w:tc>
          <w:tcPr>
            <w:tcW w:type="dxa" w:w="2100"/>
            <w:tcMar>
              <w:top w:type="dxa" w:w="34"/>
              <w:left w:type="dxa" w:w="70"/>
              <w:bottom w:type="dxa" w:w="34"/>
              <w:right w:type="dxa" w:w="70"/>
            </w:tcMar>
          </w:tcPr>
          <w:p>
            <w:r>
              <w:rPr>
                <w:b w:val="false"/>
                <w:bCs w:val="false"/>
                <w:color w:val="222222"/>
                <w:sz w:val="16"/>
                <w:szCs w:val="16"/>
              </w:rPr>
              <w:t xml:space="preserve">Caps FTSE upside; risk-off transmission.</w:t>
            </w:r>
          </w:p>
        </w:tc>
      </w:tr>
      <w:tr>
        <w:tc>
          <w:tcPr>
            <w:tcW w:type="dxa" w:w="1500"/>
            <w:tcMar>
              <w:top w:type="dxa" w:w="34"/>
              <w:left w:type="dxa" w:w="70"/>
              <w:bottom w:type="dxa" w:w="34"/>
              <w:right w:type="dxa" w:w="70"/>
            </w:tcMar>
          </w:tcPr>
          <w:p>
            <w:r>
              <w:rPr>
                <w:b w:val="false"/>
                <w:bCs w:val="false"/>
                <w:color w:val="222222"/>
                <w:sz w:val="16"/>
                <w:szCs w:val="16"/>
              </w:rPr>
              <w:t xml:space="preserve">DAX 40</w:t>
            </w:r>
          </w:p>
        </w:tc>
        <w:tc>
          <w:tcPr>
            <w:tcW w:type="dxa" w:w="1300"/>
            <w:tcMar>
              <w:top w:type="dxa" w:w="34"/>
              <w:left w:type="dxa" w:w="70"/>
              <w:bottom w:type="dxa" w:w="34"/>
              <w:right w:type="dxa" w:w="70"/>
            </w:tcMar>
          </w:tcPr>
          <w:p>
            <w:r>
              <w:rPr>
                <w:b w:val="false"/>
                <w:bCs w:val="false"/>
                <w:color w:val="222222"/>
                <w:sz w:val="16"/>
                <w:szCs w:val="16"/>
              </w:rPr>
              <w:t xml:space="preserve">Falling (17 Jul −0.34%)</w:t>
            </w:r>
          </w:p>
        </w:tc>
        <w:tc>
          <w:tcPr>
            <w:tcW w:type="dxa" w:w="3160"/>
            <w:tcMar>
              <w:top w:type="dxa" w:w="34"/>
              <w:left w:type="dxa" w:w="70"/>
              <w:bottom w:type="dxa" w:w="34"/>
              <w:right w:type="dxa" w:w="70"/>
            </w:tcMar>
          </w:tcPr>
          <w:p>
            <w:r>
              <w:rPr>
                <w:b w:val="false"/>
                <w:bCs w:val="false"/>
                <w:color w:val="222222"/>
                <w:sz w:val="16"/>
                <w:szCs w:val="16"/>
              </w:rPr>
              <w:t xml:space="preserve">Eurozone equity proxy; industrials/tech drag mirrors European risk tone.</w:t>
            </w:r>
          </w:p>
        </w:tc>
        <w:tc>
          <w:tcPr>
            <w:tcW w:type="dxa" w:w="1300"/>
            <w:tcMar>
              <w:top w:type="dxa" w:w="34"/>
              <w:left w:type="dxa" w:w="70"/>
              <w:bottom w:type="dxa" w:w="34"/>
              <w:right w:type="dxa" w:w="70"/>
            </w:tcMar>
          </w:tcPr>
          <w:p>
            <w:r>
              <w:rPr>
                <w:b w:val="false"/>
                <w:bCs w:val="false"/>
                <w:color w:val="222222"/>
                <w:sz w:val="16"/>
                <w:szCs w:val="16"/>
              </w:rPr>
              <w:t xml:space="preserve">Confirms (bearish)</w:t>
            </w:r>
          </w:p>
        </w:tc>
        <w:tc>
          <w:tcPr>
            <w:tcW w:type="dxa" w:w="2100"/>
            <w:tcMar>
              <w:top w:type="dxa" w:w="34"/>
              <w:left w:type="dxa" w:w="70"/>
              <w:bottom w:type="dxa" w:w="34"/>
              <w:right w:type="dxa" w:w="70"/>
            </w:tcMar>
          </w:tcPr>
          <w:p>
            <w:r>
              <w:rPr>
                <w:b w:val="false"/>
                <w:bCs w:val="false"/>
                <w:color w:val="222222"/>
                <w:sz w:val="16"/>
                <w:szCs w:val="16"/>
              </w:rPr>
              <w:t xml:space="preserve">Reinforces the cautious European tape.</w:t>
            </w:r>
          </w:p>
        </w:tc>
      </w:tr>
      <w:tr>
        <w:tc>
          <w:tcPr>
            <w:tcW w:type="dxa" w:w="1500"/>
            <w:tcMar>
              <w:top w:type="dxa" w:w="34"/>
              <w:left w:type="dxa" w:w="70"/>
              <w:bottom w:type="dxa" w:w="34"/>
              <w:right w:type="dxa" w:w="70"/>
            </w:tcMar>
          </w:tcPr>
          <w:p>
            <w:r>
              <w:rPr>
                <w:b w:val="false"/>
                <w:bCs w:val="false"/>
                <w:color w:val="222222"/>
                <w:sz w:val="16"/>
                <w:szCs w:val="16"/>
              </w:rPr>
              <w:t xml:space="preserve">EURO STOXX 50</w:t>
            </w:r>
          </w:p>
        </w:tc>
        <w:tc>
          <w:tcPr>
            <w:tcW w:type="dxa" w:w="1300"/>
            <w:tcMar>
              <w:top w:type="dxa" w:w="34"/>
              <w:left w:type="dxa" w:w="70"/>
              <w:bottom w:type="dxa" w:w="34"/>
              <w:right w:type="dxa" w:w="70"/>
            </w:tcMar>
          </w:tcPr>
          <w:p>
            <w:r>
              <w:rPr>
                <w:b w:val="false"/>
                <w:bCs w:val="false"/>
                <w:color w:val="222222"/>
                <w:sz w:val="16"/>
                <w:szCs w:val="16"/>
              </w:rPr>
              <w:t xml:space="preserve">Mixed (−1.1% Fri, +0.5% Mon)</w:t>
            </w:r>
          </w:p>
        </w:tc>
        <w:tc>
          <w:tcPr>
            <w:tcW w:type="dxa" w:w="3160"/>
            <w:tcMar>
              <w:top w:type="dxa" w:w="34"/>
              <w:left w:type="dxa" w:w="70"/>
              <w:bottom w:type="dxa" w:w="34"/>
              <w:right w:type="dxa" w:w="70"/>
            </w:tcMar>
          </w:tcPr>
          <w:p>
            <w:r>
              <w:rPr>
                <w:b w:val="false"/>
                <w:bCs w:val="false"/>
                <w:color w:val="222222"/>
                <w:sz w:val="16"/>
                <w:szCs w:val="16"/>
              </w:rPr>
              <w:t xml:space="preserve">Eurozone blue-chip pair.</w:t>
            </w:r>
          </w:p>
        </w:tc>
        <w:tc>
          <w:tcPr>
            <w:tcW w:type="dxa" w:w="1300"/>
            <w:tcMar>
              <w:top w:type="dxa" w:w="34"/>
              <w:left w:type="dxa" w:w="70"/>
              <w:bottom w:type="dxa" w:w="34"/>
              <w:right w:type="dxa" w:w="70"/>
            </w:tcMar>
          </w:tcPr>
          <w:p>
            <w:r>
              <w:rPr>
                <w:b w:val="false"/>
                <w:bCs w:val="false"/>
                <w:color w:val="222222"/>
                <w:sz w:val="16"/>
                <w:szCs w:val="16"/>
              </w:rPr>
              <w:t xml:space="preserve">Contradicts (Monday)</w:t>
            </w:r>
          </w:p>
        </w:tc>
        <w:tc>
          <w:tcPr>
            <w:tcW w:type="dxa" w:w="2100"/>
            <w:tcMar>
              <w:top w:type="dxa" w:w="34"/>
              <w:left w:type="dxa" w:w="70"/>
              <w:bottom w:type="dxa" w:w="34"/>
              <w:right w:type="dxa" w:w="70"/>
            </w:tcMar>
          </w:tcPr>
          <w:p>
            <w:r>
              <w:rPr>
                <w:b w:val="false"/>
                <w:bCs w:val="false"/>
                <w:color w:val="222222"/>
                <w:sz w:val="16"/>
                <w:szCs w:val="16"/>
              </w:rPr>
              <w:t xml:space="preserve">Divergence — STOXX rose Monday while FTSE fell; UK-specific fiscal/energy drag.</w:t>
            </w:r>
          </w:p>
        </w:tc>
      </w:tr>
    </w:tbl>
    <w:p>
      <w:pPr>
        <w:spacing w:after="100" w:line="264"/>
      </w:pPr>
      <w:r>
        <w:rPr>
          <w:b/>
          <w:bCs/>
          <w:color w:val="9B2D6B"/>
          <w:sz w:val="20"/>
          <w:szCs w:val="20"/>
        </w:rPr>
        <w:t xml:space="preserve">Contradiction flag: </w:t>
      </w:r>
      <w:r>
        <w:rPr>
          <w:sz w:val="20"/>
          <w:szCs w:val="20"/>
        </w:rPr>
        <w:t xml:space="preserve">EURO STOXX 50 rose ~0.5% on Monday while the FTSE fell ~0.7% — a secondary-asset divergence attributable to UK-specific fiscal uncertainty (Burnham cabinet, gilt wobble) and the FTSE's heavier energy/rate-sensitivity. Not resolved silently; it feeds the Bull/Bear balance (§15) and Forward View (§16). Aggregate cross-asset read across the three counters is CONFIRM (bearish) — two of three counters confirm risk-off, none strongly contradict.</w:t>
      </w:r>
    </w:p>
    <w:p>
      <w:pPr>
        <w:pStyle w:val="Heading1"/>
        <w:spacing w:after="120" w:before="260"/>
      </w:pPr>
      <w:r>
        <w:rPr>
          <w:b/>
          <w:bCs/>
          <w:color w:val="178A5C"/>
          <w:sz w:val="28"/>
          <w:szCs w:val="28"/>
        </w:rPr>
        <w:t xml:space="preserve">11 · Floor Pivot Analysis</w:t>
      </w:r>
    </w:p>
    <w:p>
      <w:pPr>
        <w:pStyle w:val="Heading2"/>
        <w:spacing w:after="80" w:before="180"/>
      </w:pPr>
      <w:r>
        <w:rPr>
          <w:b/>
          <w:bCs/>
          <w:color w:val="178A5C"/>
          <w:sz w:val="24"/>
          <w:szCs w:val="24"/>
        </w:rPr>
        <w:t xml:space="preserve">Daily pivots (from 20 Jul H/L/C) — for 21 Jul</w:t>
      </w:r>
    </w:p>
    <w:tbl>
      <w:tblPr>
        <w:tblW w:type="dxa" w:w="3400"/>
        <w:tblBorders>
          <w:top w:val="single" w:color="BBBBBB" w:sz="4"/>
          <w:left w:val="single" w:color="BBBBBB" w:sz="4"/>
          <w:bottom w:val="single" w:color="BBBBBB" w:sz="4"/>
          <w:right w:val="single" w:color="BBBBBB" w:sz="4"/>
          <w:insideH w:val="single" w:color="DDDDDD" w:sz="2"/>
          <w:insideV w:val="single" w:color="DDDDDD" w:sz="2"/>
        </w:tblBorders>
      </w:tblPr>
      <w:tblGrid>
        <w:gridCol w:w="1400"/>
        <w:gridCol w:w="2000"/>
      </w:tblGrid>
      <w:tr>
        <w:trPr>
          <w:tblHeader/>
        </w:trPr>
        <w:tc>
          <w:tcPr>
            <w:tcW w:type="dxa" w:w="1400"/>
            <w:shd w:fill="1F3A63" w:color="auto" w:val="clear"/>
            <w:tcMar>
              <w:top w:type="dxa" w:w="40"/>
              <w:left w:type="dxa" w:w="70"/>
              <w:bottom w:type="dxa" w:w="40"/>
              <w:right w:type="dxa" w:w="70"/>
            </w:tcMar>
          </w:tcPr>
          <w:p>
            <w:r>
              <w:rPr>
                <w:b/>
                <w:bCs/>
                <w:color w:val="FFFFFF"/>
                <w:sz w:val="17"/>
                <w:szCs w:val="17"/>
              </w:rPr>
              <w:t xml:space="preserve">Level</w:t>
            </w:r>
          </w:p>
        </w:tc>
        <w:tc>
          <w:tcPr>
            <w:tcW w:type="dxa" w:w="2000"/>
            <w:shd w:fill="1F3A63" w:color="auto" w:val="clear"/>
            <w:tcMar>
              <w:top w:type="dxa" w:w="40"/>
              <w:left w:type="dxa" w:w="70"/>
              <w:bottom w:type="dxa" w:w="40"/>
              <w:right w:type="dxa" w:w="70"/>
            </w:tcMar>
          </w:tcPr>
          <w:p>
            <w:r>
              <w:rPr>
                <w:b/>
                <w:bCs/>
                <w:color w:val="FFFFFF"/>
                <w:sz w:val="17"/>
                <w:szCs w:val="17"/>
              </w:rPr>
              <w:t xml:space="preserve">Price</w:t>
            </w:r>
          </w:p>
        </w:tc>
      </w:tr>
      <w:tr>
        <w:tc>
          <w:tcPr>
            <w:tcW w:type="dxa" w:w="1400"/>
            <w:tcMar>
              <w:top w:type="dxa" w:w="34"/>
              <w:left w:type="dxa" w:w="70"/>
              <w:bottom w:type="dxa" w:w="34"/>
              <w:right w:type="dxa" w:w="70"/>
            </w:tcMar>
          </w:tcPr>
          <w:p>
            <w:r>
              <w:rPr>
                <w:b w:val="false"/>
                <w:bCs w:val="false"/>
                <w:color w:val="222222"/>
                <w:sz w:val="16"/>
                <w:szCs w:val="16"/>
              </w:rPr>
              <w:t xml:space="preserve">R5</w:t>
            </w:r>
          </w:p>
        </w:tc>
        <w:tc>
          <w:tcPr>
            <w:tcW w:type="dxa" w:w="2000"/>
            <w:tcMar>
              <w:top w:type="dxa" w:w="34"/>
              <w:left w:type="dxa" w:w="70"/>
              <w:bottom w:type="dxa" w:w="34"/>
              <w:right w:type="dxa" w:w="70"/>
            </w:tcMar>
          </w:tcPr>
          <w:p>
            <w:r>
              <w:rPr>
                <w:b w:val="false"/>
                <w:bCs w:val="false"/>
                <w:color w:val="222222"/>
                <w:sz w:val="16"/>
                <w:szCs w:val="16"/>
              </w:rPr>
              <w:t xml:space="preserve">10,867.86</w:t>
            </w:r>
          </w:p>
        </w:tc>
      </w:tr>
      <w:tr>
        <w:tc>
          <w:tcPr>
            <w:tcW w:type="dxa" w:w="1400"/>
            <w:tcMar>
              <w:top w:type="dxa" w:w="34"/>
              <w:left w:type="dxa" w:w="70"/>
              <w:bottom w:type="dxa" w:w="34"/>
              <w:right w:type="dxa" w:w="70"/>
            </w:tcMar>
          </w:tcPr>
          <w:p>
            <w:r>
              <w:rPr>
                <w:b w:val="false"/>
                <w:bCs w:val="false"/>
                <w:color w:val="222222"/>
                <w:sz w:val="16"/>
                <w:szCs w:val="16"/>
              </w:rPr>
              <w:t xml:space="preserve">R4</w:t>
            </w:r>
          </w:p>
        </w:tc>
        <w:tc>
          <w:tcPr>
            <w:tcW w:type="dxa" w:w="2000"/>
            <w:tcMar>
              <w:top w:type="dxa" w:w="34"/>
              <w:left w:type="dxa" w:w="70"/>
              <w:bottom w:type="dxa" w:w="34"/>
              <w:right w:type="dxa" w:w="70"/>
            </w:tcMar>
          </w:tcPr>
          <w:p>
            <w:r>
              <w:rPr>
                <w:b w:val="false"/>
                <w:bCs w:val="false"/>
                <w:color w:val="222222"/>
                <w:sz w:val="16"/>
                <w:szCs w:val="16"/>
              </w:rPr>
              <w:t xml:space="preserve">10,772.49</w:t>
            </w:r>
          </w:p>
        </w:tc>
      </w:tr>
      <w:tr>
        <w:tc>
          <w:tcPr>
            <w:tcW w:type="dxa" w:w="1400"/>
            <w:tcMar>
              <w:top w:type="dxa" w:w="34"/>
              <w:left w:type="dxa" w:w="70"/>
              <w:bottom w:type="dxa" w:w="34"/>
              <w:right w:type="dxa" w:w="70"/>
            </w:tcMar>
          </w:tcPr>
          <w:p>
            <w:r>
              <w:rPr>
                <w:b w:val="false"/>
                <w:bCs w:val="false"/>
                <w:color w:val="222222"/>
                <w:sz w:val="16"/>
                <w:szCs w:val="16"/>
              </w:rPr>
              <w:t xml:space="preserve">R3</w:t>
            </w:r>
          </w:p>
        </w:tc>
        <w:tc>
          <w:tcPr>
            <w:tcW w:type="dxa" w:w="2000"/>
            <w:tcMar>
              <w:top w:type="dxa" w:w="34"/>
              <w:left w:type="dxa" w:w="70"/>
              <w:bottom w:type="dxa" w:w="34"/>
              <w:right w:type="dxa" w:w="70"/>
            </w:tcMar>
          </w:tcPr>
          <w:p>
            <w:r>
              <w:rPr>
                <w:b w:val="false"/>
                <w:bCs w:val="false"/>
                <w:color w:val="222222"/>
                <w:sz w:val="16"/>
                <w:szCs w:val="16"/>
              </w:rPr>
              <w:t xml:space="preserve">10,677.12</w:t>
            </w:r>
          </w:p>
        </w:tc>
      </w:tr>
      <w:tr>
        <w:tc>
          <w:tcPr>
            <w:tcW w:type="dxa" w:w="1400"/>
            <w:tcMar>
              <w:top w:type="dxa" w:w="34"/>
              <w:left w:type="dxa" w:w="70"/>
              <w:bottom w:type="dxa" w:w="34"/>
              <w:right w:type="dxa" w:w="70"/>
            </w:tcMar>
          </w:tcPr>
          <w:p>
            <w:r>
              <w:rPr>
                <w:b w:val="false"/>
                <w:bCs w:val="false"/>
                <w:color w:val="222222"/>
                <w:sz w:val="16"/>
                <w:szCs w:val="16"/>
              </w:rPr>
              <w:t xml:space="preserve">R2</w:t>
            </w:r>
          </w:p>
        </w:tc>
        <w:tc>
          <w:tcPr>
            <w:tcW w:type="dxa" w:w="2000"/>
            <w:tcMar>
              <w:top w:type="dxa" w:w="34"/>
              <w:left w:type="dxa" w:w="70"/>
              <w:bottom w:type="dxa" w:w="34"/>
              <w:right w:type="dxa" w:w="70"/>
            </w:tcMar>
          </w:tcPr>
          <w:p>
            <w:r>
              <w:rPr>
                <w:b w:val="false"/>
                <w:bCs w:val="false"/>
                <w:color w:val="222222"/>
                <w:sz w:val="16"/>
                <w:szCs w:val="16"/>
              </w:rPr>
              <w:t xml:space="preserve">10,638.75</w:t>
            </w:r>
          </w:p>
        </w:tc>
      </w:tr>
      <w:tr>
        <w:tc>
          <w:tcPr>
            <w:tcW w:type="dxa" w:w="1400"/>
            <w:tcMar>
              <w:top w:type="dxa" w:w="34"/>
              <w:left w:type="dxa" w:w="70"/>
              <w:bottom w:type="dxa" w:w="34"/>
              <w:right w:type="dxa" w:w="70"/>
            </w:tcMar>
          </w:tcPr>
          <w:p>
            <w:r>
              <w:rPr>
                <w:b w:val="false"/>
                <w:bCs w:val="false"/>
                <w:color w:val="222222"/>
                <w:sz w:val="16"/>
                <w:szCs w:val="16"/>
              </w:rPr>
              <w:t xml:space="preserve">R1</w:t>
            </w:r>
          </w:p>
        </w:tc>
        <w:tc>
          <w:tcPr>
            <w:tcW w:type="dxa" w:w="2000"/>
            <w:tcMar>
              <w:top w:type="dxa" w:w="34"/>
              <w:left w:type="dxa" w:w="70"/>
              <w:bottom w:type="dxa" w:w="34"/>
              <w:right w:type="dxa" w:w="70"/>
            </w:tcMar>
          </w:tcPr>
          <w:p>
            <w:r>
              <w:rPr>
                <w:b w:val="false"/>
                <w:bCs w:val="false"/>
                <w:color w:val="222222"/>
                <w:sz w:val="16"/>
                <w:szCs w:val="16"/>
              </w:rPr>
              <w:t xml:space="preserve">10,581.75</w:t>
            </w:r>
          </w:p>
        </w:tc>
      </w:tr>
      <w:tr>
        <w:tc>
          <w:tcPr>
            <w:tcW w:type="dxa" w:w="1400"/>
            <w:tcMar>
              <w:top w:type="dxa" w:w="34"/>
              <w:left w:type="dxa" w:w="70"/>
              <w:bottom w:type="dxa" w:w="34"/>
              <w:right w:type="dxa" w:w="70"/>
            </w:tcMar>
          </w:tcPr>
          <w:p>
            <w:r>
              <w:rPr>
                <w:b/>
                <w:bCs/>
                <w:color w:val="222222"/>
                <w:sz w:val="16"/>
                <w:szCs w:val="16"/>
              </w:rPr>
              <w:t xml:space="preserve">P</w:t>
            </w:r>
          </w:p>
        </w:tc>
        <w:tc>
          <w:tcPr>
            <w:tcW w:type="dxa" w:w="2000"/>
            <w:tcMar>
              <w:top w:type="dxa" w:w="34"/>
              <w:left w:type="dxa" w:w="70"/>
              <w:bottom w:type="dxa" w:w="34"/>
              <w:right w:type="dxa" w:w="70"/>
            </w:tcMar>
          </w:tcPr>
          <w:p>
            <w:r>
              <w:rPr>
                <w:b/>
                <w:bCs/>
                <w:color w:val="222222"/>
                <w:sz w:val="16"/>
                <w:szCs w:val="16"/>
              </w:rPr>
              <w:t xml:space="preserve">10,543.38</w:t>
            </w:r>
          </w:p>
        </w:tc>
      </w:tr>
      <w:tr>
        <w:tc>
          <w:tcPr>
            <w:tcW w:type="dxa" w:w="1400"/>
            <w:tcMar>
              <w:top w:type="dxa" w:w="34"/>
              <w:left w:type="dxa" w:w="70"/>
              <w:bottom w:type="dxa" w:w="34"/>
              <w:right w:type="dxa" w:w="70"/>
            </w:tcMar>
          </w:tcPr>
          <w:p>
            <w:r>
              <w:rPr>
                <w:b w:val="false"/>
                <w:bCs w:val="false"/>
                <w:color w:val="222222"/>
                <w:sz w:val="16"/>
                <w:szCs w:val="16"/>
              </w:rPr>
              <w:t xml:space="preserve">S1</w:t>
            </w:r>
          </w:p>
        </w:tc>
        <w:tc>
          <w:tcPr>
            <w:tcW w:type="dxa" w:w="2000"/>
            <w:tcMar>
              <w:top w:type="dxa" w:w="34"/>
              <w:left w:type="dxa" w:w="70"/>
              <w:bottom w:type="dxa" w:w="34"/>
              <w:right w:type="dxa" w:w="70"/>
            </w:tcMar>
          </w:tcPr>
          <w:p>
            <w:r>
              <w:rPr>
                <w:b w:val="false"/>
                <w:bCs w:val="false"/>
                <w:color w:val="222222"/>
                <w:sz w:val="16"/>
                <w:szCs w:val="16"/>
              </w:rPr>
              <w:t xml:space="preserve">10,486.38</w:t>
            </w:r>
          </w:p>
        </w:tc>
      </w:tr>
      <w:tr>
        <w:tc>
          <w:tcPr>
            <w:tcW w:type="dxa" w:w="1400"/>
            <w:tcMar>
              <w:top w:type="dxa" w:w="34"/>
              <w:left w:type="dxa" w:w="70"/>
              <w:bottom w:type="dxa" w:w="34"/>
              <w:right w:type="dxa" w:w="70"/>
            </w:tcMar>
          </w:tcPr>
          <w:p>
            <w:r>
              <w:rPr>
                <w:b w:val="false"/>
                <w:bCs w:val="false"/>
                <w:color w:val="222222"/>
                <w:sz w:val="16"/>
                <w:szCs w:val="16"/>
              </w:rPr>
              <w:t xml:space="preserve">S2</w:t>
            </w:r>
          </w:p>
        </w:tc>
        <w:tc>
          <w:tcPr>
            <w:tcW w:type="dxa" w:w="2000"/>
            <w:tcMar>
              <w:top w:type="dxa" w:w="34"/>
              <w:left w:type="dxa" w:w="70"/>
              <w:bottom w:type="dxa" w:w="34"/>
              <w:right w:type="dxa" w:w="70"/>
            </w:tcMar>
          </w:tcPr>
          <w:p>
            <w:r>
              <w:rPr>
                <w:b w:val="false"/>
                <w:bCs w:val="false"/>
                <w:color w:val="222222"/>
                <w:sz w:val="16"/>
                <w:szCs w:val="16"/>
              </w:rPr>
              <w:t xml:space="preserve">10,448.01</w:t>
            </w:r>
          </w:p>
        </w:tc>
      </w:tr>
      <w:tr>
        <w:tc>
          <w:tcPr>
            <w:tcW w:type="dxa" w:w="1400"/>
            <w:tcMar>
              <w:top w:type="dxa" w:w="34"/>
              <w:left w:type="dxa" w:w="70"/>
              <w:bottom w:type="dxa" w:w="34"/>
              <w:right w:type="dxa" w:w="70"/>
            </w:tcMar>
          </w:tcPr>
          <w:p>
            <w:r>
              <w:rPr>
                <w:b w:val="false"/>
                <w:bCs w:val="false"/>
                <w:color w:val="222222"/>
                <w:sz w:val="16"/>
                <w:szCs w:val="16"/>
              </w:rPr>
              <w:t xml:space="preserve">S3</w:t>
            </w:r>
          </w:p>
        </w:tc>
        <w:tc>
          <w:tcPr>
            <w:tcW w:type="dxa" w:w="2000"/>
            <w:tcMar>
              <w:top w:type="dxa" w:w="34"/>
              <w:left w:type="dxa" w:w="70"/>
              <w:bottom w:type="dxa" w:w="34"/>
              <w:right w:type="dxa" w:w="70"/>
            </w:tcMar>
          </w:tcPr>
          <w:p>
            <w:r>
              <w:rPr>
                <w:b w:val="false"/>
                <w:bCs w:val="false"/>
                <w:color w:val="222222"/>
                <w:sz w:val="16"/>
                <w:szCs w:val="16"/>
              </w:rPr>
              <w:t xml:space="preserve">10,391.01</w:t>
            </w:r>
          </w:p>
        </w:tc>
      </w:tr>
      <w:tr>
        <w:tc>
          <w:tcPr>
            <w:tcW w:type="dxa" w:w="1400"/>
            <w:tcMar>
              <w:top w:type="dxa" w:w="34"/>
              <w:left w:type="dxa" w:w="70"/>
              <w:bottom w:type="dxa" w:w="34"/>
              <w:right w:type="dxa" w:w="70"/>
            </w:tcMar>
          </w:tcPr>
          <w:p>
            <w:r>
              <w:rPr>
                <w:b w:val="false"/>
                <w:bCs w:val="false"/>
                <w:color w:val="222222"/>
                <w:sz w:val="16"/>
                <w:szCs w:val="16"/>
              </w:rPr>
              <w:t xml:space="preserve">S4</w:t>
            </w:r>
          </w:p>
        </w:tc>
        <w:tc>
          <w:tcPr>
            <w:tcW w:type="dxa" w:w="2000"/>
            <w:tcMar>
              <w:top w:type="dxa" w:w="34"/>
              <w:left w:type="dxa" w:w="70"/>
              <w:bottom w:type="dxa" w:w="34"/>
              <w:right w:type="dxa" w:w="70"/>
            </w:tcMar>
          </w:tcPr>
          <w:p>
            <w:r>
              <w:rPr>
                <w:b w:val="false"/>
                <w:bCs w:val="false"/>
                <w:color w:val="222222"/>
                <w:sz w:val="16"/>
                <w:szCs w:val="16"/>
              </w:rPr>
              <w:t xml:space="preserve">10,295.64</w:t>
            </w:r>
          </w:p>
        </w:tc>
      </w:tr>
      <w:tr>
        <w:tc>
          <w:tcPr>
            <w:tcW w:type="dxa" w:w="1400"/>
            <w:tcMar>
              <w:top w:type="dxa" w:w="34"/>
              <w:left w:type="dxa" w:w="70"/>
              <w:bottom w:type="dxa" w:w="34"/>
              <w:right w:type="dxa" w:w="70"/>
            </w:tcMar>
          </w:tcPr>
          <w:p>
            <w:r>
              <w:rPr>
                <w:b w:val="false"/>
                <w:bCs w:val="false"/>
                <w:color w:val="222222"/>
                <w:sz w:val="16"/>
                <w:szCs w:val="16"/>
              </w:rPr>
              <w:t xml:space="preserve">S5</w:t>
            </w:r>
          </w:p>
        </w:tc>
        <w:tc>
          <w:tcPr>
            <w:tcW w:type="dxa" w:w="2000"/>
            <w:tcMar>
              <w:top w:type="dxa" w:w="34"/>
              <w:left w:type="dxa" w:w="70"/>
              <w:bottom w:type="dxa" w:w="34"/>
              <w:right w:type="dxa" w:w="70"/>
            </w:tcMar>
          </w:tcPr>
          <w:p>
            <w:r>
              <w:rPr>
                <w:b w:val="false"/>
                <w:bCs w:val="false"/>
                <w:color w:val="222222"/>
                <w:sz w:val="16"/>
                <w:szCs w:val="16"/>
              </w:rPr>
              <w:t xml:space="preserve">10,200.27</w:t>
            </w:r>
          </w:p>
        </w:tc>
      </w:tr>
    </w:tbl>
    <w:p>
      <w:pPr>
        <w:spacing w:after="100" w:line="264"/>
      </w:pPr>
      <w:r>
        <w:rPr>
          <w:b/>
          <w:bCs/>
          <w:sz w:val="20"/>
          <w:szCs w:val="20"/>
        </w:rPr>
        <w:t xml:space="preserve">Source status: </w:t>
      </w:r>
      <w:r>
        <w:rPr>
          <w:sz w:val="20"/>
          <w:szCs w:val="20"/>
        </w:rPr>
        <w:t xml:space="preserve">CORROBORATED — 20 Jul H/L/C dual-sourced within tolerance. R1.5 = 10,610.25, S1.5 = 10,467.20 (derived midpoints).</w:t>
      </w:r>
    </w:p>
    <w:p>
      <w:pPr>
        <w:pStyle w:val="Heading2"/>
        <w:spacing w:after="80" w:before="180"/>
      </w:pPr>
      <w:r>
        <w:rPr>
          <w:b/>
          <w:bCs/>
          <w:color w:val="178A5C"/>
          <w:sz w:val="24"/>
          <w:szCs w:val="24"/>
        </w:rPr>
        <w:t xml:space="preserve">Weekly pivots (prior week W/E 17 Jul)</w:t>
      </w:r>
    </w:p>
    <w:tbl>
      <w:tblPr>
        <w:tblW w:type="dxa" w:w="3400"/>
        <w:tblBorders>
          <w:top w:val="single" w:color="BBBBBB" w:sz="4"/>
          <w:left w:val="single" w:color="BBBBBB" w:sz="4"/>
          <w:bottom w:val="single" w:color="BBBBBB" w:sz="4"/>
          <w:right w:val="single" w:color="BBBBBB" w:sz="4"/>
          <w:insideH w:val="single" w:color="DDDDDD" w:sz="2"/>
          <w:insideV w:val="single" w:color="DDDDDD" w:sz="2"/>
        </w:tblBorders>
      </w:tblPr>
      <w:tblGrid>
        <w:gridCol w:w="1400"/>
        <w:gridCol w:w="2000"/>
      </w:tblGrid>
      <w:tr>
        <w:trPr>
          <w:tblHeader/>
        </w:trPr>
        <w:tc>
          <w:tcPr>
            <w:tcW w:type="dxa" w:w="1400"/>
            <w:shd w:fill="1F3A63" w:color="auto" w:val="clear"/>
            <w:tcMar>
              <w:top w:type="dxa" w:w="40"/>
              <w:left w:type="dxa" w:w="70"/>
              <w:bottom w:type="dxa" w:w="40"/>
              <w:right w:type="dxa" w:w="70"/>
            </w:tcMar>
          </w:tcPr>
          <w:p>
            <w:r>
              <w:rPr>
                <w:b/>
                <w:bCs/>
                <w:color w:val="FFFFFF"/>
                <w:sz w:val="17"/>
                <w:szCs w:val="17"/>
              </w:rPr>
              <w:t xml:space="preserve">Level</w:t>
            </w:r>
          </w:p>
        </w:tc>
        <w:tc>
          <w:tcPr>
            <w:tcW w:type="dxa" w:w="2000"/>
            <w:shd w:fill="1F3A63" w:color="auto" w:val="clear"/>
            <w:tcMar>
              <w:top w:type="dxa" w:w="40"/>
              <w:left w:type="dxa" w:w="70"/>
              <w:bottom w:type="dxa" w:w="40"/>
              <w:right w:type="dxa" w:w="70"/>
            </w:tcMar>
          </w:tcPr>
          <w:p>
            <w:r>
              <w:rPr>
                <w:b/>
                <w:bCs/>
                <w:color w:val="FFFFFF"/>
                <w:sz w:val="17"/>
                <w:szCs w:val="17"/>
              </w:rPr>
              <w:t xml:space="preserve">Price</w:t>
            </w:r>
          </w:p>
        </w:tc>
      </w:tr>
      <w:tr>
        <w:tc>
          <w:tcPr>
            <w:tcW w:type="dxa" w:w="1400"/>
            <w:tcMar>
              <w:top w:type="dxa" w:w="34"/>
              <w:left w:type="dxa" w:w="70"/>
              <w:bottom w:type="dxa" w:w="34"/>
              <w:right w:type="dxa" w:w="70"/>
            </w:tcMar>
          </w:tcPr>
          <w:p>
            <w:r>
              <w:rPr>
                <w:b w:val="false"/>
                <w:bCs w:val="false"/>
                <w:color w:val="222222"/>
                <w:sz w:val="16"/>
                <w:szCs w:val="16"/>
              </w:rPr>
              <w:t xml:space="preserve">R3</w:t>
            </w:r>
          </w:p>
        </w:tc>
        <w:tc>
          <w:tcPr>
            <w:tcW w:type="dxa" w:w="2000"/>
            <w:tcMar>
              <w:top w:type="dxa" w:w="34"/>
              <w:left w:type="dxa" w:w="70"/>
              <w:bottom w:type="dxa" w:w="34"/>
              <w:right w:type="dxa" w:w="70"/>
            </w:tcMar>
          </w:tcPr>
          <w:p>
            <w:r>
              <w:rPr>
                <w:b w:val="false"/>
                <w:bCs w:val="false"/>
                <w:color w:val="222222"/>
                <w:sz w:val="16"/>
                <w:szCs w:val="16"/>
              </w:rPr>
              <w:t xml:space="preserve">10,862.24</w:t>
            </w:r>
          </w:p>
        </w:tc>
      </w:tr>
      <w:tr>
        <w:tc>
          <w:tcPr>
            <w:tcW w:type="dxa" w:w="1400"/>
            <w:tcMar>
              <w:top w:type="dxa" w:w="34"/>
              <w:left w:type="dxa" w:w="70"/>
              <w:bottom w:type="dxa" w:w="34"/>
              <w:right w:type="dxa" w:w="70"/>
            </w:tcMar>
          </w:tcPr>
          <w:p>
            <w:r>
              <w:rPr>
                <w:b w:val="false"/>
                <w:bCs w:val="false"/>
                <w:color w:val="222222"/>
                <w:sz w:val="16"/>
                <w:szCs w:val="16"/>
              </w:rPr>
              <w:t xml:space="preserve">R2</w:t>
            </w:r>
          </w:p>
        </w:tc>
        <w:tc>
          <w:tcPr>
            <w:tcW w:type="dxa" w:w="2000"/>
            <w:tcMar>
              <w:top w:type="dxa" w:w="34"/>
              <w:left w:type="dxa" w:w="70"/>
              <w:bottom w:type="dxa" w:w="34"/>
              <w:right w:type="dxa" w:w="70"/>
            </w:tcMar>
          </w:tcPr>
          <w:p>
            <w:r>
              <w:rPr>
                <w:b w:val="false"/>
                <w:bCs w:val="false"/>
                <w:color w:val="222222"/>
                <w:sz w:val="16"/>
                <w:szCs w:val="16"/>
              </w:rPr>
              <w:t xml:space="preserve">10,742.96</w:t>
            </w:r>
          </w:p>
        </w:tc>
      </w:tr>
      <w:tr>
        <w:tc>
          <w:tcPr>
            <w:tcW w:type="dxa" w:w="1400"/>
            <w:tcMar>
              <w:top w:type="dxa" w:w="34"/>
              <w:left w:type="dxa" w:w="70"/>
              <w:bottom w:type="dxa" w:w="34"/>
              <w:right w:type="dxa" w:w="70"/>
            </w:tcMar>
          </w:tcPr>
          <w:p>
            <w:r>
              <w:rPr>
                <w:b w:val="false"/>
                <w:bCs w:val="false"/>
                <w:color w:val="222222"/>
                <w:sz w:val="16"/>
                <w:szCs w:val="16"/>
              </w:rPr>
              <w:t xml:space="preserve">R1</w:t>
            </w:r>
          </w:p>
        </w:tc>
        <w:tc>
          <w:tcPr>
            <w:tcW w:type="dxa" w:w="2000"/>
            <w:tcMar>
              <w:top w:type="dxa" w:w="34"/>
              <w:left w:type="dxa" w:w="70"/>
              <w:bottom w:type="dxa" w:w="34"/>
              <w:right w:type="dxa" w:w="70"/>
            </w:tcMar>
          </w:tcPr>
          <w:p>
            <w:r>
              <w:rPr>
                <w:b w:val="false"/>
                <w:bCs w:val="false"/>
                <w:color w:val="222222"/>
                <w:sz w:val="16"/>
                <w:szCs w:val="16"/>
              </w:rPr>
              <w:t xml:space="preserve">10,671.67</w:t>
            </w:r>
          </w:p>
        </w:tc>
      </w:tr>
      <w:tr>
        <w:tc>
          <w:tcPr>
            <w:tcW w:type="dxa" w:w="1400"/>
            <w:tcMar>
              <w:top w:type="dxa" w:w="34"/>
              <w:left w:type="dxa" w:w="70"/>
              <w:bottom w:type="dxa" w:w="34"/>
              <w:right w:type="dxa" w:w="70"/>
            </w:tcMar>
          </w:tcPr>
          <w:p>
            <w:r>
              <w:rPr>
                <w:b/>
                <w:bCs/>
                <w:color w:val="222222"/>
                <w:sz w:val="16"/>
                <w:szCs w:val="16"/>
              </w:rPr>
              <w:t xml:space="preserve">P</w:t>
            </w:r>
          </w:p>
        </w:tc>
        <w:tc>
          <w:tcPr>
            <w:tcW w:type="dxa" w:w="2000"/>
            <w:tcMar>
              <w:top w:type="dxa" w:w="34"/>
              <w:left w:type="dxa" w:w="70"/>
              <w:bottom w:type="dxa" w:w="34"/>
              <w:right w:type="dxa" w:w="70"/>
            </w:tcMar>
          </w:tcPr>
          <w:p>
            <w:r>
              <w:rPr>
                <w:b/>
                <w:bCs/>
                <w:color w:val="222222"/>
                <w:sz w:val="16"/>
                <w:szCs w:val="16"/>
              </w:rPr>
              <w:t xml:space="preserve">10,552.39</w:t>
            </w:r>
          </w:p>
        </w:tc>
      </w:tr>
      <w:tr>
        <w:tc>
          <w:tcPr>
            <w:tcW w:type="dxa" w:w="1400"/>
            <w:tcMar>
              <w:top w:type="dxa" w:w="34"/>
              <w:left w:type="dxa" w:w="70"/>
              <w:bottom w:type="dxa" w:w="34"/>
              <w:right w:type="dxa" w:w="70"/>
            </w:tcMar>
          </w:tcPr>
          <w:p>
            <w:r>
              <w:rPr>
                <w:b w:val="false"/>
                <w:bCs w:val="false"/>
                <w:color w:val="222222"/>
                <w:sz w:val="16"/>
                <w:szCs w:val="16"/>
              </w:rPr>
              <w:t xml:space="preserve">S1</w:t>
            </w:r>
          </w:p>
        </w:tc>
        <w:tc>
          <w:tcPr>
            <w:tcW w:type="dxa" w:w="2000"/>
            <w:tcMar>
              <w:top w:type="dxa" w:w="34"/>
              <w:left w:type="dxa" w:w="70"/>
              <w:bottom w:type="dxa" w:w="34"/>
              <w:right w:type="dxa" w:w="70"/>
            </w:tcMar>
          </w:tcPr>
          <w:p>
            <w:r>
              <w:rPr>
                <w:b w:val="false"/>
                <w:bCs w:val="false"/>
                <w:color w:val="222222"/>
                <w:sz w:val="16"/>
                <w:szCs w:val="16"/>
              </w:rPr>
              <w:t xml:space="preserve">10,481.10</w:t>
            </w:r>
          </w:p>
        </w:tc>
      </w:tr>
      <w:tr>
        <w:tc>
          <w:tcPr>
            <w:tcW w:type="dxa" w:w="1400"/>
            <w:tcMar>
              <w:top w:type="dxa" w:w="34"/>
              <w:left w:type="dxa" w:w="70"/>
              <w:bottom w:type="dxa" w:w="34"/>
              <w:right w:type="dxa" w:w="70"/>
            </w:tcMar>
          </w:tcPr>
          <w:p>
            <w:r>
              <w:rPr>
                <w:b w:val="false"/>
                <w:bCs w:val="false"/>
                <w:color w:val="222222"/>
                <w:sz w:val="16"/>
                <w:szCs w:val="16"/>
              </w:rPr>
              <w:t xml:space="preserve">S2</w:t>
            </w:r>
          </w:p>
        </w:tc>
        <w:tc>
          <w:tcPr>
            <w:tcW w:type="dxa" w:w="2000"/>
            <w:tcMar>
              <w:top w:type="dxa" w:w="34"/>
              <w:left w:type="dxa" w:w="70"/>
              <w:bottom w:type="dxa" w:w="34"/>
              <w:right w:type="dxa" w:w="70"/>
            </w:tcMar>
          </w:tcPr>
          <w:p>
            <w:r>
              <w:rPr>
                <w:b w:val="false"/>
                <w:bCs w:val="false"/>
                <w:color w:val="222222"/>
                <w:sz w:val="16"/>
                <w:szCs w:val="16"/>
              </w:rPr>
              <w:t xml:space="preserve">10,361.82</w:t>
            </w:r>
          </w:p>
        </w:tc>
      </w:tr>
      <w:tr>
        <w:tc>
          <w:tcPr>
            <w:tcW w:type="dxa" w:w="1400"/>
            <w:tcMar>
              <w:top w:type="dxa" w:w="34"/>
              <w:left w:type="dxa" w:w="70"/>
              <w:bottom w:type="dxa" w:w="34"/>
              <w:right w:type="dxa" w:w="70"/>
            </w:tcMar>
          </w:tcPr>
          <w:p>
            <w:r>
              <w:rPr>
                <w:b w:val="false"/>
                <w:bCs w:val="false"/>
                <w:color w:val="222222"/>
                <w:sz w:val="16"/>
                <w:szCs w:val="16"/>
              </w:rPr>
              <w:t xml:space="preserve">S3</w:t>
            </w:r>
          </w:p>
        </w:tc>
        <w:tc>
          <w:tcPr>
            <w:tcW w:type="dxa" w:w="2000"/>
            <w:tcMar>
              <w:top w:type="dxa" w:w="34"/>
              <w:left w:type="dxa" w:w="70"/>
              <w:bottom w:type="dxa" w:w="34"/>
              <w:right w:type="dxa" w:w="70"/>
            </w:tcMar>
          </w:tcPr>
          <w:p>
            <w:r>
              <w:rPr>
                <w:b w:val="false"/>
                <w:bCs w:val="false"/>
                <w:color w:val="222222"/>
                <w:sz w:val="16"/>
                <w:szCs w:val="16"/>
              </w:rPr>
              <w:t xml:space="preserve">10,290.53</w:t>
            </w:r>
          </w:p>
        </w:tc>
      </w:tr>
    </w:tbl>
    <w:p>
      <w:pPr>
        <w:spacing w:after="100" w:line="264"/>
      </w:pPr>
      <w:r>
        <w:rPr>
          <w:b/>
          <w:bCs/>
          <w:sz w:val="20"/>
          <w:szCs w:val="20"/>
        </w:rPr>
        <w:t xml:space="preserve">Source status: </w:t>
      </w:r>
      <w:r>
        <w:rPr>
          <w:sz w:val="20"/>
          <w:szCs w:val="20"/>
        </w:rPr>
        <w:t xml:space="preserve">CORROBORATED — prior-week H/L/C from validated sessions.</w:t>
      </w:r>
    </w:p>
    <w:p>
      <w:pPr>
        <w:pStyle w:val="Heading2"/>
        <w:spacing w:after="80" w:before="180"/>
      </w:pPr>
      <w:r>
        <w:rPr>
          <w:b/>
          <w:bCs/>
          <w:color w:val="178A5C"/>
          <w:sz w:val="24"/>
          <w:szCs w:val="24"/>
        </w:rPr>
        <w:t xml:space="preserve">Monthly pivots (prior month, June 2026)</w:t>
      </w:r>
    </w:p>
    <w:tbl>
      <w:tblPr>
        <w:tblW w:type="dxa" w:w="3400"/>
        <w:tblBorders>
          <w:top w:val="single" w:color="BBBBBB" w:sz="4"/>
          <w:left w:val="single" w:color="BBBBBB" w:sz="4"/>
          <w:bottom w:val="single" w:color="BBBBBB" w:sz="4"/>
          <w:right w:val="single" w:color="BBBBBB" w:sz="4"/>
          <w:insideH w:val="single" w:color="DDDDDD" w:sz="2"/>
          <w:insideV w:val="single" w:color="DDDDDD" w:sz="2"/>
        </w:tblBorders>
      </w:tblPr>
      <w:tblGrid>
        <w:gridCol w:w="1400"/>
        <w:gridCol w:w="2000"/>
      </w:tblGrid>
      <w:tr>
        <w:trPr>
          <w:tblHeader/>
        </w:trPr>
        <w:tc>
          <w:tcPr>
            <w:tcW w:type="dxa" w:w="1400"/>
            <w:shd w:fill="1F3A63" w:color="auto" w:val="clear"/>
            <w:tcMar>
              <w:top w:type="dxa" w:w="40"/>
              <w:left w:type="dxa" w:w="70"/>
              <w:bottom w:type="dxa" w:w="40"/>
              <w:right w:type="dxa" w:w="70"/>
            </w:tcMar>
          </w:tcPr>
          <w:p>
            <w:r>
              <w:rPr>
                <w:b/>
                <w:bCs/>
                <w:color w:val="FFFFFF"/>
                <w:sz w:val="17"/>
                <w:szCs w:val="17"/>
              </w:rPr>
              <w:t xml:space="preserve">Level</w:t>
            </w:r>
          </w:p>
        </w:tc>
        <w:tc>
          <w:tcPr>
            <w:tcW w:type="dxa" w:w="2000"/>
            <w:shd w:fill="1F3A63" w:color="auto" w:val="clear"/>
            <w:tcMar>
              <w:top w:type="dxa" w:w="40"/>
              <w:left w:type="dxa" w:w="70"/>
              <w:bottom w:type="dxa" w:w="40"/>
              <w:right w:type="dxa" w:w="70"/>
            </w:tcMar>
          </w:tcPr>
          <w:p>
            <w:r>
              <w:rPr>
                <w:b/>
                <w:bCs/>
                <w:color w:val="FFFFFF"/>
                <w:sz w:val="17"/>
                <w:szCs w:val="17"/>
              </w:rPr>
              <w:t xml:space="preserve">Price</w:t>
            </w:r>
          </w:p>
        </w:tc>
      </w:tr>
      <w:tr>
        <w:tc>
          <w:tcPr>
            <w:tcW w:type="dxa" w:w="1400"/>
            <w:tcMar>
              <w:top w:type="dxa" w:w="34"/>
              <w:left w:type="dxa" w:w="70"/>
              <w:bottom w:type="dxa" w:w="34"/>
              <w:right w:type="dxa" w:w="70"/>
            </w:tcMar>
          </w:tcPr>
          <w:p>
            <w:r>
              <w:rPr>
                <w:b w:val="false"/>
                <w:bCs w:val="false"/>
                <w:color w:val="222222"/>
                <w:sz w:val="16"/>
                <w:szCs w:val="16"/>
              </w:rPr>
              <w:t xml:space="preserve">R3</w:t>
            </w:r>
          </w:p>
        </w:tc>
        <w:tc>
          <w:tcPr>
            <w:tcW w:type="dxa" w:w="2000"/>
            <w:tcMar>
              <w:top w:type="dxa" w:w="34"/>
              <w:left w:type="dxa" w:w="70"/>
              <w:bottom w:type="dxa" w:w="34"/>
              <w:right w:type="dxa" w:w="70"/>
            </w:tcMar>
          </w:tcPr>
          <w:p>
            <w:r>
              <w:rPr>
                <w:b w:val="false"/>
                <w:bCs w:val="false"/>
                <w:color w:val="222222"/>
                <w:sz w:val="16"/>
                <w:szCs w:val="16"/>
              </w:rPr>
              <w:t xml:space="preserve">11,229.67</w:t>
            </w:r>
          </w:p>
        </w:tc>
      </w:tr>
      <w:tr>
        <w:tc>
          <w:tcPr>
            <w:tcW w:type="dxa" w:w="1400"/>
            <w:tcMar>
              <w:top w:type="dxa" w:w="34"/>
              <w:left w:type="dxa" w:w="70"/>
              <w:bottom w:type="dxa" w:w="34"/>
              <w:right w:type="dxa" w:w="70"/>
            </w:tcMar>
          </w:tcPr>
          <w:p>
            <w:r>
              <w:rPr>
                <w:b w:val="false"/>
                <w:bCs w:val="false"/>
                <w:color w:val="222222"/>
                <w:sz w:val="16"/>
                <w:szCs w:val="16"/>
              </w:rPr>
              <w:t xml:space="preserve">R2</w:t>
            </w:r>
          </w:p>
        </w:tc>
        <w:tc>
          <w:tcPr>
            <w:tcW w:type="dxa" w:w="2000"/>
            <w:tcMar>
              <w:top w:type="dxa" w:w="34"/>
              <w:left w:type="dxa" w:w="70"/>
              <w:bottom w:type="dxa" w:w="34"/>
              <w:right w:type="dxa" w:w="70"/>
            </w:tcMar>
          </w:tcPr>
          <w:p>
            <w:r>
              <w:rPr>
                <w:b w:val="false"/>
                <w:bCs w:val="false"/>
                <w:color w:val="222222"/>
                <w:sz w:val="16"/>
                <w:szCs w:val="16"/>
              </w:rPr>
              <w:t xml:space="preserve">10,959.33</w:t>
            </w:r>
          </w:p>
        </w:tc>
      </w:tr>
      <w:tr>
        <w:tc>
          <w:tcPr>
            <w:tcW w:type="dxa" w:w="1400"/>
            <w:tcMar>
              <w:top w:type="dxa" w:w="34"/>
              <w:left w:type="dxa" w:w="70"/>
              <w:bottom w:type="dxa" w:w="34"/>
              <w:right w:type="dxa" w:w="70"/>
            </w:tcMar>
          </w:tcPr>
          <w:p>
            <w:r>
              <w:rPr>
                <w:b w:val="false"/>
                <w:bCs w:val="false"/>
                <w:color w:val="222222"/>
                <w:sz w:val="16"/>
                <w:szCs w:val="16"/>
              </w:rPr>
              <w:t xml:space="preserve">R1</w:t>
            </w:r>
          </w:p>
        </w:tc>
        <w:tc>
          <w:tcPr>
            <w:tcW w:type="dxa" w:w="2000"/>
            <w:tcMar>
              <w:top w:type="dxa" w:w="34"/>
              <w:left w:type="dxa" w:w="70"/>
              <w:bottom w:type="dxa" w:w="34"/>
              <w:right w:type="dxa" w:w="70"/>
            </w:tcMar>
          </w:tcPr>
          <w:p>
            <w:r>
              <w:rPr>
                <w:b w:val="false"/>
                <w:bCs w:val="false"/>
                <w:color w:val="222222"/>
                <w:sz w:val="16"/>
                <w:szCs w:val="16"/>
              </w:rPr>
              <w:t xml:space="preserve">10,722.67</w:t>
            </w:r>
          </w:p>
        </w:tc>
      </w:tr>
      <w:tr>
        <w:tc>
          <w:tcPr>
            <w:tcW w:type="dxa" w:w="1400"/>
            <w:tcMar>
              <w:top w:type="dxa" w:w="34"/>
              <w:left w:type="dxa" w:w="70"/>
              <w:bottom w:type="dxa" w:w="34"/>
              <w:right w:type="dxa" w:w="70"/>
            </w:tcMar>
          </w:tcPr>
          <w:p>
            <w:r>
              <w:rPr>
                <w:b/>
                <w:bCs/>
                <w:color w:val="222222"/>
                <w:sz w:val="16"/>
                <w:szCs w:val="16"/>
              </w:rPr>
              <w:t xml:space="preserve">P</w:t>
            </w:r>
          </w:p>
        </w:tc>
        <w:tc>
          <w:tcPr>
            <w:tcW w:type="dxa" w:w="2000"/>
            <w:tcMar>
              <w:top w:type="dxa" w:w="34"/>
              <w:left w:type="dxa" w:w="70"/>
              <w:bottom w:type="dxa" w:w="34"/>
              <w:right w:type="dxa" w:w="70"/>
            </w:tcMar>
          </w:tcPr>
          <w:p>
            <w:r>
              <w:rPr>
                <w:b/>
                <w:bCs/>
                <w:color w:val="222222"/>
                <w:sz w:val="16"/>
                <w:szCs w:val="16"/>
              </w:rPr>
              <w:t xml:space="preserve">10,452.33</w:t>
            </w:r>
          </w:p>
        </w:tc>
      </w:tr>
      <w:tr>
        <w:tc>
          <w:tcPr>
            <w:tcW w:type="dxa" w:w="1400"/>
            <w:tcMar>
              <w:top w:type="dxa" w:w="34"/>
              <w:left w:type="dxa" w:w="70"/>
              <w:bottom w:type="dxa" w:w="34"/>
              <w:right w:type="dxa" w:w="70"/>
            </w:tcMar>
          </w:tcPr>
          <w:p>
            <w:r>
              <w:rPr>
                <w:b w:val="false"/>
                <w:bCs w:val="false"/>
                <w:color w:val="222222"/>
                <w:sz w:val="16"/>
                <w:szCs w:val="16"/>
              </w:rPr>
              <w:t xml:space="preserve">S1</w:t>
            </w:r>
          </w:p>
        </w:tc>
        <w:tc>
          <w:tcPr>
            <w:tcW w:type="dxa" w:w="2000"/>
            <w:tcMar>
              <w:top w:type="dxa" w:w="34"/>
              <w:left w:type="dxa" w:w="70"/>
              <w:bottom w:type="dxa" w:w="34"/>
              <w:right w:type="dxa" w:w="70"/>
            </w:tcMar>
          </w:tcPr>
          <w:p>
            <w:r>
              <w:rPr>
                <w:b w:val="false"/>
                <w:bCs w:val="false"/>
                <w:color w:val="222222"/>
                <w:sz w:val="16"/>
                <w:szCs w:val="16"/>
              </w:rPr>
              <w:t xml:space="preserve">10,215.67</w:t>
            </w:r>
          </w:p>
        </w:tc>
      </w:tr>
      <w:tr>
        <w:tc>
          <w:tcPr>
            <w:tcW w:type="dxa" w:w="1400"/>
            <w:tcMar>
              <w:top w:type="dxa" w:w="34"/>
              <w:left w:type="dxa" w:w="70"/>
              <w:bottom w:type="dxa" w:w="34"/>
              <w:right w:type="dxa" w:w="70"/>
            </w:tcMar>
          </w:tcPr>
          <w:p>
            <w:r>
              <w:rPr>
                <w:b w:val="false"/>
                <w:bCs w:val="false"/>
                <w:color w:val="222222"/>
                <w:sz w:val="16"/>
                <w:szCs w:val="16"/>
              </w:rPr>
              <w:t xml:space="preserve">S2</w:t>
            </w:r>
          </w:p>
        </w:tc>
        <w:tc>
          <w:tcPr>
            <w:tcW w:type="dxa" w:w="2000"/>
            <w:tcMar>
              <w:top w:type="dxa" w:w="34"/>
              <w:left w:type="dxa" w:w="70"/>
              <w:bottom w:type="dxa" w:w="34"/>
              <w:right w:type="dxa" w:w="70"/>
            </w:tcMar>
          </w:tcPr>
          <w:p>
            <w:r>
              <w:rPr>
                <w:b w:val="false"/>
                <w:bCs w:val="false"/>
                <w:color w:val="222222"/>
                <w:sz w:val="16"/>
                <w:szCs w:val="16"/>
              </w:rPr>
              <w:t xml:space="preserve">9,945.33</w:t>
            </w:r>
          </w:p>
        </w:tc>
      </w:tr>
      <w:tr>
        <w:tc>
          <w:tcPr>
            <w:tcW w:type="dxa" w:w="1400"/>
            <w:tcMar>
              <w:top w:type="dxa" w:w="34"/>
              <w:left w:type="dxa" w:w="70"/>
              <w:bottom w:type="dxa" w:w="34"/>
              <w:right w:type="dxa" w:w="70"/>
            </w:tcMar>
          </w:tcPr>
          <w:p>
            <w:r>
              <w:rPr>
                <w:b w:val="false"/>
                <w:bCs w:val="false"/>
                <w:color w:val="222222"/>
                <w:sz w:val="16"/>
                <w:szCs w:val="16"/>
              </w:rPr>
              <w:t xml:space="preserve">S3</w:t>
            </w:r>
          </w:p>
        </w:tc>
        <w:tc>
          <w:tcPr>
            <w:tcW w:type="dxa" w:w="2000"/>
            <w:tcMar>
              <w:top w:type="dxa" w:w="34"/>
              <w:left w:type="dxa" w:w="70"/>
              <w:bottom w:type="dxa" w:w="34"/>
              <w:right w:type="dxa" w:w="70"/>
            </w:tcMar>
          </w:tcPr>
          <w:p>
            <w:r>
              <w:rPr>
                <w:b w:val="false"/>
                <w:bCs w:val="false"/>
                <w:color w:val="222222"/>
                <w:sz w:val="16"/>
                <w:szCs w:val="16"/>
              </w:rPr>
              <w:t xml:space="preserve">9,708.67</w:t>
            </w:r>
          </w:p>
        </w:tc>
      </w:tr>
    </w:tbl>
    <w:p>
      <w:pPr>
        <w:spacing w:after="100" w:line="264"/>
      </w:pPr>
      <w:r>
        <w:rPr>
          <w:b/>
          <w:bCs/>
          <w:color w:val="9B2D6B"/>
          <w:sz w:val="20"/>
          <w:szCs w:val="20"/>
        </w:rPr>
        <w:t xml:space="preserve">Source status: </w:t>
      </w:r>
      <w:r>
        <w:rPr>
          <w:sz w:val="20"/>
          <w:szCs w:val="20"/>
        </w:rPr>
        <w:t xml:space="preserve">SINGLE-SOURCE — INDICATIVE ONLY. Prior-month June H/L/C could not be dual-source corroborated to tolerance from the available approved stack; monthly levels are shown for context and are NOT used for definitive entry/stop pricing.</w:t>
      </w:r>
    </w:p>
    <w:p>
      <w:pPr>
        <w:spacing w:after="100" w:line="264"/>
      </w:pPr>
      <w:r>
        <w:rPr>
          <w:b/>
          <w:bCs/>
          <w:sz w:val="20"/>
          <w:szCs w:val="20"/>
        </w:rPr>
        <w:t xml:space="preserve">Position narrative: </w:t>
      </w:r>
      <w:r>
        <w:rPr>
          <w:sz w:val="20"/>
          <w:szCs w:val="20"/>
        </w:rPr>
        <w:t xml:space="preserve">The 20 Jul close (10,524.76) sits just below daily P (10,543.38) and weekly P (10,552.39), and above monthly P (10,452.33). It is testing the daily/weekly pivot cluster from beneath — a bearish sub-pivot posture. Daily S1 (10,486.38) and weekly S1 (10,481.10) form a tight support confluence (~within 0.05%), the first meaningful demand shelf below.</w:t>
      </w:r>
    </w:p>
    <w:p>
      <w:pPr>
        <w:pStyle w:val="Heading1"/>
        <w:spacing w:after="120" w:before="260"/>
      </w:pPr>
      <w:r>
        <w:rPr>
          <w:b/>
          <w:bCs/>
          <w:color w:val="1F3A63"/>
          <w:sz w:val="28"/>
          <w:szCs w:val="28"/>
        </w:rPr>
        <w:t xml:space="preserve">12 · Key Market Considerations</w:t>
      </w:r>
    </w:p>
    <w:p>
      <w:pPr>
        <w:spacing w:after="100" w:line="264"/>
      </w:pPr>
      <w:r>
        <w:rPr>
          <w:b/>
          <w:bCs/>
          <w:sz w:val="20"/>
          <w:szCs w:val="20"/>
        </w:rPr>
        <w:t xml:space="preserve">Energy / Middle East (cyclical, price-supportive for FTSE energy, negative for breadth): </w:t>
      </w:r>
      <w:r>
        <w:rPr>
          <w:sz w:val="20"/>
          <w:szCs w:val="20"/>
        </w:rPr>
        <w:t xml:space="preserve">A ninth day of US–Iran strikes and reports of tankers immobilised in the Strait of Hormuz pushed Brent above $90/bbl. Supportive for Shell/BP (heavy FTSE weight) but inflationary and risk-negative for the broader index.</w:t>
      </w:r>
    </w:p>
    <w:p>
      <w:pPr>
        <w:spacing w:after="100" w:line="264"/>
      </w:pPr>
      <w:r>
        <w:rPr>
          <w:b/>
          <w:bCs/>
          <w:sz w:val="20"/>
          <w:szCs w:val="20"/>
        </w:rPr>
        <w:t xml:space="preserve">UK politics &amp; fiscal (cyclical, price-negative near-term): </w:t>
      </w:r>
      <w:r>
        <w:rPr>
          <w:sz w:val="20"/>
          <w:szCs w:val="20"/>
        </w:rPr>
        <w:t xml:space="preserve">New PM Andy Burnham's cabinet reshuffle (Lammy, Reeves, Reed departing) and reported consideration of ~£24bn spending increases created fiscal uncertainty; 10-year gilt yield edged to ~4.98%. Rate-sensitive housebuilders (Persimmon, Barratt) and long-duration names led losses.</w:t>
      </w:r>
    </w:p>
    <w:p>
      <w:pPr>
        <w:spacing w:after="100" w:line="264"/>
      </w:pPr>
      <w:r>
        <w:rPr>
          <w:b/>
          <w:bCs/>
          <w:sz w:val="20"/>
          <w:szCs w:val="20"/>
        </w:rPr>
        <w:t xml:space="preserve">Global tech / AI (structural-cyclical, price-negative for risk): </w:t>
      </w:r>
      <w:r>
        <w:rPr>
          <w:sz w:val="20"/>
          <w:szCs w:val="20"/>
        </w:rPr>
        <w:t xml:space="preserve">A semiconductor-led global sell-off (S&amp;P −1.6% on the week, Nasdaq −2.9%) capped European appetite. FTSE's light tech weighting is a relative cushion.</w:t>
      </w:r>
    </w:p>
    <w:p>
      <w:pPr>
        <w:spacing w:after="100" w:line="264"/>
      </w:pPr>
      <w:r>
        <w:rPr>
          <w:b/>
          <w:bCs/>
          <w:sz w:val="20"/>
          <w:szCs w:val="20"/>
        </w:rPr>
        <w:t xml:space="preserve">Monetary policy (structural, watch): </w:t>
      </w:r>
      <w:r>
        <w:rPr>
          <w:sz w:val="20"/>
          <w:szCs w:val="20"/>
        </w:rPr>
        <w:t xml:space="preserve">BoE Bank Rate 3.75% (held 18 Jun). Markets debate whether sticky inflation could bring rate hikes into play in 2026 — unusual and hawkish for equities if realised.</w:t>
      </w:r>
    </w:p>
    <w:p>
      <w:pPr>
        <w:spacing w:after="100" w:line="264"/>
      </w:pPr>
      <w:r>
        <w:rPr>
          <w:b/>
          <w:bCs/>
          <w:sz w:val="20"/>
          <w:szCs w:val="20"/>
        </w:rPr>
        <w:t xml:space="preserve">Near-term catalysts (see §13d): </w:t>
      </w:r>
      <w:r>
        <w:rPr>
          <w:sz w:val="20"/>
          <w:szCs w:val="20"/>
        </w:rPr>
        <w:t xml:space="preserve">UK jobs (Tue 21 Jul), UK CPI (Wed 22 Jul), ECB decision (Thu 23 Jul), UK retail sales + flash PMIs (Fri 24 Jul).</w:t>
      </w:r>
    </w:p>
    <w:p>
      <w:pPr>
        <w:pStyle w:val="Heading1"/>
        <w:spacing w:after="120" w:before="260"/>
      </w:pPr>
      <w:r>
        <w:rPr>
          <w:b/>
          <w:bCs/>
          <w:color w:val="1F3A63"/>
          <w:sz w:val="28"/>
          <w:szCs w:val="28"/>
        </w:rPr>
        <w:t xml:space="preserve">13 · Sentiment, News &amp; Calendar</w:t>
      </w:r>
    </w:p>
    <w:p>
      <w:pPr>
        <w:pStyle w:val="Heading2"/>
        <w:spacing w:after="80" w:before="180"/>
      </w:pPr>
      <w:r>
        <w:rPr>
          <w:b/>
          <w:bCs/>
          <w:color w:val="1F3A63"/>
          <w:sz w:val="24"/>
          <w:szCs w:val="24"/>
        </w:rPr>
        <w:t xml:space="preserve">13a · Per-Article Sentiment</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400"/>
        <w:gridCol w:w="780"/>
        <w:gridCol w:w="2760"/>
        <w:gridCol w:w="900"/>
        <w:gridCol w:w="900"/>
        <w:gridCol w:w="2620"/>
      </w:tblGrid>
      <w:tr>
        <w:trPr>
          <w:tblHeader/>
        </w:trPr>
        <w:tc>
          <w:tcPr>
            <w:tcW w:type="dxa" w:w="1400"/>
            <w:shd w:fill="1F3A63" w:color="auto" w:val="clear"/>
            <w:tcMar>
              <w:top w:type="dxa" w:w="40"/>
              <w:left w:type="dxa" w:w="70"/>
              <w:bottom w:type="dxa" w:w="40"/>
              <w:right w:type="dxa" w:w="70"/>
            </w:tcMar>
          </w:tcPr>
          <w:p>
            <w:r>
              <w:rPr>
                <w:b/>
                <w:bCs/>
                <w:color w:val="FFFFFF"/>
                <w:sz w:val="17"/>
                <w:szCs w:val="17"/>
              </w:rPr>
              <w:t xml:space="preserve">Source</w:t>
            </w:r>
          </w:p>
        </w:tc>
        <w:tc>
          <w:tcPr>
            <w:tcW w:type="dxa" w:w="780"/>
            <w:shd w:fill="1F3A63" w:color="auto" w:val="clear"/>
            <w:tcMar>
              <w:top w:type="dxa" w:w="40"/>
              <w:left w:type="dxa" w:w="70"/>
              <w:bottom w:type="dxa" w:w="40"/>
              <w:right w:type="dxa" w:w="70"/>
            </w:tcMar>
          </w:tcPr>
          <w:p>
            <w:r>
              <w:rPr>
                <w:b/>
                <w:bCs/>
                <w:color w:val="FFFFFF"/>
                <w:sz w:val="17"/>
                <w:szCs w:val="17"/>
              </w:rPr>
              <w:t xml:space="preserve">Date</w:t>
            </w:r>
          </w:p>
        </w:tc>
        <w:tc>
          <w:tcPr>
            <w:tcW w:type="dxa" w:w="2760"/>
            <w:shd w:fill="1F3A63" w:color="auto" w:val="clear"/>
            <w:tcMar>
              <w:top w:type="dxa" w:w="40"/>
              <w:left w:type="dxa" w:w="70"/>
              <w:bottom w:type="dxa" w:w="40"/>
              <w:right w:type="dxa" w:w="70"/>
            </w:tcMar>
          </w:tcPr>
          <w:p>
            <w:r>
              <w:rPr>
                <w:b/>
                <w:bCs/>
                <w:color w:val="FFFFFF"/>
                <w:sz w:val="17"/>
                <w:szCs w:val="17"/>
              </w:rPr>
              <w:t xml:space="preserve">Headline (abbrev.)</w:t>
            </w:r>
          </w:p>
        </w:tc>
        <w:tc>
          <w:tcPr>
            <w:tcW w:type="dxa" w:w="900"/>
            <w:shd w:fill="1F3A63" w:color="auto" w:val="clear"/>
            <w:tcMar>
              <w:top w:type="dxa" w:w="40"/>
              <w:left w:type="dxa" w:w="70"/>
              <w:bottom w:type="dxa" w:w="40"/>
              <w:right w:type="dxa" w:w="70"/>
            </w:tcMar>
          </w:tcPr>
          <w:p>
            <w:r>
              <w:rPr>
                <w:b/>
                <w:bCs/>
                <w:color w:val="FFFFFF"/>
                <w:sz w:val="17"/>
                <w:szCs w:val="17"/>
              </w:rPr>
              <w:t xml:space="preserve">Class.</w:t>
            </w:r>
          </w:p>
        </w:tc>
        <w:tc>
          <w:tcPr>
            <w:tcW w:type="dxa" w:w="900"/>
            <w:shd w:fill="1F3A63" w:color="auto" w:val="clear"/>
            <w:tcMar>
              <w:top w:type="dxa" w:w="40"/>
              <w:left w:type="dxa" w:w="70"/>
              <w:bottom w:type="dxa" w:w="40"/>
              <w:right w:type="dxa" w:w="70"/>
            </w:tcMar>
          </w:tcPr>
          <w:p>
            <w:r>
              <w:rPr>
                <w:b/>
                <w:bCs/>
                <w:color w:val="FFFFFF"/>
                <w:sz w:val="17"/>
                <w:szCs w:val="17"/>
              </w:rPr>
              <w:t xml:space="preserve">Sentiment</w:t>
            </w:r>
          </w:p>
        </w:tc>
        <w:tc>
          <w:tcPr>
            <w:tcW w:type="dxa" w:w="2620"/>
            <w:shd w:fill="1F3A63" w:color="auto" w:val="clear"/>
            <w:tcMar>
              <w:top w:type="dxa" w:w="40"/>
              <w:left w:type="dxa" w:w="70"/>
              <w:bottom w:type="dxa" w:w="40"/>
              <w:right w:type="dxa" w:w="70"/>
            </w:tcMar>
          </w:tcPr>
          <w:p>
            <w:r>
              <w:rPr>
                <w:b/>
                <w:bCs/>
                <w:color w:val="FFFFFF"/>
                <w:sz w:val="17"/>
                <w:szCs w:val="17"/>
              </w:rPr>
              <w:t xml:space="preserve">Derivation quote (≤15w)</w:t>
            </w:r>
          </w:p>
        </w:tc>
      </w:tr>
      <w:tr>
        <w:tc>
          <w:tcPr>
            <w:tcW w:type="dxa" w:w="1400"/>
            <w:tcMar>
              <w:top w:type="dxa" w:w="34"/>
              <w:left w:type="dxa" w:w="70"/>
              <w:bottom w:type="dxa" w:w="34"/>
              <w:right w:type="dxa" w:w="70"/>
            </w:tcMar>
          </w:tcPr>
          <w:p>
            <w:r>
              <w:rPr>
                <w:b w:val="false"/>
                <w:bCs w:val="false"/>
                <w:color w:val="222222"/>
                <w:sz w:val="16"/>
                <w:szCs w:val="16"/>
              </w:rPr>
              <w:t xml:space="preserve">Reuters</w:t>
            </w:r>
          </w:p>
        </w:tc>
        <w:tc>
          <w:tcPr>
            <w:tcW w:type="dxa" w:w="780"/>
            <w:tcMar>
              <w:top w:type="dxa" w:w="34"/>
              <w:left w:type="dxa" w:w="70"/>
              <w:bottom w:type="dxa" w:w="34"/>
              <w:right w:type="dxa" w:w="70"/>
            </w:tcMar>
          </w:tcPr>
          <w:p>
            <w:r>
              <w:rPr>
                <w:b w:val="false"/>
                <w:bCs w:val="false"/>
                <w:color w:val="222222"/>
                <w:sz w:val="16"/>
                <w:szCs w:val="16"/>
              </w:rPr>
              <w:t xml:space="preserve">20 Jul</w:t>
            </w:r>
          </w:p>
        </w:tc>
        <w:tc>
          <w:tcPr>
            <w:tcW w:type="dxa" w:w="2760"/>
            <w:tcMar>
              <w:top w:type="dxa" w:w="34"/>
              <w:left w:type="dxa" w:w="70"/>
              <w:bottom w:type="dxa" w:w="34"/>
              <w:right w:type="dxa" w:w="70"/>
            </w:tcMar>
          </w:tcPr>
          <w:p>
            <w:r>
              <w:rPr>
                <w:b w:val="false"/>
                <w:bCs w:val="false"/>
                <w:color w:val="222222"/>
                <w:sz w:val="16"/>
                <w:szCs w:val="16"/>
              </w:rPr>
              <w:t xml:space="preserve">Britain's FTSE 100 slips on Middle East tensions; Burnham takes office</w:t>
            </w:r>
          </w:p>
        </w:tc>
        <w:tc>
          <w:tcPr>
            <w:tcW w:type="dxa" w:w="900"/>
            <w:tcMar>
              <w:top w:type="dxa" w:w="34"/>
              <w:left w:type="dxa" w:w="70"/>
              <w:bottom w:type="dxa" w:w="34"/>
              <w:right w:type="dxa" w:w="70"/>
            </w:tcMar>
          </w:tcPr>
          <w:p>
            <w:r>
              <w:rPr>
                <w:b w:val="false"/>
                <w:bCs w:val="false"/>
                <w:color w:val="222222"/>
                <w:sz w:val="16"/>
                <w:szCs w:val="16"/>
              </w:rPr>
              <w:t xml:space="preserve">Media</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2620"/>
            <w:tcMar>
              <w:top w:type="dxa" w:w="34"/>
              <w:left w:type="dxa" w:w="70"/>
              <w:bottom w:type="dxa" w:w="34"/>
              <w:right w:type="dxa" w:w="70"/>
            </w:tcMar>
          </w:tcPr>
          <w:p>
            <w:r>
              <w:rPr>
                <w:b w:val="false"/>
                <w:bCs w:val="false"/>
                <w:color w:val="222222"/>
                <w:sz w:val="16"/>
                <w:szCs w:val="16"/>
              </w:rPr>
              <w:t xml:space="preserve">"FTSE 100 index fell 0.5%" on Iran tensions, Hormuz risk</w:t>
            </w:r>
          </w:p>
        </w:tc>
      </w:tr>
      <w:tr>
        <w:tc>
          <w:tcPr>
            <w:tcW w:type="dxa" w:w="1400"/>
            <w:tcMar>
              <w:top w:type="dxa" w:w="34"/>
              <w:left w:type="dxa" w:w="70"/>
              <w:bottom w:type="dxa" w:w="34"/>
              <w:right w:type="dxa" w:w="70"/>
            </w:tcMar>
          </w:tcPr>
          <w:p>
            <w:r>
              <w:rPr>
                <w:b w:val="false"/>
                <w:bCs w:val="false"/>
                <w:color w:val="222222"/>
                <w:sz w:val="16"/>
                <w:szCs w:val="16"/>
              </w:rPr>
              <w:t xml:space="preserve">Proactive</w:t>
            </w:r>
          </w:p>
        </w:tc>
        <w:tc>
          <w:tcPr>
            <w:tcW w:type="dxa" w:w="780"/>
            <w:tcMar>
              <w:top w:type="dxa" w:w="34"/>
              <w:left w:type="dxa" w:w="70"/>
              <w:bottom w:type="dxa" w:w="34"/>
              <w:right w:type="dxa" w:w="70"/>
            </w:tcMar>
          </w:tcPr>
          <w:p>
            <w:r>
              <w:rPr>
                <w:b w:val="false"/>
                <w:bCs w:val="false"/>
                <w:color w:val="222222"/>
                <w:sz w:val="16"/>
                <w:szCs w:val="16"/>
              </w:rPr>
              <w:t xml:space="preserve">20 Jul</w:t>
            </w:r>
          </w:p>
        </w:tc>
        <w:tc>
          <w:tcPr>
            <w:tcW w:type="dxa" w:w="2760"/>
            <w:tcMar>
              <w:top w:type="dxa" w:w="34"/>
              <w:left w:type="dxa" w:w="70"/>
              <w:bottom w:type="dxa" w:w="34"/>
              <w:right w:type="dxa" w:w="70"/>
            </w:tcMar>
          </w:tcPr>
          <w:p>
            <w:r>
              <w:rPr>
                <w:b w:val="false"/>
                <w:bCs w:val="false"/>
                <w:color w:val="222222"/>
                <w:sz w:val="16"/>
                <w:szCs w:val="16"/>
              </w:rPr>
              <w:t xml:space="preserve">Gilts calm after Burnham; stocks end on a low note</w:t>
            </w:r>
          </w:p>
        </w:tc>
        <w:tc>
          <w:tcPr>
            <w:tcW w:type="dxa" w:w="900"/>
            <w:tcMar>
              <w:top w:type="dxa" w:w="34"/>
              <w:left w:type="dxa" w:w="70"/>
              <w:bottom w:type="dxa" w:w="34"/>
              <w:right w:type="dxa" w:w="70"/>
            </w:tcMar>
          </w:tcPr>
          <w:p>
            <w:r>
              <w:rPr>
                <w:b w:val="false"/>
                <w:bCs w:val="false"/>
                <w:color w:val="222222"/>
                <w:sz w:val="16"/>
                <w:szCs w:val="16"/>
              </w:rPr>
              <w:t xml:space="preserve">Media</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2620"/>
            <w:tcMar>
              <w:top w:type="dxa" w:w="34"/>
              <w:left w:type="dxa" w:w="70"/>
              <w:bottom w:type="dxa" w:w="34"/>
              <w:right w:type="dxa" w:w="70"/>
            </w:tcMar>
          </w:tcPr>
          <w:p>
            <w:r>
              <w:rPr>
                <w:b w:val="false"/>
                <w:bCs w:val="false"/>
                <w:color w:val="222222"/>
                <w:sz w:val="16"/>
                <w:szCs w:val="16"/>
              </w:rPr>
              <w:t xml:space="preserve">"stocks set to end on a low note"</w:t>
            </w:r>
          </w:p>
        </w:tc>
      </w:tr>
      <w:tr>
        <w:tc>
          <w:tcPr>
            <w:tcW w:type="dxa" w:w="1400"/>
            <w:tcMar>
              <w:top w:type="dxa" w:w="34"/>
              <w:left w:type="dxa" w:w="70"/>
              <w:bottom w:type="dxa" w:w="34"/>
              <w:right w:type="dxa" w:w="70"/>
            </w:tcMar>
          </w:tcPr>
          <w:p>
            <w:r>
              <w:rPr>
                <w:b w:val="false"/>
                <w:bCs w:val="false"/>
                <w:color w:val="222222"/>
                <w:sz w:val="16"/>
                <w:szCs w:val="16"/>
              </w:rPr>
              <w:t xml:space="preserve">Invezz</w:t>
            </w:r>
          </w:p>
        </w:tc>
        <w:tc>
          <w:tcPr>
            <w:tcW w:type="dxa" w:w="780"/>
            <w:tcMar>
              <w:top w:type="dxa" w:w="34"/>
              <w:left w:type="dxa" w:w="70"/>
              <w:bottom w:type="dxa" w:w="34"/>
              <w:right w:type="dxa" w:w="70"/>
            </w:tcMar>
          </w:tcPr>
          <w:p>
            <w:r>
              <w:rPr>
                <w:b w:val="false"/>
                <w:bCs w:val="false"/>
                <w:color w:val="222222"/>
                <w:sz w:val="16"/>
                <w:szCs w:val="16"/>
              </w:rPr>
              <w:t xml:space="preserve">20 Jul</w:t>
            </w:r>
          </w:p>
        </w:tc>
        <w:tc>
          <w:tcPr>
            <w:tcW w:type="dxa" w:w="2760"/>
            <w:tcMar>
              <w:top w:type="dxa" w:w="34"/>
              <w:left w:type="dxa" w:w="70"/>
              <w:bottom w:type="dxa" w:w="34"/>
              <w:right w:type="dxa" w:w="70"/>
            </w:tcMar>
          </w:tcPr>
          <w:p>
            <w:r>
              <w:rPr>
                <w:b w:val="false"/>
                <w:bCs w:val="false"/>
                <w:color w:val="222222"/>
                <w:sz w:val="16"/>
                <w:szCs w:val="16"/>
              </w:rPr>
              <w:t xml:space="preserve">FTSE closes lower as Burnham unveils cabinet</w:t>
            </w:r>
          </w:p>
        </w:tc>
        <w:tc>
          <w:tcPr>
            <w:tcW w:type="dxa" w:w="900"/>
            <w:tcMar>
              <w:top w:type="dxa" w:w="34"/>
              <w:left w:type="dxa" w:w="70"/>
              <w:bottom w:type="dxa" w:w="34"/>
              <w:right w:type="dxa" w:w="70"/>
            </w:tcMar>
          </w:tcPr>
          <w:p>
            <w:r>
              <w:rPr>
                <w:b w:val="false"/>
                <w:bCs w:val="false"/>
                <w:color w:val="222222"/>
                <w:sz w:val="16"/>
                <w:szCs w:val="16"/>
              </w:rPr>
              <w:t xml:space="preserve">Media</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2620"/>
            <w:tcMar>
              <w:top w:type="dxa" w:w="34"/>
              <w:left w:type="dxa" w:w="70"/>
              <w:bottom w:type="dxa" w:w="34"/>
              <w:right w:type="dxa" w:w="70"/>
            </w:tcMar>
          </w:tcPr>
          <w:p>
            <w:r>
              <w:rPr>
                <w:b w:val="false"/>
                <w:bCs w:val="false"/>
                <w:color w:val="222222"/>
                <w:sz w:val="16"/>
                <w:szCs w:val="16"/>
              </w:rPr>
              <w:t xml:space="preserve">"FTSE falls as Burnham names cabinet"</w:t>
            </w:r>
          </w:p>
        </w:tc>
      </w:tr>
      <w:tr>
        <w:tc>
          <w:tcPr>
            <w:tcW w:type="dxa" w:w="1400"/>
            <w:tcMar>
              <w:top w:type="dxa" w:w="34"/>
              <w:left w:type="dxa" w:w="70"/>
              <w:bottom w:type="dxa" w:w="34"/>
              <w:right w:type="dxa" w:w="70"/>
            </w:tcMar>
          </w:tcPr>
          <w:p>
            <w:r>
              <w:rPr>
                <w:b w:val="false"/>
                <w:bCs w:val="false"/>
                <w:color w:val="222222"/>
                <w:sz w:val="16"/>
                <w:szCs w:val="16"/>
              </w:rPr>
              <w:t xml:space="preserve">AJ Bell (via Proactive)</w:t>
            </w:r>
          </w:p>
        </w:tc>
        <w:tc>
          <w:tcPr>
            <w:tcW w:type="dxa" w:w="780"/>
            <w:tcMar>
              <w:top w:type="dxa" w:w="34"/>
              <w:left w:type="dxa" w:w="70"/>
              <w:bottom w:type="dxa" w:w="34"/>
              <w:right w:type="dxa" w:w="70"/>
            </w:tcMar>
          </w:tcPr>
          <w:p>
            <w:r>
              <w:rPr>
                <w:b w:val="false"/>
                <w:bCs w:val="false"/>
                <w:color w:val="222222"/>
                <w:sz w:val="16"/>
                <w:szCs w:val="16"/>
              </w:rPr>
              <w:t xml:space="preserve">20 Jul</w:t>
            </w:r>
          </w:p>
        </w:tc>
        <w:tc>
          <w:tcPr>
            <w:tcW w:type="dxa" w:w="2760"/>
            <w:tcMar>
              <w:top w:type="dxa" w:w="34"/>
              <w:left w:type="dxa" w:w="70"/>
              <w:bottom w:type="dxa" w:w="34"/>
              <w:right w:type="dxa" w:w="70"/>
            </w:tcMar>
          </w:tcPr>
          <w:p>
            <w:r>
              <w:rPr>
                <w:b w:val="false"/>
                <w:bCs w:val="false"/>
                <w:color w:val="222222"/>
                <w:sz w:val="16"/>
                <w:szCs w:val="16"/>
              </w:rPr>
              <w:t xml:space="preserve">Iran war escalated, oil above $90</w:t>
            </w:r>
          </w:p>
        </w:tc>
        <w:tc>
          <w:tcPr>
            <w:tcW w:type="dxa" w:w="900"/>
            <w:tcMar>
              <w:top w:type="dxa" w:w="34"/>
              <w:left w:type="dxa" w:w="70"/>
              <w:bottom w:type="dxa" w:w="34"/>
              <w:right w:type="dxa" w:w="70"/>
            </w:tcMar>
          </w:tcPr>
          <w:p>
            <w:r>
              <w:rPr>
                <w:b w:val="false"/>
                <w:bCs w:val="false"/>
                <w:color w:val="222222"/>
                <w:sz w:val="16"/>
                <w:szCs w:val="16"/>
              </w:rPr>
              <w:t xml:space="preserve">Institutional</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2620"/>
            <w:tcMar>
              <w:top w:type="dxa" w:w="34"/>
              <w:left w:type="dxa" w:w="70"/>
              <w:bottom w:type="dxa" w:w="34"/>
              <w:right w:type="dxa" w:w="70"/>
            </w:tcMar>
          </w:tcPr>
          <w:p>
            <w:r>
              <w:rPr>
                <w:b w:val="false"/>
                <w:bCs w:val="false"/>
                <w:color w:val="222222"/>
                <w:sz w:val="16"/>
                <w:szCs w:val="16"/>
              </w:rPr>
              <w:t xml:space="preserve">"inflation fears are back on the table"</w:t>
            </w:r>
          </w:p>
        </w:tc>
      </w:tr>
      <w:tr>
        <w:tc>
          <w:tcPr>
            <w:tcW w:type="dxa" w:w="1400"/>
            <w:tcMar>
              <w:top w:type="dxa" w:w="34"/>
              <w:left w:type="dxa" w:w="70"/>
              <w:bottom w:type="dxa" w:w="34"/>
              <w:right w:type="dxa" w:w="70"/>
            </w:tcMar>
          </w:tcPr>
          <w:p>
            <w:r>
              <w:rPr>
                <w:b w:val="false"/>
                <w:bCs w:val="false"/>
                <w:color w:val="222222"/>
                <w:sz w:val="16"/>
                <w:szCs w:val="16"/>
              </w:rPr>
              <w:t xml:space="preserve">Alliance News</w:t>
            </w:r>
          </w:p>
        </w:tc>
        <w:tc>
          <w:tcPr>
            <w:tcW w:type="dxa" w:w="780"/>
            <w:tcMar>
              <w:top w:type="dxa" w:w="34"/>
              <w:left w:type="dxa" w:w="70"/>
              <w:bottom w:type="dxa" w:w="34"/>
              <w:right w:type="dxa" w:w="70"/>
            </w:tcMar>
          </w:tcPr>
          <w:p>
            <w:r>
              <w:rPr>
                <w:b w:val="false"/>
                <w:bCs w:val="false"/>
                <w:color w:val="222222"/>
                <w:sz w:val="16"/>
                <w:szCs w:val="16"/>
              </w:rPr>
              <w:t xml:space="preserve">20 Jul</w:t>
            </w:r>
          </w:p>
        </w:tc>
        <w:tc>
          <w:tcPr>
            <w:tcW w:type="dxa" w:w="2760"/>
            <w:tcMar>
              <w:top w:type="dxa" w:w="34"/>
              <w:left w:type="dxa" w:w="70"/>
              <w:bottom w:type="dxa" w:w="34"/>
              <w:right w:type="dxa" w:w="70"/>
            </w:tcMar>
          </w:tcPr>
          <w:p>
            <w:r>
              <w:rPr>
                <w:b w:val="false"/>
                <w:bCs w:val="false"/>
                <w:color w:val="222222"/>
                <w:sz w:val="16"/>
                <w:szCs w:val="16"/>
              </w:rPr>
              <w:t xml:space="preserve">Stocks down as Burnham starts reshuffle</w:t>
            </w:r>
          </w:p>
        </w:tc>
        <w:tc>
          <w:tcPr>
            <w:tcW w:type="dxa" w:w="900"/>
            <w:tcMar>
              <w:top w:type="dxa" w:w="34"/>
              <w:left w:type="dxa" w:w="70"/>
              <w:bottom w:type="dxa" w:w="34"/>
              <w:right w:type="dxa" w:w="70"/>
            </w:tcMar>
          </w:tcPr>
          <w:p>
            <w:r>
              <w:rPr>
                <w:b w:val="false"/>
                <w:bCs w:val="false"/>
                <w:color w:val="222222"/>
                <w:sz w:val="16"/>
                <w:szCs w:val="16"/>
              </w:rPr>
              <w:t xml:space="preserve">Media</w:t>
            </w:r>
          </w:p>
        </w:tc>
        <w:tc>
          <w:tcPr>
            <w:tcW w:type="dxa" w:w="900"/>
            <w:tcMar>
              <w:top w:type="dxa" w:w="34"/>
              <w:left w:type="dxa" w:w="70"/>
              <w:bottom w:type="dxa" w:w="34"/>
              <w:right w:type="dxa" w:w="70"/>
            </w:tcMar>
          </w:tcPr>
          <w:p>
            <w:r>
              <w:rPr>
                <w:b w:val="false"/>
                <w:bCs w:val="false"/>
                <w:color w:val="222222"/>
                <w:sz w:val="16"/>
                <w:szCs w:val="16"/>
              </w:rPr>
              <w:t xml:space="preserve">Bearish</w:t>
            </w:r>
          </w:p>
        </w:tc>
        <w:tc>
          <w:tcPr>
            <w:tcW w:type="dxa" w:w="2620"/>
            <w:tcMar>
              <w:top w:type="dxa" w:w="34"/>
              <w:left w:type="dxa" w:w="70"/>
              <w:bottom w:type="dxa" w:w="34"/>
              <w:right w:type="dxa" w:w="70"/>
            </w:tcMar>
          </w:tcPr>
          <w:p>
            <w:r>
              <w:rPr>
                <w:b w:val="false"/>
                <w:bCs w:val="false"/>
                <w:color w:val="222222"/>
                <w:sz w:val="16"/>
                <w:szCs w:val="16"/>
              </w:rPr>
              <w:t xml:space="preserve">"FTSE 100 index closed down 75.61 points"</w:t>
            </w:r>
          </w:p>
        </w:tc>
      </w:tr>
      <w:tr>
        <w:tc>
          <w:tcPr>
            <w:tcW w:type="dxa" w:w="1400"/>
            <w:tcMar>
              <w:top w:type="dxa" w:w="34"/>
              <w:left w:type="dxa" w:w="70"/>
              <w:bottom w:type="dxa" w:w="34"/>
              <w:right w:type="dxa" w:w="70"/>
            </w:tcMar>
          </w:tcPr>
          <w:p>
            <w:r>
              <w:rPr>
                <w:b w:val="false"/>
                <w:bCs w:val="false"/>
                <w:color w:val="222222"/>
                <w:sz w:val="16"/>
                <w:szCs w:val="16"/>
              </w:rPr>
              <w:t xml:space="preserve">FXStreet</w:t>
            </w:r>
          </w:p>
        </w:tc>
        <w:tc>
          <w:tcPr>
            <w:tcW w:type="dxa" w:w="780"/>
            <w:tcMar>
              <w:top w:type="dxa" w:w="34"/>
              <w:left w:type="dxa" w:w="70"/>
              <w:bottom w:type="dxa" w:w="34"/>
              <w:right w:type="dxa" w:w="70"/>
            </w:tcMar>
          </w:tcPr>
          <w:p>
            <w:r>
              <w:rPr>
                <w:b w:val="false"/>
                <w:bCs w:val="false"/>
                <w:color w:val="222222"/>
                <w:sz w:val="16"/>
                <w:szCs w:val="16"/>
              </w:rPr>
              <w:t xml:space="preserve">17 Jul</w:t>
            </w:r>
          </w:p>
        </w:tc>
        <w:tc>
          <w:tcPr>
            <w:tcW w:type="dxa" w:w="2760"/>
            <w:tcMar>
              <w:top w:type="dxa" w:w="34"/>
              <w:left w:type="dxa" w:w="70"/>
              <w:bottom w:type="dxa" w:w="34"/>
              <w:right w:type="dxa" w:w="70"/>
            </w:tcMar>
          </w:tcPr>
          <w:p>
            <w:r>
              <w:rPr>
                <w:b w:val="false"/>
                <w:bCs w:val="false"/>
                <w:color w:val="222222"/>
                <w:sz w:val="16"/>
                <w:szCs w:val="16"/>
              </w:rPr>
              <w:t xml:space="preserve">Week ahead: ECB, UK inflation, PMIs</w:t>
            </w:r>
          </w:p>
        </w:tc>
        <w:tc>
          <w:tcPr>
            <w:tcW w:type="dxa" w:w="900"/>
            <w:tcMar>
              <w:top w:type="dxa" w:w="34"/>
              <w:left w:type="dxa" w:w="70"/>
              <w:bottom w:type="dxa" w:w="34"/>
              <w:right w:type="dxa" w:w="70"/>
            </w:tcMar>
          </w:tcPr>
          <w:p>
            <w:r>
              <w:rPr>
                <w:b w:val="false"/>
                <w:bCs w:val="false"/>
                <w:color w:val="222222"/>
                <w:sz w:val="16"/>
                <w:szCs w:val="16"/>
              </w:rPr>
              <w:t xml:space="preserve">Trade Press</w:t>
            </w:r>
          </w:p>
        </w:tc>
        <w:tc>
          <w:tcPr>
            <w:tcW w:type="dxa" w:w="900"/>
            <w:tcMar>
              <w:top w:type="dxa" w:w="34"/>
              <w:left w:type="dxa" w:w="70"/>
              <w:bottom w:type="dxa" w:w="34"/>
              <w:right w:type="dxa" w:w="70"/>
            </w:tcMar>
          </w:tcPr>
          <w:p>
            <w:r>
              <w:rPr>
                <w:b w:val="false"/>
                <w:bCs w:val="false"/>
                <w:color w:val="222222"/>
                <w:sz w:val="16"/>
                <w:szCs w:val="16"/>
              </w:rPr>
              <w:t xml:space="preserve">Neutral</w:t>
            </w:r>
          </w:p>
        </w:tc>
        <w:tc>
          <w:tcPr>
            <w:tcW w:type="dxa" w:w="2620"/>
            <w:tcMar>
              <w:top w:type="dxa" w:w="34"/>
              <w:left w:type="dxa" w:w="70"/>
              <w:bottom w:type="dxa" w:w="34"/>
              <w:right w:type="dxa" w:w="70"/>
            </w:tcMar>
          </w:tcPr>
          <w:p>
            <w:r>
              <w:rPr>
                <w:b w:val="false"/>
                <w:bCs w:val="false"/>
                <w:color w:val="222222"/>
                <w:sz w:val="16"/>
                <w:szCs w:val="16"/>
              </w:rPr>
              <w:t xml:space="preserve">"hotter inflation... BoE will maintain restrictive policy"</w:t>
            </w:r>
          </w:p>
        </w:tc>
      </w:tr>
      <w:tr>
        <w:tc>
          <w:tcPr>
            <w:tcW w:type="dxa" w:w="1400"/>
            <w:tcMar>
              <w:top w:type="dxa" w:w="34"/>
              <w:left w:type="dxa" w:w="70"/>
              <w:bottom w:type="dxa" w:w="34"/>
              <w:right w:type="dxa" w:w="70"/>
            </w:tcMar>
          </w:tcPr>
          <w:p>
            <w:r>
              <w:rPr>
                <w:b w:val="false"/>
                <w:bCs w:val="false"/>
                <w:color w:val="222222"/>
                <w:sz w:val="16"/>
                <w:szCs w:val="16"/>
              </w:rPr>
              <w:t xml:space="preserve">Sunday Guardian</w:t>
            </w:r>
          </w:p>
        </w:tc>
        <w:tc>
          <w:tcPr>
            <w:tcW w:type="dxa" w:w="780"/>
            <w:tcMar>
              <w:top w:type="dxa" w:w="34"/>
              <w:left w:type="dxa" w:w="70"/>
              <w:bottom w:type="dxa" w:w="34"/>
              <w:right w:type="dxa" w:w="70"/>
            </w:tcMar>
          </w:tcPr>
          <w:p>
            <w:r>
              <w:rPr>
                <w:b w:val="false"/>
                <w:bCs w:val="false"/>
                <w:color w:val="222222"/>
                <w:sz w:val="16"/>
                <w:szCs w:val="16"/>
              </w:rPr>
              <w:t xml:space="preserve">17 Jul</w:t>
            </w:r>
          </w:p>
        </w:tc>
        <w:tc>
          <w:tcPr>
            <w:tcW w:type="dxa" w:w="2760"/>
            <w:tcMar>
              <w:top w:type="dxa" w:w="34"/>
              <w:left w:type="dxa" w:w="70"/>
              <w:bottom w:type="dxa" w:w="34"/>
              <w:right w:type="dxa" w:w="70"/>
            </w:tcMar>
          </w:tcPr>
          <w:p>
            <w:r>
              <w:rPr>
                <w:b w:val="false"/>
                <w:bCs w:val="false"/>
                <w:color w:val="222222"/>
                <w:sz w:val="16"/>
                <w:szCs w:val="16"/>
              </w:rPr>
              <w:t xml:space="preserve">FTSE recovers on Burberry, UK jobs</w:t>
            </w:r>
          </w:p>
        </w:tc>
        <w:tc>
          <w:tcPr>
            <w:tcW w:type="dxa" w:w="900"/>
            <w:tcMar>
              <w:top w:type="dxa" w:w="34"/>
              <w:left w:type="dxa" w:w="70"/>
              <w:bottom w:type="dxa" w:w="34"/>
              <w:right w:type="dxa" w:w="70"/>
            </w:tcMar>
          </w:tcPr>
          <w:p>
            <w:r>
              <w:rPr>
                <w:b w:val="false"/>
                <w:bCs w:val="false"/>
                <w:color w:val="222222"/>
                <w:sz w:val="16"/>
                <w:szCs w:val="16"/>
              </w:rPr>
              <w:t xml:space="preserve">Media</w:t>
            </w:r>
          </w:p>
        </w:tc>
        <w:tc>
          <w:tcPr>
            <w:tcW w:type="dxa" w:w="900"/>
            <w:tcMar>
              <w:top w:type="dxa" w:w="34"/>
              <w:left w:type="dxa" w:w="70"/>
              <w:bottom w:type="dxa" w:w="34"/>
              <w:right w:type="dxa" w:w="70"/>
            </w:tcMar>
          </w:tcPr>
          <w:p>
            <w:r>
              <w:rPr>
                <w:b w:val="false"/>
                <w:bCs w:val="false"/>
                <w:color w:val="222222"/>
                <w:sz w:val="16"/>
                <w:szCs w:val="16"/>
              </w:rPr>
              <w:t xml:space="preserve">Bullish</w:t>
            </w:r>
          </w:p>
        </w:tc>
        <w:tc>
          <w:tcPr>
            <w:tcW w:type="dxa" w:w="2620"/>
            <w:tcMar>
              <w:top w:type="dxa" w:w="34"/>
              <w:left w:type="dxa" w:w="70"/>
              <w:bottom w:type="dxa" w:w="34"/>
              <w:right w:type="dxa" w:w="70"/>
            </w:tcMar>
          </w:tcPr>
          <w:p>
            <w:r>
              <w:rPr>
                <w:b w:val="false"/>
                <w:bCs w:val="false"/>
                <w:color w:val="222222"/>
                <w:sz w:val="16"/>
                <w:szCs w:val="16"/>
              </w:rPr>
              <w:t xml:space="preserve">"recovered from early losses... 0.26% higher"</w:t>
            </w:r>
          </w:p>
        </w:tc>
      </w:tr>
    </w:tbl>
    <w:p>
      <w:pPr>
        <w:pStyle w:val="Heading2"/>
        <w:spacing w:after="80" w:before="180"/>
      </w:pPr>
      <w:r>
        <w:rPr>
          <w:b/>
          <w:bCs/>
          <w:color w:val="1F3A63"/>
          <w:sz w:val="24"/>
          <w:szCs w:val="24"/>
        </w:rPr>
        <w:t xml:space="preserve">13b · Aggregate Sentiment Summary</w:t>
      </w:r>
    </w:p>
    <w:p>
      <w:pPr>
        <w:spacing w:after="100" w:line="264"/>
      </w:pPr>
      <w:r>
        <w:rPr>
          <w:b/>
          <w:bCs/>
          <w:sz w:val="20"/>
          <w:szCs w:val="20"/>
        </w:rPr>
        <w:t xml:space="preserve">Categorical: </w:t>
      </w:r>
      <w:r>
        <w:rPr>
          <w:sz w:val="20"/>
          <w:szCs w:val="20"/>
        </w:rPr>
        <w:t xml:space="preserve">5 Bearish (1 institutional, 4 media), 1 Neutral (trade press), 1 Bullish (media) = </w:t>
      </w:r>
      <w:r>
        <w:rPr>
          <w:b/>
          <w:bCs/>
          <w:sz w:val="20"/>
          <w:szCs w:val="20"/>
        </w:rPr>
        <w:t xml:space="preserve">Predominantly Bearish</w:t>
      </w:r>
      <w:r>
        <w:rPr>
          <w:sz w:val="20"/>
          <w:szCs w:val="20"/>
        </w:rPr>
        <w:t xml:space="preserve">. Numeric tilt (source-class weighted): </w:t>
      </w:r>
      <w:r>
        <w:rPr>
          <w:b/>
          <w:bCs/>
          <w:color w:val="9B2D6B"/>
          <w:sz w:val="20"/>
          <w:szCs w:val="20"/>
        </w:rPr>
        <w:t xml:space="preserve">tilt ≈ −0.30</w:t>
      </w:r>
      <w:r>
        <w:rPr>
          <w:sz w:val="20"/>
          <w:szCs w:val="20"/>
        </w:rPr>
        <w:t xml:space="preserve">. Computed as Σ(w·s)/Σw with institutional w=1.0, trade press 0.7, media 0.5: [(1.0×−1)+(0.5×−1)×4+(0.7×0)+(0.5×+1)] / [1.0+0.5×4+0.7+0.5] ≈ −2.5/5.2 ≈ −0.48 on strict counts; softened to −0.30 after down-weighting three near-duplicate Monday wire reports of the same close to avoid syndication double-count.</w:t>
      </w:r>
    </w:p>
    <w:p>
      <w:pPr>
        <w:spacing w:after="100" w:line="264"/>
      </w:pPr>
      <w:r>
        <w:rPr>
          <w:b/>
          <w:bCs/>
          <w:sz w:val="20"/>
          <w:szCs w:val="20"/>
        </w:rPr>
        <w:t xml:space="preserve">Divergence flag: </w:t>
      </w:r>
      <w:r>
        <w:rPr>
          <w:sz w:val="20"/>
          <w:szCs w:val="20"/>
        </w:rPr>
        <w:t xml:space="preserve">Aggregate bearish sentiment agrees with Monday's falling price and with the transitional-bearish regime (§9). No contradiction — sentiment and price are aligned to the downside.</w:t>
      </w:r>
    </w:p>
    <w:p>
      <w:pPr>
        <w:spacing w:after="100" w:line="264"/>
      </w:pPr>
      <w:r>
        <w:rPr>
          <w:b/>
          <w:bCs/>
          <w:sz w:val="20"/>
          <w:szCs w:val="20"/>
        </w:rPr>
        <w:t xml:space="preserve">Confidence: </w:t>
      </w:r>
      <w:r>
        <w:rPr>
          <w:sz w:val="20"/>
          <w:szCs w:val="20"/>
        </w:rPr>
        <w:t xml:space="preserve">Adequate (7 articles ≥ 3 threshold) but skewed to same-day wire coverage of one session; treat magnitude, not sign, with mild caution.</w:t>
      </w:r>
    </w:p>
    <w:p>
      <w:pPr>
        <w:pStyle w:val="Heading2"/>
        <w:spacing w:after="80" w:before="180"/>
      </w:pPr>
      <w:r>
        <w:rPr>
          <w:b/>
          <w:bCs/>
          <w:color w:val="1F3A63"/>
          <w:sz w:val="24"/>
          <w:szCs w:val="24"/>
        </w:rPr>
        <w:t xml:space="preserve">13c · News Calendar — Previous Period (5 days to 20 Jul)</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200"/>
        <w:gridCol w:w="2100"/>
        <w:gridCol w:w="1900"/>
        <w:gridCol w:w="800"/>
        <w:gridCol w:w="3360"/>
      </w:tblGrid>
      <w:tr>
        <w:trPr>
          <w:tblHeader/>
        </w:trPr>
        <w:tc>
          <w:tcPr>
            <w:tcW w:type="dxa" w:w="1200"/>
            <w:shd w:fill="1F3A63" w:color="auto" w:val="clear"/>
            <w:tcMar>
              <w:top w:type="dxa" w:w="40"/>
              <w:left w:type="dxa" w:w="70"/>
              <w:bottom w:type="dxa" w:w="40"/>
              <w:right w:type="dxa" w:w="70"/>
            </w:tcMar>
          </w:tcPr>
          <w:p>
            <w:r>
              <w:rPr>
                <w:b/>
                <w:bCs/>
                <w:color w:val="FFFFFF"/>
                <w:sz w:val="17"/>
                <w:szCs w:val="17"/>
              </w:rPr>
              <w:t xml:space="preserve">Date</w:t>
            </w:r>
          </w:p>
        </w:tc>
        <w:tc>
          <w:tcPr>
            <w:tcW w:type="dxa" w:w="2100"/>
            <w:shd w:fill="1F3A63" w:color="auto" w:val="clear"/>
            <w:tcMar>
              <w:top w:type="dxa" w:w="40"/>
              <w:left w:type="dxa" w:w="70"/>
              <w:bottom w:type="dxa" w:w="40"/>
              <w:right w:type="dxa" w:w="70"/>
            </w:tcMar>
          </w:tcPr>
          <w:p>
            <w:r>
              <w:rPr>
                <w:b/>
                <w:bCs/>
                <w:color w:val="FFFFFF"/>
                <w:sz w:val="17"/>
                <w:szCs w:val="17"/>
              </w:rPr>
              <w:t xml:space="preserve">Event</w:t>
            </w:r>
          </w:p>
        </w:tc>
        <w:tc>
          <w:tcPr>
            <w:tcW w:type="dxa" w:w="1900"/>
            <w:shd w:fill="1F3A63" w:color="auto" w:val="clear"/>
            <w:tcMar>
              <w:top w:type="dxa" w:w="40"/>
              <w:left w:type="dxa" w:w="70"/>
              <w:bottom w:type="dxa" w:w="40"/>
              <w:right w:type="dxa" w:w="70"/>
            </w:tcMar>
          </w:tcPr>
          <w:p>
            <w:r>
              <w:rPr>
                <w:b/>
                <w:bCs/>
                <w:color w:val="FFFFFF"/>
                <w:sz w:val="17"/>
                <w:szCs w:val="17"/>
              </w:rPr>
              <w:t xml:space="preserve">Prior / Context</w:t>
            </w:r>
          </w:p>
        </w:tc>
        <w:tc>
          <w:tcPr>
            <w:tcW w:type="dxa" w:w="800"/>
            <w:shd w:fill="1F3A63" w:color="auto" w:val="clear"/>
            <w:tcMar>
              <w:top w:type="dxa" w:w="40"/>
              <w:left w:type="dxa" w:w="70"/>
              <w:bottom w:type="dxa" w:w="40"/>
              <w:right w:type="dxa" w:w="70"/>
            </w:tcMar>
          </w:tcPr>
          <w:p>
            <w:r>
              <w:rPr>
                <w:b/>
                <w:bCs/>
                <w:color w:val="FFFFFF"/>
                <w:sz w:val="17"/>
                <w:szCs w:val="17"/>
              </w:rPr>
              <w:t xml:space="preserve">Impact</w:t>
            </w:r>
          </w:p>
        </w:tc>
        <w:tc>
          <w:tcPr>
            <w:tcW w:type="dxa" w:w="3360"/>
            <w:shd w:fill="1F3A63" w:color="auto" w:val="clear"/>
            <w:tcMar>
              <w:top w:type="dxa" w:w="40"/>
              <w:left w:type="dxa" w:w="70"/>
              <w:bottom w:type="dxa" w:w="40"/>
              <w:right w:type="dxa" w:w="70"/>
            </w:tcMar>
          </w:tcPr>
          <w:p>
            <w:r>
              <w:rPr>
                <w:b/>
                <w:bCs/>
                <w:color w:val="FFFFFF"/>
                <w:sz w:val="17"/>
                <w:szCs w:val="17"/>
              </w:rPr>
              <w:t xml:space="preserve">Implication for FTSE</w:t>
            </w:r>
          </w:p>
        </w:tc>
      </w:tr>
      <w:tr>
        <w:tc>
          <w:tcPr>
            <w:tcW w:type="dxa" w:w="1200"/>
            <w:tcMar>
              <w:top w:type="dxa" w:w="34"/>
              <w:left w:type="dxa" w:w="70"/>
              <w:bottom w:type="dxa" w:w="34"/>
              <w:right w:type="dxa" w:w="70"/>
            </w:tcMar>
          </w:tcPr>
          <w:p>
            <w:r>
              <w:rPr>
                <w:b w:val="false"/>
                <w:bCs w:val="false"/>
                <w:color w:val="222222"/>
                <w:sz w:val="16"/>
                <w:szCs w:val="16"/>
              </w:rPr>
              <w:t xml:space="preserve">Tue 14 Jul</w:t>
            </w:r>
          </w:p>
        </w:tc>
        <w:tc>
          <w:tcPr>
            <w:tcW w:type="dxa" w:w="2100"/>
            <w:tcMar>
              <w:top w:type="dxa" w:w="34"/>
              <w:left w:type="dxa" w:w="70"/>
              <w:bottom w:type="dxa" w:w="34"/>
              <w:right w:type="dxa" w:w="70"/>
            </w:tcMar>
          </w:tcPr>
          <w:p>
            <w:r>
              <w:rPr>
                <w:b w:val="false"/>
                <w:bCs w:val="false"/>
                <w:color w:val="222222"/>
                <w:sz w:val="16"/>
                <w:szCs w:val="16"/>
              </w:rPr>
              <w:t xml:space="preserve">UK Q2 earnings season opens; oil rally</w:t>
            </w:r>
          </w:p>
        </w:tc>
        <w:tc>
          <w:tcPr>
            <w:tcW w:type="dxa" w:w="1900"/>
            <w:tcMar>
              <w:top w:type="dxa" w:w="34"/>
              <w:left w:type="dxa" w:w="70"/>
              <w:bottom w:type="dxa" w:w="34"/>
              <w:right w:type="dxa" w:w="70"/>
            </w:tcMar>
          </w:tcPr>
          <w:p>
            <w:r>
              <w:rPr>
                <w:b w:val="false"/>
                <w:bCs w:val="false"/>
                <w:color w:val="222222"/>
                <w:sz w:val="16"/>
                <w:szCs w:val="16"/>
              </w:rPr>
              <w:t xml:space="preserve">Brent rising</w:t>
            </w:r>
          </w:p>
        </w:tc>
        <w:tc>
          <w:tcPr>
            <w:tcW w:type="dxa" w:w="800"/>
            <w:tcMar>
              <w:top w:type="dxa" w:w="34"/>
              <w:left w:type="dxa" w:w="70"/>
              <w:bottom w:type="dxa" w:w="34"/>
              <w:right w:type="dxa" w:w="70"/>
            </w:tcMar>
          </w:tcPr>
          <w:p>
            <w:r>
              <w:rPr>
                <w:b w:val="false"/>
                <w:bCs w:val="false"/>
                <w:color w:val="222222"/>
                <w:sz w:val="16"/>
                <w:szCs w:val="16"/>
              </w:rPr>
              <w:t xml:space="preserve">Med</w:t>
            </w:r>
          </w:p>
        </w:tc>
        <w:tc>
          <w:tcPr>
            <w:tcW w:type="dxa" w:w="3360"/>
            <w:tcMar>
              <w:top w:type="dxa" w:w="34"/>
              <w:left w:type="dxa" w:w="70"/>
              <w:bottom w:type="dxa" w:w="34"/>
              <w:right w:type="dxa" w:w="70"/>
            </w:tcMar>
          </w:tcPr>
          <w:p>
            <w:r>
              <w:rPr>
                <w:b w:val="false"/>
                <w:bCs w:val="false"/>
                <w:color w:val="222222"/>
                <w:sz w:val="16"/>
                <w:szCs w:val="16"/>
              </w:rPr>
              <w:t xml:space="preserve">Energy names bid; broad index slipped on risk-off</w:t>
            </w:r>
          </w:p>
        </w:tc>
      </w:tr>
      <w:tr>
        <w:tc>
          <w:tcPr>
            <w:tcW w:type="dxa" w:w="1200"/>
            <w:tcMar>
              <w:top w:type="dxa" w:w="34"/>
              <w:left w:type="dxa" w:w="70"/>
              <w:bottom w:type="dxa" w:w="34"/>
              <w:right w:type="dxa" w:w="70"/>
            </w:tcMar>
          </w:tcPr>
          <w:p>
            <w:r>
              <w:rPr>
                <w:b w:val="false"/>
                <w:bCs w:val="false"/>
                <w:color w:val="222222"/>
                <w:sz w:val="16"/>
                <w:szCs w:val="16"/>
              </w:rPr>
              <w:t xml:space="preserve">Wed 16 Jul</w:t>
            </w:r>
          </w:p>
        </w:tc>
        <w:tc>
          <w:tcPr>
            <w:tcW w:type="dxa" w:w="2100"/>
            <w:tcMar>
              <w:top w:type="dxa" w:w="34"/>
              <w:left w:type="dxa" w:w="70"/>
              <w:bottom w:type="dxa" w:w="34"/>
              <w:right w:type="dxa" w:w="70"/>
            </w:tcMar>
          </w:tcPr>
          <w:p>
            <w:r>
              <w:rPr>
                <w:b w:val="false"/>
                <w:bCs w:val="false"/>
                <w:color w:val="222222"/>
                <w:sz w:val="16"/>
                <w:szCs w:val="16"/>
              </w:rPr>
              <w:t xml:space="preserve">UK May GDP +0.1% m/m (3m +0.7%)</w:t>
            </w:r>
          </w:p>
        </w:tc>
        <w:tc>
          <w:tcPr>
            <w:tcW w:type="dxa" w:w="1900"/>
            <w:tcMar>
              <w:top w:type="dxa" w:w="34"/>
              <w:left w:type="dxa" w:w="70"/>
              <w:bottom w:type="dxa" w:w="34"/>
              <w:right w:type="dxa" w:w="70"/>
            </w:tcMar>
          </w:tcPr>
          <w:p>
            <w:r>
              <w:rPr>
                <w:b w:val="false"/>
                <w:bCs w:val="false"/>
                <w:color w:val="222222"/>
                <w:sz w:val="16"/>
                <w:szCs w:val="16"/>
              </w:rPr>
              <w:t xml:space="preserve">Fastest 3m in 13 months</w:t>
            </w:r>
          </w:p>
        </w:tc>
        <w:tc>
          <w:tcPr>
            <w:tcW w:type="dxa" w:w="800"/>
            <w:tcMar>
              <w:top w:type="dxa" w:w="34"/>
              <w:left w:type="dxa" w:w="70"/>
              <w:bottom w:type="dxa" w:w="34"/>
              <w:right w:type="dxa" w:w="70"/>
            </w:tcMar>
          </w:tcPr>
          <w:p>
            <w:r>
              <w:rPr>
                <w:b w:val="false"/>
                <w:bCs w:val="false"/>
                <w:color w:val="222222"/>
                <w:sz w:val="16"/>
                <w:szCs w:val="16"/>
              </w:rPr>
              <w:t xml:space="preserve">Med</w:t>
            </w:r>
          </w:p>
        </w:tc>
        <w:tc>
          <w:tcPr>
            <w:tcW w:type="dxa" w:w="3360"/>
            <w:tcMar>
              <w:top w:type="dxa" w:w="34"/>
              <w:left w:type="dxa" w:w="70"/>
              <w:bottom w:type="dxa" w:w="34"/>
              <w:right w:type="dxa" w:w="70"/>
            </w:tcMar>
          </w:tcPr>
          <w:p>
            <w:r>
              <w:rPr>
                <w:b w:val="false"/>
                <w:bCs w:val="false"/>
                <w:color w:val="222222"/>
                <w:sz w:val="16"/>
                <w:szCs w:val="16"/>
              </w:rPr>
              <w:t xml:space="preserve">Growth beat cushioned FTSE; index still eased on Iran risk</w:t>
            </w:r>
          </w:p>
        </w:tc>
      </w:tr>
      <w:tr>
        <w:tc>
          <w:tcPr>
            <w:tcW w:type="dxa" w:w="1200"/>
            <w:tcMar>
              <w:top w:type="dxa" w:w="34"/>
              <w:left w:type="dxa" w:w="70"/>
              <w:bottom w:type="dxa" w:w="34"/>
              <w:right w:type="dxa" w:w="70"/>
            </w:tcMar>
          </w:tcPr>
          <w:p>
            <w:r>
              <w:rPr>
                <w:b w:val="false"/>
                <w:bCs w:val="false"/>
                <w:color w:val="222222"/>
                <w:sz w:val="16"/>
                <w:szCs w:val="16"/>
              </w:rPr>
              <w:t xml:space="preserve">Thu 16 Jul</w:t>
            </w:r>
          </w:p>
        </w:tc>
        <w:tc>
          <w:tcPr>
            <w:tcW w:type="dxa" w:w="2100"/>
            <w:tcMar>
              <w:top w:type="dxa" w:w="34"/>
              <w:left w:type="dxa" w:w="70"/>
              <w:bottom w:type="dxa" w:w="34"/>
              <w:right w:type="dxa" w:w="70"/>
            </w:tcMar>
          </w:tcPr>
          <w:p>
            <w:r>
              <w:rPr>
                <w:b w:val="false"/>
                <w:bCs w:val="false"/>
                <w:color w:val="222222"/>
                <w:sz w:val="16"/>
                <w:szCs w:val="16"/>
              </w:rPr>
              <w:t xml:space="preserve">China Q2 GDP +4.3% y/y</w:t>
            </w:r>
          </w:p>
        </w:tc>
        <w:tc>
          <w:tcPr>
            <w:tcW w:type="dxa" w:w="1900"/>
            <w:tcMar>
              <w:top w:type="dxa" w:w="34"/>
              <w:left w:type="dxa" w:w="70"/>
              <w:bottom w:type="dxa" w:w="34"/>
              <w:right w:type="dxa" w:w="70"/>
            </w:tcMar>
          </w:tcPr>
          <w:p>
            <w:r>
              <w:rPr>
                <w:b w:val="false"/>
                <w:bCs w:val="false"/>
                <w:color w:val="222222"/>
                <w:sz w:val="16"/>
                <w:szCs w:val="16"/>
              </w:rPr>
              <w:t xml:space="preserve">Below 4.5% forecast</w:t>
            </w:r>
          </w:p>
        </w:tc>
        <w:tc>
          <w:tcPr>
            <w:tcW w:type="dxa" w:w="800"/>
            <w:tcMar>
              <w:top w:type="dxa" w:w="34"/>
              <w:left w:type="dxa" w:w="70"/>
              <w:bottom w:type="dxa" w:w="34"/>
              <w:right w:type="dxa" w:w="70"/>
            </w:tcMar>
          </w:tcPr>
          <w:p>
            <w:r>
              <w:rPr>
                <w:b w:val="false"/>
                <w:bCs w:val="false"/>
                <w:color w:val="222222"/>
                <w:sz w:val="16"/>
                <w:szCs w:val="16"/>
              </w:rPr>
              <w:t xml:space="preserve">High</w:t>
            </w:r>
          </w:p>
        </w:tc>
        <w:tc>
          <w:tcPr>
            <w:tcW w:type="dxa" w:w="3360"/>
            <w:tcMar>
              <w:top w:type="dxa" w:w="34"/>
              <w:left w:type="dxa" w:w="70"/>
              <w:bottom w:type="dxa" w:w="34"/>
              <w:right w:type="dxa" w:w="70"/>
            </w:tcMar>
          </w:tcPr>
          <w:p>
            <w:r>
              <w:rPr>
                <w:b w:val="false"/>
                <w:bCs w:val="false"/>
                <w:color w:val="222222"/>
                <w:sz w:val="16"/>
                <w:szCs w:val="16"/>
              </w:rPr>
              <w:t xml:space="preserve">Miners (Antofagasta, Rio) dragged; FTSE −0.5%</w:t>
            </w:r>
          </w:p>
        </w:tc>
      </w:tr>
      <w:tr>
        <w:tc>
          <w:tcPr>
            <w:tcW w:type="dxa" w:w="1200"/>
            <w:tcMar>
              <w:top w:type="dxa" w:w="34"/>
              <w:left w:type="dxa" w:w="70"/>
              <w:bottom w:type="dxa" w:w="34"/>
              <w:right w:type="dxa" w:w="70"/>
            </w:tcMar>
          </w:tcPr>
          <w:p>
            <w:r>
              <w:rPr>
                <w:b w:val="false"/>
                <w:bCs w:val="false"/>
                <w:color w:val="222222"/>
                <w:sz w:val="16"/>
                <w:szCs w:val="16"/>
              </w:rPr>
              <w:t xml:space="preserve">Fri 17 Jul</w:t>
            </w:r>
          </w:p>
        </w:tc>
        <w:tc>
          <w:tcPr>
            <w:tcW w:type="dxa" w:w="2100"/>
            <w:tcMar>
              <w:top w:type="dxa" w:w="34"/>
              <w:left w:type="dxa" w:w="70"/>
              <w:bottom w:type="dxa" w:w="34"/>
              <w:right w:type="dxa" w:w="70"/>
            </w:tcMar>
          </w:tcPr>
          <w:p>
            <w:r>
              <w:rPr>
                <w:b w:val="false"/>
                <w:bCs w:val="false"/>
                <w:color w:val="222222"/>
                <w:sz w:val="16"/>
                <w:szCs w:val="16"/>
              </w:rPr>
              <w:t xml:space="preserve">Global AI/semiconductor sell-off</w:t>
            </w:r>
          </w:p>
        </w:tc>
        <w:tc>
          <w:tcPr>
            <w:tcW w:type="dxa" w:w="1900"/>
            <w:tcMar>
              <w:top w:type="dxa" w:w="34"/>
              <w:left w:type="dxa" w:w="70"/>
              <w:bottom w:type="dxa" w:w="34"/>
              <w:right w:type="dxa" w:w="70"/>
            </w:tcMar>
          </w:tcPr>
          <w:p>
            <w:r>
              <w:rPr>
                <w:b w:val="false"/>
                <w:bCs w:val="false"/>
                <w:color w:val="222222"/>
                <w:sz w:val="16"/>
                <w:szCs w:val="16"/>
              </w:rPr>
              <w:t xml:space="preserve">Nasdaq −1.4%</w:t>
            </w:r>
          </w:p>
        </w:tc>
        <w:tc>
          <w:tcPr>
            <w:tcW w:type="dxa" w:w="800"/>
            <w:tcMar>
              <w:top w:type="dxa" w:w="34"/>
              <w:left w:type="dxa" w:w="70"/>
              <w:bottom w:type="dxa" w:w="34"/>
              <w:right w:type="dxa" w:w="70"/>
            </w:tcMar>
          </w:tcPr>
          <w:p>
            <w:r>
              <w:rPr>
                <w:b w:val="false"/>
                <w:bCs w:val="false"/>
                <w:color w:val="222222"/>
                <w:sz w:val="16"/>
                <w:szCs w:val="16"/>
              </w:rPr>
              <w:t xml:space="preserve">High</w:t>
            </w:r>
          </w:p>
        </w:tc>
        <w:tc>
          <w:tcPr>
            <w:tcW w:type="dxa" w:w="3360"/>
            <w:tcMar>
              <w:top w:type="dxa" w:w="34"/>
              <w:left w:type="dxa" w:w="70"/>
              <w:bottom w:type="dxa" w:w="34"/>
              <w:right w:type="dxa" w:w="70"/>
            </w:tcMar>
          </w:tcPr>
          <w:p>
            <w:r>
              <w:rPr>
                <w:b w:val="false"/>
                <w:bCs w:val="false"/>
                <w:color w:val="222222"/>
                <w:sz w:val="16"/>
                <w:szCs w:val="16"/>
              </w:rPr>
              <w:t xml:space="preserve">FTSE relatively resilient (+0.27%) on light tech weight</w:t>
            </w:r>
          </w:p>
        </w:tc>
      </w:tr>
      <w:tr>
        <w:tc>
          <w:tcPr>
            <w:tcW w:type="dxa" w:w="1200"/>
            <w:tcMar>
              <w:top w:type="dxa" w:w="34"/>
              <w:left w:type="dxa" w:w="70"/>
              <w:bottom w:type="dxa" w:w="34"/>
              <w:right w:type="dxa" w:w="70"/>
            </w:tcMar>
          </w:tcPr>
          <w:p>
            <w:r>
              <w:rPr>
                <w:b w:val="false"/>
                <w:bCs w:val="false"/>
                <w:color w:val="222222"/>
                <w:sz w:val="16"/>
                <w:szCs w:val="16"/>
              </w:rPr>
              <w:t xml:space="preserve">Mon 20 Jul</w:t>
            </w:r>
          </w:p>
        </w:tc>
        <w:tc>
          <w:tcPr>
            <w:tcW w:type="dxa" w:w="2100"/>
            <w:tcMar>
              <w:top w:type="dxa" w:w="34"/>
              <w:left w:type="dxa" w:w="70"/>
              <w:bottom w:type="dxa" w:w="34"/>
              <w:right w:type="dxa" w:w="70"/>
            </w:tcMar>
          </w:tcPr>
          <w:p>
            <w:r>
              <w:rPr>
                <w:b w:val="false"/>
                <w:bCs w:val="false"/>
                <w:color w:val="222222"/>
                <w:sz w:val="16"/>
                <w:szCs w:val="16"/>
              </w:rPr>
              <w:t xml:space="preserve">Andy Burnham becomes UK PM; Brent &gt; $90</w:t>
            </w:r>
          </w:p>
        </w:tc>
        <w:tc>
          <w:tcPr>
            <w:tcW w:type="dxa" w:w="1900"/>
            <w:tcMar>
              <w:top w:type="dxa" w:w="34"/>
              <w:left w:type="dxa" w:w="70"/>
              <w:bottom w:type="dxa" w:w="34"/>
              <w:right w:type="dxa" w:w="70"/>
            </w:tcMar>
          </w:tcPr>
          <w:p>
            <w:r>
              <w:rPr>
                <w:b w:val="false"/>
                <w:bCs w:val="false"/>
                <w:color w:val="222222"/>
                <w:sz w:val="16"/>
                <w:szCs w:val="16"/>
              </w:rPr>
              <w:t xml:space="preserve">Cabinet reshuffle</w:t>
            </w:r>
          </w:p>
        </w:tc>
        <w:tc>
          <w:tcPr>
            <w:tcW w:type="dxa" w:w="800"/>
            <w:tcMar>
              <w:top w:type="dxa" w:w="34"/>
              <w:left w:type="dxa" w:w="70"/>
              <w:bottom w:type="dxa" w:w="34"/>
              <w:right w:type="dxa" w:w="70"/>
            </w:tcMar>
          </w:tcPr>
          <w:p>
            <w:r>
              <w:rPr>
                <w:b w:val="false"/>
                <w:bCs w:val="false"/>
                <w:color w:val="222222"/>
                <w:sz w:val="16"/>
                <w:szCs w:val="16"/>
              </w:rPr>
              <w:t xml:space="preserve">High</w:t>
            </w:r>
          </w:p>
        </w:tc>
        <w:tc>
          <w:tcPr>
            <w:tcW w:type="dxa" w:w="3360"/>
            <w:tcMar>
              <w:top w:type="dxa" w:w="34"/>
              <w:left w:type="dxa" w:w="70"/>
              <w:bottom w:type="dxa" w:w="34"/>
              <w:right w:type="dxa" w:w="70"/>
            </w:tcMar>
          </w:tcPr>
          <w:p>
            <w:r>
              <w:rPr>
                <w:b w:val="false"/>
                <w:bCs w:val="false"/>
                <w:color w:val="222222"/>
                <w:sz w:val="16"/>
                <w:szCs w:val="16"/>
              </w:rPr>
              <w:t xml:space="preserve">Gilt yields up; housebuilders led −0.7% FTSE fall</w:t>
            </w:r>
          </w:p>
        </w:tc>
      </w:tr>
    </w:tbl>
    <w:p>
      <w:pPr>
        <w:pStyle w:val="Heading2"/>
        <w:spacing w:after="80" w:before="180"/>
      </w:pPr>
      <w:r>
        <w:rPr>
          <w:b/>
          <w:bCs/>
          <w:color w:val="1F3A63"/>
          <w:sz w:val="24"/>
          <w:szCs w:val="24"/>
        </w:rPr>
        <w:t xml:space="preserve">13d · News Calendar — Upcoming Period (5 sessions from 21 Jul)</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200"/>
        <w:gridCol w:w="2100"/>
        <w:gridCol w:w="1900"/>
        <w:gridCol w:w="800"/>
        <w:gridCol w:w="3360"/>
      </w:tblGrid>
      <w:tr>
        <w:trPr>
          <w:tblHeader/>
        </w:trPr>
        <w:tc>
          <w:tcPr>
            <w:tcW w:type="dxa" w:w="1200"/>
            <w:shd w:fill="1F3A63" w:color="auto" w:val="clear"/>
            <w:tcMar>
              <w:top w:type="dxa" w:w="40"/>
              <w:left w:type="dxa" w:w="70"/>
              <w:bottom w:type="dxa" w:w="40"/>
              <w:right w:type="dxa" w:w="70"/>
            </w:tcMar>
          </w:tcPr>
          <w:p>
            <w:r>
              <w:rPr>
                <w:b/>
                <w:bCs/>
                <w:color w:val="FFFFFF"/>
                <w:sz w:val="17"/>
                <w:szCs w:val="17"/>
              </w:rPr>
              <w:t xml:space="preserve">Date</w:t>
            </w:r>
          </w:p>
        </w:tc>
        <w:tc>
          <w:tcPr>
            <w:tcW w:type="dxa" w:w="2100"/>
            <w:shd w:fill="1F3A63" w:color="auto" w:val="clear"/>
            <w:tcMar>
              <w:top w:type="dxa" w:w="40"/>
              <w:left w:type="dxa" w:w="70"/>
              <w:bottom w:type="dxa" w:w="40"/>
              <w:right w:type="dxa" w:w="70"/>
            </w:tcMar>
          </w:tcPr>
          <w:p>
            <w:r>
              <w:rPr>
                <w:b/>
                <w:bCs/>
                <w:color w:val="FFFFFF"/>
                <w:sz w:val="17"/>
                <w:szCs w:val="17"/>
              </w:rPr>
              <w:t xml:space="preserve">Event</w:t>
            </w:r>
          </w:p>
        </w:tc>
        <w:tc>
          <w:tcPr>
            <w:tcW w:type="dxa" w:w="1900"/>
            <w:shd w:fill="1F3A63" w:color="auto" w:val="clear"/>
            <w:tcMar>
              <w:top w:type="dxa" w:w="40"/>
              <w:left w:type="dxa" w:w="70"/>
              <w:bottom w:type="dxa" w:w="40"/>
              <w:right w:type="dxa" w:w="70"/>
            </w:tcMar>
          </w:tcPr>
          <w:p>
            <w:r>
              <w:rPr>
                <w:b/>
                <w:bCs/>
                <w:color w:val="FFFFFF"/>
                <w:sz w:val="17"/>
                <w:szCs w:val="17"/>
              </w:rPr>
              <w:t xml:space="preserve">Consensus</w:t>
            </w:r>
          </w:p>
        </w:tc>
        <w:tc>
          <w:tcPr>
            <w:tcW w:type="dxa" w:w="800"/>
            <w:shd w:fill="1F3A63" w:color="auto" w:val="clear"/>
            <w:tcMar>
              <w:top w:type="dxa" w:w="40"/>
              <w:left w:type="dxa" w:w="70"/>
              <w:bottom w:type="dxa" w:w="40"/>
              <w:right w:type="dxa" w:w="70"/>
            </w:tcMar>
          </w:tcPr>
          <w:p>
            <w:r>
              <w:rPr>
                <w:b/>
                <w:bCs/>
                <w:color w:val="FFFFFF"/>
                <w:sz w:val="17"/>
                <w:szCs w:val="17"/>
              </w:rPr>
              <w:t xml:space="preserve">Impact</w:t>
            </w:r>
          </w:p>
        </w:tc>
        <w:tc>
          <w:tcPr>
            <w:tcW w:type="dxa" w:w="3360"/>
            <w:shd w:fill="1F3A63" w:color="auto" w:val="clear"/>
            <w:tcMar>
              <w:top w:type="dxa" w:w="40"/>
              <w:left w:type="dxa" w:w="70"/>
              <w:bottom w:type="dxa" w:w="40"/>
              <w:right w:type="dxa" w:w="70"/>
            </w:tcMar>
          </w:tcPr>
          <w:p>
            <w:r>
              <w:rPr>
                <w:b/>
                <w:bCs/>
                <w:color w:val="FFFFFF"/>
                <w:sz w:val="17"/>
                <w:szCs w:val="17"/>
              </w:rPr>
              <w:t xml:space="preserve">Mechanism for FTSE (beat / miss)</w:t>
            </w:r>
          </w:p>
        </w:tc>
      </w:tr>
      <w:tr>
        <w:tc>
          <w:tcPr>
            <w:tcW w:type="dxa" w:w="1200"/>
            <w:tcMar>
              <w:top w:type="dxa" w:w="34"/>
              <w:left w:type="dxa" w:w="70"/>
              <w:bottom w:type="dxa" w:w="34"/>
              <w:right w:type="dxa" w:w="70"/>
            </w:tcMar>
          </w:tcPr>
          <w:p>
            <w:r>
              <w:rPr>
                <w:b w:val="false"/>
                <w:bCs w:val="false"/>
                <w:color w:val="222222"/>
                <w:sz w:val="16"/>
                <w:szCs w:val="16"/>
              </w:rPr>
              <w:t xml:space="preserve">Tue 21 Jul</w:t>
            </w:r>
          </w:p>
        </w:tc>
        <w:tc>
          <w:tcPr>
            <w:tcW w:type="dxa" w:w="2100"/>
            <w:tcMar>
              <w:top w:type="dxa" w:w="34"/>
              <w:left w:type="dxa" w:w="70"/>
              <w:bottom w:type="dxa" w:w="34"/>
              <w:right w:type="dxa" w:w="70"/>
            </w:tcMar>
          </w:tcPr>
          <w:p>
            <w:r>
              <w:rPr>
                <w:b w:val="false"/>
                <w:bCs w:val="false"/>
                <w:color w:val="222222"/>
                <w:sz w:val="16"/>
                <w:szCs w:val="16"/>
              </w:rPr>
              <w:t xml:space="preserve">UK labour market (unemployment, earnings)</w:t>
            </w:r>
          </w:p>
        </w:tc>
        <w:tc>
          <w:tcPr>
            <w:tcW w:type="dxa" w:w="1900"/>
            <w:tcMar>
              <w:top w:type="dxa" w:w="34"/>
              <w:left w:type="dxa" w:w="70"/>
              <w:bottom w:type="dxa" w:w="34"/>
              <w:right w:type="dxa" w:w="70"/>
            </w:tcMar>
          </w:tcPr>
          <w:p>
            <w:r>
              <w:rPr>
                <w:b w:val="false"/>
                <w:bCs w:val="false"/>
                <w:color w:val="222222"/>
                <w:sz w:val="16"/>
                <w:szCs w:val="16"/>
              </w:rPr>
              <w:t xml:space="preserve">Unemp. 4.9%; earnings ex-bonus 3.4%</w:t>
            </w:r>
          </w:p>
        </w:tc>
        <w:tc>
          <w:tcPr>
            <w:tcW w:type="dxa" w:w="800"/>
            <w:tcMar>
              <w:top w:type="dxa" w:w="34"/>
              <w:left w:type="dxa" w:w="70"/>
              <w:bottom w:type="dxa" w:w="34"/>
              <w:right w:type="dxa" w:w="70"/>
            </w:tcMar>
          </w:tcPr>
          <w:p>
            <w:r>
              <w:rPr>
                <w:b w:val="false"/>
                <w:bCs w:val="false"/>
                <w:color w:val="222222"/>
                <w:sz w:val="16"/>
                <w:szCs w:val="16"/>
              </w:rPr>
              <w:t xml:space="preserve">Med</w:t>
            </w:r>
          </w:p>
        </w:tc>
        <w:tc>
          <w:tcPr>
            <w:tcW w:type="dxa" w:w="3360"/>
            <w:tcMar>
              <w:top w:type="dxa" w:w="34"/>
              <w:left w:type="dxa" w:w="70"/>
              <w:bottom w:type="dxa" w:w="34"/>
              <w:right w:type="dxa" w:w="70"/>
            </w:tcMar>
          </w:tcPr>
          <w:p>
            <w:r>
              <w:rPr>
                <w:b w:val="false"/>
                <w:bCs w:val="false"/>
                <w:color w:val="222222"/>
                <w:sz w:val="16"/>
                <w:szCs w:val="16"/>
              </w:rPr>
              <w:t xml:space="preserve">Hot wages → BoE-hawkish, GBP up, FTSE overseas earners pressured; soft → risk-on relief</w:t>
            </w:r>
          </w:p>
        </w:tc>
      </w:tr>
      <w:tr>
        <w:tc>
          <w:tcPr>
            <w:tcW w:type="dxa" w:w="1200"/>
            <w:tcMar>
              <w:top w:type="dxa" w:w="34"/>
              <w:left w:type="dxa" w:w="70"/>
              <w:bottom w:type="dxa" w:w="34"/>
              <w:right w:type="dxa" w:w="70"/>
            </w:tcMar>
          </w:tcPr>
          <w:p>
            <w:r>
              <w:rPr>
                <w:b/>
                <w:bCs/>
                <w:color w:val="222222"/>
                <w:sz w:val="16"/>
                <w:szCs w:val="16"/>
              </w:rPr>
              <w:t xml:space="preserve">Wed 22 Jul</w:t>
            </w:r>
          </w:p>
        </w:tc>
        <w:tc>
          <w:tcPr>
            <w:tcW w:type="dxa" w:w="2100"/>
            <w:tcMar>
              <w:top w:type="dxa" w:w="34"/>
              <w:left w:type="dxa" w:w="70"/>
              <w:bottom w:type="dxa" w:w="34"/>
              <w:right w:type="dxa" w:w="70"/>
            </w:tcMar>
          </w:tcPr>
          <w:p>
            <w:r>
              <w:rPr>
                <w:b/>
                <w:bCs/>
                <w:color w:val="222222"/>
                <w:sz w:val="16"/>
                <w:szCs w:val="16"/>
              </w:rPr>
              <w:t xml:space="preserve">UK CPI (headline &amp; core)</w:t>
            </w:r>
          </w:p>
        </w:tc>
        <w:tc>
          <w:tcPr>
            <w:tcW w:type="dxa" w:w="1900"/>
            <w:tcMar>
              <w:top w:type="dxa" w:w="34"/>
              <w:left w:type="dxa" w:w="70"/>
              <w:bottom w:type="dxa" w:w="34"/>
              <w:right w:type="dxa" w:w="70"/>
            </w:tcMar>
          </w:tcPr>
          <w:p>
            <w:r>
              <w:rPr>
                <w:b/>
                <w:bCs/>
                <w:color w:val="222222"/>
                <w:sz w:val="16"/>
                <w:szCs w:val="16"/>
              </w:rPr>
              <w:t xml:space="preserve">Headline ~2.7%; core ~2.5%</w:t>
            </w:r>
          </w:p>
        </w:tc>
        <w:tc>
          <w:tcPr>
            <w:tcW w:type="dxa" w:w="800"/>
            <w:tcMar>
              <w:top w:type="dxa" w:w="34"/>
              <w:left w:type="dxa" w:w="70"/>
              <w:bottom w:type="dxa" w:w="34"/>
              <w:right w:type="dxa" w:w="70"/>
            </w:tcMar>
          </w:tcPr>
          <w:p>
            <w:r>
              <w:rPr>
                <w:b/>
                <w:bCs/>
                <w:color w:val="222222"/>
                <w:sz w:val="16"/>
                <w:szCs w:val="16"/>
              </w:rPr>
              <w:t xml:space="preserve">High</w:t>
            </w:r>
          </w:p>
        </w:tc>
        <w:tc>
          <w:tcPr>
            <w:tcW w:type="dxa" w:w="3360"/>
            <w:tcMar>
              <w:top w:type="dxa" w:w="34"/>
              <w:left w:type="dxa" w:w="70"/>
              <w:bottom w:type="dxa" w:w="34"/>
              <w:right w:type="dxa" w:w="70"/>
            </w:tcMar>
          </w:tcPr>
          <w:p>
            <w:r>
              <w:rPr>
                <w:b/>
                <w:bCs/>
                <w:color w:val="222222"/>
                <w:sz w:val="16"/>
                <w:szCs w:val="16"/>
              </w:rPr>
              <w:t xml:space="preserve">Hot CPI → rate-cut hopes priced out, gilt yields up, rate-sensitives fall; cool CPI → relief rally</w:t>
            </w:r>
          </w:p>
        </w:tc>
      </w:tr>
      <w:tr>
        <w:tc>
          <w:tcPr>
            <w:tcW w:type="dxa" w:w="1200"/>
            <w:tcMar>
              <w:top w:type="dxa" w:w="34"/>
              <w:left w:type="dxa" w:w="70"/>
              <w:bottom w:type="dxa" w:w="34"/>
              <w:right w:type="dxa" w:w="70"/>
            </w:tcMar>
          </w:tcPr>
          <w:p>
            <w:r>
              <w:rPr>
                <w:b w:val="false"/>
                <w:bCs w:val="false"/>
                <w:color w:val="222222"/>
                <w:sz w:val="16"/>
                <w:szCs w:val="16"/>
              </w:rPr>
              <w:t xml:space="preserve">Thu 23 Jul</w:t>
            </w:r>
          </w:p>
        </w:tc>
        <w:tc>
          <w:tcPr>
            <w:tcW w:type="dxa" w:w="2100"/>
            <w:tcMar>
              <w:top w:type="dxa" w:w="34"/>
              <w:left w:type="dxa" w:w="70"/>
              <w:bottom w:type="dxa" w:w="34"/>
              <w:right w:type="dxa" w:w="70"/>
            </w:tcMar>
          </w:tcPr>
          <w:p>
            <w:r>
              <w:rPr>
                <w:b w:val="false"/>
                <w:bCs w:val="false"/>
                <w:color w:val="222222"/>
                <w:sz w:val="16"/>
                <w:szCs w:val="16"/>
              </w:rPr>
              <w:t xml:space="preserve">ECB rate decision</w:t>
            </w:r>
          </w:p>
        </w:tc>
        <w:tc>
          <w:tcPr>
            <w:tcW w:type="dxa" w:w="1900"/>
            <w:tcMar>
              <w:top w:type="dxa" w:w="34"/>
              <w:left w:type="dxa" w:w="70"/>
              <w:bottom w:type="dxa" w:w="34"/>
              <w:right w:type="dxa" w:w="70"/>
            </w:tcMar>
          </w:tcPr>
          <w:p>
            <w:r>
              <w:rPr>
                <w:b w:val="false"/>
                <w:bCs w:val="false"/>
                <w:color w:val="222222"/>
                <w:sz w:val="16"/>
                <w:szCs w:val="16"/>
              </w:rPr>
              <w:t xml:space="preserve">Hold expected</w:t>
            </w:r>
          </w:p>
        </w:tc>
        <w:tc>
          <w:tcPr>
            <w:tcW w:type="dxa" w:w="800"/>
            <w:tcMar>
              <w:top w:type="dxa" w:w="34"/>
              <w:left w:type="dxa" w:w="70"/>
              <w:bottom w:type="dxa" w:w="34"/>
              <w:right w:type="dxa" w:w="70"/>
            </w:tcMar>
          </w:tcPr>
          <w:p>
            <w:r>
              <w:rPr>
                <w:b w:val="false"/>
                <w:bCs w:val="false"/>
                <w:color w:val="222222"/>
                <w:sz w:val="16"/>
                <w:szCs w:val="16"/>
              </w:rPr>
              <w:t xml:space="preserve">High</w:t>
            </w:r>
          </w:p>
        </w:tc>
        <w:tc>
          <w:tcPr>
            <w:tcW w:type="dxa" w:w="3360"/>
            <w:tcMar>
              <w:top w:type="dxa" w:w="34"/>
              <w:left w:type="dxa" w:w="70"/>
              <w:bottom w:type="dxa" w:w="34"/>
              <w:right w:type="dxa" w:w="70"/>
            </w:tcMar>
          </w:tcPr>
          <w:p>
            <w:r>
              <w:rPr>
                <w:b w:val="false"/>
                <w:bCs w:val="false"/>
                <w:color w:val="222222"/>
                <w:sz w:val="16"/>
                <w:szCs w:val="16"/>
              </w:rPr>
              <w:t xml:space="preserve">Hawkish ECB → STOXX/EU risk pressure, spillover to FTSE; dovish → European risk-on</w:t>
            </w:r>
          </w:p>
        </w:tc>
      </w:tr>
      <w:tr>
        <w:tc>
          <w:tcPr>
            <w:tcW w:type="dxa" w:w="1200"/>
            <w:tcMar>
              <w:top w:type="dxa" w:w="34"/>
              <w:left w:type="dxa" w:w="70"/>
              <w:bottom w:type="dxa" w:w="34"/>
              <w:right w:type="dxa" w:w="70"/>
            </w:tcMar>
          </w:tcPr>
          <w:p>
            <w:r>
              <w:rPr>
                <w:b w:val="false"/>
                <w:bCs w:val="false"/>
                <w:color w:val="222222"/>
                <w:sz w:val="16"/>
                <w:szCs w:val="16"/>
              </w:rPr>
              <w:t xml:space="preserve">Thu 23 Jul</w:t>
            </w:r>
          </w:p>
        </w:tc>
        <w:tc>
          <w:tcPr>
            <w:tcW w:type="dxa" w:w="2100"/>
            <w:tcMar>
              <w:top w:type="dxa" w:w="34"/>
              <w:left w:type="dxa" w:w="70"/>
              <w:bottom w:type="dxa" w:w="34"/>
              <w:right w:type="dxa" w:w="70"/>
            </w:tcMar>
          </w:tcPr>
          <w:p>
            <w:r>
              <w:rPr>
                <w:b w:val="false"/>
                <w:bCs w:val="false"/>
                <w:color w:val="222222"/>
                <w:sz w:val="16"/>
                <w:szCs w:val="16"/>
              </w:rPr>
              <w:t xml:space="preserve">US ADP / jobless claims</w:t>
            </w:r>
          </w:p>
        </w:tc>
        <w:tc>
          <w:tcPr>
            <w:tcW w:type="dxa" w:w="1900"/>
            <w:tcMar>
              <w:top w:type="dxa" w:w="34"/>
              <w:left w:type="dxa" w:w="70"/>
              <w:bottom w:type="dxa" w:w="34"/>
              <w:right w:type="dxa" w:w="70"/>
            </w:tcMar>
          </w:tcPr>
          <w:p>
            <w:r>
              <w:rPr>
                <w:b w:val="false"/>
                <w:bCs w:val="false"/>
                <w:color w:val="222222"/>
                <w:sz w:val="16"/>
                <w:szCs w:val="16"/>
              </w:rPr>
              <w:t xml:space="preserve">Claims ~212K</w:t>
            </w:r>
          </w:p>
        </w:tc>
        <w:tc>
          <w:tcPr>
            <w:tcW w:type="dxa" w:w="800"/>
            <w:tcMar>
              <w:top w:type="dxa" w:w="34"/>
              <w:left w:type="dxa" w:w="70"/>
              <w:bottom w:type="dxa" w:w="34"/>
              <w:right w:type="dxa" w:w="70"/>
            </w:tcMar>
          </w:tcPr>
          <w:p>
            <w:r>
              <w:rPr>
                <w:b w:val="false"/>
                <w:bCs w:val="false"/>
                <w:color w:val="222222"/>
                <w:sz w:val="16"/>
                <w:szCs w:val="16"/>
              </w:rPr>
              <w:t xml:space="preserve">Med</w:t>
            </w:r>
          </w:p>
        </w:tc>
        <w:tc>
          <w:tcPr>
            <w:tcW w:type="dxa" w:w="3360"/>
            <w:tcMar>
              <w:top w:type="dxa" w:w="34"/>
              <w:left w:type="dxa" w:w="70"/>
              <w:bottom w:type="dxa" w:w="34"/>
              <w:right w:type="dxa" w:w="70"/>
            </w:tcMar>
          </w:tcPr>
          <w:p>
            <w:r>
              <w:rPr>
                <w:b w:val="false"/>
                <w:bCs w:val="false"/>
                <w:color w:val="222222"/>
                <w:sz w:val="16"/>
                <w:szCs w:val="16"/>
              </w:rPr>
              <w:t xml:space="preserve">US labour softness → Fed-dovish, global risk support</w:t>
            </w:r>
          </w:p>
        </w:tc>
      </w:tr>
      <w:tr>
        <w:tc>
          <w:tcPr>
            <w:tcW w:type="dxa" w:w="1200"/>
            <w:tcMar>
              <w:top w:type="dxa" w:w="34"/>
              <w:left w:type="dxa" w:w="70"/>
              <w:bottom w:type="dxa" w:w="34"/>
              <w:right w:type="dxa" w:w="70"/>
            </w:tcMar>
          </w:tcPr>
          <w:p>
            <w:r>
              <w:rPr>
                <w:b w:val="false"/>
                <w:bCs w:val="false"/>
                <w:color w:val="222222"/>
                <w:sz w:val="16"/>
                <w:szCs w:val="16"/>
              </w:rPr>
              <w:t xml:space="preserve">Fri 24 Jul</w:t>
            </w:r>
          </w:p>
        </w:tc>
        <w:tc>
          <w:tcPr>
            <w:tcW w:type="dxa" w:w="2100"/>
            <w:tcMar>
              <w:top w:type="dxa" w:w="34"/>
              <w:left w:type="dxa" w:w="70"/>
              <w:bottom w:type="dxa" w:w="34"/>
              <w:right w:type="dxa" w:w="70"/>
            </w:tcMar>
          </w:tcPr>
          <w:p>
            <w:r>
              <w:rPr>
                <w:b w:val="false"/>
                <w:bCs w:val="false"/>
                <w:color w:val="222222"/>
                <w:sz w:val="16"/>
                <w:szCs w:val="16"/>
              </w:rPr>
              <w:t xml:space="preserve">UK retail sales + flash PMIs (UK/EZ/US)</w:t>
            </w:r>
          </w:p>
        </w:tc>
        <w:tc>
          <w:tcPr>
            <w:tcW w:type="dxa" w:w="1900"/>
            <w:tcMar>
              <w:top w:type="dxa" w:w="34"/>
              <w:left w:type="dxa" w:w="70"/>
              <w:bottom w:type="dxa" w:w="34"/>
              <w:right w:type="dxa" w:w="70"/>
            </w:tcMar>
          </w:tcPr>
          <w:p>
            <w:r>
              <w:rPr>
                <w:b w:val="false"/>
                <w:bCs w:val="false"/>
                <w:color w:val="222222"/>
                <w:sz w:val="16"/>
                <w:szCs w:val="16"/>
              </w:rPr>
              <w:t xml:space="preserve">—</w:t>
            </w:r>
          </w:p>
        </w:tc>
        <w:tc>
          <w:tcPr>
            <w:tcW w:type="dxa" w:w="800"/>
            <w:tcMar>
              <w:top w:type="dxa" w:w="34"/>
              <w:left w:type="dxa" w:w="70"/>
              <w:bottom w:type="dxa" w:w="34"/>
              <w:right w:type="dxa" w:w="70"/>
            </w:tcMar>
          </w:tcPr>
          <w:p>
            <w:r>
              <w:rPr>
                <w:b w:val="false"/>
                <w:bCs w:val="false"/>
                <w:color w:val="222222"/>
                <w:sz w:val="16"/>
                <w:szCs w:val="16"/>
              </w:rPr>
              <w:t xml:space="preserve">Med</w:t>
            </w:r>
          </w:p>
        </w:tc>
        <w:tc>
          <w:tcPr>
            <w:tcW w:type="dxa" w:w="3360"/>
            <w:tcMar>
              <w:top w:type="dxa" w:w="34"/>
              <w:left w:type="dxa" w:w="70"/>
              <w:bottom w:type="dxa" w:w="34"/>
              <w:right w:type="dxa" w:w="70"/>
            </w:tcMar>
          </w:tcPr>
          <w:p>
            <w:r>
              <w:rPr>
                <w:b w:val="false"/>
                <w:bCs w:val="false"/>
                <w:color w:val="222222"/>
                <w:sz w:val="16"/>
                <w:szCs w:val="16"/>
              </w:rPr>
              <w:t xml:space="preserve">Weak PMIs → growth fears; strong → cyclical support</w:t>
            </w:r>
          </w:p>
        </w:tc>
      </w:tr>
    </w:tbl>
    <w:p>
      <w:pPr>
        <w:spacing w:after="100" w:line="264"/>
      </w:pPr>
      <w:r>
        <w:rPr>
          <w:b/>
          <w:bCs/>
          <w:sz w:val="20"/>
          <w:szCs w:val="20"/>
        </w:rPr>
        <w:t xml:space="preserve">Highest-impact event: </w:t>
      </w:r>
      <w:r>
        <w:rPr>
          <w:b/>
          <w:bCs/>
          <w:color w:val="9B2D6B"/>
          <w:sz w:val="20"/>
          <w:szCs w:val="20"/>
        </w:rPr>
        <w:t xml:space="preserve">Wednesday's UK CPI. </w:t>
      </w:r>
      <w:r>
        <w:rPr>
          <w:sz w:val="20"/>
          <w:szCs w:val="20"/>
        </w:rPr>
        <w:t xml:space="preserve">A hotter-than-expected print (≥2.7% headline or a core surprise) would force markets to price out BoE easing, lift gilt yields further and drag rate-sensitive FTSE sectors (housebuilders, utilities, real estate), directly threatening the consensus level; a cool print could spark a relief rally back toward the pivot cluster.</w:t>
      </w:r>
    </w:p>
    <w:p>
      <w:pPr>
        <w:pStyle w:val="Heading1"/>
        <w:spacing w:after="120" w:before="260"/>
      </w:pPr>
      <w:r>
        <w:rPr>
          <w:b/>
          <w:bCs/>
          <w:color w:val="1F3A63"/>
          <w:sz w:val="28"/>
          <w:szCs w:val="28"/>
        </w:rPr>
        <w:t xml:space="preserve">14 · Macro Context</w:t>
      </w:r>
    </w:p>
    <w:p>
      <w:pPr>
        <w:pStyle w:val="ListParagraph"/>
        <w:numPr>
          <w:ilvl w:val="0"/>
          <w:numId w:val="1"/>
        </w:numPr>
        <w:spacing w:after="60" w:line="260"/>
      </w:pPr>
      <w:r>
        <w:rPr>
          <w:b/>
          <w:bCs/>
          <w:sz w:val="20"/>
          <w:szCs w:val="20"/>
        </w:rPr>
        <w:t xml:space="preserve">Rates &amp; policy: </w:t>
      </w:r>
      <w:r>
        <w:rPr>
          <w:sz w:val="20"/>
          <w:szCs w:val="20"/>
        </w:rPr>
        <w:t xml:space="preserve">BoE Bank Rate 3.75%; 10-yr gilt ~4.98% and edging up on fiscal concern. Cross-referencing the S&amp;P 500 read (§10), a risk-off US tape plus rising UK yields is a double headwind for rate-sensitive FTSE names.</w:t>
      </w:r>
    </w:p>
    <w:p>
      <w:pPr>
        <w:pStyle w:val="ListParagraph"/>
        <w:numPr>
          <w:ilvl w:val="0"/>
          <w:numId w:val="1"/>
        </w:numPr>
        <w:spacing w:after="60" w:line="260"/>
      </w:pPr>
      <w:r>
        <w:rPr>
          <w:b/>
          <w:bCs/>
          <w:sz w:val="20"/>
          <w:szCs w:val="20"/>
        </w:rPr>
        <w:t xml:space="preserve">Inflation: </w:t>
      </w:r>
      <w:r>
        <w:rPr>
          <w:sz w:val="20"/>
          <w:szCs w:val="20"/>
        </w:rPr>
        <w:t xml:space="preserve">UK CPI 2.8% (May), Eurozone ~3.2%. Brent &gt; $90 is price-negative for the inflation path — a key upside risk to yields and downside risk to equity multiples. Wednesday's CPI is the pivotal read.</w:t>
      </w:r>
    </w:p>
    <w:p>
      <w:pPr>
        <w:pStyle w:val="ListParagraph"/>
        <w:numPr>
          <w:ilvl w:val="0"/>
          <w:numId w:val="1"/>
        </w:numPr>
        <w:spacing w:after="60" w:line="260"/>
      </w:pPr>
      <w:r>
        <w:rPr>
          <w:b/>
          <w:bCs/>
          <w:sz w:val="20"/>
          <w:szCs w:val="20"/>
        </w:rPr>
        <w:t xml:space="preserve">Liquidity &amp; FX (USDX, §10): </w:t>
      </w:r>
      <w:r>
        <w:rPr>
          <w:sz w:val="20"/>
          <w:szCs w:val="20"/>
        </w:rPr>
        <w:t xml:space="preserve">USDX ~100.7–100.9, flat-to-firmer. A stable dollar is broadly neutral; GBP ~1.34 and EUR ~1.14 weakness at the margin supports FTSE/STOXX multinational earnings translation.</w:t>
      </w:r>
    </w:p>
    <w:p>
      <w:pPr>
        <w:pStyle w:val="ListParagraph"/>
        <w:numPr>
          <w:ilvl w:val="0"/>
          <w:numId w:val="1"/>
        </w:numPr>
        <w:spacing w:after="60" w:line="260"/>
      </w:pPr>
      <w:r>
        <w:rPr>
          <w:b/>
          <w:bCs/>
          <w:sz w:val="20"/>
          <w:szCs w:val="20"/>
        </w:rPr>
        <w:t xml:space="preserve">Energy: </w:t>
      </w:r>
      <w:r>
        <w:rPr>
          <w:sz w:val="20"/>
          <w:szCs w:val="20"/>
        </w:rPr>
        <w:t xml:space="preserve">Brent above $90/bbl on Hormuz risk — supportive for FTSE energy weight (Shell, BP ~ combined large index share) but inflationary for the whole complex.</w:t>
      </w:r>
    </w:p>
    <w:p>
      <w:pPr>
        <w:pStyle w:val="ListParagraph"/>
        <w:numPr>
          <w:ilvl w:val="0"/>
          <w:numId w:val="1"/>
        </w:numPr>
        <w:spacing w:after="60" w:line="260"/>
      </w:pPr>
      <w:r>
        <w:rPr>
          <w:b/>
          <w:bCs/>
          <w:sz w:val="20"/>
          <w:szCs w:val="20"/>
        </w:rPr>
        <w:t xml:space="preserve">Positioning: </w:t>
      </w:r>
      <w:r>
        <w:rPr>
          <w:sz w:val="20"/>
          <w:szCs w:val="20"/>
        </w:rPr>
        <w:t xml:space="preserve">VIX ~18.8 (+12% Fri) signals rising hedging demand into the AI sell-off; European risk appetite cautious ahead of the ECB.</w:t>
      </w:r>
    </w:p>
    <w:p>
      <w:pPr>
        <w:spacing w:after="100" w:line="264"/>
      </w:pPr>
      <w:r>
        <w:rPr>
          <w:b/>
          <w:bCs/>
          <w:sz w:val="20"/>
          <w:szCs w:val="20"/>
        </w:rPr>
        <w:t xml:space="preserve">Watch item (from §13d): </w:t>
      </w:r>
      <w:r>
        <w:rPr>
          <w:sz w:val="20"/>
          <w:szCs w:val="20"/>
        </w:rPr>
        <w:t xml:space="preserve">UK CPI and the ECB decision both feed the rates/inflation variables above; an upside CPI surprise is the primary directional risk for the macro backdrop.</w:t>
      </w:r>
    </w:p>
    <w:p>
      <w:pPr>
        <w:pStyle w:val="Heading1"/>
        <w:spacing w:after="120" w:before="260"/>
      </w:pPr>
      <w:r>
        <w:rPr>
          <w:b/>
          <w:bCs/>
          <w:color w:val="1F3A63"/>
          <w:sz w:val="28"/>
          <w:szCs w:val="28"/>
        </w:rPr>
        <w:t xml:space="preserve">15 · Bull / Bear Balance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4680"/>
        <w:gridCol w:w="4680"/>
      </w:tblGrid>
      <w:tr>
        <w:trPr>
          <w:tblHeader/>
        </w:trPr>
        <w:tc>
          <w:tcPr>
            <w:tcW w:type="dxa" w:w="4680"/>
            <w:shd w:fill="1F3A63" w:color="auto" w:val="clear"/>
            <w:tcMar>
              <w:top w:type="dxa" w:w="40"/>
              <w:left w:type="dxa" w:w="70"/>
              <w:bottom w:type="dxa" w:w="40"/>
              <w:right w:type="dxa" w:w="70"/>
            </w:tcMar>
          </w:tcPr>
          <w:p>
            <w:r>
              <w:rPr>
                <w:b/>
                <w:bCs/>
                <w:color w:val="FFFFFF"/>
                <w:sz w:val="17"/>
                <w:szCs w:val="17"/>
              </w:rPr>
              <w:t xml:space="preserve">Main upside risks</w:t>
            </w:r>
          </w:p>
        </w:tc>
        <w:tc>
          <w:tcPr>
            <w:tcW w:type="dxa" w:w="4680"/>
            <w:shd w:fill="1F3A63" w:color="auto" w:val="clear"/>
            <w:tcMar>
              <w:top w:type="dxa" w:w="40"/>
              <w:left w:type="dxa" w:w="70"/>
              <w:bottom w:type="dxa" w:w="40"/>
              <w:right w:type="dxa" w:w="70"/>
            </w:tcMar>
          </w:tcPr>
          <w:p>
            <w:r>
              <w:rPr>
                <w:b/>
                <w:bCs/>
                <w:color w:val="FFFFFF"/>
                <w:sz w:val="17"/>
                <w:szCs w:val="17"/>
              </w:rPr>
              <w:t xml:space="preserve">Main downside risks</w:t>
            </w:r>
          </w:p>
        </w:tc>
      </w:tr>
      <w:tr>
        <w:tc>
          <w:tcPr>
            <w:tcW w:type="dxa" w:w="4680"/>
            <w:tcMar>
              <w:top w:type="dxa" w:w="34"/>
              <w:left w:type="dxa" w:w="70"/>
              <w:bottom w:type="dxa" w:w="34"/>
              <w:right w:type="dxa" w:w="70"/>
            </w:tcMar>
          </w:tcPr>
          <w:p>
            <w:r>
              <w:rPr>
                <w:b w:val="false"/>
                <w:bCs w:val="false"/>
                <w:color w:val="222222"/>
                <w:sz w:val="16"/>
                <w:szCs w:val="16"/>
              </w:rPr>
              <w:t xml:space="preserve">Cool UK CPI (Wed) sparks relief rally back through daily/weekly P (~10,543–10,552).</w:t>
            </w:r>
          </w:p>
        </w:tc>
        <w:tc>
          <w:tcPr>
            <w:tcW w:type="dxa" w:w="4680"/>
            <w:tcMar>
              <w:top w:type="dxa" w:w="34"/>
              <w:left w:type="dxa" w:w="70"/>
              <w:bottom w:type="dxa" w:w="34"/>
              <w:right w:type="dxa" w:w="70"/>
            </w:tcMar>
          </w:tcPr>
          <w:p>
            <w:r>
              <w:rPr>
                <w:b w:val="false"/>
                <w:bCs w:val="false"/>
                <w:color w:val="222222"/>
                <w:sz w:val="16"/>
                <w:szCs w:val="16"/>
              </w:rPr>
              <w:t xml:space="preserve">Hot UK CPI reprices BoE, lifts gilt yields, hits rate-sensitives.</w:t>
            </w:r>
          </w:p>
        </w:tc>
      </w:tr>
      <w:tr>
        <w:tc>
          <w:tcPr>
            <w:tcW w:type="dxa" w:w="4680"/>
            <w:tcMar>
              <w:top w:type="dxa" w:w="34"/>
              <w:left w:type="dxa" w:w="70"/>
              <w:bottom w:type="dxa" w:w="34"/>
              <w:right w:type="dxa" w:w="70"/>
            </w:tcMar>
          </w:tcPr>
          <w:p>
            <w:r>
              <w:rPr>
                <w:b w:val="false"/>
                <w:bCs w:val="false"/>
                <w:color w:val="222222"/>
                <w:sz w:val="16"/>
                <w:szCs w:val="16"/>
              </w:rPr>
              <w:t xml:space="preserve">Energy majors (Shell/BP) bid on Brent &gt; $90 support index heavyweights.</w:t>
            </w:r>
          </w:p>
        </w:tc>
        <w:tc>
          <w:tcPr>
            <w:tcW w:type="dxa" w:w="4680"/>
            <w:tcMar>
              <w:top w:type="dxa" w:w="34"/>
              <w:left w:type="dxa" w:w="70"/>
              <w:bottom w:type="dxa" w:w="34"/>
              <w:right w:type="dxa" w:w="70"/>
            </w:tcMar>
          </w:tcPr>
          <w:p>
            <w:r>
              <w:rPr>
                <w:b w:val="false"/>
                <w:bCs w:val="false"/>
                <w:color w:val="222222"/>
                <w:sz w:val="16"/>
                <w:szCs w:val="16"/>
              </w:rPr>
              <w:t xml:space="preserve">Escalating US–Iran conflict / Hormuz closure spikes oil and inflation, risk-off.</w:t>
            </w:r>
          </w:p>
        </w:tc>
      </w:tr>
      <w:tr>
        <w:tc>
          <w:tcPr>
            <w:tcW w:type="dxa" w:w="4680"/>
            <w:tcMar>
              <w:top w:type="dxa" w:w="34"/>
              <w:left w:type="dxa" w:w="70"/>
              <w:bottom w:type="dxa" w:w="34"/>
              <w:right w:type="dxa" w:w="70"/>
            </w:tcMar>
          </w:tcPr>
          <w:p>
            <w:r>
              <w:rPr>
                <w:b w:val="false"/>
                <w:bCs w:val="false"/>
                <w:color w:val="222222"/>
                <w:sz w:val="16"/>
                <w:szCs w:val="16"/>
              </w:rPr>
              <w:t xml:space="preserve">GBP weakness lifts multinational earnings translation.</w:t>
            </w:r>
          </w:p>
        </w:tc>
        <w:tc>
          <w:tcPr>
            <w:tcW w:type="dxa" w:w="4680"/>
            <w:tcMar>
              <w:top w:type="dxa" w:w="34"/>
              <w:left w:type="dxa" w:w="70"/>
              <w:bottom w:type="dxa" w:w="34"/>
              <w:right w:type="dxa" w:w="70"/>
            </w:tcMar>
          </w:tcPr>
          <w:p>
            <w:r>
              <w:rPr>
                <w:b w:val="false"/>
                <w:bCs w:val="false"/>
                <w:color w:val="222222"/>
                <w:sz w:val="16"/>
                <w:szCs w:val="16"/>
              </w:rPr>
              <w:t xml:space="preserve">Fiscal uncertainty under new PM keeps gilt yields elevated; housebuilders under pressure.</w:t>
            </w:r>
          </w:p>
        </w:tc>
      </w:tr>
      <w:tr>
        <w:tc>
          <w:tcPr>
            <w:tcW w:type="dxa" w:w="4680"/>
            <w:tcMar>
              <w:top w:type="dxa" w:w="34"/>
              <w:left w:type="dxa" w:w="70"/>
              <w:bottom w:type="dxa" w:w="34"/>
              <w:right w:type="dxa" w:w="70"/>
            </w:tcMar>
          </w:tcPr>
          <w:p>
            <w:r>
              <w:rPr>
                <w:b w:val="false"/>
                <w:bCs w:val="false"/>
                <w:color w:val="222222"/>
                <w:sz w:val="16"/>
                <w:szCs w:val="16"/>
              </w:rPr>
              <w:t xml:space="preserve">Defensive FTSE composition outperforms in a global tech sell-off.</w:t>
            </w:r>
          </w:p>
        </w:tc>
        <w:tc>
          <w:tcPr>
            <w:tcW w:type="dxa" w:w="4680"/>
            <w:tcMar>
              <w:top w:type="dxa" w:w="34"/>
              <w:left w:type="dxa" w:w="70"/>
              <w:bottom w:type="dxa" w:w="34"/>
              <w:right w:type="dxa" w:w="70"/>
            </w:tcMar>
          </w:tcPr>
          <w:p>
            <w:r>
              <w:rPr>
                <w:b w:val="false"/>
                <w:bCs w:val="false"/>
                <w:color w:val="222222"/>
                <w:sz w:val="16"/>
                <w:szCs w:val="16"/>
              </w:rPr>
              <w:t xml:space="preserve">Deeper global AI/semiconductor rout drags European risk beta (S&amp;P/DAX confirm, §10).</w:t>
            </w:r>
          </w:p>
        </w:tc>
      </w:tr>
    </w:tbl>
    <w:p>
      <w:pPr>
        <w:spacing w:after="100" w:line="264"/>
      </w:pPr>
      <w:r>
        <w:rPr>
          <w:b/>
          <w:bCs/>
          <w:sz w:val="20"/>
          <w:szCs w:val="20"/>
        </w:rPr>
        <w:t xml:space="preserve">Balance: </w:t>
      </w:r>
      <w:r>
        <w:rPr>
          <w:sz w:val="20"/>
          <w:szCs w:val="20"/>
        </w:rPr>
        <w:t xml:space="preserve">Tilted bearish near term. Price sits below the daily/weekly pivot cluster (§11), the regime is transitional-bearish (§9), and the highest-impact upcoming event (CPI, §13d) is an asymmetric downside catalyst for rate-sensitives — though the FTSE's energy/defensive mix limits the depth of any sell-off.</w:t>
      </w:r>
    </w:p>
    <w:p>
      <w:pPr>
        <w:pStyle w:val="Heading1"/>
        <w:spacing w:after="120" w:before="260"/>
      </w:pPr>
      <w:r>
        <w:rPr>
          <w:b/>
          <w:bCs/>
          <w:color w:val="1F3A63"/>
          <w:sz w:val="28"/>
          <w:szCs w:val="28"/>
        </w:rPr>
        <w:t xml:space="preserve">16 · Forward View</w:t>
      </w:r>
    </w:p>
    <w:p>
      <w:pPr>
        <w:spacing w:after="100" w:line="264"/>
      </w:pPr>
      <w:r>
        <w:rPr>
          <w:b/>
          <w:bCs/>
          <w:sz w:val="20"/>
          <w:szCs w:val="20"/>
        </w:rPr>
        <w:t xml:space="preserve">Expected direction (next 5 sessions): </w:t>
      </w:r>
      <w:r>
        <w:rPr>
          <w:sz w:val="20"/>
          <w:szCs w:val="20"/>
        </w:rPr>
        <w:t xml:space="preserve">Range-bound with a bearish tilt. Base case is consolidation between weekly S1/daily S1 support (~10,481–10,486) and the daily/weekly pivot cap (~10,543–10,552), with risk of an extension toward S2 (~10,448) on a hot CPI. This respects the transitional regime (§9) and the pivot posture (§11); it does not contradict the medium-term ranging structure.</w:t>
      </w:r>
    </w:p>
    <w:p>
      <w:pPr>
        <w:spacing w:after="100" w:line="264"/>
      </w:pPr>
      <w:r>
        <w:rPr>
          <w:b/>
          <w:bCs/>
          <w:sz w:val="20"/>
          <w:szCs w:val="20"/>
        </w:rPr>
        <w:t xml:space="preserve">Trading range: </w:t>
      </w:r>
      <w:r>
        <w:rPr>
          <w:sz w:val="20"/>
          <w:szCs w:val="20"/>
        </w:rPr>
        <w:t xml:space="preserve">10,448 – 10,610 (daily S2 to R1.5), widening to 10,391 on a downside CPI shock.</w:t>
      </w:r>
    </w:p>
    <w:p>
      <w:pPr>
        <w:spacing w:after="100" w:line="264"/>
      </w:pPr>
      <w:r>
        <w:rPr>
          <w:b/>
          <w:bCs/>
          <w:sz w:val="20"/>
          <w:szCs w:val="20"/>
        </w:rPr>
        <w:t xml:space="preserve">Base-case invalidation: </w:t>
      </w:r>
      <w:r>
        <w:rPr>
          <w:sz w:val="20"/>
          <w:szCs w:val="20"/>
        </w:rPr>
        <w:t xml:space="preserve">A daily close back above weekly P (10,552.39) and R1 (10,581.75) would neutralise the bearish tilt and re-open the 17 Jul high (10,623.69). The upcoming CPI (§13d) is the primary event that could force this.</w:t>
      </w:r>
    </w:p>
    <w:p>
      <w:pPr>
        <w:pStyle w:val="Heading1"/>
        <w:spacing w:after="120" w:before="260"/>
      </w:pPr>
      <w:r>
        <w:rPr>
          <w:b/>
          <w:bCs/>
          <w:color w:val="1F3A63"/>
          <w:sz w:val="28"/>
          <w:szCs w:val="28"/>
        </w:rPr>
        <w:t xml:space="preserve">17 · Forecast</w:t>
      </w:r>
    </w:p>
    <w:p>
      <w:pPr>
        <w:spacing w:after="100" w:line="264"/>
      </w:pPr>
      <w:r>
        <w:rPr>
          <w:b/>
          <w:bCs/>
          <w:i/>
          <w:iCs/>
          <w:sz w:val="21"/>
          <w:szCs w:val="21"/>
        </w:rPr>
        <w:t xml:space="preserve">The FTSE 100 is most likely to trade with a modest bearish bias over the coming sessions, capped by the 10,543–10,552 daily/weekly pivot cluster and supported at the 10,481–10,486 S1 confluence, with Wednesday's UK CPI the decisive swing factor.</w:t>
      </w:r>
    </w:p>
    <w:p>
      <w:pPr>
        <w:pStyle w:val="Heading1"/>
        <w:spacing w:after="120" w:before="260"/>
      </w:pPr>
      <w:r>
        <w:rPr>
          <w:b/>
          <w:bCs/>
          <w:color w:val="1F3A63"/>
          <w:sz w:val="28"/>
          <w:szCs w:val="28"/>
        </w:rPr>
        <w:t xml:space="preserve">18 · Final Analyst Judgement</w:t>
      </w:r>
    </w:p>
    <w:p>
      <w:pPr>
        <w:spacing w:after="100" w:line="264"/>
      </w:pPr>
      <w:r>
        <w:rPr>
          <w:b/>
          <w:bCs/>
          <w:sz w:val="20"/>
          <w:szCs w:val="20"/>
        </w:rPr>
        <w:t xml:space="preserve">Consensus level: </w:t>
      </w:r>
      <w:r>
        <w:rPr>
          <w:sz w:val="20"/>
          <w:szCs w:val="20"/>
        </w:rPr>
        <w:t xml:space="preserve">10,524.76 (20 Jul cash close). Confidence: Medium. </w:t>
      </w:r>
    </w:p>
    <w:p>
      <w:pPr>
        <w:pStyle w:val="ListParagraph"/>
        <w:numPr>
          <w:ilvl w:val="0"/>
          <w:numId w:val="1"/>
        </w:numPr>
        <w:spacing w:after="60" w:line="260"/>
      </w:pPr>
      <w:r>
        <w:rPr>
          <w:sz w:val="20"/>
          <w:szCs w:val="20"/>
        </w:rPr>
        <w:t xml:space="preserve">Reason 1 — Price closed below the daily and weekly pivot after failing at 10,620, a bearish sub-pivot posture with a low RSI2 (24.3).</w:t>
      </w:r>
    </w:p>
    <w:p>
      <w:pPr>
        <w:pStyle w:val="ListParagraph"/>
        <w:numPr>
          <w:ilvl w:val="0"/>
          <w:numId w:val="1"/>
        </w:numPr>
        <w:spacing w:after="60" w:line="260"/>
      </w:pPr>
      <w:r>
        <w:rPr>
          <w:sz w:val="20"/>
          <w:szCs w:val="20"/>
        </w:rPr>
        <w:t xml:space="preserve">Reason 2 — Transitional-bearish regime with cross-asset confirmation (S&amp;P and DAX falling, §10) and predominantly bearish sentiment (tilt −0.30, §13b).</w:t>
      </w:r>
    </w:p>
    <w:p>
      <w:pPr>
        <w:pStyle w:val="ListParagraph"/>
        <w:numPr>
          <w:ilvl w:val="0"/>
          <w:numId w:val="1"/>
        </w:numPr>
        <w:spacing w:after="60" w:line="260"/>
      </w:pPr>
      <w:r>
        <w:rPr>
          <w:sz w:val="20"/>
          <w:szCs w:val="20"/>
        </w:rPr>
        <w:t xml:space="preserve">Reason 3 — Energy-driven inflation risk (Brent &gt; $90) plus UK fiscal uncertainty raise gilt yields and pressure rate-sensitive constituents.</w:t>
      </w:r>
    </w:p>
    <w:p>
      <w:pPr>
        <w:spacing w:after="100" w:line="264"/>
      </w:pPr>
      <w:r>
        <w:rPr>
          <w:b/>
          <w:bCs/>
          <w:sz w:val="20"/>
          <w:szCs w:val="20"/>
        </w:rPr>
        <w:t xml:space="preserve">Single watch item: </w:t>
      </w:r>
      <w:r>
        <w:rPr>
          <w:sz w:val="20"/>
          <w:szCs w:val="20"/>
        </w:rPr>
        <w:t xml:space="preserve">UK CPI (Wed 22 Jul) — the asymmetric catalyst for the next directional leg.</w:t>
      </w:r>
    </w:p>
    <w:p>
      <w:pPr>
        <w:pStyle w:val="Heading1"/>
        <w:spacing w:after="120" w:before="260"/>
      </w:pPr>
      <w:r>
        <w:rPr>
          <w:b/>
          <w:bCs/>
          <w:color w:val="1F3A63"/>
          <w:sz w:val="28"/>
          <w:szCs w:val="28"/>
        </w:rPr>
        <w:t xml:space="preserve">19 · Source Discipline Note</w:t>
      </w:r>
    </w:p>
    <w:p>
      <w:pPr>
        <w:pStyle w:val="ListParagraph"/>
        <w:numPr>
          <w:ilvl w:val="0"/>
          <w:numId w:val="1"/>
        </w:numPr>
        <w:spacing w:after="60" w:line="260"/>
      </w:pPr>
      <w:r>
        <w:rPr>
          <w:b/>
          <w:bCs/>
          <w:sz w:val="20"/>
          <w:szCs w:val="20"/>
        </w:rPr>
        <w:t xml:space="preserve">Live vs indicative: </w:t>
      </w:r>
      <w:r>
        <w:rPr>
          <w:sz w:val="20"/>
          <w:szCs w:val="20"/>
        </w:rPr>
        <w:t xml:space="preserve">FTSE and STOXX daily closes are CORROBORATED (two independent cash sources within tolerance). Daily and weekly pivot inputs are CORROBORATED. Monthly pivot inputs are SINGLE-SOURCE — INDICATIVE ONLY and excluded from definitive entry/stop pricing.</w:t>
      </w:r>
    </w:p>
    <w:p>
      <w:pPr>
        <w:pStyle w:val="ListParagraph"/>
        <w:numPr>
          <w:ilvl w:val="0"/>
          <w:numId w:val="1"/>
        </w:numPr>
        <w:spacing w:after="60" w:line="260"/>
      </w:pPr>
      <w:r>
        <w:rPr>
          <w:b/>
          <w:bCs/>
          <w:sz w:val="20"/>
          <w:szCs w:val="20"/>
        </w:rPr>
        <w:t xml:space="preserve">Data gaps: </w:t>
      </w:r>
      <w:r>
        <w:rPr>
          <w:sz w:val="20"/>
          <w:szCs w:val="20"/>
        </w:rPr>
        <w:t xml:space="preserve">15 Jul intraday High/Low carry a wider indicative band; June monthly H/L/C not dual-source corroborated. ATR(14) and the pre-window portion of the 25-session structure use corroborated closes supplemented by approximated prior-session ranges for indicator continuity — flagged as estimate-supported, not definitive.</w:t>
      </w:r>
    </w:p>
    <w:p>
      <w:pPr>
        <w:pStyle w:val="ListParagraph"/>
        <w:numPr>
          <w:ilvl w:val="0"/>
          <w:numId w:val="1"/>
        </w:numPr>
        <w:spacing w:after="60" w:line="260"/>
      </w:pPr>
      <w:r>
        <w:rPr>
          <w:b/>
          <w:bCs/>
          <w:sz w:val="20"/>
          <w:szCs w:val="20"/>
        </w:rPr>
        <w:t xml:space="preserve">Normalization: </w:t>
      </w:r>
      <w:r>
        <w:rPr>
          <w:sz w:val="20"/>
          <w:szCs w:val="20"/>
        </w:rPr>
        <w:t xml:space="preserve">All FTSE levels in GBP index points; no FX conversion required. STOXX in EUR index points. CFD prints excluded from definitive levels per instance restrictions.</w:t>
      </w:r>
    </w:p>
    <w:p>
      <w:pPr>
        <w:pStyle w:val="ListParagraph"/>
        <w:numPr>
          <w:ilvl w:val="0"/>
          <w:numId w:val="1"/>
        </w:numPr>
        <w:spacing w:after="60" w:line="260"/>
      </w:pPr>
      <w:r>
        <w:rPr>
          <w:b/>
          <w:bCs/>
          <w:sz w:val="20"/>
          <w:szCs w:val="20"/>
        </w:rPr>
        <w:t xml:space="preserve">Corroboration status per instrument: </w:t>
      </w:r>
      <w:r>
        <w:rPr>
          <w:sz w:val="20"/>
          <w:szCs w:val="20"/>
        </w:rPr>
        <w:t xml:space="preserve">FTSE close — CORROBORATED; STOXX close — CORROBORATED; daily pivots — CORROBORATED; weekly pivots — CORROBORATED; monthly pivots — SINGLE-SOURCE INDICATIVE.</w:t>
      </w:r>
    </w:p>
    <w:p>
      <w:pPr>
        <w:pStyle w:val="Heading1"/>
        <w:spacing w:after="120" w:before="260"/>
      </w:pPr>
      <w:r>
        <w:rPr>
          <w:b/>
          <w:bCs/>
          <w:color w:val="1F3A63"/>
          <w:sz w:val="28"/>
          <w:szCs w:val="28"/>
        </w:rPr>
        <w:t xml:space="preserve">20 · Agent Log</w:t>
      </w:r>
    </w:p>
    <w:p>
      <w:pPr>
        <w:pStyle w:val="ListParagraph"/>
        <w:numPr>
          <w:ilvl w:val="0"/>
          <w:numId w:val="1"/>
        </w:numPr>
        <w:spacing w:after="60" w:line="260"/>
      </w:pPr>
      <w:r>
        <w:rPr>
          <w:sz w:val="20"/>
          <w:szCs w:val="20"/>
        </w:rPr>
        <w:t xml:space="preserve">Sources attempted (OHLC): Investing.com, Yahoo Finance, Trading Economics, Alliance News, Proactive/Sharecast, Sunday Guardian, Reuters. Direct CSV endpoints (Stooq, Twelve Data) unreachable in this environment; corroboration achieved via multiple independent web sources.</w:t>
      </w:r>
    </w:p>
    <w:p>
      <w:pPr>
        <w:pStyle w:val="ListParagraph"/>
        <w:numPr>
          <w:ilvl w:val="0"/>
          <w:numId w:val="1"/>
        </w:numPr>
        <w:spacing w:after="60" w:line="260"/>
      </w:pPr>
      <w:r>
        <w:rPr>
          <w:sz w:val="20"/>
          <w:szCs w:val="20"/>
        </w:rPr>
        <w:t xml:space="preserve">Validation method: two-source close corroboration within ±0.10 pt equity-index tolerance. FTSE 20 Jul close 10,524.76 corroborated (Alliance × Proactive). 17 Jul 10,600.37 corroborated (Yahoo × Investing). STOXX 20 Jul +0.54% corroborated (Investing × Trading Economics).</w:t>
      </w:r>
    </w:p>
    <w:p>
      <w:pPr>
        <w:pStyle w:val="ListParagraph"/>
        <w:numPr>
          <w:ilvl w:val="0"/>
          <w:numId w:val="1"/>
        </w:numPr>
        <w:spacing w:after="60" w:line="260"/>
      </w:pPr>
      <w:r>
        <w:rPr>
          <w:sz w:val="20"/>
          <w:szCs w:val="20"/>
        </w:rPr>
        <w:t xml:space="preserve">Sentiment derivation: 7 articles classified from explicit language with ≤15-word derivation quotes; source-class-weighted tilt ≈ −0.30 (syndication-adjusted). Predominantly Bearish.</w:t>
      </w:r>
    </w:p>
    <w:p>
      <w:pPr>
        <w:pStyle w:val="ListParagraph"/>
        <w:numPr>
          <w:ilvl w:val="0"/>
          <w:numId w:val="1"/>
        </w:numPr>
        <w:spacing w:after="60" w:line="260"/>
      </w:pPr>
      <w:r>
        <w:rPr>
          <w:sz w:val="20"/>
          <w:szCs w:val="20"/>
        </w:rPr>
        <w:t xml:space="preserve">Regime derivation: KER ≈ −0.26 (period 13, 3-EMA); ATR(14) ≈ 96 pts; VOLator slope flat/negative; dual gates for clean TREND/RANGE not both met → consolidated regime_label = TRANSITION.</w:t>
      </w:r>
    </w:p>
    <w:p>
      <w:pPr>
        <w:pStyle w:val="ListParagraph"/>
        <w:numPr>
          <w:ilvl w:val="0"/>
          <w:numId w:val="1"/>
        </w:numPr>
        <w:spacing w:after="60" w:line="260"/>
      </w:pPr>
      <w:r>
        <w:rPr>
          <w:b/>
          <w:bCs/>
          <w:sz w:val="20"/>
          <w:szCs w:val="20"/>
        </w:rPr>
        <w:t xml:space="preserve">Strategy trace (M5): </w:t>
      </w:r>
      <w:r>
        <w:rPr>
          <w:sz w:val="20"/>
          <w:szCs w:val="20"/>
        </w:rPr>
        <w:t xml:space="preserve">Direction score = −0.61 → SHORT. Contributions: short-term technical −0.25, medium regime −0.10, VOLator 0.00, Kaufman −0.07, sentiment −0.045, cross-asset −0.15. Weights basis: DEFAULTS (v2.1 baseline 0.25/0.20/0.10/0.15/0.15/0.15) — locked, no tuning. Trade 2 (pivot) built on the breakout side per TRANSITION; monthly tier flagged indicative. Trade 3 fork → 3C (Momentum-Breakout) given TRANSITION.</w:t>
      </w:r>
    </w:p>
    <w:p>
      <w:pPr>
        <w:pStyle w:val="ListParagraph"/>
        <w:numPr>
          <w:ilvl w:val="0"/>
          <w:numId w:val="1"/>
        </w:numPr>
        <w:spacing w:after="60" w:line="260"/>
      </w:pPr>
      <w:r>
        <w:rPr>
          <w:sz w:val="20"/>
          <w:szCs w:val="20"/>
        </w:rPr>
        <w:t xml:space="preserve">Backtest: 5 prior sessions reconstructed at each t−1 close, no forward leakage; sentiment frozen at t−1. See §21c.</w:t>
      </w:r>
    </w:p>
    <w:p>
      <w:pPr>
        <w:pStyle w:val="ListParagraph"/>
        <w:numPr>
          <w:ilvl w:val="0"/>
          <w:numId w:val="1"/>
        </w:numPr>
        <w:spacing w:after="60" w:line="260"/>
      </w:pPr>
      <w:r>
        <w:rPr>
          <w:sz w:val="20"/>
          <w:szCs w:val="20"/>
        </w:rPr>
        <w:t xml:space="preserve">Anomalies: FTSE/STOXX 20 Jul divergence flagged (§10). CFD/cash level discrepancy on 20 Jul reconciled to cash close. Monthly pivots single-source.</w:t>
      </w:r>
    </w:p>
    <w:p>
      <w:pPr>
        <w:pStyle w:val="ListParagraph"/>
        <w:numPr>
          <w:ilvl w:val="0"/>
          <w:numId w:val="1"/>
        </w:numPr>
        <w:spacing w:after="60" w:line="260"/>
      </w:pPr>
      <w:r>
        <w:rPr>
          <w:sz w:val="20"/>
          <w:szCs w:val="20"/>
        </w:rPr>
        <w:t xml:space="preserve">Timestamp: generated 21 Jul 2026, pre-open (Europe/London).</w:t>
      </w:r>
    </w:p>
    <w:p>
      <w:pPr>
        <w:pStyle w:val="Heading1"/>
        <w:spacing w:after="120" w:before="260"/>
      </w:pPr>
      <w:r>
        <w:rPr>
          <w:b/>
          <w:bCs/>
          <w:color w:val="9B2D6B"/>
          <w:sz w:val="28"/>
          <w:szCs w:val="28"/>
        </w:rPr>
        <w:t xml:space="preserve">21 · Strategy Recommendations</w:t>
      </w:r>
    </w:p>
    <w:p>
      <w:pPr>
        <w:spacing w:after="100" w:line="264"/>
      </w:pPr>
      <w:r>
        <w:rPr>
          <w:b/>
          <w:bCs/>
          <w:sz w:val="20"/>
          <w:szCs w:val="20"/>
        </w:rPr>
        <w:t xml:space="preserve">Note on daily-open anchor: </w:t>
      </w:r>
      <w:r>
        <w:rPr>
          <w:sz w:val="20"/>
          <w:szCs w:val="20"/>
        </w:rPr>
        <w:t xml:space="preserve">Per the run instruction, the daily-open anchor is overridden to </w:t>
      </w:r>
      <w:r>
        <w:rPr>
          <w:b/>
          <w:bCs/>
          <w:sz w:val="20"/>
          <w:szCs w:val="20"/>
        </w:rPr>
        <w:t xml:space="preserve">00:00 UK</w:t>
      </w:r>
      <w:r>
        <w:rPr>
          <w:sz w:val="20"/>
          <w:szCs w:val="20"/>
        </w:rPr>
        <w:t xml:space="preserve"> for this report (the instance default of 07:00 UK is superseded). Trade 1 entry timing reflects the 00:00 UK anchor.</w:t>
      </w:r>
    </w:p>
    <w:p>
      <w:pPr>
        <w:pStyle w:val="Heading2"/>
        <w:spacing w:after="80" w:before="180"/>
      </w:pPr>
      <w:r>
        <w:rPr>
          <w:b/>
          <w:bCs/>
          <w:color w:val="9B2D6B"/>
          <w:sz w:val="24"/>
          <w:szCs w:val="24"/>
        </w:rPr>
        <w:t xml:space="preserve">21a · Directional Conviction</w:t>
      </w:r>
    </w:p>
    <w:p>
      <w:pPr>
        <w:spacing w:after="100" w:line="264"/>
      </w:pPr>
      <w:r>
        <w:rPr>
          <w:sz w:val="20"/>
          <w:szCs w:val="20"/>
        </w:rPr>
        <w:t xml:space="preserve">Direction: </w:t>
      </w:r>
      <w:r>
        <w:rPr>
          <w:b/>
          <w:bCs/>
          <w:color w:val="9B2D6B"/>
          <w:sz w:val="20"/>
          <w:szCs w:val="20"/>
        </w:rPr>
        <w:t xml:space="preserve">SHORT</w:t>
      </w:r>
      <w:r>
        <w:rPr>
          <w:sz w:val="20"/>
          <w:szCs w:val="20"/>
        </w:rPr>
        <w:t xml:space="preserve"> · Score: </w:t>
      </w:r>
      <w:r>
        <w:rPr>
          <w:b/>
          <w:bCs/>
          <w:sz w:val="20"/>
          <w:szCs w:val="20"/>
        </w:rPr>
        <w:t xml:space="preserve">−0.61</w:t>
      </w:r>
      <w:r>
        <w:rPr>
          <w:sz w:val="20"/>
          <w:szCs w:val="20"/>
        </w:rPr>
        <w:t xml:space="preserve">. The three highest-weighted contributors are short-term technical bias (§8) −0.25 (bearish close below pivot, RSI2 24.3), cross-asset confirmation (§10) −0.15 (S&amp;P and DAX falling), and medium-term regime (§9) −0.10 (transitional-bearish). Sentiment tilt (§13b) adds −0.045 and Kaufman −0.07. Weights basis: defaults (v2.1 baseline), locked. Conflict flag: the §17 forecast leans bearish-to-range, consistent with the SHORT conviction — no material conflict, though the forecast emphasises range containment while the trade layer expresses the downside tilt.</w:t>
      </w:r>
    </w:p>
    <w:p>
      <w:pPr>
        <w:pStyle w:val="Heading2"/>
        <w:spacing w:after="80" w:before="180"/>
      </w:pPr>
      <w:r>
        <w:rPr>
          <w:b/>
          <w:bCs/>
          <w:color w:val="9B2D6B"/>
          <w:sz w:val="24"/>
          <w:szCs w:val="24"/>
        </w:rPr>
        <w:t xml:space="preserve">21b · Trade Cards</w:t>
      </w:r>
    </w:p>
    <w:p>
      <w:pPr>
        <w:spacing w:after="100" w:line="264"/>
      </w:pPr>
      <w:r>
        <w:rPr>
          <w:b/>
          <w:bCs/>
          <w:color w:val="9B2D6B"/>
          <w:sz w:val="20"/>
          <w:szCs w:val="20"/>
        </w:rPr>
        <w:t xml:space="preserve">Trade 1 — Daily Directional (SHORT — TRANSITION/bearish score)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rPr>
          <w:tblHeader/>
        </w:trPr>
        <w:tc>
          <w:tcPr>
            <w:tcW w:type="dxa" w:w="2100"/>
            <w:shd w:fill="1F3A63" w:color="auto" w:val="clear"/>
            <w:tcMar>
              <w:top w:type="dxa" w:w="40"/>
              <w:left w:type="dxa" w:w="70"/>
              <w:bottom w:type="dxa" w:w="40"/>
              <w:right w:type="dxa" w:w="70"/>
            </w:tcMar>
          </w:tcPr>
          <w:p>
            <w:r>
              <w:rPr>
                <w:b/>
                <w:bCs/>
                <w:color w:val="FFFFFF"/>
                <w:sz w:val="17"/>
                <w:szCs w:val="17"/>
              </w:rPr>
              <w:t xml:space="preserve">Field</w:t>
            </w:r>
          </w:p>
        </w:tc>
        <w:tc>
          <w:tcPr>
            <w:tcW w:type="dxa" w:w="7260"/>
            <w:shd w:fill="1F3A63" w:color="auto" w:val="clear"/>
            <w:tcMar>
              <w:top w:type="dxa" w:w="40"/>
              <w:left w:type="dxa" w:w="70"/>
              <w:bottom w:type="dxa" w:w="40"/>
              <w:right w:type="dxa" w:w="70"/>
            </w:tcMar>
          </w:tcPr>
          <w:p>
            <w:r>
              <w:rPr>
                <w:b/>
                <w:bCs/>
                <w:color w:val="FFFFFF"/>
                <w:sz w:val="17"/>
                <w:szCs w:val="17"/>
              </w:rPr>
              <w:t xml:space="preserve">Detail</w:t>
            </w:r>
          </w:p>
        </w:tc>
      </w:tr>
      <w:tr>
        <w:tc>
          <w:tcPr>
            <w:tcW w:type="dxa" w:w="2100"/>
            <w:tcMar>
              <w:top w:type="dxa" w:w="34"/>
              <w:left w:type="dxa" w:w="70"/>
              <w:bottom w:type="dxa" w:w="34"/>
              <w:right w:type="dxa" w:w="70"/>
            </w:tcMar>
          </w:tcPr>
          <w:p>
            <w:r>
              <w:rPr>
                <w:b w:val="false"/>
                <w:bCs w:val="false"/>
                <w:color w:val="222222"/>
                <w:sz w:val="16"/>
                <w:szCs w:val="16"/>
              </w:rPr>
              <w:t xml:space="preserve">Direction</w:t>
            </w:r>
          </w:p>
        </w:tc>
        <w:tc>
          <w:tcPr>
            <w:tcW w:type="dxa" w:w="7260"/>
            <w:tcMar>
              <w:top w:type="dxa" w:w="34"/>
              <w:left w:type="dxa" w:w="70"/>
              <w:bottom w:type="dxa" w:w="34"/>
              <w:right w:type="dxa" w:w="70"/>
            </w:tcMar>
          </w:tcPr>
          <w:p>
            <w:r>
              <w:rPr>
                <w:b w:val="false"/>
                <w:bCs w:val="false"/>
                <w:color w:val="222222"/>
                <w:sz w:val="16"/>
                <w:szCs w:val="16"/>
              </w:rPr>
              <w:t xml:space="preserve">SHORT — score −0.61 beyond conviction threshold</w:t>
            </w:r>
          </w:p>
        </w:tc>
      </w:tr>
      <w:tr>
        <w:tc>
          <w:tcPr>
            <w:tcW w:type="dxa" w:w="2100"/>
            <w:tcMar>
              <w:top w:type="dxa" w:w="34"/>
              <w:left w:type="dxa" w:w="70"/>
              <w:bottom w:type="dxa" w:w="34"/>
              <w:right w:type="dxa" w:w="70"/>
            </w:tcMar>
          </w:tcPr>
          <w:p>
            <w:r>
              <w:rPr>
                <w:b w:val="false"/>
                <w:bCs w:val="false"/>
                <w:color w:val="222222"/>
                <w:sz w:val="16"/>
                <w:szCs w:val="16"/>
              </w:rPr>
              <w:t xml:space="preserve">Entry</w:t>
            </w:r>
          </w:p>
        </w:tc>
        <w:tc>
          <w:tcPr>
            <w:tcW w:type="dxa" w:w="7260"/>
            <w:tcMar>
              <w:top w:type="dxa" w:w="34"/>
              <w:left w:type="dxa" w:w="70"/>
              <w:bottom w:type="dxa" w:w="34"/>
              <w:right w:type="dxa" w:w="70"/>
            </w:tcMar>
          </w:tcPr>
          <w:p>
            <w:r>
              <w:rPr>
                <w:b w:val="false"/>
                <w:bCs w:val="false"/>
                <w:color w:val="222222"/>
                <w:sz w:val="16"/>
                <w:szCs w:val="16"/>
              </w:rPr>
              <w:t xml:space="preserve">Market at 00:00 UK — reference 10,524.76 (price) </w:t>
            </w:r>
          </w:p>
        </w:tc>
      </w:tr>
      <w:tr>
        <w:tc>
          <w:tcPr>
            <w:tcW w:type="dxa" w:w="2100"/>
            <w:tcMar>
              <w:top w:type="dxa" w:w="34"/>
              <w:left w:type="dxa" w:w="70"/>
              <w:bottom w:type="dxa" w:w="34"/>
              <w:right w:type="dxa" w:w="70"/>
            </w:tcMar>
          </w:tcPr>
          <w:p>
            <w:r>
              <w:rPr>
                <w:b w:val="false"/>
                <w:bCs w:val="false"/>
                <w:color w:val="222222"/>
                <w:sz w:val="16"/>
                <w:szCs w:val="16"/>
              </w:rPr>
              <w:t xml:space="preserve">Stop loss</w:t>
            </w:r>
          </w:p>
        </w:tc>
        <w:tc>
          <w:tcPr>
            <w:tcW w:type="dxa" w:w="7260"/>
            <w:tcMar>
              <w:top w:type="dxa" w:w="34"/>
              <w:left w:type="dxa" w:w="70"/>
              <w:bottom w:type="dxa" w:w="34"/>
              <w:right w:type="dxa" w:w="70"/>
            </w:tcMar>
          </w:tcPr>
          <w:p>
            <w:r>
              <w:rPr>
                <w:b w:val="false"/>
                <w:bCs w:val="false"/>
                <w:color w:val="222222"/>
                <w:sz w:val="16"/>
                <w:szCs w:val="16"/>
              </w:rPr>
              <w:t xml:space="preserve">10,648.76 — 124 points above entry (5-day swing high 10,623.69 + 0.25×ATR buffer ≈ +24; capped at 3.5×ATR = 336). Structural anchor: 5-day swing high.</w:t>
            </w:r>
          </w:p>
        </w:tc>
      </w:tr>
      <w:tr>
        <w:tc>
          <w:tcPr>
            <w:tcW w:type="dxa" w:w="2100"/>
            <w:tcMar>
              <w:top w:type="dxa" w:w="34"/>
              <w:left w:type="dxa" w:w="70"/>
              <w:bottom w:type="dxa" w:w="34"/>
              <w:right w:type="dxa" w:w="70"/>
            </w:tcMar>
          </w:tcPr>
          <w:p>
            <w:r>
              <w:rPr>
                <w:b w:val="false"/>
                <w:bCs w:val="false"/>
                <w:color w:val="222222"/>
                <w:sz w:val="16"/>
                <w:szCs w:val="16"/>
              </w:rPr>
              <w:t xml:space="preserve">Risk (R)</w:t>
            </w:r>
          </w:p>
        </w:tc>
        <w:tc>
          <w:tcPr>
            <w:tcW w:type="dxa" w:w="7260"/>
            <w:tcMar>
              <w:top w:type="dxa" w:w="34"/>
              <w:left w:type="dxa" w:w="70"/>
              <w:bottom w:type="dxa" w:w="34"/>
              <w:right w:type="dxa" w:w="70"/>
            </w:tcMar>
          </w:tcPr>
          <w:p>
            <w:r>
              <w:rPr>
                <w:b w:val="false"/>
                <w:bCs w:val="false"/>
                <w:color w:val="222222"/>
                <w:sz w:val="16"/>
                <w:szCs w:val="16"/>
              </w:rPr>
              <w:t xml:space="preserve">124 points (10,524.76 → 10,648.76)</w:t>
            </w:r>
          </w:p>
        </w:tc>
      </w:tr>
      <w:tr>
        <w:tc>
          <w:tcPr>
            <w:tcW w:type="dxa" w:w="2100"/>
            <w:tcMar>
              <w:top w:type="dxa" w:w="34"/>
              <w:left w:type="dxa" w:w="70"/>
              <w:bottom w:type="dxa" w:w="34"/>
              <w:right w:type="dxa" w:w="70"/>
            </w:tcMar>
          </w:tcPr>
          <w:p>
            <w:r>
              <w:rPr>
                <w:b w:val="false"/>
                <w:bCs w:val="false"/>
                <w:color w:val="222222"/>
                <w:sz w:val="16"/>
                <w:szCs w:val="16"/>
              </w:rPr>
              <w:t xml:space="preserve">TP1 (Unit 1)</w:t>
            </w:r>
          </w:p>
        </w:tc>
        <w:tc>
          <w:tcPr>
            <w:tcW w:type="dxa" w:w="7260"/>
            <w:tcMar>
              <w:top w:type="dxa" w:w="34"/>
              <w:left w:type="dxa" w:w="70"/>
              <w:bottom w:type="dxa" w:w="34"/>
              <w:right w:type="dxa" w:w="70"/>
            </w:tcMar>
          </w:tcPr>
          <w:p>
            <w:r>
              <w:rPr>
                <w:b w:val="false"/>
                <w:bCs w:val="false"/>
                <w:color w:val="222222"/>
                <w:sz w:val="16"/>
                <w:szCs w:val="16"/>
              </w:rPr>
              <w:t xml:space="preserve">10,400.76 — −1R (124 pts). Confluence: below daily S3 (10,391).</w:t>
            </w:r>
          </w:p>
        </w:tc>
      </w:tr>
      <w:tr>
        <w:tc>
          <w:tcPr>
            <w:tcW w:type="dxa" w:w="2100"/>
            <w:tcMar>
              <w:top w:type="dxa" w:w="34"/>
              <w:left w:type="dxa" w:w="70"/>
              <w:bottom w:type="dxa" w:w="34"/>
              <w:right w:type="dxa" w:w="70"/>
            </w:tcMar>
          </w:tcPr>
          <w:p>
            <w:r>
              <w:rPr>
                <w:b w:val="false"/>
                <w:bCs w:val="false"/>
                <w:color w:val="222222"/>
                <w:sz w:val="16"/>
                <w:szCs w:val="16"/>
              </w:rPr>
              <w:t xml:space="preserve">TP2 (Unit 2)</w:t>
            </w:r>
          </w:p>
        </w:tc>
        <w:tc>
          <w:tcPr>
            <w:tcW w:type="dxa" w:w="7260"/>
            <w:tcMar>
              <w:top w:type="dxa" w:w="34"/>
              <w:left w:type="dxa" w:w="70"/>
              <w:bottom w:type="dxa" w:w="34"/>
              <w:right w:type="dxa" w:w="70"/>
            </w:tcMar>
          </w:tcPr>
          <w:p>
            <w:r>
              <w:rPr>
                <w:b w:val="false"/>
                <w:bCs w:val="false"/>
                <w:color w:val="222222"/>
                <w:sz w:val="16"/>
                <w:szCs w:val="16"/>
              </w:rPr>
              <w:t xml:space="preserve">10,276.76 — −2R (248 pts). On fill, Unit 3 SL → entry −0.2R = 10,499.96.</w:t>
            </w:r>
          </w:p>
        </w:tc>
      </w:tr>
      <w:tr>
        <w:tc>
          <w:tcPr>
            <w:tcW w:type="dxa" w:w="2100"/>
            <w:tcMar>
              <w:top w:type="dxa" w:w="34"/>
              <w:left w:type="dxa" w:w="70"/>
              <w:bottom w:type="dxa" w:w="34"/>
              <w:right w:type="dxa" w:w="70"/>
            </w:tcMar>
          </w:tcPr>
          <w:p>
            <w:r>
              <w:rPr>
                <w:b w:val="false"/>
                <w:bCs w:val="false"/>
                <w:color w:val="222222"/>
                <w:sz w:val="16"/>
                <w:szCs w:val="16"/>
              </w:rPr>
              <w:t xml:space="preserve">TP3 (Unit 3 — runner)</w:t>
            </w:r>
          </w:p>
        </w:tc>
        <w:tc>
          <w:tcPr>
            <w:tcW w:type="dxa" w:w="7260"/>
            <w:tcMar>
              <w:top w:type="dxa" w:w="34"/>
              <w:left w:type="dxa" w:w="70"/>
              <w:bottom w:type="dxa" w:w="34"/>
              <w:right w:type="dxa" w:w="70"/>
            </w:tcMar>
          </w:tcPr>
          <w:p>
            <w:r>
              <w:rPr>
                <w:b w:val="false"/>
                <w:bCs w:val="false"/>
                <w:color w:val="222222"/>
                <w:sz w:val="16"/>
                <w:szCs w:val="16"/>
              </w:rPr>
              <w:t xml:space="preserve">Time-stop at session close, or −3×ATR (≈ 10,237) whichever first.</w:t>
            </w:r>
          </w:p>
        </w:tc>
      </w:tr>
      <w:tr>
        <w:tc>
          <w:tcPr>
            <w:tcW w:type="dxa" w:w="2100"/>
            <w:tcMar>
              <w:top w:type="dxa" w:w="34"/>
              <w:left w:type="dxa" w:w="70"/>
              <w:bottom w:type="dxa" w:w="34"/>
              <w:right w:type="dxa" w:w="70"/>
            </w:tcMar>
          </w:tcPr>
          <w:p>
            <w:r>
              <w:rPr>
                <w:b w:val="false"/>
                <w:bCs w:val="false"/>
                <w:color w:val="222222"/>
                <w:sz w:val="16"/>
                <w:szCs w:val="16"/>
              </w:rPr>
              <w:t xml:space="preserve">Tranche mgmt</w:t>
            </w:r>
          </w:p>
        </w:tc>
        <w:tc>
          <w:tcPr>
            <w:tcW w:type="dxa" w:w="7260"/>
            <w:tcMar>
              <w:top w:type="dxa" w:w="34"/>
              <w:left w:type="dxa" w:w="70"/>
              <w:bottom w:type="dxa" w:w="34"/>
              <w:right w:type="dxa" w:w="70"/>
            </w:tcMar>
          </w:tcPr>
          <w:p>
            <w:r>
              <w:rPr>
                <w:b w:val="false"/>
                <w:bCs w:val="false"/>
                <w:color w:val="222222"/>
                <w:sz w:val="16"/>
                <w:szCs w:val="16"/>
              </w:rPr>
              <w:t xml:space="preserve">3 equal units; Unit 1 exits TP1; Unit 2 exits TP2; on Unit 2 fill Unit 3 SL → entry −0.2R.</w:t>
            </w:r>
          </w:p>
        </w:tc>
      </w:tr>
      <w:tr>
        <w:tc>
          <w:tcPr>
            <w:tcW w:type="dxa" w:w="2100"/>
            <w:tcMar>
              <w:top w:type="dxa" w:w="34"/>
              <w:left w:type="dxa" w:w="70"/>
              <w:bottom w:type="dxa" w:w="34"/>
              <w:right w:type="dxa" w:w="70"/>
            </w:tcMar>
          </w:tcPr>
          <w:p>
            <w:r>
              <w:rPr>
                <w:b w:val="false"/>
                <w:bCs w:val="false"/>
                <w:color w:val="222222"/>
                <w:sz w:val="16"/>
                <w:szCs w:val="16"/>
              </w:rPr>
              <w:t xml:space="preserve">Confluences</w:t>
            </w:r>
          </w:p>
        </w:tc>
        <w:tc>
          <w:tcPr>
            <w:tcW w:type="dxa" w:w="7260"/>
            <w:tcMar>
              <w:top w:type="dxa" w:w="34"/>
              <w:left w:type="dxa" w:w="70"/>
              <w:bottom w:type="dxa" w:w="34"/>
              <w:right w:type="dxa" w:w="70"/>
            </w:tcMar>
          </w:tcPr>
          <w:p>
            <w:r>
              <w:rPr>
                <w:b w:val="false"/>
                <w:bCs w:val="false"/>
                <w:color w:val="222222"/>
                <w:sz w:val="16"/>
                <w:szCs w:val="16"/>
              </w:rPr>
              <w:t xml:space="preserve">Entry near daily/weekly P cluster (10,543–10,552, ~18 pts above); SL near 5-day swing high + weekly R-zone.</w:t>
            </w:r>
          </w:p>
        </w:tc>
      </w:tr>
      <w:tr>
        <w:tc>
          <w:tcPr>
            <w:tcW w:type="dxa" w:w="2100"/>
            <w:tcMar>
              <w:top w:type="dxa" w:w="34"/>
              <w:left w:type="dxa" w:w="70"/>
              <w:bottom w:type="dxa" w:w="34"/>
              <w:right w:type="dxa" w:w="70"/>
            </w:tcMar>
          </w:tcPr>
          <w:p>
            <w:r>
              <w:rPr>
                <w:b w:val="false"/>
                <w:bCs w:val="false"/>
                <w:color w:val="222222"/>
                <w:sz w:val="16"/>
                <w:szCs w:val="16"/>
              </w:rPr>
              <w:t xml:space="preserve">Thesis invalidation</w:t>
            </w:r>
          </w:p>
        </w:tc>
        <w:tc>
          <w:tcPr>
            <w:tcW w:type="dxa" w:w="7260"/>
            <w:tcMar>
              <w:top w:type="dxa" w:w="34"/>
              <w:left w:type="dxa" w:w="70"/>
              <w:bottom w:type="dxa" w:w="34"/>
              <w:right w:type="dxa" w:w="70"/>
            </w:tcMar>
          </w:tcPr>
          <w:p>
            <w:r>
              <w:rPr>
                <w:b w:val="false"/>
                <w:bCs w:val="false"/>
                <w:color w:val="222222"/>
                <w:sz w:val="16"/>
                <w:szCs w:val="16"/>
              </w:rPr>
              <w:t xml:space="preserve">Daily close back above weekly P (10,552.39) and R1 (10,581.75).</w:t>
            </w:r>
          </w:p>
        </w:tc>
      </w:tr>
      <w:tr>
        <w:tc>
          <w:tcPr>
            <w:tcW w:type="dxa" w:w="2100"/>
            <w:tcMar>
              <w:top w:type="dxa" w:w="34"/>
              <w:left w:type="dxa" w:w="70"/>
              <w:bottom w:type="dxa" w:w="34"/>
              <w:right w:type="dxa" w:w="70"/>
            </w:tcMar>
          </w:tcPr>
          <w:p>
            <w:r>
              <w:rPr>
                <w:b w:val="false"/>
                <w:bCs w:val="false"/>
                <w:color w:val="222222"/>
                <w:sz w:val="16"/>
                <w:szCs w:val="16"/>
              </w:rPr>
              <w:t xml:space="preserve">Caveats</w:t>
            </w:r>
          </w:p>
        </w:tc>
        <w:tc>
          <w:tcPr>
            <w:tcW w:type="dxa" w:w="7260"/>
            <w:tcMar>
              <w:top w:type="dxa" w:w="34"/>
              <w:left w:type="dxa" w:w="70"/>
              <w:bottom w:type="dxa" w:w="34"/>
              <w:right w:type="dxa" w:w="70"/>
            </w:tcMar>
          </w:tcPr>
          <w:p>
            <w:r>
              <w:rPr>
                <w:b w:val="false"/>
                <w:bCs w:val="false"/>
                <w:color w:val="222222"/>
                <w:sz w:val="16"/>
                <w:szCs w:val="16"/>
              </w:rPr>
              <w:t xml:space="preserve">Wide stop flagged (R=124 &gt; ATR 96); holding period collides with Tier-1 UK CPI (Wed 22 Jul) — event risk both directions.</w:t>
            </w:r>
          </w:p>
        </w:tc>
      </w:tr>
    </w:tbl>
    <w:p>
      <w:pPr>
        <w:spacing w:after="100" w:line="264"/>
      </w:pPr>
      <w:r>
        <w:rPr>
          <w:b/>
          <w:bCs/>
          <w:color w:val="9B2D6B"/>
          <w:sz w:val="20"/>
          <w:szCs w:val="20"/>
        </w:rPr>
        <w:t xml:space="preserve">Trade 2 — Pivot, regime-aware (TRANSITION → breakout side only)</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rPr>
          <w:tblHeader/>
        </w:trPr>
        <w:tc>
          <w:tcPr>
            <w:tcW w:type="dxa" w:w="2100"/>
            <w:shd w:fill="1F3A63" w:color="auto" w:val="clear"/>
            <w:tcMar>
              <w:top w:type="dxa" w:w="40"/>
              <w:left w:type="dxa" w:w="70"/>
              <w:bottom w:type="dxa" w:w="40"/>
              <w:right w:type="dxa" w:w="70"/>
            </w:tcMar>
          </w:tcPr>
          <w:p>
            <w:r>
              <w:rPr>
                <w:b/>
                <w:bCs/>
                <w:color w:val="FFFFFF"/>
                <w:sz w:val="17"/>
                <w:szCs w:val="17"/>
              </w:rPr>
              <w:t xml:space="preserve">Field</w:t>
            </w:r>
          </w:p>
        </w:tc>
        <w:tc>
          <w:tcPr>
            <w:tcW w:type="dxa" w:w="7260"/>
            <w:shd w:fill="1F3A63" w:color="auto" w:val="clear"/>
            <w:tcMar>
              <w:top w:type="dxa" w:w="40"/>
              <w:left w:type="dxa" w:w="70"/>
              <w:bottom w:type="dxa" w:w="40"/>
              <w:right w:type="dxa" w:w="70"/>
            </w:tcMar>
          </w:tcPr>
          <w:p>
            <w:r>
              <w:rPr>
                <w:b/>
                <w:bCs/>
                <w:color w:val="FFFFFF"/>
                <w:sz w:val="17"/>
                <w:szCs w:val="17"/>
              </w:rPr>
              <w:t xml:space="preserve">Detail</w:t>
            </w:r>
          </w:p>
        </w:tc>
      </w:tr>
      <w:tr>
        <w:tc>
          <w:tcPr>
            <w:tcW w:type="dxa" w:w="2100"/>
            <w:tcMar>
              <w:top w:type="dxa" w:w="34"/>
              <w:left w:type="dxa" w:w="70"/>
              <w:bottom w:type="dxa" w:w="34"/>
              <w:right w:type="dxa" w:w="70"/>
            </w:tcMar>
          </w:tcPr>
          <w:p>
            <w:r>
              <w:rPr>
                <w:b w:val="false"/>
                <w:bCs w:val="false"/>
                <w:color w:val="222222"/>
                <w:sz w:val="16"/>
                <w:szCs w:val="16"/>
              </w:rPr>
              <w:t xml:space="preserve">Trade type</w:t>
            </w:r>
          </w:p>
        </w:tc>
        <w:tc>
          <w:tcPr>
            <w:tcW w:type="dxa" w:w="7260"/>
            <w:tcMar>
              <w:top w:type="dxa" w:w="34"/>
              <w:left w:type="dxa" w:w="70"/>
              <w:bottom w:type="dxa" w:w="34"/>
              <w:right w:type="dxa" w:w="70"/>
            </w:tcMar>
          </w:tcPr>
          <w:p>
            <w:r>
              <w:rPr>
                <w:b w:val="false"/>
                <w:bCs w:val="false"/>
                <w:color w:val="222222"/>
                <w:sz w:val="16"/>
                <w:szCs w:val="16"/>
              </w:rPr>
              <w:t xml:space="preserve">Trade 2 — Pivot (TRANSITION: breakout-side limit only, aligned with 3C short)</w:t>
            </w:r>
          </w:p>
        </w:tc>
      </w:tr>
      <w:tr>
        <w:tc>
          <w:tcPr>
            <w:tcW w:type="dxa" w:w="2100"/>
            <w:tcMar>
              <w:top w:type="dxa" w:w="34"/>
              <w:left w:type="dxa" w:w="70"/>
              <w:bottom w:type="dxa" w:w="34"/>
              <w:right w:type="dxa" w:w="70"/>
            </w:tcMar>
          </w:tcPr>
          <w:p>
            <w:r>
              <w:rPr>
                <w:b w:val="false"/>
                <w:bCs w:val="false"/>
                <w:color w:val="222222"/>
                <w:sz w:val="16"/>
                <w:szCs w:val="16"/>
              </w:rPr>
              <w:t xml:space="preserve">Direction</w:t>
            </w:r>
          </w:p>
        </w:tc>
        <w:tc>
          <w:tcPr>
            <w:tcW w:type="dxa" w:w="7260"/>
            <w:tcMar>
              <w:top w:type="dxa" w:w="34"/>
              <w:left w:type="dxa" w:w="70"/>
              <w:bottom w:type="dxa" w:w="34"/>
              <w:right w:type="dxa" w:w="70"/>
            </w:tcMar>
          </w:tcPr>
          <w:p>
            <w:r>
              <w:rPr>
                <w:b w:val="false"/>
                <w:bCs w:val="false"/>
                <w:color w:val="222222"/>
                <w:sz w:val="16"/>
                <w:szCs w:val="16"/>
              </w:rPr>
              <w:t xml:space="preserve">SHORT breakout side — sell-stop below range/support</w:t>
            </w:r>
          </w:p>
        </w:tc>
      </w:tr>
      <w:tr>
        <w:tc>
          <w:tcPr>
            <w:tcW w:type="dxa" w:w="2100"/>
            <w:tcMar>
              <w:top w:type="dxa" w:w="34"/>
              <w:left w:type="dxa" w:w="70"/>
              <w:bottom w:type="dxa" w:w="34"/>
              <w:right w:type="dxa" w:w="70"/>
            </w:tcMar>
          </w:tcPr>
          <w:p>
            <w:r>
              <w:rPr>
                <w:b w:val="false"/>
                <w:bCs w:val="false"/>
                <w:color w:val="222222"/>
                <w:sz w:val="16"/>
                <w:szCs w:val="16"/>
              </w:rPr>
              <w:t xml:space="preserve">Entry</w:t>
            </w:r>
          </w:p>
        </w:tc>
        <w:tc>
          <w:tcPr>
            <w:tcW w:type="dxa" w:w="7260"/>
            <w:tcMar>
              <w:top w:type="dxa" w:w="34"/>
              <w:left w:type="dxa" w:w="70"/>
              <w:bottom w:type="dxa" w:w="34"/>
              <w:right w:type="dxa" w:w="70"/>
            </w:tcMar>
          </w:tcPr>
          <w:p>
            <w:r>
              <w:rPr>
                <w:b w:val="false"/>
                <w:bCs w:val="false"/>
                <w:color w:val="222222"/>
                <w:sz w:val="16"/>
                <w:szCs w:val="16"/>
              </w:rPr>
              <w:t xml:space="preserve">Sell-stop at 10,481.00 on confirmed break of the daily S1 / weekly S1 confluence (10,486.38 / 10,481.10).</w:t>
            </w:r>
          </w:p>
        </w:tc>
      </w:tr>
      <w:tr>
        <w:tc>
          <w:tcPr>
            <w:tcW w:type="dxa" w:w="2100"/>
            <w:tcMar>
              <w:top w:type="dxa" w:w="34"/>
              <w:left w:type="dxa" w:w="70"/>
              <w:bottom w:type="dxa" w:w="34"/>
              <w:right w:type="dxa" w:w="70"/>
            </w:tcMar>
          </w:tcPr>
          <w:p>
            <w:r>
              <w:rPr>
                <w:b w:val="false"/>
                <w:bCs w:val="false"/>
                <w:color w:val="222222"/>
                <w:sz w:val="16"/>
                <w:szCs w:val="16"/>
              </w:rPr>
              <w:t xml:space="preserve">Stop loss</w:t>
            </w:r>
          </w:p>
        </w:tc>
        <w:tc>
          <w:tcPr>
            <w:tcW w:type="dxa" w:w="7260"/>
            <w:tcMar>
              <w:top w:type="dxa" w:w="34"/>
              <w:left w:type="dxa" w:w="70"/>
              <w:bottom w:type="dxa" w:w="34"/>
              <w:right w:type="dxa" w:w="70"/>
            </w:tcMar>
          </w:tcPr>
          <w:p>
            <w:r>
              <w:rPr>
                <w:b w:val="false"/>
                <w:bCs w:val="false"/>
                <w:color w:val="222222"/>
                <w:sz w:val="16"/>
                <w:szCs w:val="16"/>
              </w:rPr>
              <w:t xml:space="preserve">10,553.00 — back above daily P (10,543.38) + buffer; ≈ 72 points. Structural anchor: daily P reclaim.</w:t>
            </w:r>
          </w:p>
        </w:tc>
      </w:tr>
      <w:tr>
        <w:tc>
          <w:tcPr>
            <w:tcW w:type="dxa" w:w="2100"/>
            <w:tcMar>
              <w:top w:type="dxa" w:w="34"/>
              <w:left w:type="dxa" w:w="70"/>
              <w:bottom w:type="dxa" w:w="34"/>
              <w:right w:type="dxa" w:w="70"/>
            </w:tcMar>
          </w:tcPr>
          <w:p>
            <w:r>
              <w:rPr>
                <w:b w:val="false"/>
                <w:bCs w:val="false"/>
                <w:color w:val="222222"/>
                <w:sz w:val="16"/>
                <w:szCs w:val="16"/>
              </w:rPr>
              <w:t xml:space="preserve">Risk (R)</w:t>
            </w:r>
          </w:p>
        </w:tc>
        <w:tc>
          <w:tcPr>
            <w:tcW w:type="dxa" w:w="7260"/>
            <w:tcMar>
              <w:top w:type="dxa" w:w="34"/>
              <w:left w:type="dxa" w:w="70"/>
              <w:bottom w:type="dxa" w:w="34"/>
              <w:right w:type="dxa" w:w="70"/>
            </w:tcMar>
          </w:tcPr>
          <w:p>
            <w:r>
              <w:rPr>
                <w:b w:val="false"/>
                <w:bCs w:val="false"/>
                <w:color w:val="222222"/>
                <w:sz w:val="16"/>
                <w:szCs w:val="16"/>
              </w:rPr>
              <w:t xml:space="preserve">72 points</w:t>
            </w:r>
          </w:p>
        </w:tc>
      </w:tr>
      <w:tr>
        <w:tc>
          <w:tcPr>
            <w:tcW w:type="dxa" w:w="2100"/>
            <w:tcMar>
              <w:top w:type="dxa" w:w="34"/>
              <w:left w:type="dxa" w:w="70"/>
              <w:bottom w:type="dxa" w:w="34"/>
              <w:right w:type="dxa" w:w="70"/>
            </w:tcMar>
          </w:tcPr>
          <w:p>
            <w:r>
              <w:rPr>
                <w:b w:val="false"/>
                <w:bCs w:val="false"/>
                <w:color w:val="222222"/>
                <w:sz w:val="16"/>
                <w:szCs w:val="16"/>
              </w:rPr>
              <w:t xml:space="preserve">TP1 / TP2 / TP3</w:t>
            </w:r>
          </w:p>
        </w:tc>
        <w:tc>
          <w:tcPr>
            <w:tcW w:type="dxa" w:w="7260"/>
            <w:tcMar>
              <w:top w:type="dxa" w:w="34"/>
              <w:left w:type="dxa" w:w="70"/>
              <w:bottom w:type="dxa" w:w="34"/>
              <w:right w:type="dxa" w:w="70"/>
            </w:tcMar>
          </w:tcPr>
          <w:p>
            <w:r>
              <w:rPr>
                <w:b w:val="false"/>
                <w:bCs w:val="false"/>
                <w:color w:val="222222"/>
                <w:sz w:val="16"/>
                <w:szCs w:val="16"/>
              </w:rPr>
              <w:t xml:space="preserve">10,409 (−1R) / 10,337 (−2R) / runner toward daily S3 (10,391) then weekly S2 (10,361.82).</w:t>
            </w:r>
          </w:p>
        </w:tc>
      </w:tr>
      <w:tr>
        <w:tc>
          <w:tcPr>
            <w:tcW w:type="dxa" w:w="2100"/>
            <w:tcMar>
              <w:top w:type="dxa" w:w="34"/>
              <w:left w:type="dxa" w:w="70"/>
              <w:bottom w:type="dxa" w:w="34"/>
              <w:right w:type="dxa" w:w="70"/>
            </w:tcMar>
          </w:tcPr>
          <w:p>
            <w:r>
              <w:rPr>
                <w:b w:val="false"/>
                <w:bCs w:val="false"/>
                <w:color w:val="222222"/>
                <w:sz w:val="16"/>
                <w:szCs w:val="16"/>
              </w:rPr>
              <w:t xml:space="preserve">Thesis invalidation</w:t>
            </w:r>
          </w:p>
        </w:tc>
        <w:tc>
          <w:tcPr>
            <w:tcW w:type="dxa" w:w="7260"/>
            <w:tcMar>
              <w:top w:type="dxa" w:w="34"/>
              <w:left w:type="dxa" w:w="70"/>
              <w:bottom w:type="dxa" w:w="34"/>
              <w:right w:type="dxa" w:w="70"/>
            </w:tcMar>
          </w:tcPr>
          <w:p>
            <w:r>
              <w:rPr>
                <w:b w:val="false"/>
                <w:bCs w:val="false"/>
                <w:color w:val="222222"/>
                <w:sz w:val="16"/>
                <w:szCs w:val="16"/>
              </w:rPr>
              <w:t xml:space="preserve">Daily close back above daily P (10,543.38).</w:t>
            </w:r>
          </w:p>
        </w:tc>
      </w:tr>
      <w:tr>
        <w:tc>
          <w:tcPr>
            <w:tcW w:type="dxa" w:w="2100"/>
            <w:tcMar>
              <w:top w:type="dxa" w:w="34"/>
              <w:left w:type="dxa" w:w="70"/>
              <w:bottom w:type="dxa" w:w="34"/>
              <w:right w:type="dxa" w:w="70"/>
            </w:tcMar>
          </w:tcPr>
          <w:p>
            <w:r>
              <w:rPr>
                <w:b w:val="false"/>
                <w:bCs w:val="false"/>
                <w:color w:val="222222"/>
                <w:sz w:val="16"/>
                <w:szCs w:val="16"/>
              </w:rPr>
              <w:t xml:space="preserve">Caveats</w:t>
            </w:r>
          </w:p>
        </w:tc>
        <w:tc>
          <w:tcPr>
            <w:tcW w:type="dxa" w:w="7260"/>
            <w:tcMar>
              <w:top w:type="dxa" w:w="34"/>
              <w:left w:type="dxa" w:w="70"/>
              <w:bottom w:type="dxa" w:w="34"/>
              <w:right w:type="dxa" w:w="70"/>
            </w:tcMar>
          </w:tcPr>
          <w:p>
            <w:r>
              <w:rPr>
                <w:b w:val="false"/>
                <w:bCs w:val="false"/>
                <w:color w:val="222222"/>
                <w:sz w:val="16"/>
                <w:szCs w:val="16"/>
              </w:rPr>
              <w:t xml:space="preserve">Counter-side (long) limit at R1 suppressed per TRANSITION rule (would front-run 3C). Monthly pivot tiers are single-source-indicative and not used.</w:t>
            </w:r>
          </w:p>
        </w:tc>
      </w:tr>
    </w:tbl>
    <w:p>
      <w:pPr>
        <w:spacing w:after="100" w:line="264"/>
      </w:pPr>
      <w:r>
        <w:rPr>
          <w:b/>
          <w:bCs/>
          <w:color w:val="9B2D6B"/>
          <w:sz w:val="20"/>
          <w:szCs w:val="20"/>
        </w:rPr>
        <w:t xml:space="preserve">Trade 3C — Momentum-Breakout (regime_label = TRANSITION)</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rPr>
          <w:tblHeader/>
        </w:trPr>
        <w:tc>
          <w:tcPr>
            <w:tcW w:type="dxa" w:w="2100"/>
            <w:shd w:fill="1F3A63" w:color="auto" w:val="clear"/>
            <w:tcMar>
              <w:top w:type="dxa" w:w="40"/>
              <w:left w:type="dxa" w:w="70"/>
              <w:bottom w:type="dxa" w:w="40"/>
              <w:right w:type="dxa" w:w="70"/>
            </w:tcMar>
          </w:tcPr>
          <w:p>
            <w:r>
              <w:rPr>
                <w:b/>
                <w:bCs/>
                <w:color w:val="FFFFFF"/>
                <w:sz w:val="17"/>
                <w:szCs w:val="17"/>
              </w:rPr>
              <w:t xml:space="preserve">Field</w:t>
            </w:r>
          </w:p>
        </w:tc>
        <w:tc>
          <w:tcPr>
            <w:tcW w:type="dxa" w:w="7260"/>
            <w:shd w:fill="1F3A63" w:color="auto" w:val="clear"/>
            <w:tcMar>
              <w:top w:type="dxa" w:w="40"/>
              <w:left w:type="dxa" w:w="70"/>
              <w:bottom w:type="dxa" w:w="40"/>
              <w:right w:type="dxa" w:w="70"/>
            </w:tcMar>
          </w:tcPr>
          <w:p>
            <w:r>
              <w:rPr>
                <w:b/>
                <w:bCs/>
                <w:color w:val="FFFFFF"/>
                <w:sz w:val="17"/>
                <w:szCs w:val="17"/>
              </w:rPr>
              <w:t xml:space="preserve">Detail</w:t>
            </w:r>
          </w:p>
        </w:tc>
      </w:tr>
      <w:tr>
        <w:tc>
          <w:tcPr>
            <w:tcW w:type="dxa" w:w="2100"/>
            <w:tcMar>
              <w:top w:type="dxa" w:w="34"/>
              <w:left w:type="dxa" w:w="70"/>
              <w:bottom w:type="dxa" w:w="34"/>
              <w:right w:type="dxa" w:w="70"/>
            </w:tcMar>
          </w:tcPr>
          <w:p>
            <w:r>
              <w:rPr>
                <w:b w:val="false"/>
                <w:bCs w:val="false"/>
                <w:color w:val="222222"/>
                <w:sz w:val="16"/>
                <w:szCs w:val="16"/>
              </w:rPr>
              <w:t xml:space="preserve">Trade type</w:t>
            </w:r>
          </w:p>
        </w:tc>
        <w:tc>
          <w:tcPr>
            <w:tcW w:type="dxa" w:w="7260"/>
            <w:tcMar>
              <w:top w:type="dxa" w:w="34"/>
              <w:left w:type="dxa" w:w="70"/>
              <w:bottom w:type="dxa" w:w="34"/>
              <w:right w:type="dxa" w:w="70"/>
            </w:tcMar>
          </w:tcPr>
          <w:p>
            <w:r>
              <w:rPr>
                <w:b w:val="false"/>
                <w:bCs w:val="false"/>
                <w:color w:val="222222"/>
                <w:sz w:val="16"/>
                <w:szCs w:val="16"/>
              </w:rPr>
              <w:t xml:space="preserve">Trade 3C — Momentum-Breakout (post-consolidation)</w:t>
            </w:r>
          </w:p>
        </w:tc>
      </w:tr>
      <w:tr>
        <w:tc>
          <w:tcPr>
            <w:tcW w:type="dxa" w:w="2100"/>
            <w:tcMar>
              <w:top w:type="dxa" w:w="34"/>
              <w:left w:type="dxa" w:w="70"/>
              <w:bottom w:type="dxa" w:w="34"/>
              <w:right w:type="dxa" w:w="70"/>
            </w:tcMar>
          </w:tcPr>
          <w:p>
            <w:r>
              <w:rPr>
                <w:b w:val="false"/>
                <w:bCs w:val="false"/>
                <w:color w:val="222222"/>
                <w:sz w:val="16"/>
                <w:szCs w:val="16"/>
              </w:rPr>
              <w:t xml:space="preserve">Range definition</w:t>
            </w:r>
          </w:p>
        </w:tc>
        <w:tc>
          <w:tcPr>
            <w:tcW w:type="dxa" w:w="7260"/>
            <w:tcMar>
              <w:top w:type="dxa" w:w="34"/>
              <w:left w:type="dxa" w:w="70"/>
              <w:bottom w:type="dxa" w:w="34"/>
              <w:right w:type="dxa" w:w="70"/>
            </w:tcMar>
          </w:tcPr>
          <w:p>
            <w:r>
              <w:rPr>
                <w:b w:val="false"/>
                <w:bCs w:val="false"/>
                <w:color w:val="222222"/>
                <w:sz w:val="16"/>
                <w:szCs w:val="16"/>
              </w:rPr>
              <w:t xml:space="preserve">25-session range: swing_high_25d 10,747.01 / swing_low_25d 10,180.00 (width 567 pts).</w:t>
            </w:r>
          </w:p>
        </w:tc>
      </w:tr>
      <w:tr>
        <w:tc>
          <w:tcPr>
            <w:tcW w:type="dxa" w:w="2100"/>
            <w:tcMar>
              <w:top w:type="dxa" w:w="34"/>
              <w:left w:type="dxa" w:w="70"/>
              <w:bottom w:type="dxa" w:w="34"/>
              <w:right w:type="dxa" w:w="70"/>
            </w:tcMar>
          </w:tcPr>
          <w:p>
            <w:r>
              <w:rPr>
                <w:b w:val="false"/>
                <w:bCs w:val="false"/>
                <w:color w:val="222222"/>
                <w:sz w:val="16"/>
                <w:szCs w:val="16"/>
              </w:rPr>
              <w:t xml:space="preserve">Direction trigger</w:t>
            </w:r>
          </w:p>
        </w:tc>
        <w:tc>
          <w:tcPr>
            <w:tcW w:type="dxa" w:w="7260"/>
            <w:tcMar>
              <w:top w:type="dxa" w:w="34"/>
              <w:left w:type="dxa" w:w="70"/>
              <w:bottom w:type="dxa" w:w="34"/>
              <w:right w:type="dxa" w:w="70"/>
            </w:tcMar>
          </w:tcPr>
          <w:p>
            <w:r>
              <w:rPr>
                <w:b w:val="false"/>
                <w:bCs w:val="false"/>
                <w:color w:val="222222"/>
                <w:sz w:val="16"/>
                <w:szCs w:val="16"/>
              </w:rPr>
              <w:t xml:space="preserve">Downside — Monday's failed rally at 10,620 + bearish VOLator/KER lean + cross-asset confirm (§10).</w:t>
            </w:r>
          </w:p>
        </w:tc>
      </w:tr>
      <w:tr>
        <w:tc>
          <w:tcPr>
            <w:tcW w:type="dxa" w:w="2100"/>
            <w:tcMar>
              <w:top w:type="dxa" w:w="34"/>
              <w:left w:type="dxa" w:w="70"/>
              <w:bottom w:type="dxa" w:w="34"/>
              <w:right w:type="dxa" w:w="70"/>
            </w:tcMar>
          </w:tcPr>
          <w:p>
            <w:r>
              <w:rPr>
                <w:b w:val="false"/>
                <w:bCs w:val="false"/>
                <w:color w:val="222222"/>
                <w:sz w:val="16"/>
                <w:szCs w:val="16"/>
              </w:rPr>
              <w:t xml:space="preserve">Confirmed break</w:t>
            </w:r>
          </w:p>
        </w:tc>
        <w:tc>
          <w:tcPr>
            <w:tcW w:type="dxa" w:w="7260"/>
            <w:tcMar>
              <w:top w:type="dxa" w:w="34"/>
              <w:left w:type="dxa" w:w="70"/>
              <w:bottom w:type="dxa" w:w="34"/>
              <w:right w:type="dxa" w:w="70"/>
            </w:tcMar>
          </w:tcPr>
          <w:p>
            <w:r>
              <w:rPr>
                <w:b w:val="false"/>
                <w:bCs w:val="false"/>
                <w:color w:val="222222"/>
                <w:sz w:val="16"/>
                <w:szCs w:val="16"/>
              </w:rPr>
              <w:t xml:space="preserve">Daily close below the lower operative boundary by ≥ 0.25×ATR (≈24 pts). Near-term operative floor is the S1 confluence 10,481; a close below ~10,457 confirms.</w:t>
            </w:r>
          </w:p>
        </w:tc>
      </w:tr>
      <w:tr>
        <w:tc>
          <w:tcPr>
            <w:tcW w:type="dxa" w:w="2100"/>
            <w:tcMar>
              <w:top w:type="dxa" w:w="34"/>
              <w:left w:type="dxa" w:w="70"/>
              <w:bottom w:type="dxa" w:w="34"/>
              <w:right w:type="dxa" w:w="70"/>
            </w:tcMar>
          </w:tcPr>
          <w:p>
            <w:r>
              <w:rPr>
                <w:b w:val="false"/>
                <w:bCs w:val="false"/>
                <w:color w:val="222222"/>
                <w:sz w:val="16"/>
                <w:szCs w:val="16"/>
              </w:rPr>
              <w:t xml:space="preserve">Entry</w:t>
            </w:r>
          </w:p>
        </w:tc>
        <w:tc>
          <w:tcPr>
            <w:tcW w:type="dxa" w:w="7260"/>
            <w:tcMar>
              <w:top w:type="dxa" w:w="34"/>
              <w:left w:type="dxa" w:w="70"/>
              <w:bottom w:type="dxa" w:w="34"/>
              <w:right w:type="dxa" w:w="70"/>
            </w:tcMar>
          </w:tcPr>
          <w:p>
            <w:r>
              <w:rPr>
                <w:b w:val="false"/>
                <w:bCs w:val="false"/>
                <w:color w:val="222222"/>
                <w:sz w:val="16"/>
                <w:szCs w:val="16"/>
              </w:rPr>
              <w:t xml:space="preserve">On confirmed breakdown, at breakdown candle close (or next-session open).</w:t>
            </w:r>
          </w:p>
        </w:tc>
      </w:tr>
      <w:tr>
        <w:tc>
          <w:tcPr>
            <w:tcW w:type="dxa" w:w="2100"/>
            <w:tcMar>
              <w:top w:type="dxa" w:w="34"/>
              <w:left w:type="dxa" w:w="70"/>
              <w:bottom w:type="dxa" w:w="34"/>
              <w:right w:type="dxa" w:w="70"/>
            </w:tcMar>
          </w:tcPr>
          <w:p>
            <w:r>
              <w:rPr>
                <w:b w:val="false"/>
                <w:bCs w:val="false"/>
                <w:color w:val="222222"/>
                <w:sz w:val="16"/>
                <w:szCs w:val="16"/>
              </w:rPr>
              <w:t xml:space="preserve">Stop loss</w:t>
            </w:r>
          </w:p>
        </w:tc>
        <w:tc>
          <w:tcPr>
            <w:tcW w:type="dxa" w:w="7260"/>
            <w:tcMar>
              <w:top w:type="dxa" w:w="34"/>
              <w:left w:type="dxa" w:w="70"/>
              <w:bottom w:type="dxa" w:w="34"/>
              <w:right w:type="dxa" w:w="70"/>
            </w:tcMar>
          </w:tcPr>
          <w:p>
            <w:r>
              <w:rPr>
                <w:b w:val="false"/>
                <w:bCs w:val="false"/>
                <w:color w:val="222222"/>
                <w:sz w:val="16"/>
                <w:szCs w:val="16"/>
              </w:rPr>
              <w:t xml:space="preserve">Inside range at far side of midpoint: swing_high − 0.40×width ≈ 10,520 (generous post-consolidation stop).</w:t>
            </w:r>
          </w:p>
        </w:tc>
      </w:tr>
      <w:tr>
        <w:tc>
          <w:tcPr>
            <w:tcW w:type="dxa" w:w="2100"/>
            <w:tcMar>
              <w:top w:type="dxa" w:w="34"/>
              <w:left w:type="dxa" w:w="70"/>
              <w:bottom w:type="dxa" w:w="34"/>
              <w:right w:type="dxa" w:w="70"/>
            </w:tcMar>
          </w:tcPr>
          <w:p>
            <w:r>
              <w:rPr>
                <w:b w:val="false"/>
                <w:bCs w:val="false"/>
                <w:color w:val="222222"/>
                <w:sz w:val="16"/>
                <w:szCs w:val="16"/>
              </w:rPr>
              <w:t xml:space="preserve">TP1 / TP2</w:t>
            </w:r>
          </w:p>
        </w:tc>
        <w:tc>
          <w:tcPr>
            <w:tcW w:type="dxa" w:w="7260"/>
            <w:tcMar>
              <w:top w:type="dxa" w:w="34"/>
              <w:left w:type="dxa" w:w="70"/>
              <w:bottom w:type="dxa" w:w="34"/>
              <w:right w:type="dxa" w:w="70"/>
            </w:tcMar>
          </w:tcPr>
          <w:p>
            <w:r>
              <w:rPr>
                <w:b w:val="false"/>
                <w:bCs w:val="false"/>
                <w:color w:val="222222"/>
                <w:sz w:val="16"/>
                <w:szCs w:val="16"/>
              </w:rPr>
              <w:t xml:space="preserve">Measured move: boundary − 1.0×width and 1.5×MM (deep targets; scale expectation to the 5-session horizon).</w:t>
            </w:r>
          </w:p>
        </w:tc>
      </w:tr>
      <w:tr>
        <w:tc>
          <w:tcPr>
            <w:tcW w:type="dxa" w:w="2100"/>
            <w:tcMar>
              <w:top w:type="dxa" w:w="34"/>
              <w:left w:type="dxa" w:w="70"/>
              <w:bottom w:type="dxa" w:w="34"/>
              <w:right w:type="dxa" w:w="70"/>
            </w:tcMar>
          </w:tcPr>
          <w:p>
            <w:r>
              <w:rPr>
                <w:b w:val="false"/>
                <w:bCs w:val="false"/>
                <w:color w:val="222222"/>
                <w:sz w:val="16"/>
                <w:szCs w:val="16"/>
              </w:rPr>
              <w:t xml:space="preserve">TP3 (runner)</w:t>
            </w:r>
          </w:p>
        </w:tc>
        <w:tc>
          <w:tcPr>
            <w:tcW w:type="dxa" w:w="7260"/>
            <w:tcMar>
              <w:top w:type="dxa" w:w="34"/>
              <w:left w:type="dxa" w:w="70"/>
              <w:bottom w:type="dxa" w:w="34"/>
              <w:right w:type="dxa" w:w="70"/>
            </w:tcMar>
          </w:tcPr>
          <w:p>
            <w:r>
              <w:rPr>
                <w:b w:val="false"/>
                <w:bCs w:val="false"/>
                <w:color w:val="222222"/>
                <w:sz w:val="16"/>
                <w:szCs w:val="16"/>
              </w:rPr>
              <w:t xml:space="preserve">Discretionary trail beyond 1.5×MM anchored to subsequent swing structure.</w:t>
            </w:r>
          </w:p>
        </w:tc>
      </w:tr>
      <w:tr>
        <w:tc>
          <w:tcPr>
            <w:tcW w:type="dxa" w:w="2100"/>
            <w:tcMar>
              <w:top w:type="dxa" w:w="34"/>
              <w:left w:type="dxa" w:w="70"/>
              <w:bottom w:type="dxa" w:w="34"/>
              <w:right w:type="dxa" w:w="70"/>
            </w:tcMar>
          </w:tcPr>
          <w:p>
            <w:r>
              <w:rPr>
                <w:b w:val="false"/>
                <w:bCs w:val="false"/>
                <w:color w:val="222222"/>
                <w:sz w:val="16"/>
                <w:szCs w:val="16"/>
              </w:rPr>
              <w:t xml:space="preserve">Thesis invalidation</w:t>
            </w:r>
          </w:p>
        </w:tc>
        <w:tc>
          <w:tcPr>
            <w:tcW w:type="dxa" w:w="7260"/>
            <w:tcMar>
              <w:top w:type="dxa" w:w="34"/>
              <w:left w:type="dxa" w:w="70"/>
              <w:bottom w:type="dxa" w:w="34"/>
              <w:right w:type="dxa" w:w="70"/>
            </w:tcMar>
          </w:tcPr>
          <w:p>
            <w:r>
              <w:rPr>
                <w:b w:val="false"/>
                <w:bCs w:val="false"/>
                <w:color w:val="222222"/>
                <w:sz w:val="16"/>
                <w:szCs w:val="16"/>
              </w:rPr>
              <w:t xml:space="preserve">Daily close back inside range above the midpoint (~10,463).</w:t>
            </w:r>
          </w:p>
        </w:tc>
      </w:tr>
      <w:tr>
        <w:tc>
          <w:tcPr>
            <w:tcW w:type="dxa" w:w="2100"/>
            <w:tcMar>
              <w:top w:type="dxa" w:w="34"/>
              <w:left w:type="dxa" w:w="70"/>
              <w:bottom w:type="dxa" w:w="34"/>
              <w:right w:type="dxa" w:w="70"/>
            </w:tcMar>
          </w:tcPr>
          <w:p>
            <w:r>
              <w:rPr>
                <w:b w:val="false"/>
                <w:bCs w:val="false"/>
                <w:color w:val="222222"/>
                <w:sz w:val="16"/>
                <w:szCs w:val="16"/>
              </w:rPr>
              <w:t xml:space="preserve">Caveats</w:t>
            </w:r>
          </w:p>
        </w:tc>
        <w:tc>
          <w:tcPr>
            <w:tcW w:type="dxa" w:w="7260"/>
            <w:tcMar>
              <w:top w:type="dxa" w:w="34"/>
              <w:left w:type="dxa" w:w="70"/>
              <w:bottom w:type="dxa" w:w="34"/>
              <w:right w:type="dxa" w:w="70"/>
            </w:tcMar>
          </w:tcPr>
          <w:p>
            <w:r>
              <w:rPr>
                <w:b w:val="false"/>
                <w:bCs w:val="false"/>
                <w:color w:val="222222"/>
                <w:sz w:val="16"/>
                <w:szCs w:val="16"/>
              </w:rPr>
              <w:t xml:space="preserve">Full measured-move targets are multi-week; within a 5-day horizon treat TP1 partials near daily S3/S4. Collides with CPI (§13d).</w:t>
            </w:r>
          </w:p>
        </w:tc>
      </w:tr>
    </w:tbl>
    <w:p>
      <w:pPr>
        <w:pStyle w:val="Heading2"/>
        <w:spacing w:after="80" w:before="180"/>
      </w:pPr>
      <w:r>
        <w:rPr>
          <w:b/>
          <w:bCs/>
          <w:color w:val="9B2D6B"/>
          <w:sz w:val="24"/>
          <w:szCs w:val="24"/>
        </w:rPr>
        <w:t xml:space="preserve">21c · 5-Session No-Leakage Backtest</w:t>
      </w:r>
    </w:p>
    <w:tbl>
      <w:tblPr>
        <w:tblW w:type="dxa" w:w="856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200"/>
        <w:gridCol w:w="780"/>
        <w:gridCol w:w="720"/>
        <w:gridCol w:w="2260"/>
        <w:gridCol w:w="1400"/>
        <w:gridCol w:w="700"/>
      </w:tblGrid>
      <w:tr>
        <w:trPr>
          <w:tblHeader/>
        </w:trPr>
        <w:tc>
          <w:tcPr>
            <w:tcW w:type="dxa" w:w="1500"/>
            <w:shd w:fill="1F3A63" w:color="auto" w:val="clear"/>
            <w:tcMar>
              <w:top w:type="dxa" w:w="40"/>
              <w:left w:type="dxa" w:w="70"/>
              <w:bottom w:type="dxa" w:w="40"/>
              <w:right w:type="dxa" w:w="70"/>
            </w:tcMar>
          </w:tcPr>
          <w:p>
            <w:r>
              <w:rPr>
                <w:b/>
                <w:bCs/>
                <w:color w:val="FFFFFF"/>
                <w:sz w:val="17"/>
                <w:szCs w:val="17"/>
              </w:rPr>
              <w:t xml:space="preserve">Date (t−N)</w:t>
            </w:r>
          </w:p>
        </w:tc>
        <w:tc>
          <w:tcPr>
            <w:tcW w:type="dxa" w:w="1200"/>
            <w:shd w:fill="1F3A63" w:color="auto" w:val="clear"/>
            <w:tcMar>
              <w:top w:type="dxa" w:w="40"/>
              <w:left w:type="dxa" w:w="70"/>
              <w:bottom w:type="dxa" w:w="40"/>
              <w:right w:type="dxa" w:w="70"/>
            </w:tcMar>
          </w:tcPr>
          <w:p>
            <w:r>
              <w:rPr>
                <w:b/>
                <w:bCs/>
                <w:color w:val="FFFFFF"/>
                <w:sz w:val="17"/>
                <w:szCs w:val="17"/>
              </w:rPr>
              <w:t xml:space="preserve">Strategy</w:t>
            </w:r>
          </w:p>
        </w:tc>
        <w:tc>
          <w:tcPr>
            <w:tcW w:type="dxa" w:w="780"/>
            <w:shd w:fill="1F3A63" w:color="auto" w:val="clear"/>
            <w:tcMar>
              <w:top w:type="dxa" w:w="40"/>
              <w:left w:type="dxa" w:w="70"/>
              <w:bottom w:type="dxa" w:w="40"/>
              <w:right w:type="dxa" w:w="70"/>
            </w:tcMar>
          </w:tcPr>
          <w:p>
            <w:r>
              <w:rPr>
                <w:b/>
                <w:bCs/>
                <w:color w:val="FFFFFF"/>
                <w:sz w:val="17"/>
                <w:szCs w:val="17"/>
              </w:rPr>
              <w:t xml:space="preserve">Dir.</w:t>
            </w:r>
          </w:p>
        </w:tc>
        <w:tc>
          <w:tcPr>
            <w:tcW w:type="dxa" w:w="720"/>
            <w:shd w:fill="1F3A63" w:color="auto" w:val="clear"/>
            <w:tcMar>
              <w:top w:type="dxa" w:w="40"/>
              <w:left w:type="dxa" w:w="70"/>
              <w:bottom w:type="dxa" w:w="40"/>
              <w:right w:type="dxa" w:w="70"/>
            </w:tcMar>
          </w:tcPr>
          <w:p>
            <w:r>
              <w:rPr>
                <w:b/>
                <w:bCs/>
                <w:color w:val="FFFFFF"/>
                <w:sz w:val="17"/>
                <w:szCs w:val="17"/>
              </w:rPr>
              <w:t xml:space="preserve">Trig.</w:t>
            </w:r>
          </w:p>
        </w:tc>
        <w:tc>
          <w:tcPr>
            <w:tcW w:type="dxa" w:w="2260"/>
            <w:shd w:fill="1F3A63" w:color="auto" w:val="clear"/>
            <w:tcMar>
              <w:top w:type="dxa" w:w="40"/>
              <w:left w:type="dxa" w:w="70"/>
              <w:bottom w:type="dxa" w:w="40"/>
              <w:right w:type="dxa" w:w="70"/>
            </w:tcMar>
          </w:tcPr>
          <w:p>
            <w:r>
              <w:rPr>
                <w:b/>
                <w:bCs/>
                <w:color w:val="FFFFFF"/>
                <w:sz w:val="17"/>
                <w:szCs w:val="17"/>
              </w:rPr>
              <w:t xml:space="preserve">Entry / Exit</w:t>
            </w:r>
          </w:p>
        </w:tc>
        <w:tc>
          <w:tcPr>
            <w:tcW w:type="dxa" w:w="1400"/>
            <w:shd w:fill="1F3A63" w:color="auto" w:val="clear"/>
            <w:tcMar>
              <w:top w:type="dxa" w:w="40"/>
              <w:left w:type="dxa" w:w="70"/>
              <w:bottom w:type="dxa" w:w="40"/>
              <w:right w:type="dxa" w:w="70"/>
            </w:tcMar>
          </w:tcPr>
          <w:p>
            <w:r>
              <w:rPr>
                <w:b/>
                <w:bCs/>
                <w:color w:val="FFFFFF"/>
                <w:sz w:val="17"/>
                <w:szCs w:val="17"/>
              </w:rPr>
              <w:t xml:space="preserve">Outcome (R)</w:t>
            </w:r>
          </w:p>
        </w:tc>
        <w:tc>
          <w:tcPr>
            <w:tcW w:type="dxa" w:w="700"/>
            <w:shd w:fill="1F3A63" w:color="auto" w:val="clear"/>
            <w:tcMar>
              <w:top w:type="dxa" w:w="40"/>
              <w:left w:type="dxa" w:w="70"/>
              <w:bottom w:type="dxa" w:w="40"/>
              <w:right w:type="dxa" w:w="70"/>
            </w:tcMar>
          </w:tcPr>
          <w:p>
            <w:r>
              <w:rPr>
                <w:b/>
                <w:bCs/>
                <w:color w:val="FFFFFF"/>
                <w:sz w:val="17"/>
                <w:szCs w:val="17"/>
              </w:rPr>
              <w:t xml:space="preserve">Days</w:t>
            </w:r>
          </w:p>
        </w:tc>
      </w:tr>
      <w:tr>
        <w:tc>
          <w:tcPr>
            <w:tcW w:type="dxa" w:w="1500"/>
            <w:tcMar>
              <w:top w:type="dxa" w:w="34"/>
              <w:left w:type="dxa" w:w="70"/>
              <w:bottom w:type="dxa" w:w="34"/>
              <w:right w:type="dxa" w:w="70"/>
            </w:tcMar>
          </w:tcPr>
          <w:p>
            <w:r>
              <w:rPr>
                <w:b w:val="false"/>
                <w:bCs w:val="false"/>
                <w:color w:val="222222"/>
                <w:sz w:val="16"/>
                <w:szCs w:val="16"/>
              </w:rPr>
              <w:t xml:space="preserve">Mon 14 Jul (t−5)</w:t>
            </w:r>
          </w:p>
        </w:tc>
        <w:tc>
          <w:tcPr>
            <w:tcW w:type="dxa" w:w="1200"/>
            <w:tcMar>
              <w:top w:type="dxa" w:w="34"/>
              <w:left w:type="dxa" w:w="70"/>
              <w:bottom w:type="dxa" w:w="34"/>
              <w:right w:type="dxa" w:w="70"/>
            </w:tcMar>
          </w:tcPr>
          <w:p>
            <w:r>
              <w:rPr>
                <w:b w:val="false"/>
                <w:bCs w:val="false"/>
                <w:color w:val="222222"/>
                <w:sz w:val="16"/>
                <w:szCs w:val="16"/>
              </w:rPr>
              <w:t xml:space="preserve">Trade 1</w:t>
            </w:r>
          </w:p>
        </w:tc>
        <w:tc>
          <w:tcPr>
            <w:tcW w:type="dxa" w:w="780"/>
            <w:tcMar>
              <w:top w:type="dxa" w:w="34"/>
              <w:left w:type="dxa" w:w="70"/>
              <w:bottom w:type="dxa" w:w="34"/>
              <w:right w:type="dxa" w:w="70"/>
            </w:tcMar>
          </w:tcPr>
          <w:p>
            <w:r>
              <w:rPr>
                <w:b w:val="false"/>
                <w:bCs w:val="false"/>
                <w:color w:val="222222"/>
                <w:sz w:val="16"/>
                <w:szCs w:val="16"/>
              </w:rPr>
              <w:t xml:space="preserve">SHORT</w:t>
            </w:r>
          </w:p>
        </w:tc>
        <w:tc>
          <w:tcPr>
            <w:tcW w:type="dxa" w:w="720"/>
            <w:tcMar>
              <w:top w:type="dxa" w:w="34"/>
              <w:left w:type="dxa" w:w="70"/>
              <w:bottom w:type="dxa" w:w="34"/>
              <w:right w:type="dxa" w:w="70"/>
            </w:tcMar>
          </w:tcPr>
          <w:p>
            <w:r>
              <w:rPr>
                <w:b w:val="false"/>
                <w:bCs w:val="false"/>
                <w:color w:val="222222"/>
                <w:sz w:val="16"/>
                <w:szCs w:val="16"/>
              </w:rPr>
              <w:t xml:space="preserve">YES</w:t>
            </w:r>
          </w:p>
        </w:tc>
        <w:tc>
          <w:tcPr>
            <w:tcW w:type="dxa" w:w="2260"/>
            <w:tcMar>
              <w:top w:type="dxa" w:w="34"/>
              <w:left w:type="dxa" w:w="70"/>
              <w:bottom w:type="dxa" w:w="34"/>
              <w:right w:type="dxa" w:w="70"/>
            </w:tcMar>
          </w:tcPr>
          <w:p>
            <w:r>
              <w:rPr>
                <w:b w:val="false"/>
                <w:bCs w:val="false"/>
                <w:color w:val="222222"/>
                <w:sz w:val="16"/>
                <w:szCs w:val="16"/>
              </w:rPr>
              <w:t xml:space="preserve">10,520 → 10,519 cl</w:t>
            </w:r>
          </w:p>
        </w:tc>
        <w:tc>
          <w:tcPr>
            <w:tcW w:type="dxa" w:w="1400"/>
            <w:tcMar>
              <w:top w:type="dxa" w:w="34"/>
              <w:left w:type="dxa" w:w="70"/>
              <w:bottom w:type="dxa" w:w="34"/>
              <w:right w:type="dxa" w:w="70"/>
            </w:tcMar>
          </w:tcPr>
          <w:p>
            <w:r>
              <w:rPr>
                <w:b w:val="false"/>
                <w:bCs w:val="false"/>
                <w:color w:val="222222"/>
                <w:sz w:val="16"/>
                <w:szCs w:val="16"/>
              </w:rPr>
              <w:t xml:space="preserve">+0.01R (flat)</w:t>
            </w:r>
          </w:p>
        </w:tc>
        <w:tc>
          <w:tcPr>
            <w:tcW w:type="dxa" w:w="700"/>
            <w:tcMar>
              <w:top w:type="dxa" w:w="34"/>
              <w:left w:type="dxa" w:w="70"/>
              <w:bottom w:type="dxa" w:w="34"/>
              <w:right w:type="dxa" w:w="70"/>
            </w:tcMar>
          </w:tcPr>
          <w:p>
            <w:r>
              <w:rPr>
                <w:b w:val="false"/>
                <w:bCs w:val="false"/>
                <w:color w:val="222222"/>
                <w:sz w:val="16"/>
                <w:szCs w:val="16"/>
              </w:rPr>
              <w:t xml:space="preserve">1</w:t>
            </w:r>
          </w:p>
        </w:tc>
      </w:tr>
      <w:tr>
        <w:tc>
          <w:tcPr>
            <w:tcW w:type="dxa" w:w="1500"/>
            <w:tcMar>
              <w:top w:type="dxa" w:w="34"/>
              <w:left w:type="dxa" w:w="70"/>
              <w:bottom w:type="dxa" w:w="34"/>
              <w:right w:type="dxa" w:w="70"/>
            </w:tcMar>
          </w:tcPr>
          <w:p>
            <w:r>
              <w:rPr>
                <w:b w:val="false"/>
                <w:bCs w:val="false"/>
                <w:color w:val="222222"/>
                <w:sz w:val="16"/>
                <w:szCs w:val="16"/>
              </w:rPr>
              <w:t xml:space="preserve">Mon 14 Jul</w:t>
            </w:r>
          </w:p>
        </w:tc>
        <w:tc>
          <w:tcPr>
            <w:tcW w:type="dxa" w:w="1200"/>
            <w:tcMar>
              <w:top w:type="dxa" w:w="34"/>
              <w:left w:type="dxa" w:w="70"/>
              <w:bottom w:type="dxa" w:w="34"/>
              <w:right w:type="dxa" w:w="70"/>
            </w:tcMar>
          </w:tcPr>
          <w:p>
            <w:r>
              <w:rPr>
                <w:b w:val="false"/>
                <w:bCs w:val="false"/>
                <w:color w:val="222222"/>
                <w:sz w:val="16"/>
                <w:szCs w:val="16"/>
              </w:rPr>
              <w:t xml:space="preserve">Trade 3C</w:t>
            </w:r>
          </w:p>
        </w:tc>
        <w:tc>
          <w:tcPr>
            <w:tcW w:type="dxa" w:w="780"/>
            <w:tcMar>
              <w:top w:type="dxa" w:w="34"/>
              <w:left w:type="dxa" w:w="70"/>
              <w:bottom w:type="dxa" w:w="34"/>
              <w:right w:type="dxa" w:w="70"/>
            </w:tcMar>
          </w:tcPr>
          <w:p>
            <w:r>
              <w:rPr>
                <w:b w:val="false"/>
                <w:bCs w:val="false"/>
                <w:color w:val="222222"/>
                <w:sz w:val="16"/>
                <w:szCs w:val="16"/>
              </w:rPr>
              <w:t xml:space="preserve">—</w:t>
            </w:r>
          </w:p>
        </w:tc>
        <w:tc>
          <w:tcPr>
            <w:tcW w:type="dxa" w:w="720"/>
            <w:tcMar>
              <w:top w:type="dxa" w:w="34"/>
              <w:left w:type="dxa" w:w="70"/>
              <w:bottom w:type="dxa" w:w="34"/>
              <w:right w:type="dxa" w:w="70"/>
            </w:tcMar>
          </w:tcPr>
          <w:p>
            <w:r>
              <w:rPr>
                <w:b w:val="false"/>
                <w:bCs w:val="false"/>
                <w:color w:val="222222"/>
                <w:sz w:val="16"/>
                <w:szCs w:val="16"/>
              </w:rPr>
              <w:t xml:space="preserve">NO</w:t>
            </w:r>
          </w:p>
        </w:tc>
        <w:tc>
          <w:tcPr>
            <w:tcW w:type="dxa" w:w="2260"/>
            <w:tcMar>
              <w:top w:type="dxa" w:w="34"/>
              <w:left w:type="dxa" w:w="70"/>
              <w:bottom w:type="dxa" w:w="34"/>
              <w:right w:type="dxa" w:w="70"/>
            </w:tcMar>
          </w:tcPr>
          <w:p>
            <w:r>
              <w:rPr>
                <w:b w:val="false"/>
                <w:bCs w:val="false"/>
                <w:color w:val="222222"/>
                <w:sz w:val="16"/>
                <w:szCs w:val="16"/>
              </w:rPr>
              <w:t xml:space="preserve">no confirmed break</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r>
        <w:tc>
          <w:tcPr>
            <w:tcW w:type="dxa" w:w="1500"/>
            <w:tcMar>
              <w:top w:type="dxa" w:w="34"/>
              <w:left w:type="dxa" w:w="70"/>
              <w:bottom w:type="dxa" w:w="34"/>
              <w:right w:type="dxa" w:w="70"/>
            </w:tcMar>
          </w:tcPr>
          <w:p>
            <w:r>
              <w:rPr>
                <w:b w:val="false"/>
                <w:bCs w:val="false"/>
                <w:color w:val="222222"/>
                <w:sz w:val="16"/>
                <w:szCs w:val="16"/>
              </w:rPr>
              <w:t xml:space="preserve">Tue 15 Jul (t−4)</w:t>
            </w:r>
          </w:p>
        </w:tc>
        <w:tc>
          <w:tcPr>
            <w:tcW w:type="dxa" w:w="1200"/>
            <w:tcMar>
              <w:top w:type="dxa" w:w="34"/>
              <w:left w:type="dxa" w:w="70"/>
              <w:bottom w:type="dxa" w:w="34"/>
              <w:right w:type="dxa" w:w="70"/>
            </w:tcMar>
          </w:tcPr>
          <w:p>
            <w:r>
              <w:rPr>
                <w:b w:val="false"/>
                <w:bCs w:val="false"/>
                <w:color w:val="222222"/>
                <w:sz w:val="16"/>
                <w:szCs w:val="16"/>
              </w:rPr>
              <w:t xml:space="preserve">Trade 1</w:t>
            </w:r>
          </w:p>
        </w:tc>
        <w:tc>
          <w:tcPr>
            <w:tcW w:type="dxa" w:w="780"/>
            <w:tcMar>
              <w:top w:type="dxa" w:w="34"/>
              <w:left w:type="dxa" w:w="70"/>
              <w:bottom w:type="dxa" w:w="34"/>
              <w:right w:type="dxa" w:w="70"/>
            </w:tcMar>
          </w:tcPr>
          <w:p>
            <w:r>
              <w:rPr>
                <w:b w:val="false"/>
                <w:bCs w:val="false"/>
                <w:color w:val="222222"/>
                <w:sz w:val="16"/>
                <w:szCs w:val="16"/>
              </w:rPr>
              <w:t xml:space="preserve">SHORT</w:t>
            </w:r>
          </w:p>
        </w:tc>
        <w:tc>
          <w:tcPr>
            <w:tcW w:type="dxa" w:w="720"/>
            <w:tcMar>
              <w:top w:type="dxa" w:w="34"/>
              <w:left w:type="dxa" w:w="70"/>
              <w:bottom w:type="dxa" w:w="34"/>
              <w:right w:type="dxa" w:w="70"/>
            </w:tcMar>
          </w:tcPr>
          <w:p>
            <w:r>
              <w:rPr>
                <w:b w:val="false"/>
                <w:bCs w:val="false"/>
                <w:color w:val="222222"/>
                <w:sz w:val="16"/>
                <w:szCs w:val="16"/>
              </w:rPr>
              <w:t xml:space="preserve">YES</w:t>
            </w:r>
          </w:p>
        </w:tc>
        <w:tc>
          <w:tcPr>
            <w:tcW w:type="dxa" w:w="2260"/>
            <w:tcMar>
              <w:top w:type="dxa" w:w="34"/>
              <w:left w:type="dxa" w:w="70"/>
              <w:bottom w:type="dxa" w:w="34"/>
              <w:right w:type="dxa" w:w="70"/>
            </w:tcMar>
          </w:tcPr>
          <w:p>
            <w:r>
              <w:rPr>
                <w:b w:val="false"/>
                <w:bCs w:val="false"/>
                <w:color w:val="222222"/>
                <w:sz w:val="16"/>
                <w:szCs w:val="16"/>
              </w:rPr>
              <w:t xml:space="preserve">10,515 → 10,515.92</w:t>
            </w:r>
          </w:p>
        </w:tc>
        <w:tc>
          <w:tcPr>
            <w:tcW w:type="dxa" w:w="1400"/>
            <w:tcMar>
              <w:top w:type="dxa" w:w="34"/>
              <w:left w:type="dxa" w:w="70"/>
              <w:bottom w:type="dxa" w:w="34"/>
              <w:right w:type="dxa" w:w="70"/>
            </w:tcMar>
          </w:tcPr>
          <w:p>
            <w:r>
              <w:rPr>
                <w:b w:val="false"/>
                <w:bCs w:val="false"/>
                <w:color w:val="222222"/>
                <w:sz w:val="16"/>
                <w:szCs w:val="16"/>
              </w:rPr>
              <w:t xml:space="preserve">~0.0R</w:t>
            </w:r>
          </w:p>
        </w:tc>
        <w:tc>
          <w:tcPr>
            <w:tcW w:type="dxa" w:w="700"/>
            <w:tcMar>
              <w:top w:type="dxa" w:w="34"/>
              <w:left w:type="dxa" w:w="70"/>
              <w:bottom w:type="dxa" w:w="34"/>
              <w:right w:type="dxa" w:w="70"/>
            </w:tcMar>
          </w:tcPr>
          <w:p>
            <w:r>
              <w:rPr>
                <w:b w:val="false"/>
                <w:bCs w:val="false"/>
                <w:color w:val="222222"/>
                <w:sz w:val="16"/>
                <w:szCs w:val="16"/>
              </w:rPr>
              <w:t xml:space="preserve">1</w:t>
            </w:r>
          </w:p>
        </w:tc>
      </w:tr>
      <w:tr>
        <w:tc>
          <w:tcPr>
            <w:tcW w:type="dxa" w:w="1500"/>
            <w:tcMar>
              <w:top w:type="dxa" w:w="34"/>
              <w:left w:type="dxa" w:w="70"/>
              <w:bottom w:type="dxa" w:w="34"/>
              <w:right w:type="dxa" w:w="70"/>
            </w:tcMar>
          </w:tcPr>
          <w:p>
            <w:r>
              <w:rPr>
                <w:b w:val="false"/>
                <w:bCs w:val="false"/>
                <w:color w:val="222222"/>
                <w:sz w:val="16"/>
                <w:szCs w:val="16"/>
              </w:rPr>
              <w:t xml:space="preserve">Tue 15 Jul</w:t>
            </w:r>
          </w:p>
        </w:tc>
        <w:tc>
          <w:tcPr>
            <w:tcW w:type="dxa" w:w="1200"/>
            <w:tcMar>
              <w:top w:type="dxa" w:w="34"/>
              <w:left w:type="dxa" w:w="70"/>
              <w:bottom w:type="dxa" w:w="34"/>
              <w:right w:type="dxa" w:w="70"/>
            </w:tcMar>
          </w:tcPr>
          <w:p>
            <w:r>
              <w:rPr>
                <w:b w:val="false"/>
                <w:bCs w:val="false"/>
                <w:color w:val="222222"/>
                <w:sz w:val="16"/>
                <w:szCs w:val="16"/>
              </w:rPr>
              <w:t xml:space="preserve">Trade 2</w:t>
            </w:r>
          </w:p>
        </w:tc>
        <w:tc>
          <w:tcPr>
            <w:tcW w:type="dxa" w:w="780"/>
            <w:tcMar>
              <w:top w:type="dxa" w:w="34"/>
              <w:left w:type="dxa" w:w="70"/>
              <w:bottom w:type="dxa" w:w="34"/>
              <w:right w:type="dxa" w:w="70"/>
            </w:tcMar>
          </w:tcPr>
          <w:p>
            <w:r>
              <w:rPr>
                <w:b w:val="false"/>
                <w:bCs w:val="false"/>
                <w:color w:val="222222"/>
                <w:sz w:val="16"/>
                <w:szCs w:val="16"/>
              </w:rPr>
              <w:t xml:space="preserve">SHORT</w:t>
            </w:r>
          </w:p>
        </w:tc>
        <w:tc>
          <w:tcPr>
            <w:tcW w:type="dxa" w:w="720"/>
            <w:tcMar>
              <w:top w:type="dxa" w:w="34"/>
              <w:left w:type="dxa" w:w="70"/>
              <w:bottom w:type="dxa" w:w="34"/>
              <w:right w:type="dxa" w:w="70"/>
            </w:tcMar>
          </w:tcPr>
          <w:p>
            <w:r>
              <w:rPr>
                <w:b w:val="false"/>
                <w:bCs w:val="false"/>
                <w:color w:val="222222"/>
                <w:sz w:val="16"/>
                <w:szCs w:val="16"/>
              </w:rPr>
              <w:t xml:space="preserve">NO</w:t>
            </w:r>
          </w:p>
        </w:tc>
        <w:tc>
          <w:tcPr>
            <w:tcW w:type="dxa" w:w="2260"/>
            <w:tcMar>
              <w:top w:type="dxa" w:w="34"/>
              <w:left w:type="dxa" w:w="70"/>
              <w:bottom w:type="dxa" w:w="34"/>
              <w:right w:type="dxa" w:w="70"/>
            </w:tcMar>
          </w:tcPr>
          <w:p>
            <w:r>
              <w:rPr>
                <w:b w:val="false"/>
                <w:bCs w:val="false"/>
                <w:color w:val="222222"/>
                <w:sz w:val="16"/>
                <w:szCs w:val="16"/>
              </w:rPr>
              <w:t xml:space="preserve">S1 limit not reached</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r>
        <w:tc>
          <w:tcPr>
            <w:tcW w:type="dxa" w:w="1500"/>
            <w:tcMar>
              <w:top w:type="dxa" w:w="34"/>
              <w:left w:type="dxa" w:w="70"/>
              <w:bottom w:type="dxa" w:w="34"/>
              <w:right w:type="dxa" w:w="70"/>
            </w:tcMar>
          </w:tcPr>
          <w:p>
            <w:r>
              <w:rPr>
                <w:b w:val="false"/>
                <w:bCs w:val="false"/>
                <w:color w:val="222222"/>
                <w:sz w:val="16"/>
                <w:szCs w:val="16"/>
              </w:rPr>
              <w:t xml:space="preserve">Wed 16 Jul (t−3)</w:t>
            </w:r>
          </w:p>
        </w:tc>
        <w:tc>
          <w:tcPr>
            <w:tcW w:type="dxa" w:w="1200"/>
            <w:tcMar>
              <w:top w:type="dxa" w:w="34"/>
              <w:left w:type="dxa" w:w="70"/>
              <w:bottom w:type="dxa" w:w="34"/>
              <w:right w:type="dxa" w:w="70"/>
            </w:tcMar>
          </w:tcPr>
          <w:p>
            <w:r>
              <w:rPr>
                <w:b w:val="false"/>
                <w:bCs w:val="false"/>
                <w:color w:val="222222"/>
                <w:sz w:val="16"/>
                <w:szCs w:val="16"/>
              </w:rPr>
              <w:t xml:space="preserve">Trade 1</w:t>
            </w:r>
          </w:p>
        </w:tc>
        <w:tc>
          <w:tcPr>
            <w:tcW w:type="dxa" w:w="780"/>
            <w:tcMar>
              <w:top w:type="dxa" w:w="34"/>
              <w:left w:type="dxa" w:w="70"/>
              <w:bottom w:type="dxa" w:w="34"/>
              <w:right w:type="dxa" w:w="70"/>
            </w:tcMar>
          </w:tcPr>
          <w:p>
            <w:r>
              <w:rPr>
                <w:b w:val="false"/>
                <w:bCs w:val="false"/>
                <w:color w:val="222222"/>
                <w:sz w:val="16"/>
                <w:szCs w:val="16"/>
              </w:rPr>
              <w:t xml:space="preserve">LONG</w:t>
            </w:r>
          </w:p>
        </w:tc>
        <w:tc>
          <w:tcPr>
            <w:tcW w:type="dxa" w:w="720"/>
            <w:tcMar>
              <w:top w:type="dxa" w:w="34"/>
              <w:left w:type="dxa" w:w="70"/>
              <w:bottom w:type="dxa" w:w="34"/>
              <w:right w:type="dxa" w:w="70"/>
            </w:tcMar>
          </w:tcPr>
          <w:p>
            <w:r>
              <w:rPr>
                <w:b w:val="false"/>
                <w:bCs w:val="false"/>
                <w:color w:val="222222"/>
                <w:sz w:val="16"/>
                <w:szCs w:val="16"/>
              </w:rPr>
              <w:t xml:space="preserve">YES</w:t>
            </w:r>
          </w:p>
        </w:tc>
        <w:tc>
          <w:tcPr>
            <w:tcW w:type="dxa" w:w="2260"/>
            <w:tcMar>
              <w:top w:type="dxa" w:w="34"/>
              <w:left w:type="dxa" w:w="70"/>
              <w:bottom w:type="dxa" w:w="34"/>
              <w:right w:type="dxa" w:w="70"/>
            </w:tcMar>
          </w:tcPr>
          <w:p>
            <w:r>
              <w:rPr>
                <w:b w:val="false"/>
                <w:bCs w:val="false"/>
                <w:color w:val="222222"/>
                <w:sz w:val="16"/>
                <w:szCs w:val="16"/>
              </w:rPr>
              <w:t xml:space="preserve">10,515.92 → 10,572.24</w:t>
            </w:r>
          </w:p>
        </w:tc>
        <w:tc>
          <w:tcPr>
            <w:tcW w:type="dxa" w:w="1400"/>
            <w:tcMar>
              <w:top w:type="dxa" w:w="34"/>
              <w:left w:type="dxa" w:w="70"/>
              <w:bottom w:type="dxa" w:w="34"/>
              <w:right w:type="dxa" w:w="70"/>
            </w:tcMar>
          </w:tcPr>
          <w:p>
            <w:r>
              <w:rPr>
                <w:b w:val="false"/>
                <w:bCs w:val="false"/>
                <w:color w:val="222222"/>
                <w:sz w:val="16"/>
                <w:szCs w:val="16"/>
              </w:rPr>
              <w:t xml:space="preserve">+0.6R (open→cl)</w:t>
            </w:r>
          </w:p>
        </w:tc>
        <w:tc>
          <w:tcPr>
            <w:tcW w:type="dxa" w:w="700"/>
            <w:tcMar>
              <w:top w:type="dxa" w:w="34"/>
              <w:left w:type="dxa" w:w="70"/>
              <w:bottom w:type="dxa" w:w="34"/>
              <w:right w:type="dxa" w:w="70"/>
            </w:tcMar>
          </w:tcPr>
          <w:p>
            <w:r>
              <w:rPr>
                <w:b w:val="false"/>
                <w:bCs w:val="false"/>
                <w:color w:val="222222"/>
                <w:sz w:val="16"/>
                <w:szCs w:val="16"/>
              </w:rPr>
              <w:t xml:space="preserve">1</w:t>
            </w:r>
          </w:p>
        </w:tc>
      </w:tr>
      <w:tr>
        <w:tc>
          <w:tcPr>
            <w:tcW w:type="dxa" w:w="1500"/>
            <w:tcMar>
              <w:top w:type="dxa" w:w="34"/>
              <w:left w:type="dxa" w:w="70"/>
              <w:bottom w:type="dxa" w:w="34"/>
              <w:right w:type="dxa" w:w="70"/>
            </w:tcMar>
          </w:tcPr>
          <w:p>
            <w:r>
              <w:rPr>
                <w:b w:val="false"/>
                <w:bCs w:val="false"/>
                <w:color w:val="222222"/>
                <w:sz w:val="16"/>
                <w:szCs w:val="16"/>
              </w:rPr>
              <w:t xml:space="preserve">Wed 16 Jul</w:t>
            </w:r>
          </w:p>
        </w:tc>
        <w:tc>
          <w:tcPr>
            <w:tcW w:type="dxa" w:w="1200"/>
            <w:tcMar>
              <w:top w:type="dxa" w:w="34"/>
              <w:left w:type="dxa" w:w="70"/>
              <w:bottom w:type="dxa" w:w="34"/>
              <w:right w:type="dxa" w:w="70"/>
            </w:tcMar>
          </w:tcPr>
          <w:p>
            <w:r>
              <w:rPr>
                <w:b w:val="false"/>
                <w:bCs w:val="false"/>
                <w:color w:val="222222"/>
                <w:sz w:val="16"/>
                <w:szCs w:val="16"/>
              </w:rPr>
              <w:t xml:space="preserve">Trade 3C</w:t>
            </w:r>
          </w:p>
        </w:tc>
        <w:tc>
          <w:tcPr>
            <w:tcW w:type="dxa" w:w="780"/>
            <w:tcMar>
              <w:top w:type="dxa" w:w="34"/>
              <w:left w:type="dxa" w:w="70"/>
              <w:bottom w:type="dxa" w:w="34"/>
              <w:right w:type="dxa" w:w="70"/>
            </w:tcMar>
          </w:tcPr>
          <w:p>
            <w:r>
              <w:rPr>
                <w:b w:val="false"/>
                <w:bCs w:val="false"/>
                <w:color w:val="222222"/>
                <w:sz w:val="16"/>
                <w:szCs w:val="16"/>
              </w:rPr>
              <w:t xml:space="preserve">—</w:t>
            </w:r>
          </w:p>
        </w:tc>
        <w:tc>
          <w:tcPr>
            <w:tcW w:type="dxa" w:w="720"/>
            <w:tcMar>
              <w:top w:type="dxa" w:w="34"/>
              <w:left w:type="dxa" w:w="70"/>
              <w:bottom w:type="dxa" w:w="34"/>
              <w:right w:type="dxa" w:w="70"/>
            </w:tcMar>
          </w:tcPr>
          <w:p>
            <w:r>
              <w:rPr>
                <w:b w:val="false"/>
                <w:bCs w:val="false"/>
                <w:color w:val="222222"/>
                <w:sz w:val="16"/>
                <w:szCs w:val="16"/>
              </w:rPr>
              <w:t xml:space="preserve">NO</w:t>
            </w:r>
          </w:p>
        </w:tc>
        <w:tc>
          <w:tcPr>
            <w:tcW w:type="dxa" w:w="2260"/>
            <w:tcMar>
              <w:top w:type="dxa" w:w="34"/>
              <w:left w:type="dxa" w:w="70"/>
              <w:bottom w:type="dxa" w:w="34"/>
              <w:right w:type="dxa" w:w="70"/>
            </w:tcMar>
          </w:tcPr>
          <w:p>
            <w:r>
              <w:rPr>
                <w:b w:val="false"/>
                <w:bCs w:val="false"/>
                <w:color w:val="222222"/>
                <w:sz w:val="16"/>
                <w:szCs w:val="16"/>
              </w:rPr>
              <w:t xml:space="preserve">range intact</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r>
        <w:tc>
          <w:tcPr>
            <w:tcW w:type="dxa" w:w="1500"/>
            <w:tcMar>
              <w:top w:type="dxa" w:w="34"/>
              <w:left w:type="dxa" w:w="70"/>
              <w:bottom w:type="dxa" w:w="34"/>
              <w:right w:type="dxa" w:w="70"/>
            </w:tcMar>
          </w:tcPr>
          <w:p>
            <w:r>
              <w:rPr>
                <w:b w:val="false"/>
                <w:bCs w:val="false"/>
                <w:color w:val="222222"/>
                <w:sz w:val="16"/>
                <w:szCs w:val="16"/>
              </w:rPr>
              <w:t xml:space="preserve">Thu 17 Jul (t−2)</w:t>
            </w:r>
          </w:p>
        </w:tc>
        <w:tc>
          <w:tcPr>
            <w:tcW w:type="dxa" w:w="1200"/>
            <w:tcMar>
              <w:top w:type="dxa" w:w="34"/>
              <w:left w:type="dxa" w:w="70"/>
              <w:bottom w:type="dxa" w:w="34"/>
              <w:right w:type="dxa" w:w="70"/>
            </w:tcMar>
          </w:tcPr>
          <w:p>
            <w:r>
              <w:rPr>
                <w:b w:val="false"/>
                <w:bCs w:val="false"/>
                <w:color w:val="222222"/>
                <w:sz w:val="16"/>
                <w:szCs w:val="16"/>
              </w:rPr>
              <w:t xml:space="preserve">Trade 1</w:t>
            </w:r>
          </w:p>
        </w:tc>
        <w:tc>
          <w:tcPr>
            <w:tcW w:type="dxa" w:w="780"/>
            <w:tcMar>
              <w:top w:type="dxa" w:w="34"/>
              <w:left w:type="dxa" w:w="70"/>
              <w:bottom w:type="dxa" w:w="34"/>
              <w:right w:type="dxa" w:w="70"/>
            </w:tcMar>
          </w:tcPr>
          <w:p>
            <w:r>
              <w:rPr>
                <w:b w:val="false"/>
                <w:bCs w:val="false"/>
                <w:color w:val="222222"/>
                <w:sz w:val="16"/>
                <w:szCs w:val="16"/>
              </w:rPr>
              <w:t xml:space="preserve">LONG</w:t>
            </w:r>
          </w:p>
        </w:tc>
        <w:tc>
          <w:tcPr>
            <w:tcW w:type="dxa" w:w="720"/>
            <w:tcMar>
              <w:top w:type="dxa" w:w="34"/>
              <w:left w:type="dxa" w:w="70"/>
              <w:bottom w:type="dxa" w:w="34"/>
              <w:right w:type="dxa" w:w="70"/>
            </w:tcMar>
          </w:tcPr>
          <w:p>
            <w:r>
              <w:rPr>
                <w:b w:val="false"/>
                <w:bCs w:val="false"/>
                <w:color w:val="222222"/>
                <w:sz w:val="16"/>
                <w:szCs w:val="16"/>
              </w:rPr>
              <w:t xml:space="preserve">YES</w:t>
            </w:r>
          </w:p>
        </w:tc>
        <w:tc>
          <w:tcPr>
            <w:tcW w:type="dxa" w:w="2260"/>
            <w:tcMar>
              <w:top w:type="dxa" w:w="34"/>
              <w:left w:type="dxa" w:w="70"/>
              <w:bottom w:type="dxa" w:w="34"/>
              <w:right w:type="dxa" w:w="70"/>
            </w:tcMar>
          </w:tcPr>
          <w:p>
            <w:r>
              <w:rPr>
                <w:b w:val="false"/>
                <w:bCs w:val="false"/>
                <w:color w:val="222222"/>
                <w:sz w:val="16"/>
                <w:szCs w:val="16"/>
              </w:rPr>
              <w:t xml:space="preserve">10,572 → 10,600 cl</w:t>
            </w:r>
          </w:p>
        </w:tc>
        <w:tc>
          <w:tcPr>
            <w:tcW w:type="dxa" w:w="1400"/>
            <w:tcMar>
              <w:top w:type="dxa" w:w="34"/>
              <w:left w:type="dxa" w:w="70"/>
              <w:bottom w:type="dxa" w:w="34"/>
              <w:right w:type="dxa" w:w="70"/>
            </w:tcMar>
          </w:tcPr>
          <w:p>
            <w:r>
              <w:rPr>
                <w:b w:val="false"/>
                <w:bCs w:val="false"/>
                <w:color w:val="222222"/>
                <w:sz w:val="16"/>
                <w:szCs w:val="16"/>
              </w:rPr>
              <w:t xml:space="preserve">+0.3R</w:t>
            </w:r>
          </w:p>
        </w:tc>
        <w:tc>
          <w:tcPr>
            <w:tcW w:type="dxa" w:w="700"/>
            <w:tcMar>
              <w:top w:type="dxa" w:w="34"/>
              <w:left w:type="dxa" w:w="70"/>
              <w:bottom w:type="dxa" w:w="34"/>
              <w:right w:type="dxa" w:w="70"/>
            </w:tcMar>
          </w:tcPr>
          <w:p>
            <w:r>
              <w:rPr>
                <w:b w:val="false"/>
                <w:bCs w:val="false"/>
                <w:color w:val="222222"/>
                <w:sz w:val="16"/>
                <w:szCs w:val="16"/>
              </w:rPr>
              <w:t xml:space="preserve">1</w:t>
            </w:r>
          </w:p>
        </w:tc>
      </w:tr>
      <w:tr>
        <w:tc>
          <w:tcPr>
            <w:tcW w:type="dxa" w:w="1500"/>
            <w:tcMar>
              <w:top w:type="dxa" w:w="34"/>
              <w:left w:type="dxa" w:w="70"/>
              <w:bottom w:type="dxa" w:w="34"/>
              <w:right w:type="dxa" w:w="70"/>
            </w:tcMar>
          </w:tcPr>
          <w:p>
            <w:r>
              <w:rPr>
                <w:b w:val="false"/>
                <w:bCs w:val="false"/>
                <w:color w:val="222222"/>
                <w:sz w:val="16"/>
                <w:szCs w:val="16"/>
              </w:rPr>
              <w:t xml:space="preserve">Thu 17 Jul</w:t>
            </w:r>
          </w:p>
        </w:tc>
        <w:tc>
          <w:tcPr>
            <w:tcW w:type="dxa" w:w="1200"/>
            <w:tcMar>
              <w:top w:type="dxa" w:w="34"/>
              <w:left w:type="dxa" w:w="70"/>
              <w:bottom w:type="dxa" w:w="34"/>
              <w:right w:type="dxa" w:w="70"/>
            </w:tcMar>
          </w:tcPr>
          <w:p>
            <w:r>
              <w:rPr>
                <w:b w:val="false"/>
                <w:bCs w:val="false"/>
                <w:color w:val="222222"/>
                <w:sz w:val="16"/>
                <w:szCs w:val="16"/>
              </w:rPr>
              <w:t xml:space="preserve">Trade 2</w:t>
            </w:r>
          </w:p>
        </w:tc>
        <w:tc>
          <w:tcPr>
            <w:tcW w:type="dxa" w:w="780"/>
            <w:tcMar>
              <w:top w:type="dxa" w:w="34"/>
              <w:left w:type="dxa" w:w="70"/>
              <w:bottom w:type="dxa" w:w="34"/>
              <w:right w:type="dxa" w:w="70"/>
            </w:tcMar>
          </w:tcPr>
          <w:p>
            <w:r>
              <w:rPr>
                <w:b w:val="false"/>
                <w:bCs w:val="false"/>
                <w:color w:val="222222"/>
                <w:sz w:val="16"/>
                <w:szCs w:val="16"/>
              </w:rPr>
              <w:t xml:space="preserve">LONG</w:t>
            </w:r>
          </w:p>
        </w:tc>
        <w:tc>
          <w:tcPr>
            <w:tcW w:type="dxa" w:w="720"/>
            <w:tcMar>
              <w:top w:type="dxa" w:w="34"/>
              <w:left w:type="dxa" w:w="70"/>
              <w:bottom w:type="dxa" w:w="34"/>
              <w:right w:type="dxa" w:w="70"/>
            </w:tcMar>
          </w:tcPr>
          <w:p>
            <w:r>
              <w:rPr>
                <w:b w:val="false"/>
                <w:bCs w:val="false"/>
                <w:color w:val="222222"/>
                <w:sz w:val="16"/>
                <w:szCs w:val="16"/>
              </w:rPr>
              <w:t xml:space="preserve">NO</w:t>
            </w:r>
          </w:p>
        </w:tc>
        <w:tc>
          <w:tcPr>
            <w:tcW w:type="dxa" w:w="2260"/>
            <w:tcMar>
              <w:top w:type="dxa" w:w="34"/>
              <w:left w:type="dxa" w:w="70"/>
              <w:bottom w:type="dxa" w:w="34"/>
              <w:right w:type="dxa" w:w="70"/>
            </w:tcMar>
          </w:tcPr>
          <w:p>
            <w:r>
              <w:rPr>
                <w:b w:val="false"/>
                <w:bCs w:val="false"/>
                <w:color w:val="222222"/>
                <w:sz w:val="16"/>
                <w:szCs w:val="16"/>
              </w:rPr>
              <w:t xml:space="preserve">breakout not confirmed</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r>
        <w:tc>
          <w:tcPr>
            <w:tcW w:type="dxa" w:w="1500"/>
            <w:tcMar>
              <w:top w:type="dxa" w:w="34"/>
              <w:left w:type="dxa" w:w="70"/>
              <w:bottom w:type="dxa" w:w="34"/>
              <w:right w:type="dxa" w:w="70"/>
            </w:tcMar>
          </w:tcPr>
          <w:p>
            <w:r>
              <w:rPr>
                <w:b w:val="false"/>
                <w:bCs w:val="false"/>
                <w:color w:val="222222"/>
                <w:sz w:val="16"/>
                <w:szCs w:val="16"/>
              </w:rPr>
              <w:t xml:space="preserve">Fri 18 Jul</w:t>
            </w:r>
          </w:p>
        </w:tc>
        <w:tc>
          <w:tcPr>
            <w:tcW w:type="dxa" w:w="1200"/>
            <w:tcMar>
              <w:top w:type="dxa" w:w="34"/>
              <w:left w:type="dxa" w:w="70"/>
              <w:bottom w:type="dxa" w:w="34"/>
              <w:right w:type="dxa" w:w="70"/>
            </w:tcMar>
          </w:tcPr>
          <w:p>
            <w:r>
              <w:rPr>
                <w:b w:val="false"/>
                <w:bCs w:val="false"/>
                <w:color w:val="222222"/>
                <w:sz w:val="16"/>
                <w:szCs w:val="16"/>
              </w:rPr>
              <w:t xml:space="preserve">—</w:t>
            </w:r>
          </w:p>
        </w:tc>
        <w:tc>
          <w:tcPr>
            <w:tcW w:type="dxa" w:w="780"/>
            <w:tcMar>
              <w:top w:type="dxa" w:w="34"/>
              <w:left w:type="dxa" w:w="70"/>
              <w:bottom w:type="dxa" w:w="34"/>
              <w:right w:type="dxa" w:w="70"/>
            </w:tcMar>
          </w:tcPr>
          <w:p>
            <w:r>
              <w:rPr>
                <w:b w:val="false"/>
                <w:bCs w:val="false"/>
                <w:color w:val="222222"/>
                <w:sz w:val="16"/>
                <w:szCs w:val="16"/>
              </w:rPr>
              <w:t xml:space="preserve">—</w:t>
            </w:r>
          </w:p>
        </w:tc>
        <w:tc>
          <w:tcPr>
            <w:tcW w:type="dxa" w:w="720"/>
            <w:tcMar>
              <w:top w:type="dxa" w:w="34"/>
              <w:left w:type="dxa" w:w="70"/>
              <w:bottom w:type="dxa" w:w="34"/>
              <w:right w:type="dxa" w:w="70"/>
            </w:tcMar>
          </w:tcPr>
          <w:p>
            <w:r>
              <w:rPr>
                <w:b w:val="false"/>
                <w:bCs w:val="false"/>
                <w:color w:val="222222"/>
                <w:sz w:val="16"/>
                <w:szCs w:val="16"/>
              </w:rPr>
              <w:t xml:space="preserve">—</w:t>
            </w:r>
          </w:p>
        </w:tc>
        <w:tc>
          <w:tcPr>
            <w:tcW w:type="dxa" w:w="2260"/>
            <w:tcMar>
              <w:top w:type="dxa" w:w="34"/>
              <w:left w:type="dxa" w:w="70"/>
              <w:bottom w:type="dxa" w:w="34"/>
              <w:right w:type="dxa" w:w="70"/>
            </w:tcMar>
          </w:tcPr>
          <w:p>
            <w:r>
              <w:rPr>
                <w:b w:val="false"/>
                <w:bCs w:val="false"/>
                <w:color w:val="222222"/>
                <w:sz w:val="16"/>
                <w:szCs w:val="16"/>
              </w:rPr>
              <w:t xml:space="preserve">(non-session / covered by 17→20 gap)</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r>
        <w:tc>
          <w:tcPr>
            <w:tcW w:type="dxa" w:w="1500"/>
            <w:tcMar>
              <w:top w:type="dxa" w:w="34"/>
              <w:left w:type="dxa" w:w="70"/>
              <w:bottom w:type="dxa" w:w="34"/>
              <w:right w:type="dxa" w:w="70"/>
            </w:tcMar>
          </w:tcPr>
          <w:p>
            <w:r>
              <w:rPr>
                <w:b w:val="false"/>
                <w:bCs w:val="false"/>
                <w:color w:val="222222"/>
                <w:sz w:val="16"/>
                <w:szCs w:val="16"/>
              </w:rPr>
              <w:t xml:space="preserve">Mon 20 Jul (t−1)</w:t>
            </w:r>
          </w:p>
        </w:tc>
        <w:tc>
          <w:tcPr>
            <w:tcW w:type="dxa" w:w="1200"/>
            <w:tcMar>
              <w:top w:type="dxa" w:w="34"/>
              <w:left w:type="dxa" w:w="70"/>
              <w:bottom w:type="dxa" w:w="34"/>
              <w:right w:type="dxa" w:w="70"/>
            </w:tcMar>
          </w:tcPr>
          <w:p>
            <w:r>
              <w:rPr>
                <w:b w:val="false"/>
                <w:bCs w:val="false"/>
                <w:color w:val="222222"/>
                <w:sz w:val="16"/>
                <w:szCs w:val="16"/>
              </w:rPr>
              <w:t xml:space="preserve">Trade 1</w:t>
            </w:r>
          </w:p>
        </w:tc>
        <w:tc>
          <w:tcPr>
            <w:tcW w:type="dxa" w:w="780"/>
            <w:tcMar>
              <w:top w:type="dxa" w:w="34"/>
              <w:left w:type="dxa" w:w="70"/>
              <w:bottom w:type="dxa" w:w="34"/>
              <w:right w:type="dxa" w:w="70"/>
            </w:tcMar>
          </w:tcPr>
          <w:p>
            <w:r>
              <w:rPr>
                <w:b w:val="false"/>
                <w:bCs w:val="false"/>
                <w:color w:val="222222"/>
                <w:sz w:val="16"/>
                <w:szCs w:val="16"/>
              </w:rPr>
              <w:t xml:space="preserve">SHORT</w:t>
            </w:r>
          </w:p>
        </w:tc>
        <w:tc>
          <w:tcPr>
            <w:tcW w:type="dxa" w:w="720"/>
            <w:tcMar>
              <w:top w:type="dxa" w:w="34"/>
              <w:left w:type="dxa" w:w="70"/>
              <w:bottom w:type="dxa" w:w="34"/>
              <w:right w:type="dxa" w:w="70"/>
            </w:tcMar>
          </w:tcPr>
          <w:p>
            <w:r>
              <w:rPr>
                <w:b w:val="false"/>
                <w:bCs w:val="false"/>
                <w:color w:val="222222"/>
                <w:sz w:val="16"/>
                <w:szCs w:val="16"/>
              </w:rPr>
              <w:t xml:space="preserve">YES</w:t>
            </w:r>
          </w:p>
        </w:tc>
        <w:tc>
          <w:tcPr>
            <w:tcW w:type="dxa" w:w="2260"/>
            <w:tcMar>
              <w:top w:type="dxa" w:w="34"/>
              <w:left w:type="dxa" w:w="70"/>
              <w:bottom w:type="dxa" w:w="34"/>
              <w:right w:type="dxa" w:w="70"/>
            </w:tcMar>
          </w:tcPr>
          <w:p>
            <w:r>
              <w:rPr>
                <w:b w:val="false"/>
                <w:bCs w:val="false"/>
                <w:color w:val="222222"/>
                <w:sz w:val="16"/>
                <w:szCs w:val="16"/>
              </w:rPr>
              <w:t xml:space="preserve">10,600 → 10,524.76 cl</w:t>
            </w:r>
          </w:p>
        </w:tc>
        <w:tc>
          <w:tcPr>
            <w:tcW w:type="dxa" w:w="1400"/>
            <w:tcMar>
              <w:top w:type="dxa" w:w="34"/>
              <w:left w:type="dxa" w:w="70"/>
              <w:bottom w:type="dxa" w:w="34"/>
              <w:right w:type="dxa" w:w="70"/>
            </w:tcMar>
          </w:tcPr>
          <w:p>
            <w:r>
              <w:rPr>
                <w:b w:val="false"/>
                <w:bCs w:val="false"/>
                <w:color w:val="222222"/>
                <w:sz w:val="16"/>
                <w:szCs w:val="16"/>
              </w:rPr>
              <w:t xml:space="preserve">+0.6R</w:t>
            </w:r>
          </w:p>
        </w:tc>
        <w:tc>
          <w:tcPr>
            <w:tcW w:type="dxa" w:w="700"/>
            <w:tcMar>
              <w:top w:type="dxa" w:w="34"/>
              <w:left w:type="dxa" w:w="70"/>
              <w:bottom w:type="dxa" w:w="34"/>
              <w:right w:type="dxa" w:w="70"/>
            </w:tcMar>
          </w:tcPr>
          <w:p>
            <w:r>
              <w:rPr>
                <w:b w:val="false"/>
                <w:bCs w:val="false"/>
                <w:color w:val="222222"/>
                <w:sz w:val="16"/>
                <w:szCs w:val="16"/>
              </w:rPr>
              <w:t xml:space="preserve">1</w:t>
            </w:r>
          </w:p>
        </w:tc>
      </w:tr>
      <w:tr>
        <w:tc>
          <w:tcPr>
            <w:tcW w:type="dxa" w:w="1500"/>
            <w:tcMar>
              <w:top w:type="dxa" w:w="34"/>
              <w:left w:type="dxa" w:w="70"/>
              <w:bottom w:type="dxa" w:w="34"/>
              <w:right w:type="dxa" w:w="70"/>
            </w:tcMar>
          </w:tcPr>
          <w:p>
            <w:r>
              <w:rPr>
                <w:b w:val="false"/>
                <w:bCs w:val="false"/>
                <w:color w:val="222222"/>
                <w:sz w:val="16"/>
                <w:szCs w:val="16"/>
              </w:rPr>
              <w:t xml:space="preserve">Mon 20 Jul</w:t>
            </w:r>
          </w:p>
        </w:tc>
        <w:tc>
          <w:tcPr>
            <w:tcW w:type="dxa" w:w="1200"/>
            <w:tcMar>
              <w:top w:type="dxa" w:w="34"/>
              <w:left w:type="dxa" w:w="70"/>
              <w:bottom w:type="dxa" w:w="34"/>
              <w:right w:type="dxa" w:w="70"/>
            </w:tcMar>
          </w:tcPr>
          <w:p>
            <w:r>
              <w:rPr>
                <w:b w:val="false"/>
                <w:bCs w:val="false"/>
                <w:color w:val="222222"/>
                <w:sz w:val="16"/>
                <w:szCs w:val="16"/>
              </w:rPr>
              <w:t xml:space="preserve">Trade 3C</w:t>
            </w:r>
          </w:p>
        </w:tc>
        <w:tc>
          <w:tcPr>
            <w:tcW w:type="dxa" w:w="780"/>
            <w:tcMar>
              <w:top w:type="dxa" w:w="34"/>
              <w:left w:type="dxa" w:w="70"/>
              <w:bottom w:type="dxa" w:w="34"/>
              <w:right w:type="dxa" w:w="70"/>
            </w:tcMar>
          </w:tcPr>
          <w:p>
            <w:r>
              <w:rPr>
                <w:b w:val="false"/>
                <w:bCs w:val="false"/>
                <w:color w:val="222222"/>
                <w:sz w:val="16"/>
                <w:szCs w:val="16"/>
              </w:rPr>
              <w:t xml:space="preserve">SHORT</w:t>
            </w:r>
          </w:p>
        </w:tc>
        <w:tc>
          <w:tcPr>
            <w:tcW w:type="dxa" w:w="720"/>
            <w:tcMar>
              <w:top w:type="dxa" w:w="34"/>
              <w:left w:type="dxa" w:w="70"/>
              <w:bottom w:type="dxa" w:w="34"/>
              <w:right w:type="dxa" w:w="70"/>
            </w:tcMar>
          </w:tcPr>
          <w:p>
            <w:r>
              <w:rPr>
                <w:b w:val="false"/>
                <w:bCs w:val="false"/>
                <w:color w:val="222222"/>
                <w:sz w:val="16"/>
                <w:szCs w:val="16"/>
              </w:rPr>
              <w:t xml:space="preserve">NO</w:t>
            </w:r>
          </w:p>
        </w:tc>
        <w:tc>
          <w:tcPr>
            <w:tcW w:type="dxa" w:w="2260"/>
            <w:tcMar>
              <w:top w:type="dxa" w:w="34"/>
              <w:left w:type="dxa" w:w="70"/>
              <w:bottom w:type="dxa" w:w="34"/>
              <w:right w:type="dxa" w:w="70"/>
            </w:tcMar>
          </w:tcPr>
          <w:p>
            <w:r>
              <w:rPr>
                <w:b w:val="false"/>
                <w:bCs w:val="false"/>
                <w:color w:val="222222"/>
                <w:sz w:val="16"/>
                <w:szCs w:val="16"/>
              </w:rPr>
              <w:t xml:space="preserve">close 10,524 &gt; confirm 10,457</w:t>
            </w:r>
          </w:p>
        </w:tc>
        <w:tc>
          <w:tcPr>
            <w:tcW w:type="dxa" w:w="1400"/>
            <w:tcMar>
              <w:top w:type="dxa" w:w="34"/>
              <w:left w:type="dxa" w:w="70"/>
              <w:bottom w:type="dxa" w:w="34"/>
              <w:right w:type="dxa" w:w="70"/>
            </w:tcMar>
          </w:tcPr>
          <w:p>
            <w:r>
              <w:rPr>
                <w:b w:val="false"/>
                <w:bCs w:val="false"/>
                <w:color w:val="222222"/>
                <w:sz w:val="16"/>
                <w:szCs w:val="16"/>
              </w:rPr>
              <w:t xml:space="preserve">—</w:t>
            </w:r>
          </w:p>
        </w:tc>
        <w:tc>
          <w:tcPr>
            <w:tcW w:type="dxa" w:w="700"/>
            <w:tcMar>
              <w:top w:type="dxa" w:w="34"/>
              <w:left w:type="dxa" w:w="70"/>
              <w:bottom w:type="dxa" w:w="34"/>
              <w:right w:type="dxa" w:w="70"/>
            </w:tcMar>
          </w:tcPr>
          <w:p>
            <w:r>
              <w:rPr>
                <w:b w:val="false"/>
                <w:bCs w:val="false"/>
                <w:color w:val="222222"/>
                <w:sz w:val="16"/>
                <w:szCs w:val="16"/>
              </w:rPr>
              <w:t xml:space="preserve">—</w:t>
            </w:r>
          </w:p>
        </w:tc>
      </w:tr>
    </w:tbl>
    <w:p>
      <w:pPr>
        <w:spacing w:after="140"/>
        <w:jc w:val="center"/>
      </w:pPr>
      <w:r>
        <w:rPr>
          <w:i/>
          <w:iCs/>
          <w:color w:val="555555"/>
          <w:sz w:val="16"/>
          <w:szCs w:val="16"/>
        </w:rPr>
        <w:t xml:space="preserve">Reconstructed at each t−1 close with no forward leakage; sentiment frozen per session. Slippage = 0; SL-first tick priority. Suppressed/undtriggered reconstructions shown for traceability and excluded from the aggregate.</w:t>
      </w:r>
    </w:p>
    <w:p>
      <w:pPr>
        <w:pStyle w:val="Heading2"/>
        <w:spacing w:after="80" w:before="180"/>
      </w:pPr>
      <w:r>
        <w:rPr>
          <w:b/>
          <w:bCs/>
          <w:color w:val="9B2D6B"/>
          <w:sz w:val="24"/>
          <w:szCs w:val="24"/>
        </w:rPr>
        <w:t xml:space="preserve">21d · 'What Is Working' Aggregate</w:t>
      </w:r>
    </w:p>
    <w:p>
      <w:pPr>
        <w:spacing w:after="100" w:line="264"/>
      </w:pPr>
      <w:r>
        <w:rPr>
          <w:sz w:val="20"/>
          <w:szCs w:val="20"/>
        </w:rPr>
        <w:t xml:space="preserve">Trade 1 (daily directional) over the last 5 sessions: triggered 5/5 times, mean R ≈ +0.30, with the two trend-aligned days (16–17 Jul long, 20 Jul short) carrying the positive expectancy and the two indecision days (14–15 Jul) flat. TP1/TP2/TP3 hit rates ≈ 40% / 0% / 0% on a same-session close basis. Trade 2 (pivot) triggered 0/2 — limit/break levels not reached within the reconstruction windows. Trade 3C (breakout) triggered 0/2 — no confirmed range break occurred. Strongest performer: Trade 1 (only strategy with triggers and positive mean R). Weakest performer: insufficient triggers to rank Trades 2 and 3C.</w:t>
      </w:r>
    </w:p>
    <w:p>
      <w:pPr>
        <w:spacing w:after="100" w:line="264"/>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4"/>
        <w:szCs w:val="14"/>
      </w:rPr>
      <w:t xml:space="preserve">FTSE 100 Daily Report │ 21 July 2026 │ Senior European Equity Strategist   ·   Page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FTSE 100 Report · 21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40fa6f9bdf292f087528e25baddff4f033a983.png"/><Relationship Id="rId10" Type="http://schemas.openxmlformats.org/officeDocument/2006/relationships/image" Target="media/37620cc3d867f52a192a204739d0dc73dd7c4197.png"/><Relationship Id="rId11" Type="http://schemas.openxmlformats.org/officeDocument/2006/relationships/image" Target="media/f2ad7e0c20641e0c59ed7720f55ff56dec70f564.png"/><Relationship Id="rId12" Type="http://schemas.openxmlformats.org/officeDocument/2006/relationships/image" Target="media/fe279344cf0e7f43fc265c7867b44d5d3792d682.png"/><Relationship Id="rId13" Type="http://schemas.openxmlformats.org/officeDocument/2006/relationships/image" Target="media/60eda28bdefa86cd3f9af3f1c2926859830eba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21 July 2026</dc:title>
  <dc:creator>Senior European Equity Strategist</dc:creator>
  <cp:lastModifiedBy>Un-named</cp:lastModifiedBy>
  <cp:revision>1</cp:revision>
  <dcterms:created xsi:type="dcterms:W3CDTF">2026-07-20T22:04:26.024Z</dcterms:created>
  <dcterms:modified xsi:type="dcterms:W3CDTF">2026-07-20T22:04:26.045Z</dcterms:modified>
</cp:coreProperties>
</file>

<file path=docProps/custom.xml><?xml version="1.0" encoding="utf-8"?>
<Properties xmlns="http://schemas.openxmlformats.org/officeDocument/2006/custom-properties" xmlns:vt="http://schemas.openxmlformats.org/officeDocument/2006/docPropsVTypes"/>
</file>