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3864"/>
          <w:sz w:val="34"/>
          <w:szCs w:val="34"/>
        </w:rPr>
        <w:t xml:space="preserve">FTSE 100 Report — Daily: 22 July 2026</w:t>
      </w:r>
    </w:p>
    <w:p>
      <w:pPr>
        <w:spacing w:after="60"/>
        <w:jc w:val="center"/>
      </w:pPr>
      <w:r>
        <w:rPr>
          <w:i/>
          <w:iCs/>
          <w:color w:val="555555"/>
          <w:sz w:val="20"/>
          <w:szCs w:val="20"/>
        </w:rPr>
        <w:t xml:space="preserve">With reference to: EURO STOXX 50 · USDX · S&amp;P 500 · DAX 40</w:t>
      </w:r>
    </w:p>
    <w:p>
      <w:pPr>
        <w:spacing w:after="160"/>
        <w:jc w:val="center"/>
      </w:pPr>
      <w:r>
        <w:rPr>
          <w:color w:val="555555"/>
          <w:sz w:val="18"/>
          <w:szCs w:val="18"/>
        </w:rPr>
        <w:t xml:space="preserve">Senior European Equity Strategist · As-of close 21 July 2026 (Europe/London) · Trading &amp; risk review (forward-test)</w:t>
      </w:r>
    </w:p>
    <w:p>
      <w:pPr>
        <w:pBdr>
          <w:bottom w:val="single" w:color="1F3864" w:sz="6"/>
        </w:pBdr>
        <w:spacing w:after="100"/>
      </w:pPr>
      <w:r>
        <w:t xml:space="preserve"/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 · Executive Snapshot</w:t>
      </w:r>
    </w:p>
    <w:p>
      <w:pPr>
        <w:spacing w:after="160" w:before="0"/>
      </w:pPr>
      <w:r>
        <w:rPr>
          <w:sz w:val="20"/>
          <w:szCs w:val="20"/>
        </w:rPr>
        <w:t xml:space="preserve">The FTSE 100 closed the 21 July session at 10,585.91, up 61.15 points (+0.58%), recovering the ground lost on Monday's mining-led pullback and leaving the index mid-range within a well-defined July consolidation band of roughly 10,460–10,624. The most defensible consensus cash level as of the 21 July close is 10,586 ± 6 points (High confidence). Market tone is balanced with a mild upside lean. Three drivers dominate the current level: (i) new Chancellor John Healey's reaffirmed commitment to fiscal discipline and a defence-stock rally that lifted blue chips into the close; (ii) firmer Brent crude (+2.5% after fresh US strikes on Iran) supporting the FTSE's heavy energy weighting (Shell, BP); and (iii) a stronger sterling capping the multinational-earnings translation tailwind. Short-term technical state is Transitional–Mixed (RSI2 44.7, a neutral-bodied recovery candle after a V-shaped intraday reversal); medium-term state is Ranging–Neutral. The Kaufman Efficiency Ratio classifies the regime as Ranging — Neutral (smoothed KER ≈ −0.01), consistent with choppy, low-directional-efficiency price travel. The single most important watch item is Wednesday's 07:00 BST UK CPI release (§13d), which can decisively resolve the BoE rate-path debate and break the range in either direction. Directional conviction (§21a) scores LONG-leaning but below the conviction threshold — a low-conviction bullish bias into the CPI print.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2 · Market Definition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7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Primary asset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100 cash index (^FTSE), UK large-cap benchmark, 100 constituents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Secondary asset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 STOXX 50 (^STOXX50E), Eurozone large-cap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Free-float capitalisation-weighted cash index (FTSE Russell methodology)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Scope / region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Regional — United Kingdom &amp; Eurozone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Delivery basis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LSE regular session 08:00–16:30 UK (FTSE); Xetra 09:00–17:30 CET (STOXX)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Unit / currency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Index points · GBP (FTSE); EUR original for STOXX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As-of date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Close of 21 July 2026 (Europe/London); report issued for 22 July 2026</w:t>
            </w:r>
          </w:p>
        </w:tc>
      </w:tr>
      <w:tr>
        <w:tc>
          <w:tcPr>
            <w:tcW w:type="dxa" w:w="2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Lookback window</w:t>
            </w:r>
          </w:p>
        </w:tc>
        <w:tc>
          <w:tcPr>
            <w:tcW w:type="dxa" w:w="6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sessions (execution block); 25 sessions (regime block)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3 · Consensus Price Call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500"/>
        <w:gridCol w:w="1500"/>
        <w:gridCol w:w="1700"/>
        <w:gridCol w:w="1200"/>
        <w:gridCol w:w="1560"/>
        <w:gridCol w:w="1900"/>
      </w:tblGrid>
      <w:tr>
        <w:trPr>
          <w:tblHeader/>
        </w:trPr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Consensus close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1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5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10,585.91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10,580–10,592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index close, 21 Jul</w:t>
            </w:r>
          </w:p>
        </w:tc>
        <w:tc>
          <w:tcPr>
            <w:tcW w:type="dxa" w:w="1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1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Balanced (mild up)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Two-source corroborated close; tight cross-source delta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EURO STOXX 50 reference close (21 Jul): 6,289 EUR (+0.94%), corroborated directionally by Reuters/MarketScreener. Both indices closed higher, with STOXX outperforming on a technology-led rebound.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4 · Price Evidence Table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750"/>
        <w:gridCol w:w="1250"/>
        <w:gridCol w:w="1550"/>
        <w:gridCol w:w="1300"/>
        <w:gridCol w:w="1250"/>
        <w:gridCol w:w="900"/>
        <w:gridCol w:w="1360"/>
      </w:tblGrid>
      <w:tr>
        <w:trPr>
          <w:tblHeader/>
        </w:trPr>
        <w:tc>
          <w:tcPr>
            <w:tcW w:type="dxa" w:w="17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Date/Time</w:t>
            </w:r>
          </w:p>
        </w:tc>
        <w:tc>
          <w:tcPr>
            <w:tcW w:type="dxa" w:w="15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Raw quote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Normalised</w:t>
            </w:r>
          </w:p>
        </w:tc>
        <w:tc>
          <w:tcPr>
            <w:tcW w:type="dxa" w:w="12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Basis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3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Alliance News (via Yahoo)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Jul, close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10,585.91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10,585.91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close GBP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+61.15 pts stated</w:t>
            </w:r>
          </w:p>
        </w:tc>
      </w:tr>
      <w:tr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MarketScreener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Jul, 12:04 EDT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10,585.91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10,585.91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close GBP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Independent syndication confirm</w:t>
            </w:r>
          </w:p>
        </w:tc>
      </w:tr>
      <w:tr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Investing.com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10,600.37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10,600.37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close GBP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Prior-Friday close</w:t>
            </w:r>
          </w:p>
        </w:tc>
      </w:tr>
      <w:tr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Economics (GB100)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10,524–10,543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10,524.76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CFD/cash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3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CFD basis; close ≈ cash</w:t>
            </w:r>
          </w:p>
        </w:tc>
      </w:tr>
      <w:tr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Sharecast/Fidelity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10,546.78 (intraday)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Intraday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Directional</w:t>
            </w:r>
          </w:p>
        </w:tc>
        <w:tc>
          <w:tcPr>
            <w:tcW w:type="dxa" w:w="13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Afternoon quote, not close</w:t>
            </w:r>
          </w:p>
        </w:tc>
      </w:tr>
      <w:tr>
        <w:tc>
          <w:tcPr>
            <w:tcW w:type="dxa" w:w="1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 Finance (^FTSE)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15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prev close 10,524.76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10,524.76</w:t>
            </w:r>
          </w:p>
        </w:tc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Cash close GBP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Core</w:t>
            </w:r>
          </w:p>
        </w:tc>
        <w:tc>
          <w:tcPr>
            <w:tcW w:type="dxa" w:w="13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Corroborates 20-Jul close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5 · Consensus Build Explanation</w:t>
      </w:r>
    </w:p>
    <w:p>
      <w:pPr>
        <w:spacing w:after="160" w:before="0"/>
      </w:pPr>
      <w:r>
        <w:rPr>
          <w:sz w:val="20"/>
          <w:szCs w:val="20"/>
        </w:rPr>
        <w:t xml:space="preserve">The 21 July cash close is accepted at 10,585.91 on the strength of two independent primary-tier sources (Alliance News and MarketScreener) reporting an identical value with a zero-point delta, comfortably inside the ±0.10-point equity-index corroboration tolerance. Closing values for the four prior sessions (15–20 July) were each corroborated to two sources within tolerance. Intraday Open/High/Low fields for several sessions rest on a single primary source and are flagged single-source — indicative only (see §19); they are used for chart visualisation and directional context but not as definitive pivot inputs where a corroborated alternative exists. CFD-derived Trading Economics prints were down-weighted to directional status per the restriction excluding retail-spread quotes from the consensus core. The weighted-median across corroborated sources returns 10,585.91 as the single most defensible level, with a tight ±6-point band reflecting negligible cross-source dispersion at the close.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6 · Validated OHLC + RSI2 Table (5-Day)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FTSE 100 (^FTSE) — index points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60"/>
        <w:gridCol w:w="1000"/>
        <w:gridCol w:w="1050"/>
        <w:gridCol w:w="1000"/>
        <w:gridCol w:w="1050"/>
        <w:gridCol w:w="720"/>
        <w:gridCol w:w="900"/>
        <w:gridCol w:w="1040"/>
        <w:gridCol w:w="1000"/>
        <w:gridCol w:w="1840"/>
      </w:tblGrid>
      <w:tr>
        <w:trPr>
          <w:tblHeader/>
        </w:trPr>
        <w:tc>
          <w:tcPr>
            <w:tcW w:type="dxa" w:w="7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104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Src A</w:t>
            </w:r>
          </w:p>
        </w:tc>
        <w:tc>
          <w:tcPr>
            <w:tcW w:type="dxa" w:w="10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Src B</w:t>
            </w:r>
          </w:p>
        </w:tc>
        <w:tc>
          <w:tcPr>
            <w:tcW w:type="dxa" w:w="184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Jul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10,529.39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10,545.00*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10,480.00*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10,515.92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Sun.Guardian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8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(close)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10,515.92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10,585.00*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10,471.97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10,572.24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Alliance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18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(close, δ0.00)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10,529.00*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10,623.69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10,527.65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10,600.37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1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Investing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nakitte</w:t>
            </w:r>
          </w:p>
        </w:tc>
        <w:tc>
          <w:tcPr>
            <w:tcW w:type="dxa" w:w="18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(close)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10,572.39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10,586.00*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10,524.00*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10,524.76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27.1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1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Yahoo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Alliance</w:t>
            </w:r>
          </w:p>
        </w:tc>
        <w:tc>
          <w:tcPr>
            <w:tcW w:type="dxa" w:w="18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(close)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10,524.25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10,589.00*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10,483.14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10,585.91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44.7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10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Alliance</w:t>
            </w:r>
          </w:p>
        </w:tc>
        <w:tc>
          <w:tcPr>
            <w:tcW w:type="dxa" w:w="10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MktScreener</w:t>
            </w:r>
          </w:p>
        </w:tc>
        <w:tc>
          <w:tcPr>
            <w:tcW w:type="dxa" w:w="184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(close, δ0.00)</w:t>
            </w:r>
          </w:p>
        </w:tc>
      </w:tr>
    </w:tbl>
    <w:p>
      <w:pPr>
        <w:spacing w:after="120" w:before="0"/>
      </w:pPr>
      <w:r>
        <w:rPr>
          <w:i/>
          <w:iCs/>
          <w:sz w:val="16"/>
          <w:szCs w:val="16"/>
        </w:rPr>
        <w:t xml:space="preserve">* Open/High/Low fields marked with an asterisk are single-source — indicative only; corroboration achieved on Close for every session. RSI2 computed from the validated close sequence (period fixed at 2). Trend flag: Bullish = Close&gt;Open &amp; RSI2&gt;50; Bearish = Close&lt;Open &amp; RSI2&lt;50; else Neutral.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EURO STOXX 50 (^STOXX50E) — index points (EUR)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760"/>
        <w:gridCol w:w="1120"/>
        <w:gridCol w:w="1120"/>
        <w:gridCol w:w="1080"/>
        <w:gridCol w:w="1080"/>
        <w:gridCol w:w="720"/>
        <w:gridCol w:w="900"/>
        <w:gridCol w:w="2580"/>
      </w:tblGrid>
      <w:tr>
        <w:trPr>
          <w:tblHeader/>
        </w:trPr>
        <w:tc>
          <w:tcPr>
            <w:tcW w:type="dxa" w:w="7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12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Open</w:t>
            </w:r>
          </w:p>
        </w:tc>
        <w:tc>
          <w:tcPr>
            <w:tcW w:type="dxa" w:w="112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0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Close</w:t>
            </w:r>
          </w:p>
        </w:tc>
        <w:tc>
          <w:tcPr>
            <w:tcW w:type="dxa" w:w="72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RSI2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25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Jul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6,258.85*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6,266.40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6,215.38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6,230.87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5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Single-src O/H/L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6,224.08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6,264.44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6,215.38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6,249.70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5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(close)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6,249.70*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6,266.40*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6,205.00*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6,229.00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47.6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5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Indicative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6,258.85*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6,272.00*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6,227.85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6,266.40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64.4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5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CORROB. (close)</w:t>
            </w:r>
          </w:p>
        </w:tc>
      </w:tr>
      <w:tr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6,224.08*</w:t>
            </w:r>
          </w:p>
        </w:tc>
        <w:tc>
          <w:tcPr>
            <w:tcW w:type="dxa" w:w="11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6,295.00*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6,221.00*</w:t>
            </w:r>
          </w:p>
        </w:tc>
        <w:tc>
          <w:tcPr>
            <w:tcW w:type="dxa" w:w="10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6,289.00</w:t>
            </w:r>
          </w:p>
        </w:tc>
        <w:tc>
          <w:tcPr>
            <w:tcW w:type="dxa" w:w="72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100.0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5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Directional (close +0.94%)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7 · Charts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Candlestick — 5 sessions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Distance-from-Open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25-Session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Comparative Volatility (VOLator)</w:t>
      </w:r>
    </w:p>
    <w:p>
      <w:pPr>
        <w:spacing w:after="60" w:before="0"/>
      </w:pPr>
      <w:r>
        <w:rPr>
          <w:i/>
          <w:iCs/>
          <w:sz w:val="16"/>
          <w:szCs w:val="16"/>
        </w:rPr>
        <w:t xml:space="preserve">Volatility series are scaled ATR against rolling history; counter series are illustrative of relative regime and are not corroborated OHLC.</w:t>
      </w:r>
    </w:p>
    <w:p>
      <w:pPr>
        <w:spacing w:after="120" w:before="80"/>
        <w:jc w:val="center"/>
      </w:pPr>
      <w:r>
        <w:drawing>
          <wp:inline distT="0" distB="0" distL="0" distR="0">
            <wp:extent cx="57150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Pivot Structure</w:t>
      </w:r>
    </w:p>
    <w:p>
      <w:pPr>
        <w:spacing w:after="120" w:before="80"/>
        <w:jc w:val="center"/>
      </w:pPr>
      <w:r>
        <w:drawing>
          <wp:inline distT="0" distB="0" distL="0" distR="0">
            <wp:extent cx="5334000" cy="3848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8 · Short-Term Technical Analysis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15 Jul: near-doji, small body closing mid-range (~55% of range); consolidation open to the week's run. Neutral (see §6).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16 Jul: bullish body, close in upper third (~85% of range), engineering stocks offsetting weak miners; a demand-side session (see §6).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17 Jul: strongest session — close at 10,600.37 near the high (~95%), RSI2 pinned at 100, breaking above the 10,600 mark for the first time in eight sessions. Bullish (see §6).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20 Jul: bearish reversal, close near the low (~1% of range), mining-led −0.5% on China GDP miss; RSI2 collapse to 27.1 flags short-term oversold. Bearish (see §6).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21 Jul: V-shaped recovery — intraday low 10,483 then close 10,585.91 near the high; neutral body (close&gt;open but RSI2 44.7 still sub-50). Rejection of the lows signals demand at ~10,480 (see §6).</w:t>
      </w:r>
    </w:p>
    <w:p>
      <w:pPr>
        <w:spacing w:after="160" w:before="0"/>
      </w:pPr>
      <w:r>
        <w:rPr>
          <w:sz w:val="20"/>
          <w:szCs w:val="20"/>
        </w:rPr>
        <w:t xml:space="preserve">Sequence assessment: Indecision / compression. Ranges overlap heavily, direction alternates session-to-session (Neutral→Bull→Bull→Bear→Neutral), and RSI2 oscillates between extremes (100→27→45) — classic range behaviour rather than a clean trend. Nearest support 10,472–10,483 (5-day swing low cluster); nearest resistance 10,624 (5-day swing high). Judgement label: Range. This is consistent with the §9 Ranging–Neutral regime.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9 · Medium-Term Regime &amp; VOLator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Regime classification: Transitional, tilting Ranging. Overlap ratio high (~0.60), directional persistence ~0.48, VOLator slope mildly positive, median RSI2 ~46, range-position bias mid-range (~52nd percentile of the 25-session band).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Bias: Neutral, marginal upside.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VOLator readings (scaled −1..+1): FTSE ≈ +0.35 and expanding; USDX ≈ −0.25 contracting; S&amp;P 500 ≈ +0.35 expanding; DAX 40 ≈ +0.25 expanding. FTSE volatility sits above its 0 midpoint and is expanding — the one signal leaning away from a pure range.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Preferred trade protocol: reduced conviction — the short-term Range label (§8) sits inside a Transitional medium-term frame; wait for confirmation (a range-edge break) before committing size.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2E7D32"/>
          <w:sz w:val="20"/>
          <w:szCs w:val="20"/>
        </w:rPr>
        <w:t xml:space="preserve">Kaufman confirmation: KER classifies Ranging — Neutral (smoothed ≈ −0.01, well inside ±0.09). This AGREES with the range read but the expanding VOLator slope prevents a clean RANGE label — the dual gate (KER low AND VOLator slope ≤ 0) is not satisfied, so the consolidated regime resolves to TRANSITION.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10 · Cross-Asset Analysis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50"/>
        <w:gridCol w:w="1300"/>
        <w:gridCol w:w="3200"/>
        <w:gridCol w:w="1300"/>
        <w:gridCol w:w="231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Counter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5-day dir.</w:t>
            </w:r>
          </w:p>
        </w:tc>
        <w:tc>
          <w:tcPr>
            <w:tcW w:type="dxa" w:w="3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Mechanism to FTSE</w:t>
            </w:r>
          </w:p>
        </w:tc>
        <w:tc>
          <w:tcPr>
            <w:tcW w:type="dxa" w:w="13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31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USDX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Falling (~100.9)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Weaker USD lifts GBP; mild headwind to multinational earnings translation but supports risk appetite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3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Marginally mixed — sterling strength caps FTSE translation tailwind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Rising (~7,566)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Common-factor global risk beta; risk-on in New York bleeds into London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3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Supports the mild upside lean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DAX 40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Rising (~25,000)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European risk proxy; tech/industrial rebound broadens the bid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3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Regional breadth supports STOXX and, second-order, FTSE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 STOXX 50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Rising (+0.94%)</w:t>
            </w:r>
          </w:p>
        </w:tc>
        <w:tc>
          <w:tcPr>
            <w:tcW w:type="dxa" w:w="3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 Eurozone peer; shared macro drivers (ECB, energy)</w:t>
            </w:r>
          </w:p>
        </w:tc>
        <w:tc>
          <w:tcPr>
            <w:tcW w:type="dxa" w:w="13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Confirms</w:t>
            </w:r>
          </w:p>
        </w:tc>
        <w:tc>
          <w:tcPr>
            <w:tcW w:type="dxa" w:w="231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STOXX outperformance signals European risk appetite intact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>Aggregate cross-asset read: CONFIRM-leaning-MIXED. Three of four counters (S&amp;P 500, DAX, STOXX) confirm the mild upside lean; USDX is neutral-to-mixed via the sterling channel. No hard contradiction to flag. Rising Brent (energy) is a separate supportive vector for the FTSE's oil majors, discussed in §12/§14.</w:t>
      </w:r>
    </w:p>
    <w:p>
      <w:pPr>
        <w:pStyle w:val="Heading1"/>
        <w:spacing w:after="120" w:before="240"/>
      </w:pPr>
      <w:r>
        <w:rPr>
          <w:b/>
          <w:bCs/>
          <w:color w:val="2E7D32"/>
          <w:sz w:val="26"/>
          <w:szCs w:val="26"/>
        </w:rPr>
        <w:t xml:space="preserve">11 · Floor Pivot Analysis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Daily pivots — from 21-Jul H/L/C (single-source-indicative H/L)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10,939.81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10,833.95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10,728.09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10,658.54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10,622.23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10,552.68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10,516.37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10,446.82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10,410.51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10,304.65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10,198.79</w:t>
            </w:r>
          </w:p>
        </w:tc>
      </w:tr>
    </w:tbl>
    <w:p>
      <w:pPr>
        <w:spacing w:after="120" w:before="0"/>
      </w:pPr>
      <w:r>
        <w:rPr>
          <w:i/>
          <w:iCs/>
          <w:sz w:val="16"/>
          <w:szCs w:val="16"/>
        </w:rPr>
        <w:t xml:space="preserve">Derived midpoints: R1.5 = 10,640.38 · S1.5 = 10,481.59. Daily pivots inherit a single-source-indicative flag because prior-day High/Low were single-source.</w:t>
      </w:r>
    </w:p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Weekly pivots — W/E 17-Jul H/L/C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11,153.78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10,990.09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10,826.40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10,725.04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10,662.71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10,561.35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10,499.02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10,397.66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10,335.33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10,171.64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10,007.95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2E7D32"/>
          <w:sz w:val="22"/>
          <w:szCs w:val="22"/>
        </w:rPr>
        <w:t xml:space="preserve">Monthly pivots — June 2026 H/L/C (indicative)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12,044.37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11,607.36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11,170.35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10,958.68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10,733.34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10,521.67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10,296.33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10,084.66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9,859.32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S4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9,422.31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S5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8,985.30</w:t>
            </w:r>
          </w:p>
        </w:tc>
      </w:tr>
    </w:tbl>
    <w:p>
      <w:pPr>
        <w:spacing w:after="120" w:before="0"/>
      </w:pPr>
      <w:r>
        <w:rPr>
          <w:sz w:val="20"/>
          <w:szCs w:val="20"/>
        </w:rPr>
        <w:t xml:space="preserve">Position narrative: the 21-Jul close (10,585.91) sits ABOVE daily P (10,552.68), weekly P (10,561.35) and monthly P (10,521.67) — a modest bullish position within the pivot lattice. Immediate resistance is the daily R1/weekly S1 cluster near 10,622/10,663 (also the 5-day swing high 10,624); immediate support is daily S1 10,516 and the weekly S1 10,499 cluster. A confluence zone sits at ~10,552–10,561 where daily and weekly P nearly coincide (within 0.08%).</w:t>
      </w:r>
    </w:p>
    <w:p>
      <w:pPr>
        <w:pStyle w:val="Heading1"/>
        <w:spacing w:after="120" w:before="240"/>
      </w:pPr>
      <w:r>
        <w:rPr>
          <w:b/>
          <w:bCs/>
          <w:color w:val="AD1457"/>
          <w:sz w:val="26"/>
          <w:szCs w:val="26"/>
        </w:rPr>
        <w:t xml:space="preserve">12 · Key Market Considerations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Energy (price-supportive, cyclical): Brent +2.5% after fresh US strikes on Iran; the FTSE's ~12% energy weight (Shell, BP) benefits directly. Higher crude is a double-edged sword — supportive for majors, inflationary for the wider market.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Miners (price-negative, cyclical): China Q2 GDP at 4.3% (below 4.5% consensus) pressures Rio Tinto, Anglo, Glencore, Antofagasta, Fresnillo — the drag behind Monday's fall.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Policy / fiscal (price-supportive, structural-cyclical): new Chancellor John Healey reaffirmed fiscal discipline; defence stocks (BAE) rallied into Tuesday's close on the political transition to PM Andy Burnham.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Rates (neutral-to-negative): UK 10-year gilt near 5.03% and markets pricing potential BoE hikes into 2026 raise the discount rate; a headwind for rate-sensitive sectors but supportive for bank NIMs.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FX (mixed): sterling ~1.3375–1.3418 vs USD; recent strength caps the multinational-earnings translation tailwind that normally lifts the FTSE (~80% overseas revenue).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0"/>
          <w:szCs w:val="20"/>
        </w:rPr>
        <w:t xml:space="preserve">Near-term catalyst (see §13d): UK CPI Wednesday 07:00 BST is the primary range-resolver over the scenario horizon.</w:t>
      </w:r>
    </w:p>
    <w:p>
      <w:pPr>
        <w:pStyle w:val="Heading1"/>
        <w:spacing w:after="120" w:before="240"/>
      </w:pPr>
      <w:r>
        <w:rPr>
          <w:b/>
          <w:bCs/>
          <w:color w:val="AD1457"/>
          <w:sz w:val="26"/>
          <w:szCs w:val="26"/>
        </w:rPr>
        <w:t xml:space="preserve">13 · Sentiment, News &amp; Calendar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13a · Per-Article Sentiment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350"/>
        <w:gridCol w:w="700"/>
        <w:gridCol w:w="2650"/>
        <w:gridCol w:w="1050"/>
        <w:gridCol w:w="1050"/>
        <w:gridCol w:w="2560"/>
      </w:tblGrid>
      <w:tr>
        <w:trPr>
          <w:tblHeader/>
        </w:trPr>
        <w:tc>
          <w:tcPr>
            <w:tcW w:type="dxa" w:w="13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Headline (abridged)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Class.</w:t>
            </w:r>
          </w:p>
        </w:tc>
        <w:tc>
          <w:tcPr>
            <w:tcW w:type="dxa" w:w="10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Sentiment</w:t>
            </w:r>
          </w:p>
        </w:tc>
        <w:tc>
          <w:tcPr>
            <w:tcW w:type="dxa" w:w="25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Derivation quote (≤15 words)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Alliance News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2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100 ends up as Healey pledges fiscal control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“Stock prices in London closed higher… defence stocks climbed”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Reuters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2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European shares inch higher as easing oil prices lift sentiment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“European shares rose on Tuesday as gains in technology and mining”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Trading Economics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2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100 fell more than 0.5% underperforming European peers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Bearish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“FTSE 100 fell more than 0.5% on Monday, underperforming”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Sunday Guardian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2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edges higher as investors weigh Middle East risks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Neutral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“mood among investors… was rather conservative”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nakitte / brief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2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 100 climbs to 10,600.37 in volatile week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Media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“defensives providing support amid broader market caution”</w:t>
            </w:r>
          </w:p>
        </w:tc>
      </w:tr>
      <w:tr>
        <w:tc>
          <w:tcPr>
            <w:tcW w:type="dxa" w:w="13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Hilsden Trading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</w:t>
            </w:r>
          </w:p>
        </w:tc>
        <w:tc>
          <w:tcPr>
            <w:tcW w:type="dxa" w:w="26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FTSE100 analysis — daily picture has improved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Press</w:t>
            </w:r>
          </w:p>
        </w:tc>
        <w:tc>
          <w:tcPr>
            <w:tcW w:type="dxa" w:w="10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Bullish</w:t>
            </w:r>
          </w:p>
        </w:tc>
        <w:tc>
          <w:tcPr>
            <w:tcW w:type="dxa" w:w="25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“Daily Bias: Neutral to Slightly Bullish”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13b · Aggregate Sentiment Summary</w:t>
      </w:r>
    </w:p>
    <w:p>
      <w:pPr>
        <w:spacing w:after="120" w:before="0"/>
      </w:pPr>
      <w:r>
        <w:rPr>
          <w:sz w:val="20"/>
          <w:szCs w:val="20"/>
        </w:rPr>
        <w:t xml:space="preserve">Counts: 4 Bullish (0 institutional, 3 media, 1 trade press), 1 Bearish (trade press), 1 Neutral (media) = Predominantly Bullish. Numeric tilt (source-class-weighted): [(0.5·+1)·3 + (0.7·+1) + (0.7·−1) + (0.5·0)] / [0.5·3 + 0.7 + 0.7 + 0.5] = +1.5 / 3.4 = +0.44. Reported as Predominantly Bullish (tilt = +0.44). Divergence flag: sentiment mildly bullish while price is range-bound — no hard contradiction; sentiment slightly leads price into the CPI catalyst. This tilt is computed on six articles (above the low-confidence floor) but note none are institutional-grade — weight accordingly.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13c · News Calendar — Previous Period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900"/>
        <w:gridCol w:w="1900"/>
        <w:gridCol w:w="1700"/>
        <w:gridCol w:w="900"/>
        <w:gridCol w:w="39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Prior/Context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9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UK GDP (May)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+0.1% m/m, +0.7% 3m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Better-than-feared; supported the 16–17 Jul advance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China Q2 GDP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4.3% vs 4.5% cons.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Miner selloff; capped upside, drove 20 Jul fall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PM transition (Burnham)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Cabinet speculation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3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Political uncertainty; FTSE −0.5%, underperformed peers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Chancellor Healey fiscal statement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New appointment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Fiscal-discipline pledge + defence rally lifted the close +0.58%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Ongoing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strikes on Iran / Brent</w:t>
            </w:r>
          </w:p>
        </w:tc>
        <w:tc>
          <w:tcPr>
            <w:tcW w:type="dxa" w:w="1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Brent +2.5%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9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Energy majors supported; inflation risk for wider market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13d · News Calendar — Upcoming Period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900"/>
        <w:gridCol w:w="1900"/>
        <w:gridCol w:w="1500"/>
        <w:gridCol w:w="900"/>
        <w:gridCol w:w="416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15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9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41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Implication for FTSE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22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UK CPI (07:00 BST)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Prior 2.8% y/y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 hot print hardens BoE-hike pricing → rate-sensitive drag &amp; gilt-yield rise; a soft print eases the range higher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23–24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US mega-cap earnings (Alphabet et al.)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AI-demand read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4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Sets global risk tone; spills into London via S&amp;P beta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24 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UK retail sales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recent trend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Consumer read; affects domestics &amp; sterling</w:t>
            </w:r>
          </w:p>
        </w:tc>
      </w:tr>
      <w:tr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End-Jul</w:t>
            </w:r>
          </w:p>
        </w:tc>
        <w:tc>
          <w:tcPr>
            <w:tcW w:type="dxa" w:w="1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ECB / BoE commentary</w:t>
            </w:r>
          </w:p>
        </w:tc>
        <w:tc>
          <w:tcPr>
            <w:tcW w:type="dxa" w:w="15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Rate-path signals</w:t>
            </w:r>
          </w:p>
        </w:tc>
        <w:tc>
          <w:tcPr>
            <w:tcW w:type="dxa" w:w="9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Med</w:t>
            </w:r>
          </w:p>
        </w:tc>
        <w:tc>
          <w:tcPr>
            <w:tcW w:type="dxa" w:w="4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Shapes STOXX &amp; FTSE bank/utility weights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Highest-impact event: UK CPI, Wednesday 22 July 07:00 BST — a surprise in either direction is the most likely single trigger to break the 10,460–10,624 range and would directly reprice the BoE path embedded in FTSE bank and rate-sensitive valuations.</w:t>
      </w:r>
    </w:p>
    <w:p>
      <w:pPr>
        <w:pStyle w:val="Heading1"/>
        <w:spacing w:after="120" w:before="240"/>
      </w:pPr>
      <w:r>
        <w:rPr>
          <w:b/>
          <w:bCs/>
          <w:color w:val="AD1457"/>
          <w:sz w:val="26"/>
          <w:szCs w:val="26"/>
        </w:rPr>
        <w:t xml:space="preserve">14 · Macro Context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Rates &amp; monetary policy: BoE base 3.75%; UK 10-year gilt ~5.0% and rising, with markets flirting with hike pricing into 2026. Higher discount rate is a valuation headwind but lifts bank NIMs (large FTSE weight).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Inflation: UK CPI last 2.8%; Wednesday's print (§13d) is pivotal. A re-acceleration would be price-negative for rate-sensitives and could pressure the whole index.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Safe-haven / real yields: Gold elevated (~$4,060) reflecting geopolitical premium; consistent with the Middle East risk backdrop — a defensive tell that tempers pure risk-on.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Liquidity &amp; FX: USDX ~100.9 and soft (§10) → firmer sterling, which caps the FTSE's overseas-earnings translation benefit even as it signals global risk appetite.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Energy: Brent ~$85 and rising on Iran strikes (§10/§12) — supportive for FTSE energy majors, a cross-current for inflation.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Positioning: geopolitical hedging keeps gold and oil bid; equity positioning cautious-neutral, consistent with the range and the conservative tone in the news flow (§13).</w:t>
      </w:r>
    </w:p>
    <w:p>
      <w:pPr>
        <w:spacing w:after="120" w:before="0"/>
      </w:pPr>
      <w:r>
        <w:rPr>
          <w:i/>
          <w:iCs/>
          <w:sz w:val="20"/>
          <w:szCs w:val="20"/>
        </w:rPr>
        <w:t xml:space="preserve">Watch item cross-reference: UK CPI (§13d) is the macro variable most likely to move rates, sterling and the FTSE simultaneously; a hot surprise is the key downside risk to the mild upside lean.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15 · Bull / Bear Balance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Upside risks</w:t>
            </w:r>
          </w:p>
        </w:tc>
        <w:tc>
          <w:tcPr>
            <w:tcW w:type="dxa" w:w="468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Downside risks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 UK CPI (§13d) eases BoE-hike fears → range breaks up through 10,624/10,663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Hot UK CPI hardens hike pricing → break below 10,499/10,472 support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Sustained Brent strength lifts Shell/BP (energy ~12% weight)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China-growth relapse extends the miner drag (Rio, Anglo, Glencore)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Defence &amp; fiscal-discipline narrative (Healey/Burnham) broadens the bid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Sterling strength keeps capping multinational earnings translation</w:t>
            </w:r>
          </w:p>
        </w:tc>
      </w:tr>
      <w:tr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S&amp;P 500 / DAX / STOXX confirmation (§10) sustains global risk-on</w:t>
            </w:r>
          </w:p>
        </w:tc>
        <w:tc>
          <w:tcPr>
            <w:tcW w:type="dxa" w:w="468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Geopolitical escalation (Iran) spikes oil to a growth-negative level</w:t>
            </w:r>
          </w:p>
        </w:tc>
      </w:tr>
    </w:tbl>
    <w:p>
      <w:pPr>
        <w:spacing w:after="120" w:before="0"/>
      </w:pPr>
      <w:r>
        <w:rPr>
          <w:i/>
          <w:iCs/>
          <w:sz w:val="20"/>
          <w:szCs w:val="20"/>
        </w:rPr>
        <w:t xml:space="preserve">Balance rests on pivot position (close above daily/weekly/monthly P per §11) and the Transitional–Ranging regime (§9); the CPI event (§13d) is the fulcrum that tips it.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16 · Forward View</w:t>
      </w:r>
    </w:p>
    <w:p>
      <w:pPr>
        <w:spacing w:after="120" w:before="0"/>
      </w:pPr>
      <w:r>
        <w:rPr>
          <w:sz w:val="20"/>
          <w:szCs w:val="20"/>
        </w:rPr>
        <w:t xml:space="preserve">Base case over the next five sessions: continued range-bound trade with a mild upside lean, expected band 10,470–10,660, pending Wednesday's CPI. Above the daily/weekly pivot cluster (~10,552–10,561) the path of least resistance is a retest of the 10,624 swing high and weekly R1 10,663; a decisive close above ~10,665 opens 10,725. Base-case invalidation: a daily close below 10,499 (weekly S1) shifts bias neutral-to-bearish and exposes 10,447/10,410. This view respects the §9 Transitional–Ranging regime — it does not assume a trend — and is contingent on the §13d CPI outcome.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17 · Forecast</w:t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The FTSE 100 holds its mild upside lean and probes the 10,624–10,663 resistance band over the coming sessions, provided a benign UK CPI print keeps the range intact.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18 · Final Analyst Judgement</w:t>
      </w:r>
    </w:p>
    <w:p>
      <w:pPr>
        <w:spacing w:after="120" w:before="0"/>
      </w:pPr>
      <w:r>
        <w:rPr>
          <w:sz w:val="20"/>
          <w:szCs w:val="20"/>
        </w:rPr>
        <w:t xml:space="preserve">Consensus close 10,585.91 (High confidence). Tone balanced with a mild upside lean. Three most important reasons: (1) close above the daily/weekly/monthly pivot cluster within a defined range; (2) predominantly bullish (but non-institutional) news flow and confirming global risk-on from S&amp;P/DAX/STOXX; (3) energy support from firmer Brent offsetting the China-driven miner drag. Single watch item: UK CPI, 22 July 07:00 BST.</w:t>
      </w:r>
    </w:p>
    <w:p>
      <w:pPr>
        <w:pStyle w:val="Heading1"/>
        <w:spacing w:after="120" w:before="240"/>
      </w:pPr>
      <w:r>
        <w:rPr>
          <w:b/>
          <w:bCs/>
          <w:color w:val="1F3864"/>
          <w:sz w:val="26"/>
          <w:szCs w:val="26"/>
        </w:rPr>
        <w:t xml:space="preserve">19 · Source Discipline Note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Live vs indicative: all five FTSE session Closes are two-source corroborated within the ±0.10-pt equity tolerance (21-Jul and 16-Jul at δ0.00). Several Open/High/Low fields are single-source — indicative only and are labelled with an asterisk in §6.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Data gaps: intraday High/Low for 15, 20 and 21 July rest on single primary sources; the 21-Jul session high used for daily pivots is therefore single-source-indicative, propagated to the §11 daily pivot table and consumed as a caveat by §21.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Normalisation: FTSE in GBP points; STOXX reported in EUR original. No FX conversion applied to index levels. CFD-basis Trading Economics prints down-weighted to directional per the retail-spread restriction.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Corroboration status: FTSE Close CORROBORATED all five sessions; FTSE O/H/L mixed (indicative on flagged fields); EURO STOXX 50 Close directionally corroborated, O/H/L largely single-source-indicative. Per the run instruction, corroboration was applied leniently where dual-source O/H/L was unavailable, and strategies were produced rather than suppressed.</w:t>
      </w:r>
    </w:p>
    <w:p>
      <w:pPr>
        <w:pStyle w:val="Heading1"/>
        <w:spacing w:after="120" w:before="240"/>
      </w:pPr>
      <w:r>
        <w:rPr>
          <w:b/>
          <w:bCs/>
          <w:color w:val="AD1457"/>
          <w:sz w:val="26"/>
          <w:szCs w:val="26"/>
        </w:rPr>
        <w:t xml:space="preserve">20 · Agent Log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Sources attempted (FTSE): Investing.com, MarketScreener, Yahoo Finance/Alliance News, Trading Economics (GB100 CFD), Sunday Guardian, nakitte brief, Fidelity/Sharecast, Hilsden Trading. Close corroboration achieved on primary/secondary pairs per session (§4).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Validation method: two-source close agreement within ±0.10 pt equity tolerance; O/H/L single-source fields flagged, not synthesised. No value interpolated.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Sentiment derivation: six articles, source-class weighted; tilt = +0.44 (Predominantly Bullish); no institutional sources — flagged for weighting (§13b).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Direction-score weights basis: DEFAULTS (0.25 / 0.20 / 0.10 / 0.15 / 0.15 / 0.15), locked for the 20-session forward-test window; no tuning applied.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Regime resolution: Step-4 synthesis Transitional; KER Ranging–Neutral (−0.01); VOLator slope mildly positive → RANGE dual gate NOT satisfied (VOLator slope &gt; 0) → consolidated regime_label = TRANSITION → Trade 3 fork = 3C (Momentum-Breakout).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Direction score = +0.14 → NEUTRAL (below 0.25 threshold). Per M5 rules Trade 1 would suppress on NEUTRAL; per the explicit run instruction not to suppress strategies, Trade 1 is presented as a low-conviction LONG lean with the sub-threshold score disclosed rather than hidden.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Backtest: prior 5 sessions reconstructed at each t−1 close with sentiment frozen; single-source-indicative pivot flag propagated to Trade 2 caveats.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0"/>
          <w:szCs w:val="20"/>
        </w:rPr>
        <w:t xml:space="preserve">Timestamp: generated for as-of close 21 July 2026, report date 22 July 2026 (Europe/London). DAILY_OPEN_ANCHOR overridden to 07:00 UK per run instruction (already the FTSE instance default).</w:t>
      </w:r>
    </w:p>
    <w:p>
      <w:pPr>
        <w:pStyle w:val="Heading1"/>
        <w:spacing w:after="120" w:before="240"/>
      </w:pPr>
      <w:r>
        <w:rPr>
          <w:b/>
          <w:bCs/>
          <w:color w:val="AD1457"/>
          <w:sz w:val="26"/>
          <w:szCs w:val="26"/>
        </w:rPr>
        <w:t xml:space="preserve">21 · Strategy Recommendations</w:t>
      </w:r>
    </w:p>
    <w:p>
      <w:pPr>
        <w:pStyle w:val="Heading2"/>
        <w:spacing w:after="80" w:before="160"/>
      </w:pPr>
      <w:r>
        <w:rPr>
          <w:b/>
          <w:bCs/>
          <w:color w:val="AD1457"/>
          <w:sz w:val="22"/>
          <w:szCs w:val="22"/>
        </w:rPr>
        <w:t xml:space="preserve">21a · Directional Conviction</w:t>
      </w:r>
    </w:p>
    <w:p>
      <w:pPr>
        <w:spacing w:after="120" w:before="0"/>
      </w:pPr>
      <w:r>
        <w:rPr>
          <w:sz w:val="20"/>
          <w:szCs w:val="20"/>
        </w:rPr>
        <w:t xml:space="preserve">Direction: LONG-leaning but NEUTRAL by score. The direction score is +0.14, below the ±0.25 conviction threshold, so under standard rules Trade 1 suppresses. Per the run instruction, a low-conviction LONG bias is carried forward. The three highest-weighted contributing signals: sentiment tilt (§13b) +0.44 → +0.07 weighted; cross-asset confirmation (§10) mixed-confirm → +0.045 weighted; VOLator expansion (§9) +0.5 → +0.05 weighted; short-term technical bias (§8) is Neutral (0.00) — the reason the score stalls below threshold. Conflict flag: the §17 Forecast leans mildly bullish and the direction score is NEUTRAL — a mild conflict; neither output is edited. Weights basis: defaults.</w:t>
      </w:r>
    </w:p>
    <w:p>
      <w:pPr>
        <w:pStyle w:val="Heading2"/>
        <w:spacing w:after="80" w:before="160"/>
      </w:pPr>
      <w:r>
        <w:rPr>
          <w:b/>
          <w:bCs/>
          <w:color w:val="AD1457"/>
          <w:sz w:val="22"/>
          <w:szCs w:val="22"/>
        </w:rPr>
        <w:t xml:space="preserve">21b · Trade Cards</w:t>
      </w:r>
    </w:p>
    <w:p>
      <w:pPr>
        <w:spacing w:after="120" w:before="0"/>
      </w:pPr>
      <w:r>
        <w:rPr>
          <w:i/>
          <w:iCs/>
          <w:sz w:val="16"/>
          <w:szCs w:val="16"/>
        </w:rPr>
        <w:t xml:space="preserve">All levels in index points; native execution unit is the point (tick 0.01). Regime = TRANSITION.</w:t>
      </w:r>
    </w:p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Trade 1 — Daily Directional (LONG, low-conviction override)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— presented under override (score +0.14 NEUTRAL, below threshold)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Market at 07:00 UK pre-open anchor; reference 10,585.91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10,449.97 — 136 pts below entry (5-day swing low 10,471.97 − 0.25×ATR). Within 3.5×ATR cap (308 pts)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136 points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(Unit 1, +1R)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10,721.9 (+136 pts)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 (Unit 2, +2R)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10,857.8 (+272 pts) — flag: TP2 ambitious for a daily horizon (&gt;3×ATR)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(Unit 3, runner)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Time-stop at session close OR 3×ATR = 10,849.9, whichever first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U1→TP1; U2→TP2; on U2 fill, U3 SL → entry +0.2R (10,613.1)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 near daily P/weekly P cluster (10,552–10,561); SL below weekly S1 10,499 &amp; swing-low cluster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below 10,472 (5-day swing low) — coincides near SL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Sub-threshold conviction (override applied); single-source-indicative daily pivots; collides with 22-Jul CPI (Tier-1 event)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Trade 2 — Pivot, TRANSITION (breakout side only — upside)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(breakout side; counter-side limit suppressed per TRANSITION rule)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entry at 10,559.6 = P + 0.10×(R1−P), on confirmed upside follow-through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10,523.6 = P − 0.8×(P − S1); 36 pts below entry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36 points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/ TP2 / TP3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R1 10,622.2 / R1.5 10,640.4 / R2 10,658.5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Tranche mgmt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equal units; on U2 fill, U3 SL → entry +0.2R (10,566.8)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Confluences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R1 10,622 coincides with 5-day swing high 10,624 → strong confluence; weekly R1 10,663 near TP3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back through daily P 10,552.68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Single-source-indicative daily pivots (§19) — levels indicative; CPI collision (§13d)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1F3864"/>
          <w:sz w:val="22"/>
          <w:szCs w:val="22"/>
        </w:rPr>
        <w:t xml:space="preserve">Trade 3C — Momentum-Breakout (TRANSITION variant, upside)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1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Direction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 on confirmed upside break of the 25-session range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Range definition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swing_low_25d 10,310 / swing_high_25d 10,747 (width 437 pts)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Confirmed break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≥ 10,769.0 (10,747 + 0.25×ATR). Not yet eligible — close 10,585.91 inside range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Entry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At breakout-candle close above 10,769 (or next session open)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Stop loss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10,484.8 = range_low + 0.40×width (just below midpoint; generous post-fakeout stop)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Risk (R)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~284 points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TP1 (measured move)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11,184.0 = broken high + 1.0×width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TP2 (1.5×MM)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11,402.5 — on fill, U3 SL → broken boundary 10,747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TP3 (runner)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Discretionary trail beyond 1.5×MM on subsequent swing structure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Thesis invalidation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Daily close back inside range past midpoint (~10,528)</w:t>
            </w:r>
          </w:p>
        </w:tc>
      </w:tr>
      <w:tr>
        <w:tc>
          <w:tcPr>
            <w:tcW w:type="dxa" w:w="22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Caveats</w:t>
            </w:r>
          </w:p>
        </w:tc>
        <w:tc>
          <w:tcPr>
            <w:tcW w:type="dxa" w:w="7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 yet triggered (awaiting confirmed break); wide stop → reduced size; CPI is the likely catalyst (§13d)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AD1457"/>
          <w:sz w:val="22"/>
          <w:szCs w:val="22"/>
        </w:rPr>
        <w:t xml:space="preserve">21c · 5-Session No-Leakage Backtest</w:t>
      </w:r>
    </w:p>
    <w:tbl>
      <w:tblPr>
        <w:tblW w:type="dxa" w:w="9360"/>
        <w:tblBorders>
          <w:top w:val="single" w:color="BBBBBB" w:sz="2"/>
          <w:left w:val="single" w:color="BBBBBB" w:sz="2"/>
          <w:bottom w:val="single" w:color="BBBBBB" w:sz="2"/>
          <w:right w:val="single" w:color="BBBBBB" w:sz="2"/>
          <w:insideH w:val="single" w:color="DDDDDD" w:sz="1"/>
          <w:insideV w:val="single" w:color="DDDDDD" w:sz="1"/>
        </w:tblBorders>
      </w:tblPr>
      <w:tblGrid>
        <w:gridCol w:w="1250"/>
        <w:gridCol w:w="1150"/>
        <w:gridCol w:w="750"/>
        <w:gridCol w:w="700"/>
        <w:gridCol w:w="2160"/>
        <w:gridCol w:w="1600"/>
        <w:gridCol w:w="760"/>
      </w:tblGrid>
      <w:tr>
        <w:trPr>
          <w:tblHeader/>
        </w:trPr>
        <w:tc>
          <w:tcPr>
            <w:tcW w:type="dxa" w:w="12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 (t−N)</w:t>
            </w:r>
          </w:p>
        </w:tc>
        <w:tc>
          <w:tcPr>
            <w:tcW w:type="dxa" w:w="11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Strategy</w:t>
            </w:r>
          </w:p>
        </w:tc>
        <w:tc>
          <w:tcPr>
            <w:tcW w:type="dxa" w:w="75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Dir.</w:t>
            </w:r>
          </w:p>
        </w:tc>
        <w:tc>
          <w:tcPr>
            <w:tcW w:type="dxa" w:w="7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Trig.</w:t>
            </w:r>
          </w:p>
        </w:tc>
        <w:tc>
          <w:tcPr>
            <w:tcW w:type="dxa" w:w="21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Entry→Exit</w:t>
            </w:r>
          </w:p>
        </w:tc>
        <w:tc>
          <w:tcPr>
            <w:tcW w:type="dxa" w:w="160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Outcome (R)</w:t>
            </w:r>
          </w:p>
        </w:tc>
        <w:tc>
          <w:tcPr>
            <w:tcW w:type="dxa" w:w="760"/>
            <w:shd w:fill="1F3864" w:color="auto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Days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Jul (t−5)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10,529→10,515.9 SL region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−0.6R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Jul (t−5)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limit not reached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 Jul (t−5)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3C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confirmed break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 (t−4)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10,516→10,572.2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+0.8R (TP1 hit)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 (t−4)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10,540→R1 area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16 Jul (t−4)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3C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inside range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SUPPRESSED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 (t−3)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10,529→10,600.4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+1.0R (TP1)+run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17 Jul (t−3)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10,560→10,622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 (t−2)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10,572→10,524.8 SL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−1.0R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 Jul (t−2)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reversed before entry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 (t−1)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1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10,524→10,585.9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+0.5R (open @ +0.5R)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2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21 Jul (t−1)</w:t>
            </w:r>
          </w:p>
        </w:tc>
        <w:tc>
          <w:tcPr>
            <w:tcW w:type="dxa" w:w="11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Trade 2</w:t>
            </w:r>
          </w:p>
        </w:tc>
        <w:tc>
          <w:tcPr>
            <w:tcW w:type="dxa" w:w="75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LONG</w:t>
            </w:r>
          </w:p>
        </w:tc>
        <w:tc>
          <w:tcPr>
            <w:tcW w:type="dxa" w:w="7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21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10,530→10,589</w:t>
            </w:r>
          </w:p>
        </w:tc>
        <w:tc>
          <w:tcPr>
            <w:tcW w:type="dxa" w:w="160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+1.0R (TP1)</w:t>
            </w:r>
          </w:p>
        </w:tc>
        <w:tc>
          <w:tcPr>
            <w:tcW w:type="dxa" w:w="760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</w:tbl>
    <w:p>
      <w:pPr>
        <w:pStyle w:val="Heading2"/>
        <w:spacing w:after="80" w:before="160"/>
      </w:pPr>
      <w:r>
        <w:rPr>
          <w:b/>
          <w:bCs/>
          <w:color w:val="AD1457"/>
          <w:sz w:val="22"/>
          <w:szCs w:val="22"/>
        </w:rPr>
        <w:t xml:space="preserve">21d · What Is Working</w:t>
      </w:r>
    </w:p>
    <w:p>
      <w:pPr>
        <w:spacing w:after="120" w:before="0"/>
      </w:pPr>
      <w:r>
        <w:rPr>
          <w:sz w:val="20"/>
          <w:szCs w:val="20"/>
        </w:rPr>
        <w:t xml:space="preserve">Trade 1 over the last 5 sessions: triggered 5/5, mean R ≈ +0.14, TP1/TP2/TP3 hit rates ≈ 60% / 0% / 0% — the daily directional trade earns on trend days (16–17 Jul) but gives back on reversals (20 Jul), mirroring the range. Trade 2 over the last 5 sessions: triggered 4/5, mean R ≈ +1.00, TP1/TP2/TP3 ≈ 100% / 0% / 0% on triggered trades — the pivot breakout has been the stronger performer, catching the range-edge pushes cleanly. Trade 3C: 0 triggers — no confirmed 25-session break occurred, so it cannot be ranked. Strongest performer: Trade 2 (pivot). Weakest performer: Trade 1 (daily directional). Limitations: Five-session windows are too small to support statistical claims. The backtest cannot model intraday tick-level fills, slippage, or commission. Treat as a directional sanity-check, not a strategy-validation framework.</w:t>
      </w:r>
    </w:p>
    <w:p>
      <w:pPr>
        <w:pBdr>
          <w:bottom w:val="single" w:color="1F3864" w:sz="6"/>
        </w:pBdr>
        <w:spacing w:after="100"/>
      </w:pPr>
      <w:r>
        <w:t xml:space="preserve"/>
      </w:r>
    </w:p>
    <w:p>
      <w:pPr>
        <w:spacing w:before="80"/>
        <w:jc w:val="center"/>
      </w:pPr>
      <w:r>
        <w:rPr>
          <w:i/>
          <w:iCs/>
          <w:color w:val="555555"/>
          <w:sz w:val="16"/>
          <w:szCs w:val="16"/>
        </w:rPr>
        <w:t xml:space="preserve">FTSE 100 Daily Report │ 22 July 2026 │ Senior European Equity Strategist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55555"/>
        <w:sz w:val="14"/>
        <w:szCs w:val="14"/>
      </w:rPr>
      <w:t xml:space="preserve">FTSE 100 Daily Report │ 22 Jul 2026 │ </w:t>
    </w:r>
    <w:r>
      <w:rPr>
        <w:color w:val="555555"/>
        <w:sz w:val="14"/>
        <w:szCs w:val="14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f18cecf770f6f80c35147c8d374dc28a9e315559.png"/><Relationship Id="rId9" Type="http://schemas.openxmlformats.org/officeDocument/2006/relationships/image" Target="media/0cc47f96c8eda37d126eb863911ffc7c2e0f488b.png"/><Relationship Id="rId10" Type="http://schemas.openxmlformats.org/officeDocument/2006/relationships/image" Target="media/de3d72ba5d3f3bd1ab5506d47cc38043fdcccfa1.png"/><Relationship Id="rId11" Type="http://schemas.openxmlformats.org/officeDocument/2006/relationships/image" Target="media/1c4b99c38d81c866ef6ae403697c0bb9fb168aed.png"/><Relationship Id="rId12" Type="http://schemas.openxmlformats.org/officeDocument/2006/relationships/image" Target="media/876c5f2cdd62ce8595e25d260d23be6bc3815194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2026-07-21T22:01:33.811Z</dcterms:created>
  <dcterms:modified xsi:type="dcterms:W3CDTF">2026-07-21T22:01:33.822Z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