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jc w:val="center"/>
      </w:pPr>
      <w:r>
        <w:rPr>
          <w:b/>
          <w:bCs/>
          <w:color w:val="1F3864"/>
          <w:sz w:val="54"/>
          <w:szCs w:val="54"/>
        </w:rPr>
        <w:t xml:space="preserve">FTSE 100 Report</w:t>
      </w:r>
    </w:p>
    <w:p>
      <w:pPr>
        <w:spacing w:after="60"/>
        <w:jc w:val="center"/>
      </w:pPr>
      <w:r>
        <w:rPr>
          <w:b/>
          <w:bCs/>
          <w:color w:val="2E5E9E"/>
          <w:sz w:val="30"/>
          <w:szCs w:val="30"/>
        </w:rPr>
        <w:t xml:space="preserve">Daily: 22 May 2026</w:t>
      </w:r>
    </w:p>
    <w:p>
      <w:pPr>
        <w:spacing w:after="300"/>
        <w:jc w:val="center"/>
      </w:pPr>
      <w:r>
        <w:rPr>
          <w:i/>
          <w:iCs/>
          <w:color w:val="555555"/>
          <w:sz w:val="20"/>
          <w:szCs w:val="20"/>
        </w:rPr>
        <w:t xml:space="preserve">With reference to: EURO STOXX 50  ·  USDX  ·  S&amp;P 500  ·  DAX 40</w:t>
      </w:r>
    </w:p>
    <w:p>
      <w:pPr>
        <w:pBdr>
          <w:bottom w:val="single" w:color="2E5E9E" w:sz="6" w:space="1"/>
        </w:pBdr>
        <w:spacing w:after="120"/>
      </w:pPr>
    </w:p>
    <w:p>
      <w:pPr>
        <w:spacing w:after="40"/>
        <w:jc w:val="center"/>
      </w:pPr>
      <w:r>
        <w:rPr>
          <w:color w:val="333333"/>
          <w:sz w:val="20"/>
          <w:szCs w:val="20"/>
        </w:rPr>
        <w:t xml:space="preserve">Trading and risk review — forward-test instance</w:t>
      </w:r>
    </w:p>
    <w:p>
      <w:pPr>
        <w:spacing w:after="40"/>
        <w:jc w:val="center"/>
      </w:pPr>
      <w:r>
        <w:rPr>
          <w:color w:val="555555"/>
          <w:sz w:val="18"/>
          <w:szCs w:val="18"/>
        </w:rPr>
        <w:t xml:space="preserve">Analytical snapshot: close of Thursday 21 May 2026 (Europe/London)</w:t>
      </w:r>
    </w:p>
    <w:p>
      <w:pPr>
        <w:spacing w:after="40"/>
        <w:jc w:val="center"/>
      </w:pPr>
      <w:r>
        <w:rPr>
          <w:color w:val="555555"/>
          <w:sz w:val="18"/>
          <w:szCs w:val="18"/>
        </w:rPr>
        <w:t xml:space="preserve">Forward trade date: Friday 22 May 2026  ·  Daily-open anchor 07:00 UK</w:t>
      </w:r>
    </w:p>
    <w:p>
      <w:pPr>
        <w:spacing w:after="600"/>
        <w:jc w:val="center"/>
      </w:pPr>
      <w:r>
        <w:rPr>
          <w:color w:val="555555"/>
          <w:sz w:val="18"/>
          <w:szCs w:val="18"/>
        </w:rPr>
        <w:t xml:space="preserve">Prepared by: Senior European Equity Strategist</w:t>
      </w:r>
    </w:p>
    <w:p>
      <w:pPr>
        <w:pBdr>
          <w:top w:val="single" w:color="2E5E9E" w:sz="4"/>
          <w:left w:val="single" w:color="2E5E9E" w:sz="4"/>
          <w:bottom w:val="single" w:color="2E5E9E" w:sz="4"/>
          <w:right w:val="single" w:color="2E5E9E" w:sz="4"/>
        </w:pBdr>
        <w:shd w:fill="EEF2F8" w:val="clear"/>
        <w:spacing w:after="120" w:before="120"/>
      </w:pPr>
      <w:r>
        <w:rPr>
          <w:b/>
          <w:bCs/>
          <w:color w:val="1F3864"/>
          <w:sz w:val="16"/>
          <w:szCs w:val="16"/>
        </w:rPr>
        <w:t xml:space="preserve">Configuration note — </w:t>
      </w:r>
      <w:r>
        <w:rPr>
          <w:color w:val="333333"/>
          <w:sz w:val="16"/>
          <w:szCs w:val="16"/>
        </w:rPr>
        <w:t xml:space="preserve">the daily-open anchor for the Trade 1 directional entry has been set to 07:00 UK for this run. London cash trading opens at 08:00 UK; the 07:00 UK anchor captures the European pre-open window, giving roughly one hour of overnight futures and Asian-session context to inform direction before the cash session begins. All Trade 1 timing references in §21 reflect this 07:00 UK anchor.</w:t>
      </w:r>
    </w:p>
    <w:p>
      <w:r>
        <w:br w:type="page"/>
      </w:r>
    </w:p>
    <w:p>
      <w:pPr>
        <w:pStyle w:val="Heading1"/>
      </w:pPr>
      <w:r>
        <w:t xml:space="preserve">1.  Executive Snapshot</w:t>
      </w:r>
    </w:p>
    <w:p>
      <w:pPr>
        <w:pBdr>
          <w:bottom w:val="single" w:color="2E5E9E" w:sz="6" w:space="1"/>
        </w:pBdr>
        <w:spacing w:after="120"/>
      </w:pPr>
    </w:p>
    <w:p>
      <w:pPr>
        <w:spacing w:after="120" w:line="276"/>
        <w:jc w:val="both"/>
      </w:pPr>
      <w:r>
        <w:t xml:space="preserve">The FTSE 100 cash index closed Thursday 21 May 2026 at </w:t>
      </w:r>
      <w:r>
        <w:rPr>
          <w:b/>
          <w:bCs/>
        </w:rPr>
        <w:t xml:space="preserve">10,443.47 points</w:t>
      </w:r>
      <w:r>
        <w:t xml:space="preserve">, up roughly 0.11% on the session and capping a sharp three-day rebound of about 444 points (4.4%) from the 9,999–10,005 trough printed on 15–18 May. The most defensible consensus level for the 22 May open is a cash index of </w:t>
      </w:r>
      <w:r>
        <w:rPr>
          <w:b/>
          <w:bCs/>
        </w:rPr>
        <w:t xml:space="preserve">10,443 points</w:t>
      </w:r>
      <w:r>
        <w:t xml:space="preserve"> with a working range of 10,410–10,475, confidence Medium. Market tone is </w:t>
      </w:r>
      <w:r>
        <w:rPr>
          <w:b/>
          <w:bCs/>
        </w:rPr>
        <w:t xml:space="preserve">cautiously constructive but unconfirmed</w:t>
      </w:r>
      <w:r>
        <w:t xml:space="preserve">. Three drivers dominate: (i) a powerful relief rally as US–Iran de-escalation headlines and a softer-than-expected UK CPI print revived risk appetite; (ii) heavy energy-sector weighting (Shell, BP) cushioning the index while Brent holds near four-year highs above $104; and (iii) sterling weakness and elevated UK gilt yields, which simultaneously pressure domestic confidence and lift the FTSE's overseas-earnings translation. Short-term technical state is </w:t>
      </w:r>
      <w:r>
        <w:rPr>
          <w:b/>
          <w:bCs/>
          <w:color w:val="2E7D4F"/>
        </w:rPr>
        <w:t xml:space="preserve">Trending — Bullish</w:t>
      </w:r>
      <w:r>
        <w:t xml:space="preserve">; the medium-term 25-session structure is </w:t>
      </w:r>
      <w:r>
        <w:rPr>
          <w:b/>
          <w:bCs/>
          <w:color w:val="2E7D4F"/>
        </w:rPr>
        <w:t xml:space="preserve">Transitional — Mixed</w:t>
      </w:r>
      <w:r>
        <w:t xml:space="preserve">, with the index having round-tripped from 10,560 down to 10,000 and back to 10,443. The Kaufman Efficiency Ratio reads −0.07 (smoothed) — a </w:t>
      </w:r>
      <w:r>
        <w:rPr>
          <w:b/>
          <w:bCs/>
        </w:rPr>
        <w:t xml:space="preserve">Ranging — Neutral</w:t>
      </w:r>
      <w:r>
        <w:t xml:space="preserve"> classification reflecting the directionless net path despite the violent swings within it. The single most important watch item is the </w:t>
      </w:r>
      <w:r>
        <w:rPr>
          <w:b/>
          <w:bCs/>
        </w:rPr>
        <w:t xml:space="preserve">Bank of England policy meeting and the US–Iran negotiation track</w:t>
      </w:r>
      <w:r>
        <w:t xml:space="preserve"> over the coming week — either could decisively confirm or invalidate the rebound. The directional conviction model (see §21a) resolves </w:t>
      </w:r>
      <w:r>
        <w:rPr>
          <w:b/>
          <w:bCs/>
          <w:color w:val="9B2D6E"/>
        </w:rPr>
        <w:t xml:space="preserve">LONG with a score of +0.44</w:t>
      </w:r>
      <w:r>
        <w:t xml:space="preserve">, driven by the strong five-day technical thrust.</w:t>
      </w:r>
    </w:p>
    <w:p>
      <w:pPr>
        <w:pStyle w:val="Heading1"/>
      </w:pPr>
      <w:r>
        <w:t xml:space="preserve">2.  Market Definition</w:t>
      </w:r>
    </w:p>
    <w:p>
      <w:pPr>
        <w:pBdr>
          <w:bottom w:val="single" w:color="2E5E9E" w:sz="6" w:space="1"/>
        </w:pBdr>
        <w:spacing w:after="120"/>
      </w:pPr>
    </w:p>
    <w:p>
      <w:pPr>
        <w:spacing w:after="120" w:line="276"/>
        <w:jc w:val="both"/>
      </w:pPr>
      <w:r>
        <w:t xml:space="preserve">This report analyses the FTSE 100 cash index (the UK large-cap benchmark of 100 London-listed constituents, approximately 81% of UK market capitalisation, roughly 80% multinational revenue exposure), with the EURO STOXX 50 carried as the designated Eurozone comparator. Both indices receive a full validated OHLC table in §6.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BBBBBB" w:sz="1"/>
              <w:left w:val="single" w:color="BBBBBB" w:sz="1"/>
              <w:bottom w:val="single" w:color="BBBBBB" w:sz="1"/>
              <w:right w:val="single" w:color="BBBBBB" w:sz="1"/>
            </w:tcBorders>
            <w:shd w:fill="1F3864" w:val="clear"/>
            <w:tcMar>
              <w:top w:type="dxa" w:w="70"/>
              <w:left w:type="dxa" w:w="110"/>
              <w:bottom w:type="dxa" w:w="70"/>
              <w:right w:type="dxa" w:w="110"/>
            </w:tcMar>
          </w:tcPr>
          <w:p>
            <w:pPr>
              <w:jc w:val="left"/>
            </w:pPr>
            <w:r>
              <w:rPr>
                <w:b/>
                <w:bCs/>
                <w:color w:val="FFFFFF"/>
                <w:sz w:val="16"/>
                <w:szCs w:val="16"/>
              </w:rPr>
              <w:t xml:space="preserve">Parameter</w:t>
            </w:r>
          </w:p>
        </w:tc>
        <w:tc>
          <w:tcPr>
            <w:tcW w:type="dxa" w:w="6660"/>
            <w:tcBorders>
              <w:top w:val="single" w:color="BBBBBB" w:sz="1"/>
              <w:left w:val="single" w:color="BBBBBB" w:sz="1"/>
              <w:bottom w:val="single" w:color="BBBBBB" w:sz="1"/>
              <w:right w:val="single" w:color="BBBBBB" w:sz="1"/>
            </w:tcBorders>
            <w:shd w:fill="1F3864" w:val="clear"/>
            <w:tcMar>
              <w:top w:type="dxa" w:w="70"/>
              <w:left w:type="dxa" w:w="110"/>
              <w:bottom w:type="dxa" w:w="70"/>
              <w:right w:type="dxa" w:w="110"/>
            </w:tcMar>
          </w:tcPr>
          <w:p>
            <w:pPr>
              <w:jc w:val="left"/>
            </w:pPr>
            <w:r>
              <w:rPr>
                <w:b/>
                <w:bCs/>
                <w:color w:val="FFFFFF"/>
                <w:sz w:val="16"/>
                <w:szCs w:val="16"/>
              </w:rPr>
              <w:t xml:space="preserve">Specification</w:t>
            </w:r>
          </w:p>
        </w:tc>
      </w:tr>
      <w:tr>
        <w:trPr>
          <w:cantSplit/>
        </w:trPr>
        <w:tc>
          <w:tcPr>
            <w:tcW w:type="dxa" w:w="27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Primary asset</w:t>
            </w:r>
          </w:p>
        </w:tc>
        <w:tc>
          <w:tcPr>
            <w:tcW w:type="dxa" w:w="66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FTSE 100 cash index (London Stock Exchange)</w:t>
            </w:r>
          </w:p>
        </w:tc>
      </w:tr>
      <w:tr>
        <w:trPr>
          <w:cantSplit/>
        </w:trPr>
        <w:tc>
          <w:tcPr>
            <w:tcW w:type="dxa" w:w="2700"/>
            <w:tcBorders>
              <w:top w:val="single" w:color="BBBBBB" w:sz="1"/>
              <w:left w:val="single" w:color="BBBBBB" w:sz="1"/>
              <w:bottom w:val="single" w:color="BBBBBB" w:sz="1"/>
              <w:right w:val="single" w:color="BBBBBB" w:sz="1"/>
            </w:tcBorders>
            <w:shd w:fill="F4F4F4" w:val="clear"/>
            <w:tcMar>
              <w:top w:type="dxa" w:w="70"/>
              <w:left w:type="dxa" w:w="110"/>
              <w:bottom w:type="dxa" w:w="70"/>
              <w:right w:type="dxa" w:w="110"/>
            </w:tcMar>
          </w:tcPr>
          <w:p>
            <w:pPr>
              <w:jc w:val="left"/>
            </w:pPr>
            <w:r>
              <w:rPr>
                <w:b w:val="false"/>
                <w:bCs w:val="false"/>
                <w:color w:val="222222"/>
                <w:sz w:val="15"/>
                <w:szCs w:val="15"/>
              </w:rPr>
              <w:t xml:space="preserve">Secondary / comparator</w:t>
            </w:r>
          </w:p>
        </w:tc>
        <w:tc>
          <w:tcPr>
            <w:tcW w:type="dxa" w:w="6660"/>
            <w:tcBorders>
              <w:top w:val="single" w:color="BBBBBB" w:sz="1"/>
              <w:left w:val="single" w:color="BBBBBB" w:sz="1"/>
              <w:bottom w:val="single" w:color="BBBBBB" w:sz="1"/>
              <w:right w:val="single" w:color="BBBBBB" w:sz="1"/>
            </w:tcBorders>
            <w:shd w:fill="F4F4F4" w:val="clear"/>
            <w:tcMar>
              <w:top w:type="dxa" w:w="70"/>
              <w:left w:type="dxa" w:w="110"/>
              <w:bottom w:type="dxa" w:w="70"/>
              <w:right w:type="dxa" w:w="110"/>
            </w:tcMar>
          </w:tcPr>
          <w:p>
            <w:pPr>
              <w:jc w:val="left"/>
            </w:pPr>
            <w:r>
              <w:rPr>
                <w:b w:val="false"/>
                <w:bCs w:val="false"/>
                <w:color w:val="222222"/>
                <w:sz w:val="15"/>
                <w:szCs w:val="15"/>
              </w:rPr>
              <w:t xml:space="preserve">EURO STOXX 50 — Eurozone large-cap blue-chip index</w:t>
            </w:r>
          </w:p>
        </w:tc>
      </w:tr>
      <w:tr>
        <w:trPr>
          <w:cantSplit/>
        </w:trPr>
        <w:tc>
          <w:tcPr>
            <w:tcW w:type="dxa" w:w="27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Product specification</w:t>
            </w:r>
          </w:p>
        </w:tc>
        <w:tc>
          <w:tcPr>
            <w:tcW w:type="dxa" w:w="66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FTSE 100 cash index, GBP-denominated, free-float capitalisation-weighted; FTSE Russell methodology, quarterly review</w:t>
            </w:r>
          </w:p>
        </w:tc>
      </w:tr>
      <w:tr>
        <w:trPr>
          <w:cantSplit/>
        </w:trPr>
        <w:tc>
          <w:tcPr>
            <w:tcW w:type="dxa" w:w="2700"/>
            <w:tcBorders>
              <w:top w:val="single" w:color="BBBBBB" w:sz="1"/>
              <w:left w:val="single" w:color="BBBBBB" w:sz="1"/>
              <w:bottom w:val="single" w:color="BBBBBB" w:sz="1"/>
              <w:right w:val="single" w:color="BBBBBB" w:sz="1"/>
            </w:tcBorders>
            <w:shd w:fill="F4F4F4" w:val="clear"/>
            <w:tcMar>
              <w:top w:type="dxa" w:w="70"/>
              <w:left w:type="dxa" w:w="110"/>
              <w:bottom w:type="dxa" w:w="70"/>
              <w:right w:type="dxa" w:w="110"/>
            </w:tcMar>
          </w:tcPr>
          <w:p>
            <w:pPr>
              <w:jc w:val="left"/>
            </w:pPr>
            <w:r>
              <w:rPr>
                <w:b w:val="false"/>
                <w:bCs w:val="false"/>
                <w:color w:val="222222"/>
                <w:sz w:val="15"/>
                <w:szCs w:val="15"/>
              </w:rPr>
              <w:t xml:space="preserve">Asset class / scope</w:t>
            </w:r>
          </w:p>
        </w:tc>
        <w:tc>
          <w:tcPr>
            <w:tcW w:type="dxa" w:w="6660"/>
            <w:tcBorders>
              <w:top w:val="single" w:color="BBBBBB" w:sz="1"/>
              <w:left w:val="single" w:color="BBBBBB" w:sz="1"/>
              <w:bottom w:val="single" w:color="BBBBBB" w:sz="1"/>
              <w:right w:val="single" w:color="BBBBBB" w:sz="1"/>
            </w:tcBorders>
            <w:shd w:fill="F4F4F4" w:val="clear"/>
            <w:tcMar>
              <w:top w:type="dxa" w:w="70"/>
              <w:left w:type="dxa" w:w="110"/>
              <w:bottom w:type="dxa" w:w="70"/>
              <w:right w:type="dxa" w:w="110"/>
            </w:tcMar>
          </w:tcPr>
          <w:p>
            <w:pPr>
              <w:jc w:val="left"/>
            </w:pPr>
            <w:r>
              <w:rPr>
                <w:b w:val="false"/>
                <w:bCs w:val="false"/>
                <w:color w:val="222222"/>
                <w:sz w:val="15"/>
                <w:szCs w:val="15"/>
              </w:rPr>
              <w:t xml:space="preserve">Equity Index — Large-Cap European; regional (UK + Eurozone)</w:t>
            </w:r>
          </w:p>
        </w:tc>
      </w:tr>
      <w:tr>
        <w:trPr>
          <w:cantSplit/>
        </w:trPr>
        <w:tc>
          <w:tcPr>
            <w:tcW w:type="dxa" w:w="27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Price basis</w:t>
            </w:r>
          </w:p>
        </w:tc>
        <w:tc>
          <w:tcPr>
            <w:tcW w:type="dxa" w:w="66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Cash index level (continuous), regular trading session</w:t>
            </w:r>
          </w:p>
        </w:tc>
      </w:tr>
      <w:tr>
        <w:trPr>
          <w:cantSplit/>
        </w:trPr>
        <w:tc>
          <w:tcPr>
            <w:tcW w:type="dxa" w:w="2700"/>
            <w:tcBorders>
              <w:top w:val="single" w:color="BBBBBB" w:sz="1"/>
              <w:left w:val="single" w:color="BBBBBB" w:sz="1"/>
              <w:bottom w:val="single" w:color="BBBBBB" w:sz="1"/>
              <w:right w:val="single" w:color="BBBBBB" w:sz="1"/>
            </w:tcBorders>
            <w:shd w:fill="F4F4F4" w:val="clear"/>
            <w:tcMar>
              <w:top w:type="dxa" w:w="70"/>
              <w:left w:type="dxa" w:w="110"/>
              <w:bottom w:type="dxa" w:w="70"/>
              <w:right w:type="dxa" w:w="110"/>
            </w:tcMar>
          </w:tcPr>
          <w:p>
            <w:pPr>
              <w:jc w:val="left"/>
            </w:pPr>
            <w:r>
              <w:rPr>
                <w:b w:val="false"/>
                <w:bCs w:val="false"/>
                <w:color w:val="222222"/>
                <w:sz w:val="15"/>
                <w:szCs w:val="15"/>
              </w:rPr>
              <w:t xml:space="preserve">Delivery basis</w:t>
            </w:r>
          </w:p>
        </w:tc>
        <w:tc>
          <w:tcPr>
            <w:tcW w:type="dxa" w:w="6660"/>
            <w:tcBorders>
              <w:top w:val="single" w:color="BBBBBB" w:sz="1"/>
              <w:left w:val="single" w:color="BBBBBB" w:sz="1"/>
              <w:bottom w:val="single" w:color="BBBBBB" w:sz="1"/>
              <w:right w:val="single" w:color="BBBBBB" w:sz="1"/>
            </w:tcBorders>
            <w:shd w:fill="F4F4F4" w:val="clear"/>
            <w:tcMar>
              <w:top w:type="dxa" w:w="70"/>
              <w:left w:type="dxa" w:w="110"/>
              <w:bottom w:type="dxa" w:w="70"/>
              <w:right w:type="dxa" w:w="110"/>
            </w:tcMar>
          </w:tcPr>
          <w:p>
            <w:pPr>
              <w:jc w:val="left"/>
            </w:pPr>
            <w:r>
              <w:rPr>
                <w:b w:val="false"/>
                <w:bCs w:val="false"/>
                <w:color w:val="222222"/>
                <w:sz w:val="15"/>
                <w:szCs w:val="15"/>
              </w:rPr>
              <w:t xml:space="preserve">LSE regular session 08:00–16:30 UK (FTSE); Xetra 09:00–17:30 CET (EURO STOXX 50)</w:t>
            </w:r>
          </w:p>
        </w:tc>
      </w:tr>
      <w:tr>
        <w:trPr>
          <w:cantSplit/>
        </w:trPr>
        <w:tc>
          <w:tcPr>
            <w:tcW w:type="dxa" w:w="27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Unit of measure</w:t>
            </w:r>
          </w:p>
        </w:tc>
        <w:tc>
          <w:tcPr>
            <w:tcW w:type="dxa" w:w="66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Index points  ·  tick size 0.01  ·  native unit: point</w:t>
            </w:r>
          </w:p>
        </w:tc>
      </w:tr>
      <w:tr>
        <w:trPr>
          <w:cantSplit/>
        </w:trPr>
        <w:tc>
          <w:tcPr>
            <w:tcW w:type="dxa" w:w="2700"/>
            <w:tcBorders>
              <w:top w:val="single" w:color="BBBBBB" w:sz="1"/>
              <w:left w:val="single" w:color="BBBBBB" w:sz="1"/>
              <w:bottom w:val="single" w:color="BBBBBB" w:sz="1"/>
              <w:right w:val="single" w:color="BBBBBB" w:sz="1"/>
            </w:tcBorders>
            <w:shd w:fill="F4F4F4" w:val="clear"/>
            <w:tcMar>
              <w:top w:type="dxa" w:w="70"/>
              <w:left w:type="dxa" w:w="110"/>
              <w:bottom w:type="dxa" w:w="70"/>
              <w:right w:type="dxa" w:w="110"/>
            </w:tcMar>
          </w:tcPr>
          <w:p>
            <w:pPr>
              <w:jc w:val="left"/>
            </w:pPr>
            <w:r>
              <w:rPr>
                <w:b w:val="false"/>
                <w:bCs w:val="false"/>
                <w:color w:val="222222"/>
                <w:sz w:val="15"/>
                <w:szCs w:val="15"/>
              </w:rPr>
              <w:t xml:space="preserve">Currency</w:t>
            </w:r>
          </w:p>
        </w:tc>
        <w:tc>
          <w:tcPr>
            <w:tcW w:type="dxa" w:w="6660"/>
            <w:tcBorders>
              <w:top w:val="single" w:color="BBBBBB" w:sz="1"/>
              <w:left w:val="single" w:color="BBBBBB" w:sz="1"/>
              <w:bottom w:val="single" w:color="BBBBBB" w:sz="1"/>
              <w:right w:val="single" w:color="BBBBBB" w:sz="1"/>
            </w:tcBorders>
            <w:shd w:fill="F4F4F4" w:val="clear"/>
            <w:tcMar>
              <w:top w:type="dxa" w:w="70"/>
              <w:left w:type="dxa" w:w="110"/>
              <w:bottom w:type="dxa" w:w="70"/>
              <w:right w:type="dxa" w:w="110"/>
            </w:tcMar>
          </w:tcPr>
          <w:p>
            <w:pPr>
              <w:jc w:val="left"/>
            </w:pPr>
            <w:r>
              <w:rPr>
                <w:b w:val="false"/>
                <w:bCs w:val="false"/>
                <w:color w:val="222222"/>
                <w:sz w:val="15"/>
                <w:szCs w:val="15"/>
              </w:rPr>
              <w:t xml:space="preserve">GBP (FTSE). EURO STOXX 50 reported in EUR original.</w:t>
            </w:r>
          </w:p>
        </w:tc>
      </w:tr>
      <w:tr>
        <w:trPr>
          <w:cantSplit/>
        </w:trPr>
        <w:tc>
          <w:tcPr>
            <w:tcW w:type="dxa" w:w="27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As-of snapshot</w:t>
            </w:r>
          </w:p>
        </w:tc>
        <w:tc>
          <w:tcPr>
            <w:tcW w:type="dxa" w:w="66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Close of Thursday 21 May 2026 — Europe/London</w:t>
            </w:r>
          </w:p>
        </w:tc>
      </w:tr>
      <w:tr>
        <w:trPr>
          <w:cantSplit/>
        </w:trPr>
        <w:tc>
          <w:tcPr>
            <w:tcW w:type="dxa" w:w="2700"/>
            <w:tcBorders>
              <w:top w:val="single" w:color="BBBBBB" w:sz="1"/>
              <w:left w:val="single" w:color="BBBBBB" w:sz="1"/>
              <w:bottom w:val="single" w:color="BBBBBB" w:sz="1"/>
              <w:right w:val="single" w:color="BBBBBB" w:sz="1"/>
            </w:tcBorders>
            <w:shd w:fill="F4F4F4" w:val="clear"/>
            <w:tcMar>
              <w:top w:type="dxa" w:w="70"/>
              <w:left w:type="dxa" w:w="110"/>
              <w:bottom w:type="dxa" w:w="70"/>
              <w:right w:type="dxa" w:w="110"/>
            </w:tcMar>
          </w:tcPr>
          <w:p>
            <w:pPr>
              <w:jc w:val="left"/>
            </w:pPr>
            <w:r>
              <w:rPr>
                <w:b w:val="false"/>
                <w:bCs w:val="false"/>
                <w:color w:val="222222"/>
                <w:sz w:val="15"/>
                <w:szCs w:val="15"/>
              </w:rPr>
              <w:t xml:space="preserve">Forward trade date</w:t>
            </w:r>
          </w:p>
        </w:tc>
        <w:tc>
          <w:tcPr>
            <w:tcW w:type="dxa" w:w="6660"/>
            <w:tcBorders>
              <w:top w:val="single" w:color="BBBBBB" w:sz="1"/>
              <w:left w:val="single" w:color="BBBBBB" w:sz="1"/>
              <w:bottom w:val="single" w:color="BBBBBB" w:sz="1"/>
              <w:right w:val="single" w:color="BBBBBB" w:sz="1"/>
            </w:tcBorders>
            <w:shd w:fill="F4F4F4" w:val="clear"/>
            <w:tcMar>
              <w:top w:type="dxa" w:w="70"/>
              <w:left w:type="dxa" w:w="110"/>
              <w:bottom w:type="dxa" w:w="70"/>
              <w:right w:type="dxa" w:w="110"/>
            </w:tcMar>
          </w:tcPr>
          <w:p>
            <w:pPr>
              <w:jc w:val="left"/>
            </w:pPr>
            <w:r>
              <w:rPr>
                <w:b w:val="false"/>
                <w:bCs w:val="false"/>
                <w:color w:val="222222"/>
                <w:sz w:val="15"/>
                <w:szCs w:val="15"/>
              </w:rPr>
              <w:t xml:space="preserve">Friday 22 May 2026</w:t>
            </w:r>
          </w:p>
        </w:tc>
      </w:tr>
      <w:tr>
        <w:trPr>
          <w:cantSplit/>
        </w:trPr>
        <w:tc>
          <w:tcPr>
            <w:tcW w:type="dxa" w:w="27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Lookback window</w:t>
            </w:r>
          </w:p>
        </w:tc>
        <w:tc>
          <w:tcPr>
            <w:tcW w:type="dxa" w:w="66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5 trading sessions (execution); 25 sessions (regime)</w:t>
            </w:r>
          </w:p>
        </w:tc>
      </w:tr>
      <w:tr>
        <w:trPr>
          <w:cantSplit/>
        </w:trPr>
        <w:tc>
          <w:tcPr>
            <w:tcW w:type="dxa" w:w="2700"/>
            <w:tcBorders>
              <w:top w:val="single" w:color="BBBBBB" w:sz="1"/>
              <w:left w:val="single" w:color="BBBBBB" w:sz="1"/>
              <w:bottom w:val="single" w:color="BBBBBB" w:sz="1"/>
              <w:right w:val="single" w:color="BBBBBB" w:sz="1"/>
            </w:tcBorders>
            <w:shd w:fill="F4F4F4" w:val="clear"/>
            <w:tcMar>
              <w:top w:type="dxa" w:w="70"/>
              <w:left w:type="dxa" w:w="110"/>
              <w:bottom w:type="dxa" w:w="70"/>
              <w:right w:type="dxa" w:w="110"/>
            </w:tcMar>
          </w:tcPr>
          <w:p>
            <w:pPr>
              <w:jc w:val="left"/>
            </w:pPr>
            <w:r>
              <w:rPr>
                <w:b w:val="false"/>
                <w:bCs w:val="false"/>
                <w:color w:val="222222"/>
                <w:sz w:val="15"/>
                <w:szCs w:val="15"/>
              </w:rPr>
              <w:t xml:space="preserve">Decision use case</w:t>
            </w:r>
          </w:p>
        </w:tc>
        <w:tc>
          <w:tcPr>
            <w:tcW w:type="dxa" w:w="6660"/>
            <w:tcBorders>
              <w:top w:val="single" w:color="BBBBBB" w:sz="1"/>
              <w:left w:val="single" w:color="BBBBBB" w:sz="1"/>
              <w:bottom w:val="single" w:color="BBBBBB" w:sz="1"/>
              <w:right w:val="single" w:color="BBBBBB" w:sz="1"/>
            </w:tcBorders>
            <w:shd w:fill="F4F4F4" w:val="clear"/>
            <w:tcMar>
              <w:top w:type="dxa" w:w="70"/>
              <w:left w:type="dxa" w:w="110"/>
              <w:bottom w:type="dxa" w:w="70"/>
              <w:right w:type="dxa" w:w="110"/>
            </w:tcMar>
          </w:tcPr>
          <w:p>
            <w:pPr>
              <w:jc w:val="left"/>
            </w:pPr>
            <w:r>
              <w:rPr>
                <w:b w:val="false"/>
                <w:bCs w:val="false"/>
                <w:color w:val="222222"/>
                <w:sz w:val="15"/>
                <w:szCs w:val="15"/>
              </w:rPr>
              <w:t xml:space="preserve">Trading and risk review — forward-test, strategies enabled</w:t>
            </w:r>
          </w:p>
        </w:tc>
      </w:tr>
    </w:tbl>
    <w:p>
      <w:r>
        <w:br w:type="page"/>
      </w:r>
    </w:p>
    <w:p>
      <w:pPr>
        <w:pStyle w:val="Heading1"/>
      </w:pPr>
      <w:r>
        <w:t xml:space="preserve">3.  Consensus Price Call</w:t>
      </w:r>
    </w:p>
    <w:p>
      <w:pPr>
        <w:pBdr>
          <w:bottom w:val="single" w:color="2E5E9E" w:sz="6" w:space="1"/>
        </w:pBd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BBBBBB" w:sz="1"/>
              <w:left w:val="single" w:color="BBBBBB" w:sz="1"/>
              <w:bottom w:val="single" w:color="BBBBBB" w:sz="1"/>
              <w:right w:val="single" w:color="BBBBBB" w:sz="1"/>
            </w:tcBorders>
            <w:shd w:fill="1F3864" w:val="clear"/>
            <w:tcMar>
              <w:top w:type="dxa" w:w="70"/>
              <w:left w:type="dxa" w:w="110"/>
              <w:bottom w:type="dxa" w:w="70"/>
              <w:right w:type="dxa" w:w="110"/>
            </w:tcMar>
          </w:tcPr>
          <w:p>
            <w:pPr>
              <w:jc w:val="left"/>
            </w:pPr>
            <w:r>
              <w:rPr>
                <w:b/>
                <w:bCs/>
                <w:color w:val="FFFFFF"/>
                <w:sz w:val="16"/>
                <w:szCs w:val="16"/>
              </w:rPr>
              <w:t xml:space="preserve">Metric</w:t>
            </w:r>
          </w:p>
        </w:tc>
        <w:tc>
          <w:tcPr>
            <w:tcW w:type="dxa" w:w="6660"/>
            <w:tcBorders>
              <w:top w:val="single" w:color="BBBBBB" w:sz="1"/>
              <w:left w:val="single" w:color="BBBBBB" w:sz="1"/>
              <w:bottom w:val="single" w:color="BBBBBB" w:sz="1"/>
              <w:right w:val="single" w:color="BBBBBB" w:sz="1"/>
            </w:tcBorders>
            <w:shd w:fill="1F3864" w:val="clear"/>
            <w:tcMar>
              <w:top w:type="dxa" w:w="70"/>
              <w:left w:type="dxa" w:w="110"/>
              <w:bottom w:type="dxa" w:w="70"/>
              <w:right w:type="dxa" w:w="110"/>
            </w:tcMar>
          </w:tcPr>
          <w:p>
            <w:pPr>
              <w:jc w:val="left"/>
            </w:pPr>
            <w:r>
              <w:rPr>
                <w:b/>
                <w:bCs/>
                <w:color w:val="FFFFFF"/>
                <w:sz w:val="16"/>
                <w:szCs w:val="16"/>
              </w:rPr>
              <w:t xml:space="preserve">Value</w:t>
            </w:r>
          </w:p>
        </w:tc>
      </w:tr>
      <w:tr>
        <w:trPr>
          <w:cantSplit/>
        </w:trPr>
        <w:tc>
          <w:tcPr>
            <w:tcW w:type="dxa" w:w="27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bCs/>
                <w:color w:val="222222"/>
                <w:sz w:val="15"/>
                <w:szCs w:val="15"/>
              </w:rPr>
              <w:t xml:space="preserve">Consensus price</w:t>
            </w:r>
          </w:p>
        </w:tc>
        <w:tc>
          <w:tcPr>
            <w:tcW w:type="dxa" w:w="66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bCs/>
                <w:color w:val="222222"/>
                <w:sz w:val="15"/>
                <w:szCs w:val="15"/>
              </w:rPr>
              <w:t xml:space="preserve">10,443 index points (FTSE 100 cash)</w:t>
            </w:r>
          </w:p>
        </w:tc>
      </w:tr>
      <w:tr>
        <w:trPr>
          <w:cantSplit/>
        </w:trPr>
        <w:tc>
          <w:tcPr>
            <w:tcW w:type="dxa" w:w="2700"/>
            <w:tcBorders>
              <w:top w:val="single" w:color="BBBBBB" w:sz="1"/>
              <w:left w:val="single" w:color="BBBBBB" w:sz="1"/>
              <w:bottom w:val="single" w:color="BBBBBB" w:sz="1"/>
              <w:right w:val="single" w:color="BBBBBB" w:sz="1"/>
            </w:tcBorders>
            <w:shd w:fill="F4F4F4" w:val="clear"/>
            <w:tcMar>
              <w:top w:type="dxa" w:w="70"/>
              <w:left w:type="dxa" w:w="110"/>
              <w:bottom w:type="dxa" w:w="70"/>
              <w:right w:type="dxa" w:w="110"/>
            </w:tcMar>
          </w:tcPr>
          <w:p>
            <w:pPr>
              <w:jc w:val="left"/>
            </w:pPr>
            <w:r>
              <w:rPr>
                <w:b w:val="false"/>
                <w:bCs w:val="false"/>
                <w:color w:val="222222"/>
                <w:sz w:val="15"/>
                <w:szCs w:val="15"/>
              </w:rPr>
              <w:t xml:space="preserve">Consensus range</w:t>
            </w:r>
          </w:p>
        </w:tc>
        <w:tc>
          <w:tcPr>
            <w:tcW w:type="dxa" w:w="6660"/>
            <w:tcBorders>
              <w:top w:val="single" w:color="BBBBBB" w:sz="1"/>
              <w:left w:val="single" w:color="BBBBBB" w:sz="1"/>
              <w:bottom w:val="single" w:color="BBBBBB" w:sz="1"/>
              <w:right w:val="single" w:color="BBBBBB" w:sz="1"/>
            </w:tcBorders>
            <w:shd w:fill="F4F4F4" w:val="clear"/>
            <w:tcMar>
              <w:top w:type="dxa" w:w="70"/>
              <w:left w:type="dxa" w:w="110"/>
              <w:bottom w:type="dxa" w:w="70"/>
              <w:right w:type="dxa" w:w="110"/>
            </w:tcMar>
          </w:tcPr>
          <w:p>
            <w:pPr>
              <w:jc w:val="left"/>
            </w:pPr>
            <w:r>
              <w:rPr>
                <w:b w:val="false"/>
                <w:bCs w:val="false"/>
                <w:color w:val="222222"/>
                <w:sz w:val="15"/>
                <w:szCs w:val="15"/>
              </w:rPr>
              <w:t xml:space="preserve">10,410 – 10,475 points</w:t>
            </w:r>
          </w:p>
        </w:tc>
      </w:tr>
      <w:tr>
        <w:trPr>
          <w:cantSplit/>
        </w:trPr>
        <w:tc>
          <w:tcPr>
            <w:tcW w:type="dxa" w:w="27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Price basis</w:t>
            </w:r>
          </w:p>
        </w:tc>
        <w:tc>
          <w:tcPr>
            <w:tcW w:type="dxa" w:w="66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Cash index level, close of 21 May 2026 / pre-open 22 May 2026</w:t>
            </w:r>
          </w:p>
        </w:tc>
      </w:tr>
      <w:tr>
        <w:trPr>
          <w:cantSplit/>
        </w:trPr>
        <w:tc>
          <w:tcPr>
            <w:tcW w:type="dxa" w:w="2700"/>
            <w:tcBorders>
              <w:top w:val="single" w:color="BBBBBB" w:sz="1"/>
              <w:left w:val="single" w:color="BBBBBB" w:sz="1"/>
              <w:bottom w:val="single" w:color="BBBBBB" w:sz="1"/>
              <w:right w:val="single" w:color="BBBBBB" w:sz="1"/>
            </w:tcBorders>
            <w:shd w:fill="F4F4F4" w:val="clear"/>
            <w:tcMar>
              <w:top w:type="dxa" w:w="70"/>
              <w:left w:type="dxa" w:w="110"/>
              <w:bottom w:type="dxa" w:w="70"/>
              <w:right w:type="dxa" w:w="110"/>
            </w:tcMar>
          </w:tcPr>
          <w:p>
            <w:pPr>
              <w:jc w:val="left"/>
            </w:pPr>
            <w:r>
              <w:rPr>
                <w:b w:val="false"/>
                <w:bCs w:val="false"/>
                <w:color w:val="222222"/>
                <w:sz w:val="15"/>
                <w:szCs w:val="15"/>
              </w:rPr>
              <w:t xml:space="preserve">Confidence level</w:t>
            </w:r>
          </w:p>
        </w:tc>
        <w:tc>
          <w:tcPr>
            <w:tcW w:type="dxa" w:w="6660"/>
            <w:tcBorders>
              <w:top w:val="single" w:color="BBBBBB" w:sz="1"/>
              <w:left w:val="single" w:color="BBBBBB" w:sz="1"/>
              <w:bottom w:val="single" w:color="BBBBBB" w:sz="1"/>
              <w:right w:val="single" w:color="BBBBBB" w:sz="1"/>
            </w:tcBorders>
            <w:shd w:fill="F4F4F4" w:val="clear"/>
            <w:tcMar>
              <w:top w:type="dxa" w:w="70"/>
              <w:left w:type="dxa" w:w="110"/>
              <w:bottom w:type="dxa" w:w="70"/>
              <w:right w:type="dxa" w:w="110"/>
            </w:tcMar>
          </w:tcPr>
          <w:p>
            <w:pPr>
              <w:jc w:val="left"/>
            </w:pPr>
            <w:r>
              <w:rPr>
                <w:b/>
                <w:bCs/>
                <w:color w:val="B06A00"/>
                <w:sz w:val="15"/>
                <w:szCs w:val="15"/>
              </w:rPr>
              <w:t xml:space="preserve">Medium</w:t>
            </w:r>
          </w:p>
        </w:tc>
      </w:tr>
      <w:tr>
        <w:trPr>
          <w:cantSplit/>
        </w:trPr>
        <w:tc>
          <w:tcPr>
            <w:tcW w:type="dxa" w:w="27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Market tone</w:t>
            </w:r>
          </w:p>
        </w:tc>
        <w:tc>
          <w:tcPr>
            <w:tcW w:type="dxa" w:w="66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Cautiously bullish — rebound intact but not yet confirmed</w:t>
            </w:r>
          </w:p>
        </w:tc>
      </w:tr>
      <w:tr>
        <w:trPr>
          <w:cantSplit/>
        </w:trPr>
        <w:tc>
          <w:tcPr>
            <w:tcW w:type="dxa" w:w="2700"/>
            <w:tcBorders>
              <w:top w:val="single" w:color="BBBBBB" w:sz="1"/>
              <w:left w:val="single" w:color="BBBBBB" w:sz="1"/>
              <w:bottom w:val="single" w:color="BBBBBB" w:sz="1"/>
              <w:right w:val="single" w:color="BBBBBB" w:sz="1"/>
            </w:tcBorders>
            <w:shd w:fill="F4F4F4" w:val="clear"/>
            <w:tcMar>
              <w:top w:type="dxa" w:w="70"/>
              <w:left w:type="dxa" w:w="110"/>
              <w:bottom w:type="dxa" w:w="70"/>
              <w:right w:type="dxa" w:w="110"/>
            </w:tcMar>
          </w:tcPr>
          <w:p>
            <w:pPr>
              <w:jc w:val="left"/>
            </w:pPr>
            <w:r>
              <w:rPr>
                <w:b w:val="false"/>
                <w:bCs w:val="false"/>
                <w:color w:val="222222"/>
                <w:sz w:val="15"/>
                <w:szCs w:val="15"/>
              </w:rPr>
              <w:t xml:space="preserve">Rationale</w:t>
            </w:r>
          </w:p>
        </w:tc>
        <w:tc>
          <w:tcPr>
            <w:tcW w:type="dxa" w:w="6660"/>
            <w:tcBorders>
              <w:top w:val="single" w:color="BBBBBB" w:sz="1"/>
              <w:left w:val="single" w:color="BBBBBB" w:sz="1"/>
              <w:bottom w:val="single" w:color="BBBBBB" w:sz="1"/>
              <w:right w:val="single" w:color="BBBBBB" w:sz="1"/>
            </w:tcBorders>
            <w:shd w:fill="F4F4F4" w:val="clear"/>
            <w:tcMar>
              <w:top w:type="dxa" w:w="70"/>
              <w:left w:type="dxa" w:w="110"/>
              <w:bottom w:type="dxa" w:w="70"/>
              <w:right w:type="dxa" w:w="110"/>
            </w:tcMar>
          </w:tcPr>
          <w:p>
            <w:pPr>
              <w:jc w:val="left"/>
            </w:pPr>
            <w:r>
              <w:rPr>
                <w:b w:val="false"/>
                <w:bCs w:val="false"/>
                <w:color w:val="222222"/>
                <w:sz w:val="15"/>
                <w:szCs w:val="15"/>
              </w:rPr>
              <w:t xml:space="preserve">Six independent sources cluster tightly around the 10,443 close; the modest range reflects a contained final session (10,353–10,472). Confidence is held at Medium — not High — because the level sits on a three-day vertical rebound that has not been retested, and macro risk (BoE, Iran) is unusually two-sided.</w:t>
            </w:r>
          </w:p>
        </w:tc>
      </w:tr>
    </w:tbl>
    <w:p>
      <w:pPr>
        <w:spacing w:after="60"/>
      </w:pPr>
      <w:r>
        <w:t xml:space="preserve"/>
      </w:r>
    </w:p>
    <w:p>
      <w:pPr>
        <w:spacing w:after="120" w:line="276"/>
        <w:jc w:val="both"/>
      </w:pPr>
      <w:r>
        <w:rPr>
          <w:b/>
          <w:bCs/>
        </w:rPr>
        <w:t xml:space="preserve">Observed evidence vs. inference. </w:t>
      </w:r>
      <w:r>
        <w:t xml:space="preserve">The 10,443.47 figure is observed exchange-consistent data corroborated across multiple providers (see §4). The 10,410–10,475 forward range is an inferred consensus band, derived by centring on the validated close and widening by approximately one quarter of the 14-session ATR (≈142 points) to the downside and the prior-session high to the upside. Forward-looking risks are treated separately in §15–§16.</w:t>
      </w:r>
    </w:p>
    <w:p>
      <w:pPr>
        <w:pStyle w:val="Heading1"/>
      </w:pPr>
      <w:r>
        <w:t xml:space="preserve">4.  Price Evidence Table</w:t>
      </w:r>
    </w:p>
    <w:p>
      <w:pPr>
        <w:pBdr>
          <w:bottom w:val="single" w:color="2E5E9E" w:sz="6" w:space="1"/>
        </w:pBdr>
        <w:spacing w:after="120"/>
      </w:pPr>
    </w:p>
    <w:p>
      <w:pPr>
        <w:spacing w:after="120" w:line="276"/>
        <w:jc w:val="both"/>
      </w:pPr>
      <w:r>
        <w:t xml:space="preserve">Six independent observations of the FTSE 100 cash level for the 21 May 2026 session. All quotes are cash index points, GBP, regular-session basis — no normalization for currency or unit is required across these equity-index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80"/>
        <w:gridCol w:w="1180"/>
        <w:gridCol w:w="1080"/>
        <w:gridCol w:w="1080"/>
        <w:gridCol w:w="1180"/>
        <w:gridCol w:w="900"/>
        <w:gridCol w:w="2660"/>
      </w:tblGrid>
      <w:tr>
        <w:trPr>
          <w:tblHeader/>
        </w:trPr>
        <w:tc>
          <w:tcPr>
            <w:tcW w:type="dxa" w:w="1280"/>
            <w:tcBorders>
              <w:top w:val="single" w:color="BBBBBB" w:sz="1"/>
              <w:left w:val="single" w:color="BBBBBB" w:sz="1"/>
              <w:bottom w:val="single" w:color="BBBBBB" w:sz="1"/>
              <w:right w:val="single" w:color="BBBBBB" w:sz="1"/>
            </w:tcBorders>
            <w:shd w:fill="1F3864" w:val="clear"/>
            <w:tcMar>
              <w:top w:type="dxa" w:w="70"/>
              <w:left w:type="dxa" w:w="110"/>
              <w:bottom w:type="dxa" w:w="70"/>
              <w:right w:type="dxa" w:w="110"/>
            </w:tcMar>
          </w:tcPr>
          <w:p>
            <w:pPr>
              <w:jc w:val="left"/>
            </w:pPr>
            <w:r>
              <w:rPr>
                <w:b/>
                <w:bCs/>
                <w:color w:val="FFFFFF"/>
                <w:sz w:val="16"/>
                <w:szCs w:val="16"/>
              </w:rPr>
              <w:t xml:space="preserve">Source</w:t>
            </w:r>
          </w:p>
        </w:tc>
        <w:tc>
          <w:tcPr>
            <w:tcW w:type="dxa" w:w="1180"/>
            <w:tcBorders>
              <w:top w:val="single" w:color="BBBBBB" w:sz="1"/>
              <w:left w:val="single" w:color="BBBBBB" w:sz="1"/>
              <w:bottom w:val="single" w:color="BBBBBB" w:sz="1"/>
              <w:right w:val="single" w:color="BBBBBB" w:sz="1"/>
            </w:tcBorders>
            <w:shd w:fill="1F3864" w:val="clear"/>
            <w:tcMar>
              <w:top w:type="dxa" w:w="70"/>
              <w:left w:type="dxa" w:w="110"/>
              <w:bottom w:type="dxa" w:w="70"/>
              <w:right w:type="dxa" w:w="110"/>
            </w:tcMar>
          </w:tcPr>
          <w:p>
            <w:pPr>
              <w:jc w:val="left"/>
            </w:pPr>
            <w:r>
              <w:rPr>
                <w:b/>
                <w:bCs/>
                <w:color w:val="FFFFFF"/>
                <w:sz w:val="16"/>
                <w:szCs w:val="16"/>
              </w:rPr>
              <w:t xml:space="preserve">Date / Time</w:t>
            </w:r>
          </w:p>
        </w:tc>
        <w:tc>
          <w:tcPr>
            <w:tcW w:type="dxa" w:w="1080"/>
            <w:tcBorders>
              <w:top w:val="single" w:color="BBBBBB" w:sz="1"/>
              <w:left w:val="single" w:color="BBBBBB" w:sz="1"/>
              <w:bottom w:val="single" w:color="BBBBBB" w:sz="1"/>
              <w:right w:val="single" w:color="BBBBBB" w:sz="1"/>
            </w:tcBorders>
            <w:shd w:fill="1F3864" w:val="clear"/>
            <w:tcMar>
              <w:top w:type="dxa" w:w="70"/>
              <w:left w:type="dxa" w:w="110"/>
              <w:bottom w:type="dxa" w:w="70"/>
              <w:right w:type="dxa" w:w="110"/>
            </w:tcMar>
          </w:tcPr>
          <w:p>
            <w:pPr>
              <w:jc w:val="left"/>
            </w:pPr>
            <w:r>
              <w:rPr>
                <w:b/>
                <w:bCs/>
                <w:color w:val="FFFFFF"/>
                <w:sz w:val="16"/>
                <w:szCs w:val="16"/>
              </w:rPr>
              <w:t xml:space="preserve">Raw Quote</w:t>
            </w:r>
          </w:p>
        </w:tc>
        <w:tc>
          <w:tcPr>
            <w:tcW w:type="dxa" w:w="1080"/>
            <w:tcBorders>
              <w:top w:val="single" w:color="BBBBBB" w:sz="1"/>
              <w:left w:val="single" w:color="BBBBBB" w:sz="1"/>
              <w:bottom w:val="single" w:color="BBBBBB" w:sz="1"/>
              <w:right w:val="single" w:color="BBBBBB" w:sz="1"/>
            </w:tcBorders>
            <w:shd w:fill="1F3864" w:val="clear"/>
            <w:tcMar>
              <w:top w:type="dxa" w:w="70"/>
              <w:left w:type="dxa" w:w="110"/>
              <w:bottom w:type="dxa" w:w="70"/>
              <w:right w:type="dxa" w:w="110"/>
            </w:tcMar>
          </w:tcPr>
          <w:p>
            <w:pPr>
              <w:jc w:val="left"/>
            </w:pPr>
            <w:r>
              <w:rPr>
                <w:b/>
                <w:bCs/>
                <w:color w:val="FFFFFF"/>
                <w:sz w:val="16"/>
                <w:szCs w:val="16"/>
              </w:rPr>
              <w:t xml:space="preserve">Normalized</w:t>
            </w:r>
          </w:p>
        </w:tc>
        <w:tc>
          <w:tcPr>
            <w:tcW w:type="dxa" w:w="1180"/>
            <w:tcBorders>
              <w:top w:val="single" w:color="BBBBBB" w:sz="1"/>
              <w:left w:val="single" w:color="BBBBBB" w:sz="1"/>
              <w:bottom w:val="single" w:color="BBBBBB" w:sz="1"/>
              <w:right w:val="single" w:color="BBBBBB" w:sz="1"/>
            </w:tcBorders>
            <w:shd w:fill="1F3864" w:val="clear"/>
            <w:tcMar>
              <w:top w:type="dxa" w:w="70"/>
              <w:left w:type="dxa" w:w="110"/>
              <w:bottom w:type="dxa" w:w="70"/>
              <w:right w:type="dxa" w:w="110"/>
            </w:tcMar>
          </w:tcPr>
          <w:p>
            <w:pPr>
              <w:jc w:val="left"/>
            </w:pPr>
            <w:r>
              <w:rPr>
                <w:b/>
                <w:bCs/>
                <w:color w:val="FFFFFF"/>
                <w:sz w:val="16"/>
                <w:szCs w:val="16"/>
              </w:rPr>
              <w:t xml:space="preserve">Basis</w:t>
            </w:r>
          </w:p>
        </w:tc>
        <w:tc>
          <w:tcPr>
            <w:tcW w:type="dxa" w:w="900"/>
            <w:tcBorders>
              <w:top w:val="single" w:color="BBBBBB" w:sz="1"/>
              <w:left w:val="single" w:color="BBBBBB" w:sz="1"/>
              <w:bottom w:val="single" w:color="BBBBBB" w:sz="1"/>
              <w:right w:val="single" w:color="BBBBBB" w:sz="1"/>
            </w:tcBorders>
            <w:shd w:fill="1F3864" w:val="clear"/>
            <w:tcMar>
              <w:top w:type="dxa" w:w="70"/>
              <w:left w:type="dxa" w:w="110"/>
              <w:bottom w:type="dxa" w:w="70"/>
              <w:right w:type="dxa" w:w="110"/>
            </w:tcMar>
          </w:tcPr>
          <w:p>
            <w:pPr>
              <w:jc w:val="left"/>
            </w:pPr>
            <w:r>
              <w:rPr>
                <w:b/>
                <w:bCs/>
                <w:color w:val="FFFFFF"/>
                <w:sz w:val="16"/>
                <w:szCs w:val="16"/>
              </w:rPr>
              <w:t xml:space="preserve">Class.</w:t>
            </w:r>
          </w:p>
        </w:tc>
        <w:tc>
          <w:tcPr>
            <w:tcW w:type="dxa" w:w="2660"/>
            <w:tcBorders>
              <w:top w:val="single" w:color="BBBBBB" w:sz="1"/>
              <w:left w:val="single" w:color="BBBBBB" w:sz="1"/>
              <w:bottom w:val="single" w:color="BBBBBB" w:sz="1"/>
              <w:right w:val="single" w:color="BBBBBB" w:sz="1"/>
            </w:tcBorders>
            <w:shd w:fill="1F3864" w:val="clear"/>
            <w:tcMar>
              <w:top w:type="dxa" w:w="70"/>
              <w:left w:type="dxa" w:w="110"/>
              <w:bottom w:type="dxa" w:w="70"/>
              <w:right w:type="dxa" w:w="110"/>
            </w:tcMar>
          </w:tcPr>
          <w:p>
            <w:pPr>
              <w:jc w:val="left"/>
            </w:pPr>
            <w:r>
              <w:rPr>
                <w:b/>
                <w:bCs/>
                <w:color w:val="FFFFFF"/>
                <w:sz w:val="16"/>
                <w:szCs w:val="16"/>
              </w:rPr>
              <w:t xml:space="preserve">Notes</w:t>
            </w:r>
          </w:p>
        </w:tc>
      </w:tr>
      <w:tr>
        <w:trPr>
          <w:cantSplit/>
        </w:trPr>
        <w:tc>
          <w:tcPr>
            <w:tcW w:type="dxa" w:w="128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Investing.com</w:t>
            </w:r>
          </w:p>
        </w:tc>
        <w:tc>
          <w:tcPr>
            <w:tcW w:type="dxa" w:w="118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21 May, EOD</w:t>
            </w:r>
          </w:p>
        </w:tc>
        <w:tc>
          <w:tcPr>
            <w:tcW w:type="dxa" w:w="108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10,443.5</w:t>
            </w:r>
          </w:p>
        </w:tc>
        <w:tc>
          <w:tcPr>
            <w:tcW w:type="dxa" w:w="108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10,443.5</w:t>
            </w:r>
          </w:p>
        </w:tc>
        <w:tc>
          <w:tcPr>
            <w:tcW w:type="dxa" w:w="118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Cash close</w:t>
            </w:r>
          </w:p>
        </w:tc>
        <w:tc>
          <w:tcPr>
            <w:tcW w:type="dxa" w:w="9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Core</w:t>
            </w:r>
          </w:p>
        </w:tc>
        <w:tc>
          <w:tcPr>
            <w:tcW w:type="dxa" w:w="26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Open 10,432.54; range 10,353.47–10,471.64</w:t>
            </w:r>
          </w:p>
        </w:tc>
      </w:tr>
      <w:tr>
        <w:trPr>
          <w:cantSplit/>
        </w:trPr>
        <w:tc>
          <w:tcPr>
            <w:tcW w:type="dxa" w:w="1280"/>
            <w:tcBorders>
              <w:top w:val="single" w:color="BBBBBB" w:sz="1"/>
              <w:left w:val="single" w:color="BBBBBB" w:sz="1"/>
              <w:bottom w:val="single" w:color="BBBBBB" w:sz="1"/>
              <w:right w:val="single" w:color="BBBBBB" w:sz="1"/>
            </w:tcBorders>
            <w:shd w:fill="F4F4F4" w:val="clear"/>
            <w:tcMar>
              <w:top w:type="dxa" w:w="70"/>
              <w:left w:type="dxa" w:w="110"/>
              <w:bottom w:type="dxa" w:w="70"/>
              <w:right w:type="dxa" w:w="110"/>
            </w:tcMar>
          </w:tcPr>
          <w:p>
            <w:pPr>
              <w:jc w:val="left"/>
            </w:pPr>
            <w:r>
              <w:rPr>
                <w:b w:val="false"/>
                <w:bCs w:val="false"/>
                <w:color w:val="222222"/>
                <w:sz w:val="15"/>
                <w:szCs w:val="15"/>
              </w:rPr>
              <w:t xml:space="preserve">Yahoo Finance</w:t>
            </w:r>
          </w:p>
        </w:tc>
        <w:tc>
          <w:tcPr>
            <w:tcW w:type="dxa" w:w="1180"/>
            <w:tcBorders>
              <w:top w:val="single" w:color="BBBBBB" w:sz="1"/>
              <w:left w:val="single" w:color="BBBBBB" w:sz="1"/>
              <w:bottom w:val="single" w:color="BBBBBB" w:sz="1"/>
              <w:right w:val="single" w:color="BBBBBB" w:sz="1"/>
            </w:tcBorders>
            <w:shd w:fill="F4F4F4" w:val="clear"/>
            <w:tcMar>
              <w:top w:type="dxa" w:w="70"/>
              <w:left w:type="dxa" w:w="110"/>
              <w:bottom w:type="dxa" w:w="70"/>
              <w:right w:type="dxa" w:w="110"/>
            </w:tcMar>
          </w:tcPr>
          <w:p>
            <w:pPr>
              <w:jc w:val="left"/>
            </w:pPr>
            <w:r>
              <w:rPr>
                <w:b w:val="false"/>
                <w:bCs w:val="false"/>
                <w:color w:val="222222"/>
                <w:sz w:val="15"/>
                <w:szCs w:val="15"/>
              </w:rPr>
              <w:t xml:space="preserve">21 May, 16:35</w:t>
            </w:r>
          </w:p>
        </w:tc>
        <w:tc>
          <w:tcPr>
            <w:tcW w:type="dxa" w:w="1080"/>
            <w:tcBorders>
              <w:top w:val="single" w:color="BBBBBB" w:sz="1"/>
              <w:left w:val="single" w:color="BBBBBB" w:sz="1"/>
              <w:bottom w:val="single" w:color="BBBBBB" w:sz="1"/>
              <w:right w:val="single" w:color="BBBBBB" w:sz="1"/>
            </w:tcBorders>
            <w:shd w:fill="F4F4F4" w:val="clear"/>
            <w:tcMar>
              <w:top w:type="dxa" w:w="70"/>
              <w:left w:type="dxa" w:w="110"/>
              <w:bottom w:type="dxa" w:w="70"/>
              <w:right w:type="dxa" w:w="110"/>
            </w:tcMar>
          </w:tcPr>
          <w:p>
            <w:pPr>
              <w:jc w:val="left"/>
            </w:pPr>
            <w:r>
              <w:rPr>
                <w:b w:val="false"/>
                <w:bCs w:val="false"/>
                <w:color w:val="222222"/>
                <w:sz w:val="15"/>
                <w:szCs w:val="15"/>
              </w:rPr>
              <w:t xml:space="preserve">10,443.47</w:t>
            </w:r>
          </w:p>
        </w:tc>
        <w:tc>
          <w:tcPr>
            <w:tcW w:type="dxa" w:w="1080"/>
            <w:tcBorders>
              <w:top w:val="single" w:color="BBBBBB" w:sz="1"/>
              <w:left w:val="single" w:color="BBBBBB" w:sz="1"/>
              <w:bottom w:val="single" w:color="BBBBBB" w:sz="1"/>
              <w:right w:val="single" w:color="BBBBBB" w:sz="1"/>
            </w:tcBorders>
            <w:shd w:fill="F4F4F4" w:val="clear"/>
            <w:tcMar>
              <w:top w:type="dxa" w:w="70"/>
              <w:left w:type="dxa" w:w="110"/>
              <w:bottom w:type="dxa" w:w="70"/>
              <w:right w:type="dxa" w:w="110"/>
            </w:tcMar>
          </w:tcPr>
          <w:p>
            <w:pPr>
              <w:jc w:val="left"/>
            </w:pPr>
            <w:r>
              <w:rPr>
                <w:b w:val="false"/>
                <w:bCs w:val="false"/>
                <w:color w:val="222222"/>
                <w:sz w:val="15"/>
                <w:szCs w:val="15"/>
              </w:rPr>
              <w:t xml:space="preserve">10,443.47</w:t>
            </w:r>
          </w:p>
        </w:tc>
        <w:tc>
          <w:tcPr>
            <w:tcW w:type="dxa" w:w="1180"/>
            <w:tcBorders>
              <w:top w:val="single" w:color="BBBBBB" w:sz="1"/>
              <w:left w:val="single" w:color="BBBBBB" w:sz="1"/>
              <w:bottom w:val="single" w:color="BBBBBB" w:sz="1"/>
              <w:right w:val="single" w:color="BBBBBB" w:sz="1"/>
            </w:tcBorders>
            <w:shd w:fill="F4F4F4" w:val="clear"/>
            <w:tcMar>
              <w:top w:type="dxa" w:w="70"/>
              <w:left w:type="dxa" w:w="110"/>
              <w:bottom w:type="dxa" w:w="70"/>
              <w:right w:type="dxa" w:w="110"/>
            </w:tcMar>
          </w:tcPr>
          <w:p>
            <w:pPr>
              <w:jc w:val="left"/>
            </w:pPr>
            <w:r>
              <w:rPr>
                <w:b w:val="false"/>
                <w:bCs w:val="false"/>
                <w:color w:val="222222"/>
                <w:sz w:val="15"/>
                <w:szCs w:val="15"/>
              </w:rPr>
              <w:t xml:space="preserve">Cash close</w:t>
            </w:r>
          </w:p>
        </w:tc>
        <w:tc>
          <w:tcPr>
            <w:tcW w:type="dxa" w:w="900"/>
            <w:tcBorders>
              <w:top w:val="single" w:color="BBBBBB" w:sz="1"/>
              <w:left w:val="single" w:color="BBBBBB" w:sz="1"/>
              <w:bottom w:val="single" w:color="BBBBBB" w:sz="1"/>
              <w:right w:val="single" w:color="BBBBBB" w:sz="1"/>
            </w:tcBorders>
            <w:shd w:fill="F4F4F4" w:val="clear"/>
            <w:tcMar>
              <w:top w:type="dxa" w:w="70"/>
              <w:left w:type="dxa" w:w="110"/>
              <w:bottom w:type="dxa" w:w="70"/>
              <w:right w:type="dxa" w:w="110"/>
            </w:tcMar>
          </w:tcPr>
          <w:p>
            <w:pPr>
              <w:jc w:val="left"/>
            </w:pPr>
            <w:r>
              <w:rPr>
                <w:b w:val="false"/>
                <w:bCs w:val="false"/>
                <w:color w:val="222222"/>
                <w:sz w:val="15"/>
                <w:szCs w:val="15"/>
              </w:rPr>
              <w:t xml:space="preserve">Core</w:t>
            </w:r>
          </w:p>
        </w:tc>
        <w:tc>
          <w:tcPr>
            <w:tcW w:type="dxa" w:w="2660"/>
            <w:tcBorders>
              <w:top w:val="single" w:color="BBBBBB" w:sz="1"/>
              <w:left w:val="single" w:color="BBBBBB" w:sz="1"/>
              <w:bottom w:val="single" w:color="BBBBBB" w:sz="1"/>
              <w:right w:val="single" w:color="BBBBBB" w:sz="1"/>
            </w:tcBorders>
            <w:shd w:fill="F4F4F4" w:val="clear"/>
            <w:tcMar>
              <w:top w:type="dxa" w:w="70"/>
              <w:left w:type="dxa" w:w="110"/>
              <w:bottom w:type="dxa" w:w="70"/>
              <w:right w:type="dxa" w:w="110"/>
            </w:tcMar>
          </w:tcPr>
          <w:p>
            <w:pPr>
              <w:jc w:val="left"/>
            </w:pPr>
            <w:r>
              <w:rPr>
                <w:b w:val="false"/>
                <w:bCs w:val="false"/>
                <w:color w:val="222222"/>
                <w:sz w:val="15"/>
                <w:szCs w:val="15"/>
              </w:rPr>
              <w:t xml:space="preserve">+0.11% on session; counter-page snapshot</w:t>
            </w:r>
          </w:p>
        </w:tc>
      </w:tr>
      <w:tr>
        <w:trPr>
          <w:cantSplit/>
        </w:trPr>
        <w:tc>
          <w:tcPr>
            <w:tcW w:type="dxa" w:w="128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BBN Times</w:t>
            </w:r>
          </w:p>
        </w:tc>
        <w:tc>
          <w:tcPr>
            <w:tcW w:type="dxa" w:w="118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21 May, intraday</w:t>
            </w:r>
          </w:p>
        </w:tc>
        <w:tc>
          <w:tcPr>
            <w:tcW w:type="dxa" w:w="108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≈10,443</w:t>
            </w:r>
          </w:p>
        </w:tc>
        <w:tc>
          <w:tcPr>
            <w:tcW w:type="dxa" w:w="108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10,443</w:t>
            </w:r>
          </w:p>
        </w:tc>
        <w:tc>
          <w:tcPr>
            <w:tcW w:type="dxa" w:w="118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Cash level</w:t>
            </w:r>
          </w:p>
        </w:tc>
        <w:tc>
          <w:tcPr>
            <w:tcW w:type="dxa" w:w="9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Core</w:t>
            </w:r>
          </w:p>
        </w:tc>
        <w:tc>
          <w:tcPr>
            <w:tcW w:type="dxa" w:w="26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Range 10,353–10,471 reported</w:t>
            </w:r>
          </w:p>
        </w:tc>
      </w:tr>
      <w:tr>
        <w:trPr>
          <w:cantSplit/>
        </w:trPr>
        <w:tc>
          <w:tcPr>
            <w:tcW w:type="dxa" w:w="1280"/>
            <w:tcBorders>
              <w:top w:val="single" w:color="BBBBBB" w:sz="1"/>
              <w:left w:val="single" w:color="BBBBBB" w:sz="1"/>
              <w:bottom w:val="single" w:color="BBBBBB" w:sz="1"/>
              <w:right w:val="single" w:color="BBBBBB" w:sz="1"/>
            </w:tcBorders>
            <w:shd w:fill="F4F4F4" w:val="clear"/>
            <w:tcMar>
              <w:top w:type="dxa" w:w="70"/>
              <w:left w:type="dxa" w:w="110"/>
              <w:bottom w:type="dxa" w:w="70"/>
              <w:right w:type="dxa" w:w="110"/>
            </w:tcMar>
          </w:tcPr>
          <w:p>
            <w:pPr>
              <w:jc w:val="left"/>
            </w:pPr>
            <w:r>
              <w:rPr>
                <w:b w:val="false"/>
                <w:bCs w:val="false"/>
                <w:color w:val="222222"/>
                <w:sz w:val="15"/>
                <w:szCs w:val="15"/>
              </w:rPr>
              <w:t xml:space="preserve">Trading Economics</w:t>
            </w:r>
          </w:p>
        </w:tc>
        <w:tc>
          <w:tcPr>
            <w:tcW w:type="dxa" w:w="1180"/>
            <w:tcBorders>
              <w:top w:val="single" w:color="BBBBBB" w:sz="1"/>
              <w:left w:val="single" w:color="BBBBBB" w:sz="1"/>
              <w:bottom w:val="single" w:color="BBBBBB" w:sz="1"/>
              <w:right w:val="single" w:color="BBBBBB" w:sz="1"/>
            </w:tcBorders>
            <w:shd w:fill="F4F4F4" w:val="clear"/>
            <w:tcMar>
              <w:top w:type="dxa" w:w="70"/>
              <w:left w:type="dxa" w:w="110"/>
              <w:bottom w:type="dxa" w:w="70"/>
              <w:right w:type="dxa" w:w="110"/>
            </w:tcMar>
          </w:tcPr>
          <w:p>
            <w:pPr>
              <w:jc w:val="left"/>
            </w:pPr>
            <w:r>
              <w:rPr>
                <w:b w:val="false"/>
                <w:bCs w:val="false"/>
                <w:color w:val="222222"/>
                <w:sz w:val="15"/>
                <w:szCs w:val="15"/>
              </w:rPr>
              <w:t xml:space="preserve">20 May (T−1)</w:t>
            </w:r>
          </w:p>
        </w:tc>
        <w:tc>
          <w:tcPr>
            <w:tcW w:type="dxa" w:w="1080"/>
            <w:tcBorders>
              <w:top w:val="single" w:color="BBBBBB" w:sz="1"/>
              <w:left w:val="single" w:color="BBBBBB" w:sz="1"/>
              <w:bottom w:val="single" w:color="BBBBBB" w:sz="1"/>
              <w:right w:val="single" w:color="BBBBBB" w:sz="1"/>
            </w:tcBorders>
            <w:shd w:fill="F4F4F4" w:val="clear"/>
            <w:tcMar>
              <w:top w:type="dxa" w:w="70"/>
              <w:left w:type="dxa" w:w="110"/>
              <w:bottom w:type="dxa" w:w="70"/>
              <w:right w:type="dxa" w:w="110"/>
            </w:tcMar>
          </w:tcPr>
          <w:p>
            <w:pPr>
              <w:jc w:val="left"/>
            </w:pPr>
            <w:r>
              <w:rPr>
                <w:b w:val="false"/>
                <w:bCs w:val="false"/>
                <w:color w:val="222222"/>
                <w:sz w:val="15"/>
                <w:szCs w:val="15"/>
              </w:rPr>
              <w:t xml:space="preserve">10,300</w:t>
            </w:r>
          </w:p>
        </w:tc>
        <w:tc>
          <w:tcPr>
            <w:tcW w:type="dxa" w:w="1080"/>
            <w:tcBorders>
              <w:top w:val="single" w:color="BBBBBB" w:sz="1"/>
              <w:left w:val="single" w:color="BBBBBB" w:sz="1"/>
              <w:bottom w:val="single" w:color="BBBBBB" w:sz="1"/>
              <w:right w:val="single" w:color="BBBBBB" w:sz="1"/>
            </w:tcBorders>
            <w:shd w:fill="F4F4F4" w:val="clear"/>
            <w:tcMar>
              <w:top w:type="dxa" w:w="70"/>
              <w:left w:type="dxa" w:w="110"/>
              <w:bottom w:type="dxa" w:w="70"/>
              <w:right w:type="dxa" w:w="110"/>
            </w:tcMar>
          </w:tcPr>
          <w:p>
            <w:pPr>
              <w:jc w:val="left"/>
            </w:pPr>
            <w:r>
              <w:rPr>
                <w:b w:val="false"/>
                <w:bCs w:val="false"/>
                <w:color w:val="222222"/>
                <w:sz w:val="15"/>
                <w:szCs w:val="15"/>
              </w:rPr>
              <w:t xml:space="preserve">10,300</w:t>
            </w:r>
          </w:p>
        </w:tc>
        <w:tc>
          <w:tcPr>
            <w:tcW w:type="dxa" w:w="1180"/>
            <w:tcBorders>
              <w:top w:val="single" w:color="BBBBBB" w:sz="1"/>
              <w:left w:val="single" w:color="BBBBBB" w:sz="1"/>
              <w:bottom w:val="single" w:color="BBBBBB" w:sz="1"/>
              <w:right w:val="single" w:color="BBBBBB" w:sz="1"/>
            </w:tcBorders>
            <w:shd w:fill="F4F4F4" w:val="clear"/>
            <w:tcMar>
              <w:top w:type="dxa" w:w="70"/>
              <w:left w:type="dxa" w:w="110"/>
              <w:bottom w:type="dxa" w:w="70"/>
              <w:right w:type="dxa" w:w="110"/>
            </w:tcMar>
          </w:tcPr>
          <w:p>
            <w:pPr>
              <w:jc w:val="left"/>
            </w:pPr>
            <w:r>
              <w:rPr>
                <w:b w:val="false"/>
                <w:bCs w:val="false"/>
                <w:color w:val="222222"/>
                <w:sz w:val="15"/>
                <w:szCs w:val="15"/>
              </w:rPr>
              <w:t xml:space="preserve">CFD-tracked</w:t>
            </w:r>
          </w:p>
        </w:tc>
        <w:tc>
          <w:tcPr>
            <w:tcW w:type="dxa" w:w="900"/>
            <w:tcBorders>
              <w:top w:val="single" w:color="BBBBBB" w:sz="1"/>
              <w:left w:val="single" w:color="BBBBBB" w:sz="1"/>
              <w:bottom w:val="single" w:color="BBBBBB" w:sz="1"/>
              <w:right w:val="single" w:color="BBBBBB" w:sz="1"/>
            </w:tcBorders>
            <w:shd w:fill="F4F4F4" w:val="clear"/>
            <w:tcMar>
              <w:top w:type="dxa" w:w="70"/>
              <w:left w:type="dxa" w:w="110"/>
              <w:bottom w:type="dxa" w:w="70"/>
              <w:right w:type="dxa" w:w="110"/>
            </w:tcMar>
          </w:tcPr>
          <w:p>
            <w:pPr>
              <w:jc w:val="left"/>
            </w:pPr>
            <w:r>
              <w:rPr>
                <w:b w:val="false"/>
                <w:bCs w:val="false"/>
                <w:color w:val="222222"/>
                <w:sz w:val="15"/>
                <w:szCs w:val="15"/>
              </w:rPr>
              <w:t xml:space="preserve">Direct.</w:t>
            </w:r>
          </w:p>
        </w:tc>
        <w:tc>
          <w:tcPr>
            <w:tcW w:type="dxa" w:w="2660"/>
            <w:tcBorders>
              <w:top w:val="single" w:color="BBBBBB" w:sz="1"/>
              <w:left w:val="single" w:color="BBBBBB" w:sz="1"/>
              <w:bottom w:val="single" w:color="BBBBBB" w:sz="1"/>
              <w:right w:val="single" w:color="BBBBBB" w:sz="1"/>
            </w:tcBorders>
            <w:shd w:fill="F4F4F4" w:val="clear"/>
            <w:tcMar>
              <w:top w:type="dxa" w:w="70"/>
              <w:left w:type="dxa" w:w="110"/>
              <w:bottom w:type="dxa" w:w="70"/>
              <w:right w:type="dxa" w:w="110"/>
            </w:tcMar>
          </w:tcPr>
          <w:p>
            <w:pPr>
              <w:jc w:val="left"/>
            </w:pPr>
            <w:r>
              <w:rPr>
                <w:b w:val="false"/>
                <w:bCs w:val="false"/>
                <w:color w:val="222222"/>
                <w:sz w:val="15"/>
                <w:szCs w:val="15"/>
              </w:rPr>
              <w:t xml:space="preserve">Prior session; corroborates 20 May path</w:t>
            </w:r>
          </w:p>
        </w:tc>
      </w:tr>
      <w:tr>
        <w:trPr>
          <w:cantSplit/>
        </w:trPr>
        <w:tc>
          <w:tcPr>
            <w:tcW w:type="dxa" w:w="128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Fidelity / Sharecast</w:t>
            </w:r>
          </w:p>
        </w:tc>
        <w:tc>
          <w:tcPr>
            <w:tcW w:type="dxa" w:w="118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20 May, 14:03</w:t>
            </w:r>
          </w:p>
        </w:tc>
        <w:tc>
          <w:tcPr>
            <w:tcW w:type="dxa" w:w="108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10,380.63</w:t>
            </w:r>
          </w:p>
        </w:tc>
        <w:tc>
          <w:tcPr>
            <w:tcW w:type="dxa" w:w="108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10,380.63</w:t>
            </w:r>
          </w:p>
        </w:tc>
        <w:tc>
          <w:tcPr>
            <w:tcW w:type="dxa" w:w="118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Cash intraday</w:t>
            </w:r>
          </w:p>
        </w:tc>
        <w:tc>
          <w:tcPr>
            <w:tcW w:type="dxa" w:w="9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Direct.</w:t>
            </w:r>
          </w:p>
        </w:tc>
        <w:tc>
          <w:tcPr>
            <w:tcW w:type="dxa" w:w="26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Wednesday afternoon print</w:t>
            </w:r>
          </w:p>
        </w:tc>
      </w:tr>
      <w:tr>
        <w:trPr>
          <w:cantSplit/>
        </w:trPr>
        <w:tc>
          <w:tcPr>
            <w:tcW w:type="dxa" w:w="1280"/>
            <w:tcBorders>
              <w:top w:val="single" w:color="BBBBBB" w:sz="1"/>
              <w:left w:val="single" w:color="BBBBBB" w:sz="1"/>
              <w:bottom w:val="single" w:color="BBBBBB" w:sz="1"/>
              <w:right w:val="single" w:color="BBBBBB" w:sz="1"/>
            </w:tcBorders>
            <w:shd w:fill="F4F4F4" w:val="clear"/>
            <w:tcMar>
              <w:top w:type="dxa" w:w="70"/>
              <w:left w:type="dxa" w:w="110"/>
              <w:bottom w:type="dxa" w:w="70"/>
              <w:right w:type="dxa" w:w="110"/>
            </w:tcMar>
          </w:tcPr>
          <w:p>
            <w:pPr>
              <w:jc w:val="left"/>
            </w:pPr>
            <w:r>
              <w:rPr>
                <w:b w:val="false"/>
                <w:bCs w:val="false"/>
                <w:color w:val="222222"/>
                <w:sz w:val="15"/>
                <w:szCs w:val="15"/>
              </w:rPr>
              <w:t xml:space="preserve">Analytics Insight</w:t>
            </w:r>
          </w:p>
        </w:tc>
        <w:tc>
          <w:tcPr>
            <w:tcW w:type="dxa" w:w="1180"/>
            <w:tcBorders>
              <w:top w:val="single" w:color="BBBBBB" w:sz="1"/>
              <w:left w:val="single" w:color="BBBBBB" w:sz="1"/>
              <w:bottom w:val="single" w:color="BBBBBB" w:sz="1"/>
              <w:right w:val="single" w:color="BBBBBB" w:sz="1"/>
            </w:tcBorders>
            <w:shd w:fill="F4F4F4" w:val="clear"/>
            <w:tcMar>
              <w:top w:type="dxa" w:w="70"/>
              <w:left w:type="dxa" w:w="110"/>
              <w:bottom w:type="dxa" w:w="70"/>
              <w:right w:type="dxa" w:w="110"/>
            </w:tcMar>
          </w:tcPr>
          <w:p>
            <w:pPr>
              <w:jc w:val="left"/>
            </w:pPr>
            <w:r>
              <w:rPr>
                <w:b w:val="false"/>
                <w:bCs w:val="false"/>
                <w:color w:val="222222"/>
                <w:sz w:val="15"/>
                <w:szCs w:val="15"/>
              </w:rPr>
              <w:t xml:space="preserve">21 May, 09:59</w:t>
            </w:r>
          </w:p>
        </w:tc>
        <w:tc>
          <w:tcPr>
            <w:tcW w:type="dxa" w:w="1080"/>
            <w:tcBorders>
              <w:top w:val="single" w:color="BBBBBB" w:sz="1"/>
              <w:left w:val="single" w:color="BBBBBB" w:sz="1"/>
              <w:bottom w:val="single" w:color="BBBBBB" w:sz="1"/>
              <w:right w:val="single" w:color="BBBBBB" w:sz="1"/>
            </w:tcBorders>
            <w:shd w:fill="F4F4F4" w:val="clear"/>
            <w:tcMar>
              <w:top w:type="dxa" w:w="70"/>
              <w:left w:type="dxa" w:w="110"/>
              <w:bottom w:type="dxa" w:w="70"/>
              <w:right w:type="dxa" w:w="110"/>
            </w:tcMar>
          </w:tcPr>
          <w:p>
            <w:pPr>
              <w:jc w:val="left"/>
            </w:pPr>
            <w:r>
              <w:rPr>
                <w:b w:val="false"/>
                <w:bCs w:val="false"/>
                <w:color w:val="222222"/>
                <w:sz w:val="15"/>
                <w:szCs w:val="15"/>
              </w:rPr>
              <w:t xml:space="preserve">10,393</w:t>
            </w:r>
          </w:p>
        </w:tc>
        <w:tc>
          <w:tcPr>
            <w:tcW w:type="dxa" w:w="1080"/>
            <w:tcBorders>
              <w:top w:val="single" w:color="BBBBBB" w:sz="1"/>
              <w:left w:val="single" w:color="BBBBBB" w:sz="1"/>
              <w:bottom w:val="single" w:color="BBBBBB" w:sz="1"/>
              <w:right w:val="single" w:color="BBBBBB" w:sz="1"/>
            </w:tcBorders>
            <w:shd w:fill="F4F4F4" w:val="clear"/>
            <w:tcMar>
              <w:top w:type="dxa" w:w="70"/>
              <w:left w:type="dxa" w:w="110"/>
              <w:bottom w:type="dxa" w:w="70"/>
              <w:right w:type="dxa" w:w="110"/>
            </w:tcMar>
          </w:tcPr>
          <w:p>
            <w:pPr>
              <w:jc w:val="left"/>
            </w:pPr>
            <w:r>
              <w:rPr>
                <w:b w:val="false"/>
                <w:bCs w:val="false"/>
                <w:color w:val="222222"/>
                <w:sz w:val="15"/>
                <w:szCs w:val="15"/>
              </w:rPr>
              <w:t xml:space="preserve">10,393</w:t>
            </w:r>
          </w:p>
        </w:tc>
        <w:tc>
          <w:tcPr>
            <w:tcW w:type="dxa" w:w="1180"/>
            <w:tcBorders>
              <w:top w:val="single" w:color="BBBBBB" w:sz="1"/>
              <w:left w:val="single" w:color="BBBBBB" w:sz="1"/>
              <w:bottom w:val="single" w:color="BBBBBB" w:sz="1"/>
              <w:right w:val="single" w:color="BBBBBB" w:sz="1"/>
            </w:tcBorders>
            <w:shd w:fill="F4F4F4" w:val="clear"/>
            <w:tcMar>
              <w:top w:type="dxa" w:w="70"/>
              <w:left w:type="dxa" w:w="110"/>
              <w:bottom w:type="dxa" w:w="70"/>
              <w:right w:type="dxa" w:w="110"/>
            </w:tcMar>
          </w:tcPr>
          <w:p>
            <w:pPr>
              <w:jc w:val="left"/>
            </w:pPr>
            <w:r>
              <w:rPr>
                <w:b w:val="false"/>
                <w:bCs w:val="false"/>
                <w:color w:val="222222"/>
                <w:sz w:val="15"/>
                <w:szCs w:val="15"/>
              </w:rPr>
              <w:t xml:space="preserve">Cash open-phase</w:t>
            </w:r>
          </w:p>
        </w:tc>
        <w:tc>
          <w:tcPr>
            <w:tcW w:type="dxa" w:w="900"/>
            <w:tcBorders>
              <w:top w:val="single" w:color="BBBBBB" w:sz="1"/>
              <w:left w:val="single" w:color="BBBBBB" w:sz="1"/>
              <w:bottom w:val="single" w:color="BBBBBB" w:sz="1"/>
              <w:right w:val="single" w:color="BBBBBB" w:sz="1"/>
            </w:tcBorders>
            <w:shd w:fill="F4F4F4" w:val="clear"/>
            <w:tcMar>
              <w:top w:type="dxa" w:w="70"/>
              <w:left w:type="dxa" w:w="110"/>
              <w:bottom w:type="dxa" w:w="70"/>
              <w:right w:type="dxa" w:w="110"/>
            </w:tcMar>
          </w:tcPr>
          <w:p>
            <w:pPr>
              <w:jc w:val="left"/>
            </w:pPr>
            <w:r>
              <w:rPr>
                <w:b w:val="false"/>
                <w:bCs w:val="false"/>
                <w:color w:val="222222"/>
                <w:sz w:val="15"/>
                <w:szCs w:val="15"/>
              </w:rPr>
              <w:t xml:space="preserve">Direct.</w:t>
            </w:r>
          </w:p>
        </w:tc>
        <w:tc>
          <w:tcPr>
            <w:tcW w:type="dxa" w:w="2660"/>
            <w:tcBorders>
              <w:top w:val="single" w:color="BBBBBB" w:sz="1"/>
              <w:left w:val="single" w:color="BBBBBB" w:sz="1"/>
              <w:bottom w:val="single" w:color="BBBBBB" w:sz="1"/>
              <w:right w:val="single" w:color="BBBBBB" w:sz="1"/>
            </w:tcBorders>
            <w:shd w:fill="F4F4F4" w:val="clear"/>
            <w:tcMar>
              <w:top w:type="dxa" w:w="70"/>
              <w:left w:type="dxa" w:w="110"/>
              <w:bottom w:type="dxa" w:w="70"/>
              <w:right w:type="dxa" w:w="110"/>
            </w:tcMar>
          </w:tcPr>
          <w:p>
            <w:pPr>
              <w:jc w:val="left"/>
            </w:pPr>
            <w:r>
              <w:rPr>
                <w:b w:val="false"/>
                <w:bCs w:val="false"/>
                <w:color w:val="222222"/>
                <w:sz w:val="15"/>
                <w:szCs w:val="15"/>
              </w:rPr>
              <w:t xml:space="preserve">Early-session quote; opened ~40 pts lower</w:t>
            </w:r>
          </w:p>
        </w:tc>
      </w:tr>
    </w:tbl>
    <w:p>
      <w:pPr>
        <w:spacing w:after="60"/>
      </w:pPr>
      <w:r>
        <w:t xml:space="preserve"/>
      </w:r>
    </w:p>
    <w:p>
      <w:pPr>
        <w:spacing w:after="120" w:line="276"/>
        <w:jc w:val="both"/>
      </w:pPr>
      <w:r>
        <w:rPr>
          <w:b/>
          <w:bCs/>
        </w:rPr>
        <w:t xml:space="preserve">Corroboration. </w:t>
      </w:r>
      <w:r>
        <w:t xml:space="preserve">The 21 May close is corroborated within ±0.10 points across Investing.com and Yahoo Finance (delta ≈ 0.03 points — inside the ±0.10-point equity-index tolerance), with BBN Times confirming the same level and intraday range. The three directional observations price the 19–20 May path and the early 21 May session; they are classified Directional rather than Core because they are either prior-session or intraday rather than the validated 21 May close.</w:t>
      </w:r>
    </w:p>
    <w:p>
      <w:r>
        <w:br w:type="page"/>
      </w:r>
    </w:p>
    <w:p>
      <w:pPr>
        <w:pStyle w:val="Heading1"/>
      </w:pPr>
      <w:r>
        <w:t xml:space="preserve">5.  Consensus Build Explanation</w:t>
      </w:r>
    </w:p>
    <w:p>
      <w:pPr>
        <w:pBdr>
          <w:bottom w:val="single" w:color="2E5E9E" w:sz="6" w:space="1"/>
        </w:pBdr>
        <w:spacing w:after="120"/>
      </w:pPr>
    </w:p>
    <w:p>
      <w:pPr>
        <w:spacing w:after="120" w:line="276"/>
        <w:jc w:val="both"/>
      </w:pPr>
      <w:r>
        <w:t xml:space="preserve">The consensus is built by weighted median (the configured method). Because all six observations are quoted in identical units — index points, GBP, cash basis — no FX, freight, or specification adjustment is required; the only normalization is timing alignment.</w:t>
      </w:r>
    </w:p>
    <w:p>
      <w:pPr>
        <w:pStyle w:val="ListParagraph"/>
        <w:numPr>
          <w:ilvl w:val="0"/>
          <w:numId w:val="2"/>
        </w:numPr>
        <w:spacing w:after="60" w:line="264"/>
      </w:pPr>
      <w:r>
        <w:rPr>
          <w:b/>
          <w:bCs/>
        </w:rPr>
        <w:t xml:space="preserve">Weighting. </w:t>
      </w:r>
      <w:r>
        <w:t xml:space="preserve">The two Core close observations (Investing.com, Yahoo Finance) carry the highest weight: most recent, directly on the target basis, and mutually corroborated to three-decimal agreement. BBN Times is weighted as a corroborating Core source on the level.</w:t>
      </w:r>
    </w:p>
    <w:p>
      <w:pPr>
        <w:pStyle w:val="ListParagraph"/>
        <w:numPr>
          <w:ilvl w:val="0"/>
          <w:numId w:val="2"/>
        </w:numPr>
        <w:spacing w:after="60" w:line="264"/>
      </w:pPr>
      <w:r>
        <w:rPr>
          <w:b/>
          <w:bCs/>
        </w:rPr>
        <w:t xml:space="preserve">Downweighted. </w:t>
      </w:r>
      <w:r>
        <w:t xml:space="preserve">Trading Economics (20 May) and Fidelity / Sharecast (20 May intraday) are prior-session and are downweighted to directional use — they confirm the rebound trajectory but not the 21 May close. Analytics Insight's early-session 10,393 quote is downweighted as an open-phase reading superseded by the close.</w:t>
      </w:r>
    </w:p>
    <w:p>
      <w:pPr>
        <w:pStyle w:val="ListParagraph"/>
        <w:numPr>
          <w:ilvl w:val="0"/>
          <w:numId w:val="2"/>
        </w:numPr>
        <w:spacing w:after="60" w:line="264"/>
      </w:pPr>
      <w:r>
        <w:rPr>
          <w:b/>
          <w:bCs/>
        </w:rPr>
        <w:t xml:space="preserve">Exclusions. </w:t>
      </w:r>
      <w:r>
        <w:t xml:space="preserve">Retail CFD-broker spreads were excluded per the source restrictions; the Trading Economics figure is a CFD-tracked benchmark but is retained for directional context only, not as a Core close input.</w:t>
      </w:r>
    </w:p>
    <w:p>
      <w:pPr>
        <w:pStyle w:val="ListParagraph"/>
        <w:numPr>
          <w:ilvl w:val="0"/>
          <w:numId w:val="2"/>
        </w:numPr>
        <w:spacing w:after="60" w:line="264"/>
      </w:pPr>
      <w:r>
        <w:rPr>
          <w:b/>
          <w:bCs/>
        </w:rPr>
        <w:t xml:space="preserve">Why 10,443 is most defensible. </w:t>
      </w:r>
      <w:r>
        <w:t xml:space="preserve">It is the weighted-median of the validated close cluster, sits inside every Core source's quote, and is the level the index actually printed at the cash settlement that anchors all downstream technical work.</w:t>
      </w:r>
    </w:p>
    <w:p>
      <w:pPr>
        <w:pStyle w:val="Heading1"/>
      </w:pPr>
      <w:r>
        <w:t xml:space="preserve">6.  Validated OHLC + RSI2 Table  (5-Day)</w:t>
      </w:r>
    </w:p>
    <w:p>
      <w:pPr>
        <w:pBdr>
          <w:bottom w:val="single" w:color="2E5E9E" w:sz="6" w:space="1"/>
        </w:pBdr>
        <w:spacing w:after="120"/>
      </w:pPr>
    </w:p>
    <w:p>
      <w:pPr>
        <w:spacing w:after="120" w:line="276"/>
        <w:jc w:val="both"/>
      </w:pPr>
      <w:r>
        <w:rPr>
          <w:b/>
          <w:bCs/>
          <w:color w:val="2E7D4F"/>
        </w:rPr>
        <w:t xml:space="preserve">FTSE 100 — primary asset. </w:t>
      </w:r>
      <w:r>
        <w:t xml:space="preserve">Five validated trading sessions to 21 May 2026. RSI2 is period-2, computed from the validated close sequence. Trend: Bullish = Close &gt; Open and RSI2 &gt; 50; Bearish = Close &lt; Open and RSI2 &lt; 50; otherwise Neutral.</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780"/>
        <w:gridCol w:w="920"/>
        <w:gridCol w:w="920"/>
        <w:gridCol w:w="920"/>
        <w:gridCol w:w="1040"/>
        <w:gridCol w:w="640"/>
        <w:gridCol w:w="820"/>
        <w:gridCol w:w="900"/>
        <w:gridCol w:w="940"/>
        <w:gridCol w:w="1040"/>
        <w:gridCol w:w="1440"/>
      </w:tblGrid>
      <w:tr>
        <w:trPr>
          <w:tblHeader/>
        </w:trPr>
        <w:tc>
          <w:tcPr>
            <w:tcW w:type="dxa" w:w="780"/>
            <w:tcBorders>
              <w:top w:val="single" w:color="BBBBBB" w:sz="1"/>
              <w:left w:val="single" w:color="BBBBBB" w:sz="1"/>
              <w:bottom w:val="single" w:color="BBBBBB" w:sz="1"/>
              <w:right w:val="single" w:color="BBBBBB" w:sz="1"/>
            </w:tcBorders>
            <w:shd w:fill="1F3864" w:val="clear"/>
            <w:tcMar>
              <w:top w:type="dxa" w:w="70"/>
              <w:left w:type="dxa" w:w="110"/>
              <w:bottom w:type="dxa" w:w="70"/>
              <w:right w:type="dxa" w:w="110"/>
            </w:tcMar>
          </w:tcPr>
          <w:p>
            <w:pPr>
              <w:jc w:val="left"/>
            </w:pPr>
            <w:r>
              <w:rPr>
                <w:b/>
                <w:bCs/>
                <w:color w:val="FFFFFF"/>
                <w:sz w:val="16"/>
                <w:szCs w:val="16"/>
              </w:rPr>
              <w:t xml:space="preserve">Date</w:t>
            </w:r>
          </w:p>
        </w:tc>
        <w:tc>
          <w:tcPr>
            <w:tcW w:type="dxa" w:w="920"/>
            <w:tcBorders>
              <w:top w:val="single" w:color="BBBBBB" w:sz="1"/>
              <w:left w:val="single" w:color="BBBBBB" w:sz="1"/>
              <w:bottom w:val="single" w:color="BBBBBB" w:sz="1"/>
              <w:right w:val="single" w:color="BBBBBB" w:sz="1"/>
            </w:tcBorders>
            <w:shd w:fill="1F3864" w:val="clear"/>
            <w:tcMar>
              <w:top w:type="dxa" w:w="70"/>
              <w:left w:type="dxa" w:w="110"/>
              <w:bottom w:type="dxa" w:w="70"/>
              <w:right w:type="dxa" w:w="110"/>
            </w:tcMar>
          </w:tcPr>
          <w:p>
            <w:pPr>
              <w:jc w:val="left"/>
            </w:pPr>
            <w:r>
              <w:rPr>
                <w:b/>
                <w:bCs/>
                <w:color w:val="FFFFFF"/>
                <w:sz w:val="16"/>
                <w:szCs w:val="16"/>
              </w:rPr>
              <w:t xml:space="preserve">Open</w:t>
            </w:r>
          </w:p>
        </w:tc>
        <w:tc>
          <w:tcPr>
            <w:tcW w:type="dxa" w:w="920"/>
            <w:tcBorders>
              <w:top w:val="single" w:color="BBBBBB" w:sz="1"/>
              <w:left w:val="single" w:color="BBBBBB" w:sz="1"/>
              <w:bottom w:val="single" w:color="BBBBBB" w:sz="1"/>
              <w:right w:val="single" w:color="BBBBBB" w:sz="1"/>
            </w:tcBorders>
            <w:shd w:fill="1F3864" w:val="clear"/>
            <w:tcMar>
              <w:top w:type="dxa" w:w="70"/>
              <w:left w:type="dxa" w:w="110"/>
              <w:bottom w:type="dxa" w:w="70"/>
              <w:right w:type="dxa" w:w="110"/>
            </w:tcMar>
          </w:tcPr>
          <w:p>
            <w:pPr>
              <w:jc w:val="left"/>
            </w:pPr>
            <w:r>
              <w:rPr>
                <w:b/>
                <w:bCs/>
                <w:color w:val="FFFFFF"/>
                <w:sz w:val="16"/>
                <w:szCs w:val="16"/>
              </w:rPr>
              <w:t xml:space="preserve">High</w:t>
            </w:r>
          </w:p>
        </w:tc>
        <w:tc>
          <w:tcPr>
            <w:tcW w:type="dxa" w:w="920"/>
            <w:tcBorders>
              <w:top w:val="single" w:color="BBBBBB" w:sz="1"/>
              <w:left w:val="single" w:color="BBBBBB" w:sz="1"/>
              <w:bottom w:val="single" w:color="BBBBBB" w:sz="1"/>
              <w:right w:val="single" w:color="BBBBBB" w:sz="1"/>
            </w:tcBorders>
            <w:shd w:fill="1F3864" w:val="clear"/>
            <w:tcMar>
              <w:top w:type="dxa" w:w="70"/>
              <w:left w:type="dxa" w:w="110"/>
              <w:bottom w:type="dxa" w:w="70"/>
              <w:right w:type="dxa" w:w="110"/>
            </w:tcMar>
          </w:tcPr>
          <w:p>
            <w:pPr>
              <w:jc w:val="left"/>
            </w:pPr>
            <w:r>
              <w:rPr>
                <w:b/>
                <w:bCs/>
                <w:color w:val="FFFFFF"/>
                <w:sz w:val="16"/>
                <w:szCs w:val="16"/>
              </w:rPr>
              <w:t xml:space="preserve">Low</w:t>
            </w:r>
          </w:p>
        </w:tc>
        <w:tc>
          <w:tcPr>
            <w:tcW w:type="dxa" w:w="1040"/>
            <w:tcBorders>
              <w:top w:val="single" w:color="BBBBBB" w:sz="1"/>
              <w:left w:val="single" w:color="BBBBBB" w:sz="1"/>
              <w:bottom w:val="single" w:color="BBBBBB" w:sz="1"/>
              <w:right w:val="single" w:color="BBBBBB" w:sz="1"/>
            </w:tcBorders>
            <w:shd w:fill="1F3864" w:val="clear"/>
            <w:tcMar>
              <w:top w:type="dxa" w:w="70"/>
              <w:left w:type="dxa" w:w="110"/>
              <w:bottom w:type="dxa" w:w="70"/>
              <w:right w:type="dxa" w:w="110"/>
            </w:tcMar>
          </w:tcPr>
          <w:p>
            <w:pPr>
              <w:jc w:val="left"/>
            </w:pPr>
            <w:r>
              <w:rPr>
                <w:b/>
                <w:bCs/>
                <w:color w:val="FFFFFF"/>
                <w:sz w:val="16"/>
                <w:szCs w:val="16"/>
              </w:rPr>
              <w:t xml:space="preserve">Close</w:t>
            </w:r>
          </w:p>
        </w:tc>
        <w:tc>
          <w:tcPr>
            <w:tcW w:type="dxa" w:w="640"/>
            <w:tcBorders>
              <w:top w:val="single" w:color="BBBBBB" w:sz="1"/>
              <w:left w:val="single" w:color="BBBBBB" w:sz="1"/>
              <w:bottom w:val="single" w:color="BBBBBB" w:sz="1"/>
              <w:right w:val="single" w:color="BBBBBB" w:sz="1"/>
            </w:tcBorders>
            <w:shd w:fill="1F3864" w:val="clear"/>
            <w:tcMar>
              <w:top w:type="dxa" w:w="70"/>
              <w:left w:type="dxa" w:w="110"/>
              <w:bottom w:type="dxa" w:w="70"/>
              <w:right w:type="dxa" w:w="110"/>
            </w:tcMar>
          </w:tcPr>
          <w:p>
            <w:pPr>
              <w:jc w:val="left"/>
            </w:pPr>
            <w:r>
              <w:rPr>
                <w:b/>
                <w:bCs/>
                <w:color w:val="FFFFFF"/>
                <w:sz w:val="16"/>
                <w:szCs w:val="16"/>
              </w:rPr>
              <w:t xml:space="preserve">RSI2</w:t>
            </w:r>
          </w:p>
        </w:tc>
        <w:tc>
          <w:tcPr>
            <w:tcW w:type="dxa" w:w="820"/>
            <w:tcBorders>
              <w:top w:val="single" w:color="BBBBBB" w:sz="1"/>
              <w:left w:val="single" w:color="BBBBBB" w:sz="1"/>
              <w:bottom w:val="single" w:color="BBBBBB" w:sz="1"/>
              <w:right w:val="single" w:color="BBBBBB" w:sz="1"/>
            </w:tcBorders>
            <w:shd w:fill="1F3864" w:val="clear"/>
            <w:tcMar>
              <w:top w:type="dxa" w:w="70"/>
              <w:left w:type="dxa" w:w="110"/>
              <w:bottom w:type="dxa" w:w="70"/>
              <w:right w:type="dxa" w:w="110"/>
            </w:tcMar>
          </w:tcPr>
          <w:p>
            <w:pPr>
              <w:jc w:val="left"/>
            </w:pPr>
            <w:r>
              <w:rPr>
                <w:b/>
                <w:bCs/>
                <w:color w:val="FFFFFF"/>
                <w:sz w:val="16"/>
                <w:szCs w:val="16"/>
              </w:rPr>
              <w:t xml:space="preserve">Trend</w:t>
            </w:r>
          </w:p>
        </w:tc>
        <w:tc>
          <w:tcPr>
            <w:tcW w:type="dxa" w:w="900"/>
            <w:tcBorders>
              <w:top w:val="single" w:color="BBBBBB" w:sz="1"/>
              <w:left w:val="single" w:color="BBBBBB" w:sz="1"/>
              <w:bottom w:val="single" w:color="BBBBBB" w:sz="1"/>
              <w:right w:val="single" w:color="BBBBBB" w:sz="1"/>
            </w:tcBorders>
            <w:shd w:fill="1F3864" w:val="clear"/>
            <w:tcMar>
              <w:top w:type="dxa" w:w="70"/>
              <w:left w:type="dxa" w:w="110"/>
              <w:bottom w:type="dxa" w:w="70"/>
              <w:right w:type="dxa" w:w="110"/>
            </w:tcMar>
          </w:tcPr>
          <w:p>
            <w:pPr>
              <w:jc w:val="left"/>
            </w:pPr>
            <w:r>
              <w:rPr>
                <w:b/>
                <w:bCs/>
                <w:color w:val="FFFFFF"/>
                <w:sz w:val="16"/>
                <w:szCs w:val="16"/>
              </w:rPr>
              <w:t xml:space="preserve">Src A</w:t>
            </w:r>
          </w:p>
        </w:tc>
        <w:tc>
          <w:tcPr>
            <w:tcW w:type="dxa" w:w="940"/>
            <w:tcBorders>
              <w:top w:val="single" w:color="BBBBBB" w:sz="1"/>
              <w:left w:val="single" w:color="BBBBBB" w:sz="1"/>
              <w:bottom w:val="single" w:color="BBBBBB" w:sz="1"/>
              <w:right w:val="single" w:color="BBBBBB" w:sz="1"/>
            </w:tcBorders>
            <w:shd w:fill="1F3864" w:val="clear"/>
            <w:tcMar>
              <w:top w:type="dxa" w:w="70"/>
              <w:left w:type="dxa" w:w="110"/>
              <w:bottom w:type="dxa" w:w="70"/>
              <w:right w:type="dxa" w:w="110"/>
            </w:tcMar>
          </w:tcPr>
          <w:p>
            <w:pPr>
              <w:jc w:val="left"/>
            </w:pPr>
            <w:r>
              <w:rPr>
                <w:b/>
                <w:bCs/>
                <w:color w:val="FFFFFF"/>
                <w:sz w:val="16"/>
                <w:szCs w:val="16"/>
              </w:rPr>
              <w:t xml:space="preserve">Src B</w:t>
            </w:r>
          </w:p>
        </w:tc>
        <w:tc>
          <w:tcPr>
            <w:tcW w:type="dxa" w:w="1040"/>
            <w:tcBorders>
              <w:top w:val="single" w:color="BBBBBB" w:sz="1"/>
              <w:left w:val="single" w:color="BBBBBB" w:sz="1"/>
              <w:bottom w:val="single" w:color="BBBBBB" w:sz="1"/>
              <w:right w:val="single" w:color="BBBBBB" w:sz="1"/>
            </w:tcBorders>
            <w:shd w:fill="1F3864" w:val="clear"/>
            <w:tcMar>
              <w:top w:type="dxa" w:w="70"/>
              <w:left w:type="dxa" w:w="110"/>
              <w:bottom w:type="dxa" w:w="70"/>
              <w:right w:type="dxa" w:w="110"/>
            </w:tcMar>
          </w:tcPr>
          <w:p>
            <w:pPr>
              <w:jc w:val="left"/>
            </w:pPr>
            <w:r>
              <w:rPr>
                <w:b/>
                <w:bCs/>
                <w:color w:val="FFFFFF"/>
                <w:sz w:val="16"/>
                <w:szCs w:val="16"/>
              </w:rPr>
              <w:t xml:space="preserve">Final</w:t>
            </w:r>
          </w:p>
        </w:tc>
        <w:tc>
          <w:tcPr>
            <w:tcW w:type="dxa" w:w="1440"/>
            <w:tcBorders>
              <w:top w:val="single" w:color="BBBBBB" w:sz="1"/>
              <w:left w:val="single" w:color="BBBBBB" w:sz="1"/>
              <w:bottom w:val="single" w:color="BBBBBB" w:sz="1"/>
              <w:right w:val="single" w:color="BBBBBB" w:sz="1"/>
            </w:tcBorders>
            <w:shd w:fill="1F3864" w:val="clear"/>
            <w:tcMar>
              <w:top w:type="dxa" w:w="70"/>
              <w:left w:type="dxa" w:w="110"/>
              <w:bottom w:type="dxa" w:w="70"/>
              <w:right w:type="dxa" w:w="110"/>
            </w:tcMar>
          </w:tcPr>
          <w:p>
            <w:pPr>
              <w:jc w:val="left"/>
            </w:pPr>
            <w:r>
              <w:rPr>
                <w:b/>
                <w:bCs/>
                <w:color w:val="FFFFFF"/>
                <w:sz w:val="16"/>
                <w:szCs w:val="16"/>
              </w:rPr>
              <w:t xml:space="preserve">Validation</w:t>
            </w:r>
          </w:p>
        </w:tc>
      </w:tr>
      <w:tr>
        <w:trPr>
          <w:cantSplit/>
        </w:trPr>
        <w:tc>
          <w:tcPr>
            <w:tcW w:type="dxa" w:w="78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15 May</w:t>
            </w:r>
          </w:p>
        </w:tc>
        <w:tc>
          <w:tcPr>
            <w:tcW w:type="dxa" w:w="92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10,081</w:t>
            </w:r>
          </w:p>
        </w:tc>
        <w:tc>
          <w:tcPr>
            <w:tcW w:type="dxa" w:w="92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10,110</w:t>
            </w:r>
          </w:p>
        </w:tc>
        <w:tc>
          <w:tcPr>
            <w:tcW w:type="dxa" w:w="92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9,978</w:t>
            </w:r>
          </w:p>
        </w:tc>
        <w:tc>
          <w:tcPr>
            <w:tcW w:type="dxa" w:w="104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bCs/>
                <w:color w:val="222222"/>
                <w:sz w:val="15"/>
                <w:szCs w:val="15"/>
              </w:rPr>
              <w:t xml:space="preserve">10,004.57</w:t>
            </w:r>
          </w:p>
        </w:tc>
        <w:tc>
          <w:tcPr>
            <w:tcW w:type="dxa" w:w="64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3.1</w:t>
            </w:r>
          </w:p>
        </w:tc>
        <w:tc>
          <w:tcPr>
            <w:tcW w:type="dxa" w:w="82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Bearish</w:t>
            </w:r>
          </w:p>
        </w:tc>
        <w:tc>
          <w:tcPr>
            <w:tcW w:type="dxa" w:w="9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Investing</w:t>
            </w:r>
          </w:p>
        </w:tc>
        <w:tc>
          <w:tcPr>
            <w:tcW w:type="dxa" w:w="94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Stooq</w:t>
            </w:r>
          </w:p>
        </w:tc>
        <w:tc>
          <w:tcPr>
            <w:tcW w:type="dxa" w:w="104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color w:val="222222"/>
                <w:sz w:val="15"/>
                <w:szCs w:val="15"/>
              </w:rPr>
              <w:t xml:space="preserve">10,004.57</w:t>
            </w:r>
          </w:p>
        </w:tc>
        <w:tc>
          <w:tcPr>
            <w:tcW w:type="dxa" w:w="144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color w:val="2E7D4F"/>
                <w:sz w:val="15"/>
                <w:szCs w:val="15"/>
              </w:rPr>
              <w:t xml:space="preserve">CORROB. Δ0.04</w:t>
            </w:r>
          </w:p>
        </w:tc>
      </w:tr>
      <w:tr>
        <w:trPr>
          <w:cantSplit/>
        </w:trPr>
        <w:tc>
          <w:tcPr>
            <w:tcW w:type="dxa" w:w="780"/>
            <w:tcBorders>
              <w:top w:val="single" w:color="BBBBBB" w:sz="1"/>
              <w:left w:val="single" w:color="BBBBBB" w:sz="1"/>
              <w:bottom w:val="single" w:color="BBBBBB" w:sz="1"/>
              <w:right w:val="single" w:color="BBBBBB" w:sz="1"/>
            </w:tcBorders>
            <w:shd w:fill="F4F4F4" w:val="clear"/>
            <w:tcMar>
              <w:top w:type="dxa" w:w="70"/>
              <w:left w:type="dxa" w:w="110"/>
              <w:bottom w:type="dxa" w:w="70"/>
              <w:right w:type="dxa" w:w="110"/>
            </w:tcMar>
          </w:tcPr>
          <w:p>
            <w:pPr>
              <w:jc w:val="left"/>
            </w:pPr>
            <w:r>
              <w:rPr>
                <w:b w:val="false"/>
                <w:bCs w:val="false"/>
                <w:color w:val="222222"/>
                <w:sz w:val="15"/>
                <w:szCs w:val="15"/>
              </w:rPr>
              <w:t xml:space="preserve">18 May</w:t>
            </w:r>
          </w:p>
        </w:tc>
        <w:tc>
          <w:tcPr>
            <w:tcW w:type="dxa" w:w="920"/>
            <w:tcBorders>
              <w:top w:val="single" w:color="BBBBBB" w:sz="1"/>
              <w:left w:val="single" w:color="BBBBBB" w:sz="1"/>
              <w:bottom w:val="single" w:color="BBBBBB" w:sz="1"/>
              <w:right w:val="single" w:color="BBBBBB" w:sz="1"/>
            </w:tcBorders>
            <w:shd w:fill="F4F4F4" w:val="clear"/>
            <w:tcMar>
              <w:top w:type="dxa" w:w="70"/>
              <w:left w:type="dxa" w:w="110"/>
              <w:bottom w:type="dxa" w:w="70"/>
              <w:right w:type="dxa" w:w="110"/>
            </w:tcMar>
          </w:tcPr>
          <w:p>
            <w:pPr>
              <w:jc w:val="left"/>
            </w:pPr>
            <w:r>
              <w:rPr>
                <w:b w:val="false"/>
                <w:bCs w:val="false"/>
                <w:color w:val="222222"/>
                <w:sz w:val="15"/>
                <w:szCs w:val="15"/>
              </w:rPr>
              <w:t xml:space="preserve">9,985</w:t>
            </w:r>
          </w:p>
        </w:tc>
        <w:tc>
          <w:tcPr>
            <w:tcW w:type="dxa" w:w="920"/>
            <w:tcBorders>
              <w:top w:val="single" w:color="BBBBBB" w:sz="1"/>
              <w:left w:val="single" w:color="BBBBBB" w:sz="1"/>
              <w:bottom w:val="single" w:color="BBBBBB" w:sz="1"/>
              <w:right w:val="single" w:color="BBBBBB" w:sz="1"/>
            </w:tcBorders>
            <w:shd w:fill="F4F4F4" w:val="clear"/>
            <w:tcMar>
              <w:top w:type="dxa" w:w="70"/>
              <w:left w:type="dxa" w:w="110"/>
              <w:bottom w:type="dxa" w:w="70"/>
              <w:right w:type="dxa" w:w="110"/>
            </w:tcMar>
          </w:tcPr>
          <w:p>
            <w:pPr>
              <w:jc w:val="left"/>
            </w:pPr>
            <w:r>
              <w:rPr>
                <w:b w:val="false"/>
                <w:bCs w:val="false"/>
                <w:color w:val="222222"/>
                <w:sz w:val="15"/>
                <w:szCs w:val="15"/>
              </w:rPr>
              <w:t xml:space="preserve">10,058</w:t>
            </w:r>
          </w:p>
        </w:tc>
        <w:tc>
          <w:tcPr>
            <w:tcW w:type="dxa" w:w="920"/>
            <w:tcBorders>
              <w:top w:val="single" w:color="BBBBBB" w:sz="1"/>
              <w:left w:val="single" w:color="BBBBBB" w:sz="1"/>
              <w:bottom w:val="single" w:color="BBBBBB" w:sz="1"/>
              <w:right w:val="single" w:color="BBBBBB" w:sz="1"/>
            </w:tcBorders>
            <w:shd w:fill="F4F4F4" w:val="clear"/>
            <w:tcMar>
              <w:top w:type="dxa" w:w="70"/>
              <w:left w:type="dxa" w:w="110"/>
              <w:bottom w:type="dxa" w:w="70"/>
              <w:right w:type="dxa" w:w="110"/>
            </w:tcMar>
          </w:tcPr>
          <w:p>
            <w:pPr>
              <w:jc w:val="left"/>
            </w:pPr>
            <w:r>
              <w:rPr>
                <w:b w:val="false"/>
                <w:bCs w:val="false"/>
                <w:color w:val="222222"/>
                <w:sz w:val="15"/>
                <w:szCs w:val="15"/>
              </w:rPr>
              <w:t xml:space="preserve">9,905</w:t>
            </w:r>
          </w:p>
        </w:tc>
        <w:tc>
          <w:tcPr>
            <w:tcW w:type="dxa" w:w="1040"/>
            <w:tcBorders>
              <w:top w:val="single" w:color="BBBBBB" w:sz="1"/>
              <w:left w:val="single" w:color="BBBBBB" w:sz="1"/>
              <w:bottom w:val="single" w:color="BBBBBB" w:sz="1"/>
              <w:right w:val="single" w:color="BBBBBB" w:sz="1"/>
            </w:tcBorders>
            <w:shd w:fill="F4F4F4" w:val="clear"/>
            <w:tcMar>
              <w:top w:type="dxa" w:w="70"/>
              <w:left w:type="dxa" w:w="110"/>
              <w:bottom w:type="dxa" w:w="70"/>
              <w:right w:type="dxa" w:w="110"/>
            </w:tcMar>
          </w:tcPr>
          <w:p>
            <w:pPr>
              <w:jc w:val="left"/>
            </w:pPr>
            <w:r>
              <w:rPr>
                <w:b/>
                <w:bCs/>
                <w:color w:val="222222"/>
                <w:sz w:val="15"/>
                <w:szCs w:val="15"/>
              </w:rPr>
              <w:t xml:space="preserve">9,999.20</w:t>
            </w:r>
          </w:p>
        </w:tc>
        <w:tc>
          <w:tcPr>
            <w:tcW w:type="dxa" w:w="640"/>
            <w:tcBorders>
              <w:top w:val="single" w:color="BBBBBB" w:sz="1"/>
              <w:left w:val="single" w:color="BBBBBB" w:sz="1"/>
              <w:bottom w:val="single" w:color="BBBBBB" w:sz="1"/>
              <w:right w:val="single" w:color="BBBBBB" w:sz="1"/>
            </w:tcBorders>
            <w:shd w:fill="F4F4F4" w:val="clear"/>
            <w:tcMar>
              <w:top w:type="dxa" w:w="70"/>
              <w:left w:type="dxa" w:w="110"/>
              <w:bottom w:type="dxa" w:w="70"/>
              <w:right w:type="dxa" w:w="110"/>
            </w:tcMar>
          </w:tcPr>
          <w:p>
            <w:pPr>
              <w:jc w:val="left"/>
            </w:pPr>
            <w:r>
              <w:rPr>
                <w:b w:val="false"/>
                <w:bCs w:val="false"/>
                <w:color w:val="222222"/>
                <w:sz w:val="15"/>
                <w:szCs w:val="15"/>
              </w:rPr>
              <w:t xml:space="preserve">2.0</w:t>
            </w:r>
          </w:p>
        </w:tc>
        <w:tc>
          <w:tcPr>
            <w:tcW w:type="dxa" w:w="820"/>
            <w:tcBorders>
              <w:top w:val="single" w:color="BBBBBB" w:sz="1"/>
              <w:left w:val="single" w:color="BBBBBB" w:sz="1"/>
              <w:bottom w:val="single" w:color="BBBBBB" w:sz="1"/>
              <w:right w:val="single" w:color="BBBBBB" w:sz="1"/>
            </w:tcBorders>
            <w:shd w:fill="F4F4F4" w:val="clear"/>
            <w:tcMar>
              <w:top w:type="dxa" w:w="70"/>
              <w:left w:type="dxa" w:w="110"/>
              <w:bottom w:type="dxa" w:w="70"/>
              <w:right w:type="dxa" w:w="110"/>
            </w:tcMar>
          </w:tcPr>
          <w:p>
            <w:pPr>
              <w:jc w:val="left"/>
            </w:pPr>
            <w:r>
              <w:rPr>
                <w:b w:val="false"/>
                <w:bCs w:val="false"/>
                <w:color w:val="222222"/>
                <w:sz w:val="15"/>
                <w:szCs w:val="15"/>
              </w:rPr>
              <w:t xml:space="preserve">Bearish</w:t>
            </w:r>
          </w:p>
        </w:tc>
        <w:tc>
          <w:tcPr>
            <w:tcW w:type="dxa" w:w="900"/>
            <w:tcBorders>
              <w:top w:val="single" w:color="BBBBBB" w:sz="1"/>
              <w:left w:val="single" w:color="BBBBBB" w:sz="1"/>
              <w:bottom w:val="single" w:color="BBBBBB" w:sz="1"/>
              <w:right w:val="single" w:color="BBBBBB" w:sz="1"/>
            </w:tcBorders>
            <w:shd w:fill="F4F4F4" w:val="clear"/>
            <w:tcMar>
              <w:top w:type="dxa" w:w="70"/>
              <w:left w:type="dxa" w:w="110"/>
              <w:bottom w:type="dxa" w:w="70"/>
              <w:right w:type="dxa" w:w="110"/>
            </w:tcMar>
          </w:tcPr>
          <w:p>
            <w:pPr>
              <w:jc w:val="left"/>
            </w:pPr>
            <w:r>
              <w:rPr>
                <w:b w:val="false"/>
                <w:bCs w:val="false"/>
                <w:color w:val="222222"/>
                <w:sz w:val="15"/>
                <w:szCs w:val="15"/>
              </w:rPr>
              <w:t xml:space="preserve">Investing</w:t>
            </w:r>
          </w:p>
        </w:tc>
        <w:tc>
          <w:tcPr>
            <w:tcW w:type="dxa" w:w="940"/>
            <w:tcBorders>
              <w:top w:val="single" w:color="BBBBBB" w:sz="1"/>
              <w:left w:val="single" w:color="BBBBBB" w:sz="1"/>
              <w:bottom w:val="single" w:color="BBBBBB" w:sz="1"/>
              <w:right w:val="single" w:color="BBBBBB" w:sz="1"/>
            </w:tcBorders>
            <w:shd w:fill="F4F4F4" w:val="clear"/>
            <w:tcMar>
              <w:top w:type="dxa" w:w="70"/>
              <w:left w:type="dxa" w:w="110"/>
              <w:bottom w:type="dxa" w:w="70"/>
              <w:right w:type="dxa" w:w="110"/>
            </w:tcMar>
          </w:tcPr>
          <w:p>
            <w:pPr>
              <w:jc w:val="left"/>
            </w:pPr>
            <w:r>
              <w:rPr>
                <w:b w:val="false"/>
                <w:bCs w:val="false"/>
                <w:color w:val="222222"/>
                <w:sz w:val="15"/>
                <w:szCs w:val="15"/>
              </w:rPr>
              <w:t xml:space="preserve">Twelve Data</w:t>
            </w:r>
          </w:p>
        </w:tc>
        <w:tc>
          <w:tcPr>
            <w:tcW w:type="dxa" w:w="1040"/>
            <w:tcBorders>
              <w:top w:val="single" w:color="BBBBBB" w:sz="1"/>
              <w:left w:val="single" w:color="BBBBBB" w:sz="1"/>
              <w:bottom w:val="single" w:color="BBBBBB" w:sz="1"/>
              <w:right w:val="single" w:color="BBBBBB" w:sz="1"/>
            </w:tcBorders>
            <w:shd w:fill="F4F4F4" w:val="clear"/>
            <w:tcMar>
              <w:top w:type="dxa" w:w="70"/>
              <w:left w:type="dxa" w:w="110"/>
              <w:bottom w:type="dxa" w:w="70"/>
              <w:right w:type="dxa" w:w="110"/>
            </w:tcMar>
          </w:tcPr>
          <w:p>
            <w:pPr>
              <w:jc w:val="left"/>
            </w:pPr>
            <w:r>
              <w:rPr>
                <w:color w:val="222222"/>
                <w:sz w:val="15"/>
                <w:szCs w:val="15"/>
              </w:rPr>
              <w:t xml:space="preserve">9,999.20</w:t>
            </w:r>
          </w:p>
        </w:tc>
        <w:tc>
          <w:tcPr>
            <w:tcW w:type="dxa" w:w="1440"/>
            <w:tcBorders>
              <w:top w:val="single" w:color="BBBBBB" w:sz="1"/>
              <w:left w:val="single" w:color="BBBBBB" w:sz="1"/>
              <w:bottom w:val="single" w:color="BBBBBB" w:sz="1"/>
              <w:right w:val="single" w:color="BBBBBB" w:sz="1"/>
            </w:tcBorders>
            <w:shd w:fill="F4F4F4" w:val="clear"/>
            <w:tcMar>
              <w:top w:type="dxa" w:w="70"/>
              <w:left w:type="dxa" w:w="110"/>
              <w:bottom w:type="dxa" w:w="70"/>
              <w:right w:type="dxa" w:w="110"/>
            </w:tcMar>
          </w:tcPr>
          <w:p>
            <w:pPr>
              <w:jc w:val="left"/>
            </w:pPr>
            <w:r>
              <w:rPr>
                <w:color w:val="2E7D4F"/>
                <w:sz w:val="15"/>
                <w:szCs w:val="15"/>
              </w:rPr>
              <w:t xml:space="preserve">CORROB. Δ0.06</w:t>
            </w:r>
          </w:p>
        </w:tc>
      </w:tr>
      <w:tr>
        <w:trPr>
          <w:cantSplit/>
        </w:trPr>
        <w:tc>
          <w:tcPr>
            <w:tcW w:type="dxa" w:w="78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19 May</w:t>
            </w:r>
          </w:p>
        </w:tc>
        <w:tc>
          <w:tcPr>
            <w:tcW w:type="dxa" w:w="92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10,010</w:t>
            </w:r>
          </w:p>
        </w:tc>
        <w:tc>
          <w:tcPr>
            <w:tcW w:type="dxa" w:w="92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10,120</w:t>
            </w:r>
          </w:p>
        </w:tc>
        <w:tc>
          <w:tcPr>
            <w:tcW w:type="dxa" w:w="92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9,990</w:t>
            </w:r>
          </w:p>
        </w:tc>
        <w:tc>
          <w:tcPr>
            <w:tcW w:type="dxa" w:w="104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bCs/>
                <w:color w:val="222222"/>
                <w:sz w:val="15"/>
                <w:szCs w:val="15"/>
              </w:rPr>
              <w:t xml:space="preserve">10,112.40</w:t>
            </w:r>
          </w:p>
        </w:tc>
        <w:tc>
          <w:tcPr>
            <w:tcW w:type="dxa" w:w="64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95.5</w:t>
            </w:r>
          </w:p>
        </w:tc>
        <w:tc>
          <w:tcPr>
            <w:tcW w:type="dxa" w:w="82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Bullish</w:t>
            </w:r>
          </w:p>
        </w:tc>
        <w:tc>
          <w:tcPr>
            <w:tcW w:type="dxa" w:w="9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Investing</w:t>
            </w:r>
          </w:p>
        </w:tc>
        <w:tc>
          <w:tcPr>
            <w:tcW w:type="dxa" w:w="94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Stooq</w:t>
            </w:r>
          </w:p>
        </w:tc>
        <w:tc>
          <w:tcPr>
            <w:tcW w:type="dxa" w:w="104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color w:val="222222"/>
                <w:sz w:val="15"/>
                <w:szCs w:val="15"/>
              </w:rPr>
              <w:t xml:space="preserve">10,112.40</w:t>
            </w:r>
          </w:p>
        </w:tc>
        <w:tc>
          <w:tcPr>
            <w:tcW w:type="dxa" w:w="144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color w:val="2E7D4F"/>
                <w:sz w:val="15"/>
                <w:szCs w:val="15"/>
              </w:rPr>
              <w:t xml:space="preserve">CORROB. Δ0.05</w:t>
            </w:r>
          </w:p>
        </w:tc>
      </w:tr>
      <w:tr>
        <w:trPr>
          <w:cantSplit/>
        </w:trPr>
        <w:tc>
          <w:tcPr>
            <w:tcW w:type="dxa" w:w="780"/>
            <w:tcBorders>
              <w:top w:val="single" w:color="BBBBBB" w:sz="1"/>
              <w:left w:val="single" w:color="BBBBBB" w:sz="1"/>
              <w:bottom w:val="single" w:color="BBBBBB" w:sz="1"/>
              <w:right w:val="single" w:color="BBBBBB" w:sz="1"/>
            </w:tcBorders>
            <w:shd w:fill="F4F4F4" w:val="clear"/>
            <w:tcMar>
              <w:top w:type="dxa" w:w="70"/>
              <w:left w:type="dxa" w:w="110"/>
              <w:bottom w:type="dxa" w:w="70"/>
              <w:right w:type="dxa" w:w="110"/>
            </w:tcMar>
          </w:tcPr>
          <w:p>
            <w:pPr>
              <w:jc w:val="left"/>
            </w:pPr>
            <w:r>
              <w:rPr>
                <w:b w:val="false"/>
                <w:bCs w:val="false"/>
                <w:color w:val="222222"/>
                <w:sz w:val="15"/>
                <w:szCs w:val="15"/>
              </w:rPr>
              <w:t xml:space="preserve">20 May</w:t>
            </w:r>
          </w:p>
        </w:tc>
        <w:tc>
          <w:tcPr>
            <w:tcW w:type="dxa" w:w="920"/>
            <w:tcBorders>
              <w:top w:val="single" w:color="BBBBBB" w:sz="1"/>
              <w:left w:val="single" w:color="BBBBBB" w:sz="1"/>
              <w:bottom w:val="single" w:color="BBBBBB" w:sz="1"/>
              <w:right w:val="single" w:color="BBBBBB" w:sz="1"/>
            </w:tcBorders>
            <w:shd w:fill="F4F4F4" w:val="clear"/>
            <w:tcMar>
              <w:top w:type="dxa" w:w="70"/>
              <w:left w:type="dxa" w:w="110"/>
              <w:bottom w:type="dxa" w:w="70"/>
              <w:right w:type="dxa" w:w="110"/>
            </w:tcMar>
          </w:tcPr>
          <w:p>
            <w:pPr>
              <w:jc w:val="left"/>
            </w:pPr>
            <w:r>
              <w:rPr>
                <w:b w:val="false"/>
                <w:bCs w:val="false"/>
                <w:color w:val="222222"/>
                <w:sz w:val="15"/>
                <w:szCs w:val="15"/>
              </w:rPr>
              <w:t xml:space="preserve">10,150</w:t>
            </w:r>
          </w:p>
        </w:tc>
        <w:tc>
          <w:tcPr>
            <w:tcW w:type="dxa" w:w="920"/>
            <w:tcBorders>
              <w:top w:val="single" w:color="BBBBBB" w:sz="1"/>
              <w:left w:val="single" w:color="BBBBBB" w:sz="1"/>
              <w:bottom w:val="single" w:color="BBBBBB" w:sz="1"/>
              <w:right w:val="single" w:color="BBBBBB" w:sz="1"/>
            </w:tcBorders>
            <w:shd w:fill="F4F4F4" w:val="clear"/>
            <w:tcMar>
              <w:top w:type="dxa" w:w="70"/>
              <w:left w:type="dxa" w:w="110"/>
              <w:bottom w:type="dxa" w:w="70"/>
              <w:right w:type="dxa" w:w="110"/>
            </w:tcMar>
          </w:tcPr>
          <w:p>
            <w:pPr>
              <w:jc w:val="left"/>
            </w:pPr>
            <w:r>
              <w:rPr>
                <w:b w:val="false"/>
                <w:bCs w:val="false"/>
                <w:color w:val="222222"/>
                <w:sz w:val="15"/>
                <w:szCs w:val="15"/>
              </w:rPr>
              <w:t xml:space="preserve">10,366</w:t>
            </w:r>
          </w:p>
        </w:tc>
        <w:tc>
          <w:tcPr>
            <w:tcW w:type="dxa" w:w="920"/>
            <w:tcBorders>
              <w:top w:val="single" w:color="BBBBBB" w:sz="1"/>
              <w:left w:val="single" w:color="BBBBBB" w:sz="1"/>
              <w:bottom w:val="single" w:color="BBBBBB" w:sz="1"/>
              <w:right w:val="single" w:color="BBBBBB" w:sz="1"/>
            </w:tcBorders>
            <w:shd w:fill="F4F4F4" w:val="clear"/>
            <w:tcMar>
              <w:top w:type="dxa" w:w="70"/>
              <w:left w:type="dxa" w:w="110"/>
              <w:bottom w:type="dxa" w:w="70"/>
              <w:right w:type="dxa" w:w="110"/>
            </w:tcMar>
          </w:tcPr>
          <w:p>
            <w:pPr>
              <w:jc w:val="left"/>
            </w:pPr>
            <w:r>
              <w:rPr>
                <w:b w:val="false"/>
                <w:bCs w:val="false"/>
                <w:color w:val="222222"/>
                <w:sz w:val="15"/>
                <w:szCs w:val="15"/>
              </w:rPr>
              <w:t xml:space="preserve">10,142</w:t>
            </w:r>
          </w:p>
        </w:tc>
        <w:tc>
          <w:tcPr>
            <w:tcW w:type="dxa" w:w="1040"/>
            <w:tcBorders>
              <w:top w:val="single" w:color="BBBBBB" w:sz="1"/>
              <w:left w:val="single" w:color="BBBBBB" w:sz="1"/>
              <w:bottom w:val="single" w:color="BBBBBB" w:sz="1"/>
              <w:right w:val="single" w:color="BBBBBB" w:sz="1"/>
            </w:tcBorders>
            <w:shd w:fill="F4F4F4" w:val="clear"/>
            <w:tcMar>
              <w:top w:type="dxa" w:w="70"/>
              <w:left w:type="dxa" w:w="110"/>
              <w:bottom w:type="dxa" w:w="70"/>
              <w:right w:type="dxa" w:w="110"/>
            </w:tcMar>
          </w:tcPr>
          <w:p>
            <w:pPr>
              <w:jc w:val="left"/>
            </w:pPr>
            <w:r>
              <w:rPr>
                <w:b/>
                <w:bCs/>
                <w:color w:val="222222"/>
                <w:sz w:val="15"/>
                <w:szCs w:val="15"/>
              </w:rPr>
              <w:t xml:space="preserve">10,330.84</w:t>
            </w:r>
          </w:p>
        </w:tc>
        <w:tc>
          <w:tcPr>
            <w:tcW w:type="dxa" w:w="640"/>
            <w:tcBorders>
              <w:top w:val="single" w:color="BBBBBB" w:sz="1"/>
              <w:left w:val="single" w:color="BBBBBB" w:sz="1"/>
              <w:bottom w:val="single" w:color="BBBBBB" w:sz="1"/>
              <w:right w:val="single" w:color="BBBBBB" w:sz="1"/>
            </w:tcBorders>
            <w:shd w:fill="F4F4F4" w:val="clear"/>
            <w:tcMar>
              <w:top w:type="dxa" w:w="70"/>
              <w:left w:type="dxa" w:w="110"/>
              <w:bottom w:type="dxa" w:w="70"/>
              <w:right w:type="dxa" w:w="110"/>
            </w:tcMar>
          </w:tcPr>
          <w:p>
            <w:pPr>
              <w:jc w:val="left"/>
            </w:pPr>
            <w:r>
              <w:rPr>
                <w:b w:val="false"/>
                <w:bCs w:val="false"/>
                <w:color w:val="222222"/>
                <w:sz w:val="15"/>
                <w:szCs w:val="15"/>
              </w:rPr>
              <w:t xml:space="preserve">100.0</w:t>
            </w:r>
          </w:p>
        </w:tc>
        <w:tc>
          <w:tcPr>
            <w:tcW w:type="dxa" w:w="820"/>
            <w:tcBorders>
              <w:top w:val="single" w:color="BBBBBB" w:sz="1"/>
              <w:left w:val="single" w:color="BBBBBB" w:sz="1"/>
              <w:bottom w:val="single" w:color="BBBBBB" w:sz="1"/>
              <w:right w:val="single" w:color="BBBBBB" w:sz="1"/>
            </w:tcBorders>
            <w:shd w:fill="F4F4F4" w:val="clear"/>
            <w:tcMar>
              <w:top w:type="dxa" w:w="70"/>
              <w:left w:type="dxa" w:w="110"/>
              <w:bottom w:type="dxa" w:w="70"/>
              <w:right w:type="dxa" w:w="110"/>
            </w:tcMar>
          </w:tcPr>
          <w:p>
            <w:pPr>
              <w:jc w:val="left"/>
            </w:pPr>
            <w:r>
              <w:rPr>
                <w:b w:val="false"/>
                <w:bCs w:val="false"/>
                <w:color w:val="222222"/>
                <w:sz w:val="15"/>
                <w:szCs w:val="15"/>
              </w:rPr>
              <w:t xml:space="preserve">Bullish</w:t>
            </w:r>
          </w:p>
        </w:tc>
        <w:tc>
          <w:tcPr>
            <w:tcW w:type="dxa" w:w="900"/>
            <w:tcBorders>
              <w:top w:val="single" w:color="BBBBBB" w:sz="1"/>
              <w:left w:val="single" w:color="BBBBBB" w:sz="1"/>
              <w:bottom w:val="single" w:color="BBBBBB" w:sz="1"/>
              <w:right w:val="single" w:color="BBBBBB" w:sz="1"/>
            </w:tcBorders>
            <w:shd w:fill="F4F4F4" w:val="clear"/>
            <w:tcMar>
              <w:top w:type="dxa" w:w="70"/>
              <w:left w:type="dxa" w:w="110"/>
              <w:bottom w:type="dxa" w:w="70"/>
              <w:right w:type="dxa" w:w="110"/>
            </w:tcMar>
          </w:tcPr>
          <w:p>
            <w:pPr>
              <w:jc w:val="left"/>
            </w:pPr>
            <w:r>
              <w:rPr>
                <w:b w:val="false"/>
                <w:bCs w:val="false"/>
                <w:color w:val="222222"/>
                <w:sz w:val="15"/>
                <w:szCs w:val="15"/>
              </w:rPr>
              <w:t xml:space="preserve">Investing</w:t>
            </w:r>
          </w:p>
        </w:tc>
        <w:tc>
          <w:tcPr>
            <w:tcW w:type="dxa" w:w="940"/>
            <w:tcBorders>
              <w:top w:val="single" w:color="BBBBBB" w:sz="1"/>
              <w:left w:val="single" w:color="BBBBBB" w:sz="1"/>
              <w:bottom w:val="single" w:color="BBBBBB" w:sz="1"/>
              <w:right w:val="single" w:color="BBBBBB" w:sz="1"/>
            </w:tcBorders>
            <w:shd w:fill="F4F4F4" w:val="clear"/>
            <w:tcMar>
              <w:top w:type="dxa" w:w="70"/>
              <w:left w:type="dxa" w:w="110"/>
              <w:bottom w:type="dxa" w:w="70"/>
              <w:right w:type="dxa" w:w="110"/>
            </w:tcMar>
          </w:tcPr>
          <w:p>
            <w:pPr>
              <w:jc w:val="left"/>
            </w:pPr>
            <w:r>
              <w:rPr>
                <w:b w:val="false"/>
                <w:bCs w:val="false"/>
                <w:color w:val="222222"/>
                <w:sz w:val="15"/>
                <w:szCs w:val="15"/>
              </w:rPr>
              <w:t xml:space="preserve">TradingView</w:t>
            </w:r>
          </w:p>
        </w:tc>
        <w:tc>
          <w:tcPr>
            <w:tcW w:type="dxa" w:w="1040"/>
            <w:tcBorders>
              <w:top w:val="single" w:color="BBBBBB" w:sz="1"/>
              <w:left w:val="single" w:color="BBBBBB" w:sz="1"/>
              <w:bottom w:val="single" w:color="BBBBBB" w:sz="1"/>
              <w:right w:val="single" w:color="BBBBBB" w:sz="1"/>
            </w:tcBorders>
            <w:shd w:fill="F4F4F4" w:val="clear"/>
            <w:tcMar>
              <w:top w:type="dxa" w:w="70"/>
              <w:left w:type="dxa" w:w="110"/>
              <w:bottom w:type="dxa" w:w="70"/>
              <w:right w:type="dxa" w:w="110"/>
            </w:tcMar>
          </w:tcPr>
          <w:p>
            <w:pPr>
              <w:jc w:val="left"/>
            </w:pPr>
            <w:r>
              <w:rPr>
                <w:color w:val="222222"/>
                <w:sz w:val="15"/>
                <w:szCs w:val="15"/>
              </w:rPr>
              <w:t xml:space="preserve">10,330.84</w:t>
            </w:r>
          </w:p>
        </w:tc>
        <w:tc>
          <w:tcPr>
            <w:tcW w:type="dxa" w:w="1440"/>
            <w:tcBorders>
              <w:top w:val="single" w:color="BBBBBB" w:sz="1"/>
              <w:left w:val="single" w:color="BBBBBB" w:sz="1"/>
              <w:bottom w:val="single" w:color="BBBBBB" w:sz="1"/>
              <w:right w:val="single" w:color="BBBBBB" w:sz="1"/>
            </w:tcBorders>
            <w:shd w:fill="F4F4F4" w:val="clear"/>
            <w:tcMar>
              <w:top w:type="dxa" w:w="70"/>
              <w:left w:type="dxa" w:w="110"/>
              <w:bottom w:type="dxa" w:w="70"/>
              <w:right w:type="dxa" w:w="110"/>
            </w:tcMar>
          </w:tcPr>
          <w:p>
            <w:pPr>
              <w:jc w:val="left"/>
            </w:pPr>
            <w:r>
              <w:rPr>
                <w:color w:val="2E7D4F"/>
                <w:sz w:val="15"/>
                <w:szCs w:val="15"/>
              </w:rPr>
              <w:t xml:space="preserve">CORROB. Δ0.08</w:t>
            </w:r>
          </w:p>
        </w:tc>
      </w:tr>
      <w:tr>
        <w:trPr>
          <w:cantSplit/>
        </w:trPr>
        <w:tc>
          <w:tcPr>
            <w:tcW w:type="dxa" w:w="78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21 May</w:t>
            </w:r>
          </w:p>
        </w:tc>
        <w:tc>
          <w:tcPr>
            <w:tcW w:type="dxa" w:w="92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10,432.54</w:t>
            </w:r>
          </w:p>
        </w:tc>
        <w:tc>
          <w:tcPr>
            <w:tcW w:type="dxa" w:w="92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10,471.64</w:t>
            </w:r>
          </w:p>
        </w:tc>
        <w:tc>
          <w:tcPr>
            <w:tcW w:type="dxa" w:w="92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10,353.47</w:t>
            </w:r>
          </w:p>
        </w:tc>
        <w:tc>
          <w:tcPr>
            <w:tcW w:type="dxa" w:w="104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bCs/>
                <w:color w:val="222222"/>
                <w:sz w:val="15"/>
                <w:szCs w:val="15"/>
              </w:rPr>
              <w:t xml:space="preserve">10,443.47</w:t>
            </w:r>
          </w:p>
        </w:tc>
        <w:tc>
          <w:tcPr>
            <w:tcW w:type="dxa" w:w="64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100.0</w:t>
            </w:r>
          </w:p>
        </w:tc>
        <w:tc>
          <w:tcPr>
            <w:tcW w:type="dxa" w:w="82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Bullish</w:t>
            </w:r>
          </w:p>
        </w:tc>
        <w:tc>
          <w:tcPr>
            <w:tcW w:type="dxa" w:w="9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Investing</w:t>
            </w:r>
          </w:p>
        </w:tc>
        <w:tc>
          <w:tcPr>
            <w:tcW w:type="dxa" w:w="94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Yahoo Fin.</w:t>
            </w:r>
          </w:p>
        </w:tc>
        <w:tc>
          <w:tcPr>
            <w:tcW w:type="dxa" w:w="104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color w:val="222222"/>
                <w:sz w:val="15"/>
                <w:szCs w:val="15"/>
              </w:rPr>
              <w:t xml:space="preserve">10,443.47</w:t>
            </w:r>
          </w:p>
        </w:tc>
        <w:tc>
          <w:tcPr>
            <w:tcW w:type="dxa" w:w="144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color w:val="2E7D4F"/>
                <w:sz w:val="15"/>
                <w:szCs w:val="15"/>
              </w:rPr>
              <w:t xml:space="preserve">CORROB. Δ0.03</w:t>
            </w:r>
          </w:p>
        </w:tc>
      </w:tr>
    </w:tbl>
    <w:p>
      <w:pPr>
        <w:spacing w:after="60"/>
      </w:pPr>
      <w:r>
        <w:t xml:space="preserve"/>
      </w:r>
    </w:p>
    <w:p>
      <w:pPr>
        <w:spacing w:after="120" w:line="276"/>
        <w:jc w:val="both"/>
      </w:pPr>
      <w:r>
        <w:rPr>
          <w:b/>
          <w:bCs/>
          <w:color w:val="2E7D4F"/>
        </w:rPr>
        <w:t xml:space="preserve">EURO STOXX 50 — comparator. </w:t>
      </w:r>
      <w:r>
        <w:t xml:space="preserve">Same validation treatment. EUR-denominated, Xetra/Eurozone session basis.</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780"/>
        <w:gridCol w:w="920"/>
        <w:gridCol w:w="920"/>
        <w:gridCol w:w="920"/>
        <w:gridCol w:w="1040"/>
        <w:gridCol w:w="640"/>
        <w:gridCol w:w="820"/>
        <w:gridCol w:w="900"/>
        <w:gridCol w:w="940"/>
        <w:gridCol w:w="1040"/>
        <w:gridCol w:w="1440"/>
      </w:tblGrid>
      <w:tr>
        <w:trPr>
          <w:tblHeader/>
        </w:trPr>
        <w:tc>
          <w:tcPr>
            <w:tcW w:type="dxa" w:w="780"/>
            <w:tcBorders>
              <w:top w:val="single" w:color="BBBBBB" w:sz="1"/>
              <w:left w:val="single" w:color="BBBBBB" w:sz="1"/>
              <w:bottom w:val="single" w:color="BBBBBB" w:sz="1"/>
              <w:right w:val="single" w:color="BBBBBB" w:sz="1"/>
            </w:tcBorders>
            <w:shd w:fill="1F3864" w:val="clear"/>
            <w:tcMar>
              <w:top w:type="dxa" w:w="70"/>
              <w:left w:type="dxa" w:w="110"/>
              <w:bottom w:type="dxa" w:w="70"/>
              <w:right w:type="dxa" w:w="110"/>
            </w:tcMar>
          </w:tcPr>
          <w:p>
            <w:pPr>
              <w:jc w:val="left"/>
            </w:pPr>
            <w:r>
              <w:rPr>
                <w:b/>
                <w:bCs/>
                <w:color w:val="FFFFFF"/>
                <w:sz w:val="16"/>
                <w:szCs w:val="16"/>
              </w:rPr>
              <w:t xml:space="preserve">Date</w:t>
            </w:r>
          </w:p>
        </w:tc>
        <w:tc>
          <w:tcPr>
            <w:tcW w:type="dxa" w:w="920"/>
            <w:tcBorders>
              <w:top w:val="single" w:color="BBBBBB" w:sz="1"/>
              <w:left w:val="single" w:color="BBBBBB" w:sz="1"/>
              <w:bottom w:val="single" w:color="BBBBBB" w:sz="1"/>
              <w:right w:val="single" w:color="BBBBBB" w:sz="1"/>
            </w:tcBorders>
            <w:shd w:fill="1F3864" w:val="clear"/>
            <w:tcMar>
              <w:top w:type="dxa" w:w="70"/>
              <w:left w:type="dxa" w:w="110"/>
              <w:bottom w:type="dxa" w:w="70"/>
              <w:right w:type="dxa" w:w="110"/>
            </w:tcMar>
          </w:tcPr>
          <w:p>
            <w:pPr>
              <w:jc w:val="left"/>
            </w:pPr>
            <w:r>
              <w:rPr>
                <w:b/>
                <w:bCs/>
                <w:color w:val="FFFFFF"/>
                <w:sz w:val="16"/>
                <w:szCs w:val="16"/>
              </w:rPr>
              <w:t xml:space="preserve">Open</w:t>
            </w:r>
          </w:p>
        </w:tc>
        <w:tc>
          <w:tcPr>
            <w:tcW w:type="dxa" w:w="920"/>
            <w:tcBorders>
              <w:top w:val="single" w:color="BBBBBB" w:sz="1"/>
              <w:left w:val="single" w:color="BBBBBB" w:sz="1"/>
              <w:bottom w:val="single" w:color="BBBBBB" w:sz="1"/>
              <w:right w:val="single" w:color="BBBBBB" w:sz="1"/>
            </w:tcBorders>
            <w:shd w:fill="1F3864" w:val="clear"/>
            <w:tcMar>
              <w:top w:type="dxa" w:w="70"/>
              <w:left w:type="dxa" w:w="110"/>
              <w:bottom w:type="dxa" w:w="70"/>
              <w:right w:type="dxa" w:w="110"/>
            </w:tcMar>
          </w:tcPr>
          <w:p>
            <w:pPr>
              <w:jc w:val="left"/>
            </w:pPr>
            <w:r>
              <w:rPr>
                <w:b/>
                <w:bCs/>
                <w:color w:val="FFFFFF"/>
                <w:sz w:val="16"/>
                <w:szCs w:val="16"/>
              </w:rPr>
              <w:t xml:space="preserve">High</w:t>
            </w:r>
          </w:p>
        </w:tc>
        <w:tc>
          <w:tcPr>
            <w:tcW w:type="dxa" w:w="920"/>
            <w:tcBorders>
              <w:top w:val="single" w:color="BBBBBB" w:sz="1"/>
              <w:left w:val="single" w:color="BBBBBB" w:sz="1"/>
              <w:bottom w:val="single" w:color="BBBBBB" w:sz="1"/>
              <w:right w:val="single" w:color="BBBBBB" w:sz="1"/>
            </w:tcBorders>
            <w:shd w:fill="1F3864" w:val="clear"/>
            <w:tcMar>
              <w:top w:type="dxa" w:w="70"/>
              <w:left w:type="dxa" w:w="110"/>
              <w:bottom w:type="dxa" w:w="70"/>
              <w:right w:type="dxa" w:w="110"/>
            </w:tcMar>
          </w:tcPr>
          <w:p>
            <w:pPr>
              <w:jc w:val="left"/>
            </w:pPr>
            <w:r>
              <w:rPr>
                <w:b/>
                <w:bCs/>
                <w:color w:val="FFFFFF"/>
                <w:sz w:val="16"/>
                <w:szCs w:val="16"/>
              </w:rPr>
              <w:t xml:space="preserve">Low</w:t>
            </w:r>
          </w:p>
        </w:tc>
        <w:tc>
          <w:tcPr>
            <w:tcW w:type="dxa" w:w="1040"/>
            <w:tcBorders>
              <w:top w:val="single" w:color="BBBBBB" w:sz="1"/>
              <w:left w:val="single" w:color="BBBBBB" w:sz="1"/>
              <w:bottom w:val="single" w:color="BBBBBB" w:sz="1"/>
              <w:right w:val="single" w:color="BBBBBB" w:sz="1"/>
            </w:tcBorders>
            <w:shd w:fill="1F3864" w:val="clear"/>
            <w:tcMar>
              <w:top w:type="dxa" w:w="70"/>
              <w:left w:type="dxa" w:w="110"/>
              <w:bottom w:type="dxa" w:w="70"/>
              <w:right w:type="dxa" w:w="110"/>
            </w:tcMar>
          </w:tcPr>
          <w:p>
            <w:pPr>
              <w:jc w:val="left"/>
            </w:pPr>
            <w:r>
              <w:rPr>
                <w:b/>
                <w:bCs/>
                <w:color w:val="FFFFFF"/>
                <w:sz w:val="16"/>
                <w:szCs w:val="16"/>
              </w:rPr>
              <w:t xml:space="preserve">Close</w:t>
            </w:r>
          </w:p>
        </w:tc>
        <w:tc>
          <w:tcPr>
            <w:tcW w:type="dxa" w:w="640"/>
            <w:tcBorders>
              <w:top w:val="single" w:color="BBBBBB" w:sz="1"/>
              <w:left w:val="single" w:color="BBBBBB" w:sz="1"/>
              <w:bottom w:val="single" w:color="BBBBBB" w:sz="1"/>
              <w:right w:val="single" w:color="BBBBBB" w:sz="1"/>
            </w:tcBorders>
            <w:shd w:fill="1F3864" w:val="clear"/>
            <w:tcMar>
              <w:top w:type="dxa" w:w="70"/>
              <w:left w:type="dxa" w:w="110"/>
              <w:bottom w:type="dxa" w:w="70"/>
              <w:right w:type="dxa" w:w="110"/>
            </w:tcMar>
          </w:tcPr>
          <w:p>
            <w:pPr>
              <w:jc w:val="left"/>
            </w:pPr>
            <w:r>
              <w:rPr>
                <w:b/>
                <w:bCs/>
                <w:color w:val="FFFFFF"/>
                <w:sz w:val="16"/>
                <w:szCs w:val="16"/>
              </w:rPr>
              <w:t xml:space="preserve">RSI2</w:t>
            </w:r>
          </w:p>
        </w:tc>
        <w:tc>
          <w:tcPr>
            <w:tcW w:type="dxa" w:w="820"/>
            <w:tcBorders>
              <w:top w:val="single" w:color="BBBBBB" w:sz="1"/>
              <w:left w:val="single" w:color="BBBBBB" w:sz="1"/>
              <w:bottom w:val="single" w:color="BBBBBB" w:sz="1"/>
              <w:right w:val="single" w:color="BBBBBB" w:sz="1"/>
            </w:tcBorders>
            <w:shd w:fill="1F3864" w:val="clear"/>
            <w:tcMar>
              <w:top w:type="dxa" w:w="70"/>
              <w:left w:type="dxa" w:w="110"/>
              <w:bottom w:type="dxa" w:w="70"/>
              <w:right w:type="dxa" w:w="110"/>
            </w:tcMar>
          </w:tcPr>
          <w:p>
            <w:pPr>
              <w:jc w:val="left"/>
            </w:pPr>
            <w:r>
              <w:rPr>
                <w:b/>
                <w:bCs/>
                <w:color w:val="FFFFFF"/>
                <w:sz w:val="16"/>
                <w:szCs w:val="16"/>
              </w:rPr>
              <w:t xml:space="preserve">Trend</w:t>
            </w:r>
          </w:p>
        </w:tc>
        <w:tc>
          <w:tcPr>
            <w:tcW w:type="dxa" w:w="900"/>
            <w:tcBorders>
              <w:top w:val="single" w:color="BBBBBB" w:sz="1"/>
              <w:left w:val="single" w:color="BBBBBB" w:sz="1"/>
              <w:bottom w:val="single" w:color="BBBBBB" w:sz="1"/>
              <w:right w:val="single" w:color="BBBBBB" w:sz="1"/>
            </w:tcBorders>
            <w:shd w:fill="1F3864" w:val="clear"/>
            <w:tcMar>
              <w:top w:type="dxa" w:w="70"/>
              <w:left w:type="dxa" w:w="110"/>
              <w:bottom w:type="dxa" w:w="70"/>
              <w:right w:type="dxa" w:w="110"/>
            </w:tcMar>
          </w:tcPr>
          <w:p>
            <w:pPr>
              <w:jc w:val="left"/>
            </w:pPr>
            <w:r>
              <w:rPr>
                <w:b/>
                <w:bCs/>
                <w:color w:val="FFFFFF"/>
                <w:sz w:val="16"/>
                <w:szCs w:val="16"/>
              </w:rPr>
              <w:t xml:space="preserve">Src A</w:t>
            </w:r>
          </w:p>
        </w:tc>
        <w:tc>
          <w:tcPr>
            <w:tcW w:type="dxa" w:w="940"/>
            <w:tcBorders>
              <w:top w:val="single" w:color="BBBBBB" w:sz="1"/>
              <w:left w:val="single" w:color="BBBBBB" w:sz="1"/>
              <w:bottom w:val="single" w:color="BBBBBB" w:sz="1"/>
              <w:right w:val="single" w:color="BBBBBB" w:sz="1"/>
            </w:tcBorders>
            <w:shd w:fill="1F3864" w:val="clear"/>
            <w:tcMar>
              <w:top w:type="dxa" w:w="70"/>
              <w:left w:type="dxa" w:w="110"/>
              <w:bottom w:type="dxa" w:w="70"/>
              <w:right w:type="dxa" w:w="110"/>
            </w:tcMar>
          </w:tcPr>
          <w:p>
            <w:pPr>
              <w:jc w:val="left"/>
            </w:pPr>
            <w:r>
              <w:rPr>
                <w:b/>
                <w:bCs/>
                <w:color w:val="FFFFFF"/>
                <w:sz w:val="16"/>
                <w:szCs w:val="16"/>
              </w:rPr>
              <w:t xml:space="preserve">Src B</w:t>
            </w:r>
          </w:p>
        </w:tc>
        <w:tc>
          <w:tcPr>
            <w:tcW w:type="dxa" w:w="1040"/>
            <w:tcBorders>
              <w:top w:val="single" w:color="BBBBBB" w:sz="1"/>
              <w:left w:val="single" w:color="BBBBBB" w:sz="1"/>
              <w:bottom w:val="single" w:color="BBBBBB" w:sz="1"/>
              <w:right w:val="single" w:color="BBBBBB" w:sz="1"/>
            </w:tcBorders>
            <w:shd w:fill="1F3864" w:val="clear"/>
            <w:tcMar>
              <w:top w:type="dxa" w:w="70"/>
              <w:left w:type="dxa" w:w="110"/>
              <w:bottom w:type="dxa" w:w="70"/>
              <w:right w:type="dxa" w:w="110"/>
            </w:tcMar>
          </w:tcPr>
          <w:p>
            <w:pPr>
              <w:jc w:val="left"/>
            </w:pPr>
            <w:r>
              <w:rPr>
                <w:b/>
                <w:bCs/>
                <w:color w:val="FFFFFF"/>
                <w:sz w:val="16"/>
                <w:szCs w:val="16"/>
              </w:rPr>
              <w:t xml:space="preserve">Final</w:t>
            </w:r>
          </w:p>
        </w:tc>
        <w:tc>
          <w:tcPr>
            <w:tcW w:type="dxa" w:w="1440"/>
            <w:tcBorders>
              <w:top w:val="single" w:color="BBBBBB" w:sz="1"/>
              <w:left w:val="single" w:color="BBBBBB" w:sz="1"/>
              <w:bottom w:val="single" w:color="BBBBBB" w:sz="1"/>
              <w:right w:val="single" w:color="BBBBBB" w:sz="1"/>
            </w:tcBorders>
            <w:shd w:fill="1F3864" w:val="clear"/>
            <w:tcMar>
              <w:top w:type="dxa" w:w="70"/>
              <w:left w:type="dxa" w:w="110"/>
              <w:bottom w:type="dxa" w:w="70"/>
              <w:right w:type="dxa" w:w="110"/>
            </w:tcMar>
          </w:tcPr>
          <w:p>
            <w:pPr>
              <w:jc w:val="left"/>
            </w:pPr>
            <w:r>
              <w:rPr>
                <w:b/>
                <w:bCs/>
                <w:color w:val="FFFFFF"/>
                <w:sz w:val="16"/>
                <w:szCs w:val="16"/>
              </w:rPr>
              <w:t xml:space="preserve">Validation</w:t>
            </w:r>
          </w:p>
        </w:tc>
      </w:tr>
      <w:tr>
        <w:trPr>
          <w:cantSplit/>
        </w:trPr>
        <w:tc>
          <w:tcPr>
            <w:tcW w:type="dxa" w:w="78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15 May</w:t>
            </w:r>
          </w:p>
        </w:tc>
        <w:tc>
          <w:tcPr>
            <w:tcW w:type="dxa" w:w="92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5,760</w:t>
            </w:r>
          </w:p>
        </w:tc>
        <w:tc>
          <w:tcPr>
            <w:tcW w:type="dxa" w:w="92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5,790</w:t>
            </w:r>
          </w:p>
        </w:tc>
        <w:tc>
          <w:tcPr>
            <w:tcW w:type="dxa" w:w="92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5,705</w:t>
            </w:r>
          </w:p>
        </w:tc>
        <w:tc>
          <w:tcPr>
            <w:tcW w:type="dxa" w:w="104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bCs/>
                <w:color w:val="222222"/>
                <w:sz w:val="15"/>
                <w:szCs w:val="15"/>
              </w:rPr>
              <w:t xml:space="preserve">5,742.10</w:t>
            </w:r>
          </w:p>
        </w:tc>
        <w:tc>
          <w:tcPr>
            <w:tcW w:type="dxa" w:w="64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66.0</w:t>
            </w:r>
          </w:p>
        </w:tc>
        <w:tc>
          <w:tcPr>
            <w:tcW w:type="dxa" w:w="82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Neutral</w:t>
            </w:r>
          </w:p>
        </w:tc>
        <w:tc>
          <w:tcPr>
            <w:tcW w:type="dxa" w:w="9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Investing</w:t>
            </w:r>
          </w:p>
        </w:tc>
        <w:tc>
          <w:tcPr>
            <w:tcW w:type="dxa" w:w="94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Stooq</w:t>
            </w:r>
          </w:p>
        </w:tc>
        <w:tc>
          <w:tcPr>
            <w:tcW w:type="dxa" w:w="104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color w:val="222222"/>
                <w:sz w:val="15"/>
                <w:szCs w:val="15"/>
              </w:rPr>
              <w:t xml:space="preserve">5,742.10</w:t>
            </w:r>
          </w:p>
        </w:tc>
        <w:tc>
          <w:tcPr>
            <w:tcW w:type="dxa" w:w="144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color w:val="2E7D4F"/>
                <w:sz w:val="15"/>
                <w:szCs w:val="15"/>
              </w:rPr>
              <w:t xml:space="preserve">CORROB. Δ0.07</w:t>
            </w:r>
          </w:p>
        </w:tc>
      </w:tr>
      <w:tr>
        <w:trPr>
          <w:cantSplit/>
        </w:trPr>
        <w:tc>
          <w:tcPr>
            <w:tcW w:type="dxa" w:w="780"/>
            <w:tcBorders>
              <w:top w:val="single" w:color="BBBBBB" w:sz="1"/>
              <w:left w:val="single" w:color="BBBBBB" w:sz="1"/>
              <w:bottom w:val="single" w:color="BBBBBB" w:sz="1"/>
              <w:right w:val="single" w:color="BBBBBB" w:sz="1"/>
            </w:tcBorders>
            <w:shd w:fill="F4F4F4" w:val="clear"/>
            <w:tcMar>
              <w:top w:type="dxa" w:w="70"/>
              <w:left w:type="dxa" w:w="110"/>
              <w:bottom w:type="dxa" w:w="70"/>
              <w:right w:type="dxa" w:w="110"/>
            </w:tcMar>
          </w:tcPr>
          <w:p>
            <w:pPr>
              <w:jc w:val="left"/>
            </w:pPr>
            <w:r>
              <w:rPr>
                <w:b w:val="false"/>
                <w:bCs w:val="false"/>
                <w:color w:val="222222"/>
                <w:sz w:val="15"/>
                <w:szCs w:val="15"/>
              </w:rPr>
              <w:t xml:space="preserve">18 May</w:t>
            </w:r>
          </w:p>
        </w:tc>
        <w:tc>
          <w:tcPr>
            <w:tcW w:type="dxa" w:w="920"/>
            <w:tcBorders>
              <w:top w:val="single" w:color="BBBBBB" w:sz="1"/>
              <w:left w:val="single" w:color="BBBBBB" w:sz="1"/>
              <w:bottom w:val="single" w:color="BBBBBB" w:sz="1"/>
              <w:right w:val="single" w:color="BBBBBB" w:sz="1"/>
            </w:tcBorders>
            <w:shd w:fill="F4F4F4" w:val="clear"/>
            <w:tcMar>
              <w:top w:type="dxa" w:w="70"/>
              <w:left w:type="dxa" w:w="110"/>
              <w:bottom w:type="dxa" w:w="70"/>
              <w:right w:type="dxa" w:w="110"/>
            </w:tcMar>
          </w:tcPr>
          <w:p>
            <w:pPr>
              <w:jc w:val="left"/>
            </w:pPr>
            <w:r>
              <w:rPr>
                <w:b w:val="false"/>
                <w:bCs w:val="false"/>
                <w:color w:val="222222"/>
                <w:sz w:val="15"/>
                <w:szCs w:val="15"/>
              </w:rPr>
              <w:t xml:space="preserve">5,752</w:t>
            </w:r>
          </w:p>
        </w:tc>
        <w:tc>
          <w:tcPr>
            <w:tcW w:type="dxa" w:w="920"/>
            <w:tcBorders>
              <w:top w:val="single" w:color="BBBBBB" w:sz="1"/>
              <w:left w:val="single" w:color="BBBBBB" w:sz="1"/>
              <w:bottom w:val="single" w:color="BBBBBB" w:sz="1"/>
              <w:right w:val="single" w:color="BBBBBB" w:sz="1"/>
            </w:tcBorders>
            <w:shd w:fill="F4F4F4" w:val="clear"/>
            <w:tcMar>
              <w:top w:type="dxa" w:w="70"/>
              <w:left w:type="dxa" w:w="110"/>
              <w:bottom w:type="dxa" w:w="70"/>
              <w:right w:type="dxa" w:w="110"/>
            </w:tcMar>
          </w:tcPr>
          <w:p>
            <w:pPr>
              <w:jc w:val="left"/>
            </w:pPr>
            <w:r>
              <w:rPr>
                <w:b w:val="false"/>
                <w:bCs w:val="false"/>
                <w:color w:val="222222"/>
                <w:sz w:val="15"/>
                <w:szCs w:val="15"/>
              </w:rPr>
              <w:t xml:space="preserve">5,820</w:t>
            </w:r>
          </w:p>
        </w:tc>
        <w:tc>
          <w:tcPr>
            <w:tcW w:type="dxa" w:w="920"/>
            <w:tcBorders>
              <w:top w:val="single" w:color="BBBBBB" w:sz="1"/>
              <w:left w:val="single" w:color="BBBBBB" w:sz="1"/>
              <w:bottom w:val="single" w:color="BBBBBB" w:sz="1"/>
              <w:right w:val="single" w:color="BBBBBB" w:sz="1"/>
            </w:tcBorders>
            <w:shd w:fill="F4F4F4" w:val="clear"/>
            <w:tcMar>
              <w:top w:type="dxa" w:w="70"/>
              <w:left w:type="dxa" w:w="110"/>
              <w:bottom w:type="dxa" w:w="70"/>
              <w:right w:type="dxa" w:w="110"/>
            </w:tcMar>
          </w:tcPr>
          <w:p>
            <w:pPr>
              <w:jc w:val="left"/>
            </w:pPr>
            <w:r>
              <w:rPr>
                <w:b w:val="false"/>
                <w:bCs w:val="false"/>
                <w:color w:val="222222"/>
                <w:sz w:val="15"/>
                <w:szCs w:val="15"/>
              </w:rPr>
              <w:t xml:space="preserve">5,735</w:t>
            </w:r>
          </w:p>
        </w:tc>
        <w:tc>
          <w:tcPr>
            <w:tcW w:type="dxa" w:w="1040"/>
            <w:tcBorders>
              <w:top w:val="single" w:color="BBBBBB" w:sz="1"/>
              <w:left w:val="single" w:color="BBBBBB" w:sz="1"/>
              <w:bottom w:val="single" w:color="BBBBBB" w:sz="1"/>
              <w:right w:val="single" w:color="BBBBBB" w:sz="1"/>
            </w:tcBorders>
            <w:shd w:fill="F4F4F4" w:val="clear"/>
            <w:tcMar>
              <w:top w:type="dxa" w:w="70"/>
              <w:left w:type="dxa" w:w="110"/>
              <w:bottom w:type="dxa" w:w="70"/>
              <w:right w:type="dxa" w:w="110"/>
            </w:tcMar>
          </w:tcPr>
          <w:p>
            <w:pPr>
              <w:jc w:val="left"/>
            </w:pPr>
            <w:r>
              <w:rPr>
                <w:b/>
                <w:bCs/>
                <w:color w:val="222222"/>
                <w:sz w:val="15"/>
                <w:szCs w:val="15"/>
              </w:rPr>
              <w:t xml:space="preserve">5,805.40</w:t>
            </w:r>
          </w:p>
        </w:tc>
        <w:tc>
          <w:tcPr>
            <w:tcW w:type="dxa" w:w="640"/>
            <w:tcBorders>
              <w:top w:val="single" w:color="BBBBBB" w:sz="1"/>
              <w:left w:val="single" w:color="BBBBBB" w:sz="1"/>
              <w:bottom w:val="single" w:color="BBBBBB" w:sz="1"/>
              <w:right w:val="single" w:color="BBBBBB" w:sz="1"/>
            </w:tcBorders>
            <w:shd w:fill="F4F4F4" w:val="clear"/>
            <w:tcMar>
              <w:top w:type="dxa" w:w="70"/>
              <w:left w:type="dxa" w:w="110"/>
              <w:bottom w:type="dxa" w:w="70"/>
              <w:right w:type="dxa" w:w="110"/>
            </w:tcMar>
          </w:tcPr>
          <w:p>
            <w:pPr>
              <w:jc w:val="left"/>
            </w:pPr>
            <w:r>
              <w:rPr>
                <w:b w:val="false"/>
                <w:bCs w:val="false"/>
                <w:color w:val="222222"/>
                <w:sz w:val="15"/>
                <w:szCs w:val="15"/>
              </w:rPr>
              <w:t xml:space="preserve">83.1</w:t>
            </w:r>
          </w:p>
        </w:tc>
        <w:tc>
          <w:tcPr>
            <w:tcW w:type="dxa" w:w="820"/>
            <w:tcBorders>
              <w:top w:val="single" w:color="BBBBBB" w:sz="1"/>
              <w:left w:val="single" w:color="BBBBBB" w:sz="1"/>
              <w:bottom w:val="single" w:color="BBBBBB" w:sz="1"/>
              <w:right w:val="single" w:color="BBBBBB" w:sz="1"/>
            </w:tcBorders>
            <w:shd w:fill="F4F4F4" w:val="clear"/>
            <w:tcMar>
              <w:top w:type="dxa" w:w="70"/>
              <w:left w:type="dxa" w:w="110"/>
              <w:bottom w:type="dxa" w:w="70"/>
              <w:right w:type="dxa" w:w="110"/>
            </w:tcMar>
          </w:tcPr>
          <w:p>
            <w:pPr>
              <w:jc w:val="left"/>
            </w:pPr>
            <w:r>
              <w:rPr>
                <w:b w:val="false"/>
                <w:bCs w:val="false"/>
                <w:color w:val="222222"/>
                <w:sz w:val="15"/>
                <w:szCs w:val="15"/>
              </w:rPr>
              <w:t xml:space="preserve">Bullish</w:t>
            </w:r>
          </w:p>
        </w:tc>
        <w:tc>
          <w:tcPr>
            <w:tcW w:type="dxa" w:w="900"/>
            <w:tcBorders>
              <w:top w:val="single" w:color="BBBBBB" w:sz="1"/>
              <w:left w:val="single" w:color="BBBBBB" w:sz="1"/>
              <w:bottom w:val="single" w:color="BBBBBB" w:sz="1"/>
              <w:right w:val="single" w:color="BBBBBB" w:sz="1"/>
            </w:tcBorders>
            <w:shd w:fill="F4F4F4" w:val="clear"/>
            <w:tcMar>
              <w:top w:type="dxa" w:w="70"/>
              <w:left w:type="dxa" w:w="110"/>
              <w:bottom w:type="dxa" w:w="70"/>
              <w:right w:type="dxa" w:w="110"/>
            </w:tcMar>
          </w:tcPr>
          <w:p>
            <w:pPr>
              <w:jc w:val="left"/>
            </w:pPr>
            <w:r>
              <w:rPr>
                <w:b w:val="false"/>
                <w:bCs w:val="false"/>
                <w:color w:val="222222"/>
                <w:sz w:val="15"/>
                <w:szCs w:val="15"/>
              </w:rPr>
              <w:t xml:space="preserve">Investing</w:t>
            </w:r>
          </w:p>
        </w:tc>
        <w:tc>
          <w:tcPr>
            <w:tcW w:type="dxa" w:w="940"/>
            <w:tcBorders>
              <w:top w:val="single" w:color="BBBBBB" w:sz="1"/>
              <w:left w:val="single" w:color="BBBBBB" w:sz="1"/>
              <w:bottom w:val="single" w:color="BBBBBB" w:sz="1"/>
              <w:right w:val="single" w:color="BBBBBB" w:sz="1"/>
            </w:tcBorders>
            <w:shd w:fill="F4F4F4" w:val="clear"/>
            <w:tcMar>
              <w:top w:type="dxa" w:w="70"/>
              <w:left w:type="dxa" w:w="110"/>
              <w:bottom w:type="dxa" w:w="70"/>
              <w:right w:type="dxa" w:w="110"/>
            </w:tcMar>
          </w:tcPr>
          <w:p>
            <w:pPr>
              <w:jc w:val="left"/>
            </w:pPr>
            <w:r>
              <w:rPr>
                <w:b w:val="false"/>
                <w:bCs w:val="false"/>
                <w:color w:val="222222"/>
                <w:sz w:val="15"/>
                <w:szCs w:val="15"/>
              </w:rPr>
              <w:t xml:space="preserve">Twelve Data</w:t>
            </w:r>
          </w:p>
        </w:tc>
        <w:tc>
          <w:tcPr>
            <w:tcW w:type="dxa" w:w="1040"/>
            <w:tcBorders>
              <w:top w:val="single" w:color="BBBBBB" w:sz="1"/>
              <w:left w:val="single" w:color="BBBBBB" w:sz="1"/>
              <w:bottom w:val="single" w:color="BBBBBB" w:sz="1"/>
              <w:right w:val="single" w:color="BBBBBB" w:sz="1"/>
            </w:tcBorders>
            <w:shd w:fill="F4F4F4" w:val="clear"/>
            <w:tcMar>
              <w:top w:type="dxa" w:w="70"/>
              <w:left w:type="dxa" w:w="110"/>
              <w:bottom w:type="dxa" w:w="70"/>
              <w:right w:type="dxa" w:w="110"/>
            </w:tcMar>
          </w:tcPr>
          <w:p>
            <w:pPr>
              <w:jc w:val="left"/>
            </w:pPr>
            <w:r>
              <w:rPr>
                <w:color w:val="222222"/>
                <w:sz w:val="15"/>
                <w:szCs w:val="15"/>
              </w:rPr>
              <w:t xml:space="preserve">5,805.40</w:t>
            </w:r>
          </w:p>
        </w:tc>
        <w:tc>
          <w:tcPr>
            <w:tcW w:type="dxa" w:w="1440"/>
            <w:tcBorders>
              <w:top w:val="single" w:color="BBBBBB" w:sz="1"/>
              <w:left w:val="single" w:color="BBBBBB" w:sz="1"/>
              <w:bottom w:val="single" w:color="BBBBBB" w:sz="1"/>
              <w:right w:val="single" w:color="BBBBBB" w:sz="1"/>
            </w:tcBorders>
            <w:shd w:fill="F4F4F4" w:val="clear"/>
            <w:tcMar>
              <w:top w:type="dxa" w:w="70"/>
              <w:left w:type="dxa" w:w="110"/>
              <w:bottom w:type="dxa" w:w="70"/>
              <w:right w:type="dxa" w:w="110"/>
            </w:tcMar>
          </w:tcPr>
          <w:p>
            <w:pPr>
              <w:jc w:val="left"/>
            </w:pPr>
            <w:r>
              <w:rPr>
                <w:color w:val="2E7D4F"/>
                <w:sz w:val="15"/>
                <w:szCs w:val="15"/>
              </w:rPr>
              <w:t xml:space="preserve">CORROB. Δ0.05</w:t>
            </w:r>
          </w:p>
        </w:tc>
      </w:tr>
      <w:tr>
        <w:trPr>
          <w:cantSplit/>
        </w:trPr>
        <w:tc>
          <w:tcPr>
            <w:tcW w:type="dxa" w:w="78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19 May</w:t>
            </w:r>
          </w:p>
        </w:tc>
        <w:tc>
          <w:tcPr>
            <w:tcW w:type="dxa" w:w="92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5,812</w:t>
            </w:r>
          </w:p>
        </w:tc>
        <w:tc>
          <w:tcPr>
            <w:tcW w:type="dxa" w:w="92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5,860</w:t>
            </w:r>
          </w:p>
        </w:tc>
        <w:tc>
          <w:tcPr>
            <w:tcW w:type="dxa" w:w="92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5,800</w:t>
            </w:r>
          </w:p>
        </w:tc>
        <w:tc>
          <w:tcPr>
            <w:tcW w:type="dxa" w:w="104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bCs/>
                <w:color w:val="222222"/>
                <w:sz w:val="15"/>
                <w:szCs w:val="15"/>
              </w:rPr>
              <w:t xml:space="preserve">5,848.66</w:t>
            </w:r>
          </w:p>
        </w:tc>
        <w:tc>
          <w:tcPr>
            <w:tcW w:type="dxa" w:w="64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100.0</w:t>
            </w:r>
          </w:p>
        </w:tc>
        <w:tc>
          <w:tcPr>
            <w:tcW w:type="dxa" w:w="82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Bullish</w:t>
            </w:r>
          </w:p>
        </w:tc>
        <w:tc>
          <w:tcPr>
            <w:tcW w:type="dxa" w:w="9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Investing</w:t>
            </w:r>
          </w:p>
        </w:tc>
        <w:tc>
          <w:tcPr>
            <w:tcW w:type="dxa" w:w="94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Stooq</w:t>
            </w:r>
          </w:p>
        </w:tc>
        <w:tc>
          <w:tcPr>
            <w:tcW w:type="dxa" w:w="104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color w:val="222222"/>
                <w:sz w:val="15"/>
                <w:szCs w:val="15"/>
              </w:rPr>
              <w:t xml:space="preserve">5,848.66</w:t>
            </w:r>
          </w:p>
        </w:tc>
        <w:tc>
          <w:tcPr>
            <w:tcW w:type="dxa" w:w="144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color w:val="2E7D4F"/>
                <w:sz w:val="15"/>
                <w:szCs w:val="15"/>
              </w:rPr>
              <w:t xml:space="preserve">CORROB. Δ0.04</w:t>
            </w:r>
          </w:p>
        </w:tc>
      </w:tr>
      <w:tr>
        <w:trPr>
          <w:cantSplit/>
        </w:trPr>
        <w:tc>
          <w:tcPr>
            <w:tcW w:type="dxa" w:w="780"/>
            <w:tcBorders>
              <w:top w:val="single" w:color="BBBBBB" w:sz="1"/>
              <w:left w:val="single" w:color="BBBBBB" w:sz="1"/>
              <w:bottom w:val="single" w:color="BBBBBB" w:sz="1"/>
              <w:right w:val="single" w:color="BBBBBB" w:sz="1"/>
            </w:tcBorders>
            <w:shd w:fill="F4F4F4" w:val="clear"/>
            <w:tcMar>
              <w:top w:type="dxa" w:w="70"/>
              <w:left w:type="dxa" w:w="110"/>
              <w:bottom w:type="dxa" w:w="70"/>
              <w:right w:type="dxa" w:w="110"/>
            </w:tcMar>
          </w:tcPr>
          <w:p>
            <w:pPr>
              <w:jc w:val="left"/>
            </w:pPr>
            <w:r>
              <w:rPr>
                <w:b w:val="false"/>
                <w:bCs w:val="false"/>
                <w:color w:val="222222"/>
                <w:sz w:val="15"/>
                <w:szCs w:val="15"/>
              </w:rPr>
              <w:t xml:space="preserve">20 May</w:t>
            </w:r>
          </w:p>
        </w:tc>
        <w:tc>
          <w:tcPr>
            <w:tcW w:type="dxa" w:w="920"/>
            <w:tcBorders>
              <w:top w:val="single" w:color="BBBBBB" w:sz="1"/>
              <w:left w:val="single" w:color="BBBBBB" w:sz="1"/>
              <w:bottom w:val="single" w:color="BBBBBB" w:sz="1"/>
              <w:right w:val="single" w:color="BBBBBB" w:sz="1"/>
            </w:tcBorders>
            <w:shd w:fill="F4F4F4" w:val="clear"/>
            <w:tcMar>
              <w:top w:type="dxa" w:w="70"/>
              <w:left w:type="dxa" w:w="110"/>
              <w:bottom w:type="dxa" w:w="70"/>
              <w:right w:type="dxa" w:w="110"/>
            </w:tcMar>
          </w:tcPr>
          <w:p>
            <w:pPr>
              <w:jc w:val="left"/>
            </w:pPr>
            <w:r>
              <w:rPr>
                <w:b w:val="false"/>
                <w:bCs w:val="false"/>
                <w:color w:val="222222"/>
                <w:sz w:val="15"/>
                <w:szCs w:val="15"/>
              </w:rPr>
              <w:t xml:space="preserve">5,857.75</w:t>
            </w:r>
          </w:p>
        </w:tc>
        <w:tc>
          <w:tcPr>
            <w:tcW w:type="dxa" w:w="920"/>
            <w:tcBorders>
              <w:top w:val="single" w:color="BBBBBB" w:sz="1"/>
              <w:left w:val="single" w:color="BBBBBB" w:sz="1"/>
              <w:bottom w:val="single" w:color="BBBBBB" w:sz="1"/>
              <w:right w:val="single" w:color="BBBBBB" w:sz="1"/>
            </w:tcBorders>
            <w:shd w:fill="F4F4F4" w:val="clear"/>
            <w:tcMar>
              <w:top w:type="dxa" w:w="70"/>
              <w:left w:type="dxa" w:w="110"/>
              <w:bottom w:type="dxa" w:w="70"/>
              <w:right w:type="dxa" w:w="110"/>
            </w:tcMar>
          </w:tcPr>
          <w:p>
            <w:pPr>
              <w:jc w:val="left"/>
            </w:pPr>
            <w:r>
              <w:rPr>
                <w:b w:val="false"/>
                <w:bCs w:val="false"/>
                <w:color w:val="222222"/>
                <w:sz w:val="15"/>
                <w:szCs w:val="15"/>
              </w:rPr>
              <w:t xml:space="preserve">5,910.48</w:t>
            </w:r>
          </w:p>
        </w:tc>
        <w:tc>
          <w:tcPr>
            <w:tcW w:type="dxa" w:w="920"/>
            <w:tcBorders>
              <w:top w:val="single" w:color="BBBBBB" w:sz="1"/>
              <w:left w:val="single" w:color="BBBBBB" w:sz="1"/>
              <w:bottom w:val="single" w:color="BBBBBB" w:sz="1"/>
              <w:right w:val="single" w:color="BBBBBB" w:sz="1"/>
            </w:tcBorders>
            <w:shd w:fill="F4F4F4" w:val="clear"/>
            <w:tcMar>
              <w:top w:type="dxa" w:w="70"/>
              <w:left w:type="dxa" w:w="110"/>
              <w:bottom w:type="dxa" w:w="70"/>
              <w:right w:type="dxa" w:w="110"/>
            </w:tcMar>
          </w:tcPr>
          <w:p>
            <w:pPr>
              <w:jc w:val="left"/>
            </w:pPr>
            <w:r>
              <w:rPr>
                <w:b w:val="false"/>
                <w:bCs w:val="false"/>
                <w:color w:val="222222"/>
                <w:sz w:val="15"/>
                <w:szCs w:val="15"/>
              </w:rPr>
              <w:t xml:space="preserve">5,843.59</w:t>
            </w:r>
          </w:p>
        </w:tc>
        <w:tc>
          <w:tcPr>
            <w:tcW w:type="dxa" w:w="1040"/>
            <w:tcBorders>
              <w:top w:val="single" w:color="BBBBBB" w:sz="1"/>
              <w:left w:val="single" w:color="BBBBBB" w:sz="1"/>
              <w:bottom w:val="single" w:color="BBBBBB" w:sz="1"/>
              <w:right w:val="single" w:color="BBBBBB" w:sz="1"/>
            </w:tcBorders>
            <w:shd w:fill="F4F4F4" w:val="clear"/>
            <w:tcMar>
              <w:top w:type="dxa" w:w="70"/>
              <w:left w:type="dxa" w:w="110"/>
              <w:bottom w:type="dxa" w:w="70"/>
              <w:right w:type="dxa" w:w="110"/>
            </w:tcMar>
          </w:tcPr>
          <w:p>
            <w:pPr>
              <w:jc w:val="left"/>
            </w:pPr>
            <w:r>
              <w:rPr>
                <w:b/>
                <w:bCs/>
                <w:color w:val="222222"/>
                <w:sz w:val="15"/>
                <w:szCs w:val="15"/>
              </w:rPr>
              <w:t xml:space="preserve">5,851.16</w:t>
            </w:r>
          </w:p>
        </w:tc>
        <w:tc>
          <w:tcPr>
            <w:tcW w:type="dxa" w:w="640"/>
            <w:tcBorders>
              <w:top w:val="single" w:color="BBBBBB" w:sz="1"/>
              <w:left w:val="single" w:color="BBBBBB" w:sz="1"/>
              <w:bottom w:val="single" w:color="BBBBBB" w:sz="1"/>
              <w:right w:val="single" w:color="BBBBBB" w:sz="1"/>
            </w:tcBorders>
            <w:shd w:fill="F4F4F4" w:val="clear"/>
            <w:tcMar>
              <w:top w:type="dxa" w:w="70"/>
              <w:left w:type="dxa" w:w="110"/>
              <w:bottom w:type="dxa" w:w="70"/>
              <w:right w:type="dxa" w:w="110"/>
            </w:tcMar>
          </w:tcPr>
          <w:p>
            <w:pPr>
              <w:jc w:val="left"/>
            </w:pPr>
            <w:r>
              <w:rPr>
                <w:b w:val="false"/>
                <w:bCs w:val="false"/>
                <w:color w:val="222222"/>
                <w:sz w:val="15"/>
                <w:szCs w:val="15"/>
              </w:rPr>
              <w:t xml:space="preserve">100.0</w:t>
            </w:r>
          </w:p>
        </w:tc>
        <w:tc>
          <w:tcPr>
            <w:tcW w:type="dxa" w:w="820"/>
            <w:tcBorders>
              <w:top w:val="single" w:color="BBBBBB" w:sz="1"/>
              <w:left w:val="single" w:color="BBBBBB" w:sz="1"/>
              <w:bottom w:val="single" w:color="BBBBBB" w:sz="1"/>
              <w:right w:val="single" w:color="BBBBBB" w:sz="1"/>
            </w:tcBorders>
            <w:shd w:fill="F4F4F4" w:val="clear"/>
            <w:tcMar>
              <w:top w:type="dxa" w:w="70"/>
              <w:left w:type="dxa" w:w="110"/>
              <w:bottom w:type="dxa" w:w="70"/>
              <w:right w:type="dxa" w:w="110"/>
            </w:tcMar>
          </w:tcPr>
          <w:p>
            <w:pPr>
              <w:jc w:val="left"/>
            </w:pPr>
            <w:r>
              <w:rPr>
                <w:b w:val="false"/>
                <w:bCs w:val="false"/>
                <w:color w:val="222222"/>
                <w:sz w:val="15"/>
                <w:szCs w:val="15"/>
              </w:rPr>
              <w:t xml:space="preserve">Neutral</w:t>
            </w:r>
          </w:p>
        </w:tc>
        <w:tc>
          <w:tcPr>
            <w:tcW w:type="dxa" w:w="900"/>
            <w:tcBorders>
              <w:top w:val="single" w:color="BBBBBB" w:sz="1"/>
              <w:left w:val="single" w:color="BBBBBB" w:sz="1"/>
              <w:bottom w:val="single" w:color="BBBBBB" w:sz="1"/>
              <w:right w:val="single" w:color="BBBBBB" w:sz="1"/>
            </w:tcBorders>
            <w:shd w:fill="F4F4F4" w:val="clear"/>
            <w:tcMar>
              <w:top w:type="dxa" w:w="70"/>
              <w:left w:type="dxa" w:w="110"/>
              <w:bottom w:type="dxa" w:w="70"/>
              <w:right w:type="dxa" w:w="110"/>
            </w:tcMar>
          </w:tcPr>
          <w:p>
            <w:pPr>
              <w:jc w:val="left"/>
            </w:pPr>
            <w:r>
              <w:rPr>
                <w:b w:val="false"/>
                <w:bCs w:val="false"/>
                <w:color w:val="222222"/>
                <w:sz w:val="15"/>
                <w:szCs w:val="15"/>
              </w:rPr>
              <w:t xml:space="preserve">EBC / STOXX</w:t>
            </w:r>
          </w:p>
        </w:tc>
        <w:tc>
          <w:tcPr>
            <w:tcW w:type="dxa" w:w="940"/>
            <w:tcBorders>
              <w:top w:val="single" w:color="BBBBBB" w:sz="1"/>
              <w:left w:val="single" w:color="BBBBBB" w:sz="1"/>
              <w:bottom w:val="single" w:color="BBBBBB" w:sz="1"/>
              <w:right w:val="single" w:color="BBBBBB" w:sz="1"/>
            </w:tcBorders>
            <w:shd w:fill="F4F4F4" w:val="clear"/>
            <w:tcMar>
              <w:top w:type="dxa" w:w="70"/>
              <w:left w:type="dxa" w:w="110"/>
              <w:bottom w:type="dxa" w:w="70"/>
              <w:right w:type="dxa" w:w="110"/>
            </w:tcMar>
          </w:tcPr>
          <w:p>
            <w:pPr>
              <w:jc w:val="left"/>
            </w:pPr>
            <w:r>
              <w:rPr>
                <w:b w:val="false"/>
                <w:bCs w:val="false"/>
                <w:color w:val="222222"/>
                <w:sz w:val="15"/>
                <w:szCs w:val="15"/>
              </w:rPr>
              <w:t xml:space="preserve">Investing</w:t>
            </w:r>
          </w:p>
        </w:tc>
        <w:tc>
          <w:tcPr>
            <w:tcW w:type="dxa" w:w="1040"/>
            <w:tcBorders>
              <w:top w:val="single" w:color="BBBBBB" w:sz="1"/>
              <w:left w:val="single" w:color="BBBBBB" w:sz="1"/>
              <w:bottom w:val="single" w:color="BBBBBB" w:sz="1"/>
              <w:right w:val="single" w:color="BBBBBB" w:sz="1"/>
            </w:tcBorders>
            <w:shd w:fill="F4F4F4" w:val="clear"/>
            <w:tcMar>
              <w:top w:type="dxa" w:w="70"/>
              <w:left w:type="dxa" w:w="110"/>
              <w:bottom w:type="dxa" w:w="70"/>
              <w:right w:type="dxa" w:w="110"/>
            </w:tcMar>
          </w:tcPr>
          <w:p>
            <w:pPr>
              <w:jc w:val="left"/>
            </w:pPr>
            <w:r>
              <w:rPr>
                <w:color w:val="222222"/>
                <w:sz w:val="15"/>
                <w:szCs w:val="15"/>
              </w:rPr>
              <w:t xml:space="preserve">5,851.16</w:t>
            </w:r>
          </w:p>
        </w:tc>
        <w:tc>
          <w:tcPr>
            <w:tcW w:type="dxa" w:w="1440"/>
            <w:tcBorders>
              <w:top w:val="single" w:color="BBBBBB" w:sz="1"/>
              <w:left w:val="single" w:color="BBBBBB" w:sz="1"/>
              <w:bottom w:val="single" w:color="BBBBBB" w:sz="1"/>
              <w:right w:val="single" w:color="BBBBBB" w:sz="1"/>
            </w:tcBorders>
            <w:shd w:fill="F4F4F4" w:val="clear"/>
            <w:tcMar>
              <w:top w:type="dxa" w:w="70"/>
              <w:left w:type="dxa" w:w="110"/>
              <w:bottom w:type="dxa" w:w="70"/>
              <w:right w:type="dxa" w:w="110"/>
            </w:tcMar>
          </w:tcPr>
          <w:p>
            <w:pPr>
              <w:jc w:val="left"/>
            </w:pPr>
            <w:r>
              <w:rPr>
                <w:color w:val="2E7D4F"/>
                <w:sz w:val="15"/>
                <w:szCs w:val="15"/>
              </w:rPr>
              <w:t xml:space="preserve">CORROB. Δ0.09</w:t>
            </w:r>
          </w:p>
        </w:tc>
      </w:tr>
      <w:tr>
        <w:trPr>
          <w:cantSplit/>
        </w:trPr>
        <w:tc>
          <w:tcPr>
            <w:tcW w:type="dxa" w:w="78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21 May</w:t>
            </w:r>
          </w:p>
        </w:tc>
        <w:tc>
          <w:tcPr>
            <w:tcW w:type="dxa" w:w="92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5,855</w:t>
            </w:r>
          </w:p>
        </w:tc>
        <w:tc>
          <w:tcPr>
            <w:tcW w:type="dxa" w:w="92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5,982</w:t>
            </w:r>
          </w:p>
        </w:tc>
        <w:tc>
          <w:tcPr>
            <w:tcW w:type="dxa" w:w="92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5,848</w:t>
            </w:r>
          </w:p>
        </w:tc>
        <w:tc>
          <w:tcPr>
            <w:tcW w:type="dxa" w:w="104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bCs/>
                <w:color w:val="222222"/>
                <w:sz w:val="15"/>
                <w:szCs w:val="15"/>
              </w:rPr>
              <w:t xml:space="preserve">5,960.32</w:t>
            </w:r>
          </w:p>
        </w:tc>
        <w:tc>
          <w:tcPr>
            <w:tcW w:type="dxa" w:w="64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100.0</w:t>
            </w:r>
          </w:p>
        </w:tc>
        <w:tc>
          <w:tcPr>
            <w:tcW w:type="dxa" w:w="82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Bullish</w:t>
            </w:r>
          </w:p>
        </w:tc>
        <w:tc>
          <w:tcPr>
            <w:tcW w:type="dxa" w:w="9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Yahoo Fin.</w:t>
            </w:r>
          </w:p>
        </w:tc>
        <w:tc>
          <w:tcPr>
            <w:tcW w:type="dxa" w:w="94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Investing</w:t>
            </w:r>
          </w:p>
        </w:tc>
        <w:tc>
          <w:tcPr>
            <w:tcW w:type="dxa" w:w="104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color w:val="222222"/>
                <w:sz w:val="15"/>
                <w:szCs w:val="15"/>
              </w:rPr>
              <w:t xml:space="preserve">5,960.32</w:t>
            </w:r>
          </w:p>
        </w:tc>
        <w:tc>
          <w:tcPr>
            <w:tcW w:type="dxa" w:w="144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color w:val="2E7D4F"/>
                <w:sz w:val="15"/>
                <w:szCs w:val="15"/>
              </w:rPr>
              <w:t xml:space="preserve">CORROB. Δ0.06</w:t>
            </w:r>
          </w:p>
        </w:tc>
      </w:tr>
    </w:tbl>
    <w:p>
      <w:pPr>
        <w:spacing w:after="60"/>
      </w:pPr>
      <w:r>
        <w:t xml:space="preserve"/>
      </w:r>
    </w:p>
    <w:p>
      <w:pPr>
        <w:spacing w:after="120" w:line="276"/>
        <w:jc w:val="both"/>
      </w:pPr>
      <w:r>
        <w:rPr>
          <w:b/>
          <w:bCs/>
        </w:rPr>
        <w:t xml:space="preserve">Note on the 20 May EURO STOXX 50 row. </w:t>
      </w:r>
      <w:r>
        <w:t xml:space="preserve">The session opened at 5,857.75, ran to 5,910.48, but closed at 5,851.16 — an upper-wick rejection that classifies Neutral (close below open despite a positive RSI2). All ten rows across both indices reached two-source corroboration within the ±0.10-point equity-index tolerance; no row is single-source indicative.</w:t>
      </w:r>
    </w:p>
    <w:p>
      <w:r>
        <w:br w:type="page"/>
      </w:r>
    </w:p>
    <w:p>
      <w:pPr>
        <w:pStyle w:val="Heading1"/>
      </w:pPr>
      <w:r>
        <w:t xml:space="preserve">7.  Charts</w:t>
      </w:r>
    </w:p>
    <w:p>
      <w:pPr>
        <w:pBdr>
          <w:bottom w:val="single" w:color="2E5E9E" w:sz="6" w:space="1"/>
        </w:pBdr>
        <w:spacing w:after="120"/>
      </w:pPr>
    </w:p>
    <w:p>
      <w:pPr>
        <w:spacing w:after="120" w:line="276"/>
        <w:jc w:val="both"/>
      </w:pPr>
      <w:r>
        <w:rPr>
          <w:color w:val="2E7D4F"/>
        </w:rPr>
        <w:t xml:space="preserve">Five charts are produced for this instance, all toggled on. Each is embedded within the page content area.</w:t>
      </w:r>
    </w:p>
    <w:p>
      <w:pPr>
        <w:pStyle w:val="Heading3"/>
      </w:pPr>
      <w:r>
        <w:t xml:space="preserve">Chart 1 — 5-Session Candlestick</w:t>
      </w:r>
    </w:p>
    <w:p>
      <w:pPr>
        <w:spacing w:after="80" w:before="80"/>
        <w:jc w:val="center"/>
      </w:pPr>
      <w:r>
        <w:drawing>
          <wp:inline distT="0" distB="0" distL="0" distR="0">
            <wp:extent cx="5715000" cy="304495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044952"/>
                    </a:xfrm>
                    <a:prstGeom prst="rect">
                      <a:avLst/>
                    </a:prstGeom>
                  </pic:spPr>
                </pic:pic>
              </a:graphicData>
            </a:graphic>
          </wp:inline>
        </w:drawing>
      </w:r>
    </w:p>
    <w:p>
      <w:pPr>
        <w:spacing w:after="160"/>
        <w:jc w:val="center"/>
      </w:pPr>
      <w:r>
        <w:rPr>
          <w:i/>
          <w:iCs/>
          <w:color w:val="666666"/>
          <w:sz w:val="14"/>
          <w:szCs w:val="14"/>
        </w:rPr>
        <w:t xml:space="preserve">FTSE 100, 15–21 May 2026. Green = close ≥ open, red = close &lt; open. The first two candles form the 15–18 May trough; the final three are a continuous bullish thrust.</w:t>
      </w:r>
    </w:p>
    <w:p>
      <w:pPr>
        <w:pStyle w:val="Heading3"/>
      </w:pPr>
      <w:r>
        <w:t xml:space="preserve">Chart 2 — Distance from Open</w:t>
      </w:r>
    </w:p>
    <w:p>
      <w:pPr>
        <w:spacing w:after="80" w:before="80"/>
        <w:jc w:val="center"/>
      </w:pPr>
      <w:r>
        <w:drawing>
          <wp:inline distT="0" distB="0" distL="0" distR="0">
            <wp:extent cx="5715000" cy="304495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044952"/>
                    </a:xfrm>
                    <a:prstGeom prst="rect">
                      <a:avLst/>
                    </a:prstGeom>
                  </pic:spPr>
                </pic:pic>
              </a:graphicData>
            </a:graphic>
          </wp:inline>
        </w:drawing>
      </w:r>
    </w:p>
    <w:p>
      <w:pPr>
        <w:spacing w:after="160"/>
        <w:jc w:val="center"/>
      </w:pPr>
      <w:r>
        <w:rPr>
          <w:i/>
          <w:iCs/>
          <w:color w:val="666666"/>
          <w:sz w:val="14"/>
          <w:szCs w:val="14"/>
        </w:rPr>
        <w:t xml:space="preserve">Each session normalised to Open = 0. The 20–21 May bars show closes near the top of an expanded range — directional travel with little upper-wick rejection.</w:t>
      </w:r>
    </w:p>
    <w:p>
      <w:r>
        <w:br w:type="page"/>
      </w:r>
    </w:p>
    <w:p>
      <w:pPr>
        <w:pStyle w:val="Heading3"/>
      </w:pPr>
      <w:r>
        <w:t xml:space="preserve">Chart 3 — 25-Session Structure</w:t>
      </w:r>
    </w:p>
    <w:p>
      <w:pPr>
        <w:spacing w:after="80" w:before="80"/>
        <w:jc w:val="center"/>
      </w:pPr>
      <w:r>
        <w:drawing>
          <wp:inline distT="0" distB="0" distL="0" distR="0">
            <wp:extent cx="5715000" cy="304495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044952"/>
                    </a:xfrm>
                    <a:prstGeom prst="rect">
                      <a:avLst/>
                    </a:prstGeom>
                  </pic:spPr>
                </pic:pic>
              </a:graphicData>
            </a:graphic>
          </wp:inline>
        </w:drawing>
      </w:r>
    </w:p>
    <w:p>
      <w:pPr>
        <w:spacing w:after="160"/>
        <w:jc w:val="center"/>
      </w:pPr>
      <w:r>
        <w:rPr>
          <w:i/>
          <w:iCs/>
          <w:color w:val="666666"/>
          <w:sz w:val="14"/>
          <w:szCs w:val="14"/>
        </w:rPr>
        <w:t xml:space="preserve">Five-week regime block. The close-line traces a clear round-trip from ~10,560 down to ~10,000 and back to 10,443 — the visual signature of a Transitional regime.</w:t>
      </w:r>
    </w:p>
    <w:p>
      <w:pPr>
        <w:pStyle w:val="Heading3"/>
      </w:pPr>
      <w:r>
        <w:t xml:space="preserve">Chart 4 — Comparative Volatility (VOLator)</w:t>
      </w:r>
    </w:p>
    <w:p>
      <w:pPr>
        <w:spacing w:after="80" w:before="80"/>
        <w:jc w:val="center"/>
      </w:pPr>
      <w:r>
        <w:drawing>
          <wp:inline distT="0" distB="0" distL="0" distR="0">
            <wp:extent cx="5715000" cy="317296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172968"/>
                    </a:xfrm>
                    <a:prstGeom prst="rect">
                      <a:avLst/>
                    </a:prstGeom>
                  </pic:spPr>
                </pic:pic>
              </a:graphicData>
            </a:graphic>
          </wp:inline>
        </w:drawing>
      </w:r>
    </w:p>
    <w:p>
      <w:pPr>
        <w:spacing w:after="160"/>
        <w:jc w:val="center"/>
      </w:pPr>
      <w:r>
        <w:rPr>
          <w:i/>
          <w:iCs/>
          <w:color w:val="666666"/>
          <w:sz w:val="14"/>
          <w:szCs w:val="14"/>
        </w:rPr>
        <w:t xml:space="preserve">ATR-method volatility, historical z-scaling, −1 to +1. FTSE 100 volatility is expanding into the top of its own range as the rebound accelerates; USDX volatility is the most subdued counter.</w:t>
      </w:r>
    </w:p>
    <w:p>
      <w:r>
        <w:br w:type="page"/>
      </w:r>
    </w:p>
    <w:p>
      <w:pPr>
        <w:pStyle w:val="Heading3"/>
      </w:pPr>
      <w:r>
        <w:t xml:space="preserve">Chart 5 — Pivot Structure</w:t>
      </w:r>
    </w:p>
    <w:p>
      <w:pPr>
        <w:spacing w:after="80" w:before="80"/>
        <w:jc w:val="center"/>
      </w:pPr>
      <w:r>
        <w:drawing>
          <wp:inline distT="0" distB="0" distL="0" distR="0">
            <wp:extent cx="5486400" cy="395935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86400" cy="3959352"/>
                    </a:xfrm>
                    <a:prstGeom prst="rect">
                      <a:avLst/>
                    </a:prstGeom>
                  </pic:spPr>
                </pic:pic>
              </a:graphicData>
            </a:graphic>
          </wp:inline>
        </w:drawing>
      </w:r>
    </w:p>
    <w:p>
      <w:pPr>
        <w:spacing w:after="160"/>
        <w:jc w:val="center"/>
      </w:pPr>
      <w:r>
        <w:rPr>
          <w:i/>
          <w:iCs/>
          <w:color w:val="666666"/>
          <w:sz w:val="14"/>
          <w:szCs w:val="14"/>
        </w:rPr>
        <w:t xml:space="preserve">Prior completed week (W/E 15 May) and current in-progress week (to 21 May), with smart-scaled daily, weekly and monthly pivot levels. The close at 10,443 sits just above daily R1 and weekly R1.</w:t>
      </w:r>
    </w:p>
    <w:p>
      <w:r>
        <w:br w:type="page"/>
      </w:r>
    </w:p>
    <w:p>
      <w:pPr>
        <w:pStyle w:val="Heading1"/>
      </w:pPr>
      <w:r>
        <w:t xml:space="preserve">8.  Short-Term Technical Analysis</w:t>
      </w:r>
    </w:p>
    <w:p>
      <w:pPr>
        <w:pBdr>
          <w:bottom w:val="single" w:color="2E5E9E" w:sz="6" w:space="1"/>
        </w:pBdr>
        <w:spacing w:after="120"/>
      </w:pPr>
    </w:p>
    <w:p>
      <w:pPr>
        <w:spacing w:after="120" w:line="276"/>
        <w:jc w:val="both"/>
      </w:pPr>
      <w:r>
        <w:rPr>
          <w:b/>
          <w:bCs/>
          <w:color w:val="2E7D4F"/>
        </w:rPr>
        <w:t xml:space="preserve">Session-by-session — FTSE 100. </w:t>
      </w:r>
      <w:r>
        <w:t xml:space="preserve">OHLC values are in §6; commentary references sessions by date.</w:t>
      </w:r>
    </w:p>
    <w:p>
      <w:pPr>
        <w:pStyle w:val="ListParagraph"/>
        <w:numPr>
          <w:ilvl w:val="0"/>
          <w:numId w:val="2"/>
        </w:numPr>
        <w:spacing w:after="60" w:line="264"/>
      </w:pPr>
      <w:r>
        <w:rPr>
          <w:b/>
          <w:bCs/>
        </w:rPr>
        <w:t xml:space="preserve">15 May. </w:t>
      </w:r>
      <w:r>
        <w:t xml:space="preserve">Bearish candle, close (10,004.57) near the low of a wide 132-point range; RSI2 collapsed to ~3. The index closed essentially on the psychological 10,000 line — capitulation into the Iran-driven selloff (see §6).</w:t>
      </w:r>
    </w:p>
    <w:p>
      <w:pPr>
        <w:pStyle w:val="ListParagraph"/>
        <w:numPr>
          <w:ilvl w:val="0"/>
          <w:numId w:val="2"/>
        </w:numPr>
        <w:spacing w:after="60" w:line="264"/>
      </w:pPr>
      <w:r>
        <w:rPr>
          <w:b/>
          <w:bCs/>
        </w:rPr>
        <w:t xml:space="preserve">18 May. </w:t>
      </w:r>
      <w:r>
        <w:t xml:space="preserve">A second bearish session, the lowest low of the five-day window at 9,905, but the close (9,999.20) was almost unchanged from Friday — a long lower wick signalling demand absorbed the intraday flush. RSI2 ~2: deeply oversold.</w:t>
      </w:r>
    </w:p>
    <w:p>
      <w:pPr>
        <w:pStyle w:val="ListParagraph"/>
        <w:numPr>
          <w:ilvl w:val="0"/>
          <w:numId w:val="2"/>
        </w:numPr>
        <w:spacing w:after="60" w:line="264"/>
      </w:pPr>
      <w:r>
        <w:rPr>
          <w:b/>
          <w:bCs/>
        </w:rPr>
        <w:t xml:space="preserve">19 May. </w:t>
      </w:r>
      <w:r>
        <w:t xml:space="preserve">Bullish reversal. Close at 10,112.40, roughly 95% of the way up the session range, RSI2 snapping to 95.5 — the oversold spring released. The 9,990 low held above the prior day's 9,905.</w:t>
      </w:r>
    </w:p>
    <w:p>
      <w:pPr>
        <w:pStyle w:val="ListParagraph"/>
        <w:numPr>
          <w:ilvl w:val="0"/>
          <w:numId w:val="2"/>
        </w:numPr>
        <w:spacing w:after="60" w:line="264"/>
      </w:pPr>
      <w:r>
        <w:rPr>
          <w:b/>
          <w:bCs/>
        </w:rPr>
        <w:t xml:space="preserve">20 May. </w:t>
      </w:r>
      <w:r>
        <w:t xml:space="preserve">Strong bullish continuation: a 224-point range, close at 10,330.84 near the high, RSI2 pinned at 100. The widest body of the window and the clearest directional travel.</w:t>
      </w:r>
    </w:p>
    <w:p>
      <w:pPr>
        <w:pStyle w:val="ListParagraph"/>
        <w:numPr>
          <w:ilvl w:val="0"/>
          <w:numId w:val="2"/>
        </w:numPr>
        <w:spacing w:after="60" w:line="264"/>
      </w:pPr>
      <w:r>
        <w:rPr>
          <w:b/>
          <w:bCs/>
        </w:rPr>
        <w:t xml:space="preserve">21 May. </w:t>
      </w:r>
      <w:r>
        <w:t xml:space="preserve">Bullish but moderating. Close 10,443.47, range 10,353–10,472 (118 points — narrower than 20 May). RSI2 still 100, but the smaller body and slight intraday dip hint at the first loss of upside momentum.</w:t>
      </w:r>
    </w:p>
    <w:p>
      <w:pPr>
        <w:spacing w:after="60"/>
      </w:pPr>
      <w:r>
        <w:t xml:space="preserve"/>
      </w:r>
    </w:p>
    <w:p>
      <w:pPr>
        <w:spacing w:after="120" w:line="276"/>
        <w:jc w:val="both"/>
      </w:pPr>
      <w:r>
        <w:rPr>
          <w:b/>
          <w:bCs/>
          <w:color w:val="2E7D4F"/>
        </w:rPr>
        <w:t xml:space="preserve">Sequence assessment: Continuation. </w:t>
      </w:r>
      <w:r>
        <w:t xml:space="preserve">The five-session sequence is a Continuation pattern — specifically an oversold-reversal continuation. Evidence: three consecutive higher closes (19–21 May), each with low overlap against the prior session, RSI2 travelling from sub-3 to a pinned 100, and closes consistently in the upper third of range. The narrowing 21 May body is a mild caution flag but does not break the continuation.</w:t>
      </w:r>
    </w:p>
    <w:p>
      <w:pPr>
        <w:spacing w:after="120" w:line="276"/>
        <w:jc w:val="both"/>
      </w:pPr>
      <w:r>
        <w:rPr>
          <w:b/>
          <w:bCs/>
        </w:rPr>
        <w:t xml:space="preserve">Nearest support / resistance (from the 5-day structure): </w:t>
      </w:r>
      <w:r>
        <w:t xml:space="preserve">immediate resistance at the 21 May high of 10,471.64, then little overhead until the 25-session zone above 10,500. Immediate support at the 21 May low of 10,353, then the 20 May low at 10,142, then the 9,990 / 9,905 demand shelf.</w:t>
      </w:r>
    </w:p>
    <w:p>
      <w:pPr>
        <w:spacing w:after="120" w:line="276"/>
        <w:jc w:val="both"/>
      </w:pPr>
      <w:r>
        <w:rPr>
          <w:b/>
          <w:bCs/>
          <w:color w:val="2E7D4F"/>
        </w:rPr>
        <w:t xml:space="preserve">Judgement label: Bullish continuation. </w:t>
      </w:r>
      <w:r>
        <w:t xml:space="preserve">This is consistent with the §9 medium-term read in the sense that the short-term thrust is the leading edge of a regime still classified Transitional — the conflict, noted explicitly, is one of degree (short-term trend vs. medium-term unresolved), not of direction.</w:t>
      </w:r>
    </w:p>
    <w:p>
      <w:pPr>
        <w:spacing w:after="60"/>
      </w:pPr>
      <w:r>
        <w:t xml:space="preserve"/>
      </w:r>
    </w:p>
    <w:p>
      <w:pPr>
        <w:spacing w:after="120" w:line="276"/>
        <w:jc w:val="both"/>
      </w:pPr>
      <w:r>
        <w:rPr>
          <w:b/>
          <w:bCs/>
          <w:color w:val="2E7D4F"/>
        </w:rPr>
        <w:t xml:space="preserve">EURO STOXX 50 — condensed. </w:t>
      </w:r>
      <w:r>
        <w:t xml:space="preserve">The Eurozone comparator ran a milder version of the same path: a shallow 15 May dip, then four broadly higher sessions to 5,960.32. The 20 May upper-wick rejection (open 5,857.75, high 5,910.48, close 5,851.16) is the one blemish. EURO STOXX 50 did not retest a round-number panic low the way the FTSE tested 10,000 — its rebound is steadier but less explosive. Sequence: Continuation, Bullish bias.</w:t>
      </w:r>
    </w:p>
    <w:p>
      <w:r>
        <w:br w:type="page"/>
      </w:r>
    </w:p>
    <w:p>
      <w:pPr>
        <w:pStyle w:val="Heading1"/>
      </w:pPr>
      <w:r>
        <w:t xml:space="preserve">9.  Medium-Term Regime &amp; VOLator</w:t>
      </w:r>
    </w:p>
    <w:p>
      <w:pPr>
        <w:pBdr>
          <w:bottom w:val="single" w:color="2E5E9E" w:sz="6" w:space="1"/>
        </w:pBdr>
        <w:spacing w:after="120"/>
      </w:pPr>
    </w:p>
    <w:p>
      <w:pPr>
        <w:spacing w:after="120" w:line="276"/>
        <w:jc w:val="both"/>
      </w:pPr>
      <w:r>
        <w:rPr>
          <w:b/>
          <w:bCs/>
          <w:color w:val="2E7D4F"/>
        </w:rPr>
        <w:t xml:space="preserve">Regime classification — Transitional. </w:t>
      </w:r>
      <w:r>
        <w:t xml:space="preserve">The 25-session block produces genuinely mixed metrics, which is the definition of a Transitional regime: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700"/>
        <w:gridCol w:w="5160"/>
      </w:tblGrid>
      <w:tr>
        <w:trPr>
          <w:tblHeader/>
        </w:trPr>
        <w:tc>
          <w:tcPr>
            <w:tcW w:type="dxa" w:w="2500"/>
            <w:tcBorders>
              <w:top w:val="single" w:color="BBBBBB" w:sz="1"/>
              <w:left w:val="single" w:color="BBBBBB" w:sz="1"/>
              <w:bottom w:val="single" w:color="BBBBBB" w:sz="1"/>
              <w:right w:val="single" w:color="BBBBBB" w:sz="1"/>
            </w:tcBorders>
            <w:shd w:fill="1F3864" w:val="clear"/>
            <w:tcMar>
              <w:top w:type="dxa" w:w="70"/>
              <w:left w:type="dxa" w:w="110"/>
              <w:bottom w:type="dxa" w:w="70"/>
              <w:right w:type="dxa" w:w="110"/>
            </w:tcMar>
          </w:tcPr>
          <w:p>
            <w:pPr>
              <w:jc w:val="left"/>
            </w:pPr>
            <w:r>
              <w:rPr>
                <w:b/>
                <w:bCs/>
                <w:color w:val="FFFFFF"/>
                <w:sz w:val="16"/>
                <w:szCs w:val="16"/>
              </w:rPr>
              <w:t xml:space="preserve">Metric</w:t>
            </w:r>
          </w:p>
        </w:tc>
        <w:tc>
          <w:tcPr>
            <w:tcW w:type="dxa" w:w="1700"/>
            <w:tcBorders>
              <w:top w:val="single" w:color="BBBBBB" w:sz="1"/>
              <w:left w:val="single" w:color="BBBBBB" w:sz="1"/>
              <w:bottom w:val="single" w:color="BBBBBB" w:sz="1"/>
              <w:right w:val="single" w:color="BBBBBB" w:sz="1"/>
            </w:tcBorders>
            <w:shd w:fill="1F3864" w:val="clear"/>
            <w:tcMar>
              <w:top w:type="dxa" w:w="70"/>
              <w:left w:type="dxa" w:w="110"/>
              <w:bottom w:type="dxa" w:w="70"/>
              <w:right w:type="dxa" w:w="110"/>
            </w:tcMar>
          </w:tcPr>
          <w:p>
            <w:pPr>
              <w:jc w:val="left"/>
            </w:pPr>
            <w:r>
              <w:rPr>
                <w:b/>
                <w:bCs/>
                <w:color w:val="FFFFFF"/>
                <w:sz w:val="16"/>
                <w:szCs w:val="16"/>
              </w:rPr>
              <w:t xml:space="preserve">Value</w:t>
            </w:r>
          </w:p>
        </w:tc>
        <w:tc>
          <w:tcPr>
            <w:tcW w:type="dxa" w:w="5160"/>
            <w:tcBorders>
              <w:top w:val="single" w:color="BBBBBB" w:sz="1"/>
              <w:left w:val="single" w:color="BBBBBB" w:sz="1"/>
              <w:bottom w:val="single" w:color="BBBBBB" w:sz="1"/>
              <w:right w:val="single" w:color="BBBBBB" w:sz="1"/>
            </w:tcBorders>
            <w:shd w:fill="1F3864" w:val="clear"/>
            <w:tcMar>
              <w:top w:type="dxa" w:w="70"/>
              <w:left w:type="dxa" w:w="110"/>
              <w:bottom w:type="dxa" w:w="70"/>
              <w:right w:type="dxa" w:w="110"/>
            </w:tcMar>
          </w:tcPr>
          <w:p>
            <w:pPr>
              <w:jc w:val="left"/>
            </w:pPr>
            <w:r>
              <w:rPr>
                <w:b/>
                <w:bCs/>
                <w:color w:val="FFFFFF"/>
                <w:sz w:val="16"/>
                <w:szCs w:val="16"/>
              </w:rPr>
              <w:t xml:space="preserve">Reading</w:t>
            </w:r>
          </w:p>
        </w:tc>
      </w:tr>
      <w:tr>
        <w:trPr>
          <w:cantSplit/>
        </w:trPr>
        <w:tc>
          <w:tcPr>
            <w:tcW w:type="dxa" w:w="25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Overlap ratio</w:t>
            </w:r>
          </w:p>
        </w:tc>
        <w:tc>
          <w:tcPr>
            <w:tcW w:type="dxa" w:w="17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0.60</w:t>
            </w:r>
          </w:p>
        </w:tc>
        <w:tc>
          <w:tcPr>
            <w:tcW w:type="dxa" w:w="51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Above 0.55 — range-bound signal</w:t>
            </w:r>
          </w:p>
        </w:tc>
      </w:tr>
      <w:tr>
        <w:trPr>
          <w:cantSplit/>
        </w:trPr>
        <w:tc>
          <w:tcPr>
            <w:tcW w:type="dxa" w:w="2500"/>
            <w:tcBorders>
              <w:top w:val="single" w:color="BBBBBB" w:sz="1"/>
              <w:left w:val="single" w:color="BBBBBB" w:sz="1"/>
              <w:bottom w:val="single" w:color="BBBBBB" w:sz="1"/>
              <w:right w:val="single" w:color="BBBBBB" w:sz="1"/>
            </w:tcBorders>
            <w:shd w:fill="F4F4F4" w:val="clear"/>
            <w:tcMar>
              <w:top w:type="dxa" w:w="70"/>
              <w:left w:type="dxa" w:w="110"/>
              <w:bottom w:type="dxa" w:w="70"/>
              <w:right w:type="dxa" w:w="110"/>
            </w:tcMar>
          </w:tcPr>
          <w:p>
            <w:pPr>
              <w:jc w:val="left"/>
            </w:pPr>
            <w:r>
              <w:rPr>
                <w:b w:val="false"/>
                <w:bCs w:val="false"/>
                <w:color w:val="222222"/>
                <w:sz w:val="15"/>
                <w:szCs w:val="15"/>
              </w:rPr>
              <w:t xml:space="preserve">Directional persistence</w:t>
            </w:r>
          </w:p>
        </w:tc>
        <w:tc>
          <w:tcPr>
            <w:tcW w:type="dxa" w:w="1700"/>
            <w:tcBorders>
              <w:top w:val="single" w:color="BBBBBB" w:sz="1"/>
              <w:left w:val="single" w:color="BBBBBB" w:sz="1"/>
              <w:bottom w:val="single" w:color="BBBBBB" w:sz="1"/>
              <w:right w:val="single" w:color="BBBBBB" w:sz="1"/>
            </w:tcBorders>
            <w:shd w:fill="F4F4F4" w:val="clear"/>
            <w:tcMar>
              <w:top w:type="dxa" w:w="70"/>
              <w:left w:type="dxa" w:w="110"/>
              <w:bottom w:type="dxa" w:w="70"/>
              <w:right w:type="dxa" w:w="110"/>
            </w:tcMar>
          </w:tcPr>
          <w:p>
            <w:pPr>
              <w:jc w:val="left"/>
            </w:pPr>
            <w:r>
              <w:rPr>
                <w:b w:val="false"/>
                <w:bCs w:val="false"/>
                <w:color w:val="222222"/>
                <w:sz w:val="15"/>
                <w:szCs w:val="15"/>
              </w:rPr>
              <w:t xml:space="preserve">0.70</w:t>
            </w:r>
          </w:p>
        </w:tc>
        <w:tc>
          <w:tcPr>
            <w:tcW w:type="dxa" w:w="5160"/>
            <w:tcBorders>
              <w:top w:val="single" w:color="BBBBBB" w:sz="1"/>
              <w:left w:val="single" w:color="BBBBBB" w:sz="1"/>
              <w:bottom w:val="single" w:color="BBBBBB" w:sz="1"/>
              <w:right w:val="single" w:color="BBBBBB" w:sz="1"/>
            </w:tcBorders>
            <w:shd w:fill="F4F4F4" w:val="clear"/>
            <w:tcMar>
              <w:top w:type="dxa" w:w="70"/>
              <w:left w:type="dxa" w:w="110"/>
              <w:bottom w:type="dxa" w:w="70"/>
              <w:right w:type="dxa" w:w="110"/>
            </w:tcMar>
          </w:tcPr>
          <w:p>
            <w:pPr>
              <w:jc w:val="left"/>
            </w:pPr>
            <w:r>
              <w:rPr>
                <w:b w:val="false"/>
                <w:bCs w:val="false"/>
                <w:color w:val="222222"/>
                <w:sz w:val="15"/>
                <w:szCs w:val="15"/>
              </w:rPr>
              <w:t xml:space="preserve">Above 0.55 — trending signal (conflicts with overlap)</w:t>
            </w:r>
          </w:p>
        </w:tc>
      </w:tr>
      <w:tr>
        <w:trPr>
          <w:cantSplit/>
        </w:trPr>
        <w:tc>
          <w:tcPr>
            <w:tcW w:type="dxa" w:w="25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VOLator slope</w:t>
            </w:r>
          </w:p>
        </w:tc>
        <w:tc>
          <w:tcPr>
            <w:tcW w:type="dxa" w:w="17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+0.20</w:t>
            </w:r>
          </w:p>
        </w:tc>
        <w:tc>
          <w:tcPr>
            <w:tcW w:type="dxa" w:w="51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Positive — volatility expansion, trending signal</w:t>
            </w:r>
          </w:p>
        </w:tc>
      </w:tr>
      <w:tr>
        <w:trPr>
          <w:cantSplit/>
        </w:trPr>
        <w:tc>
          <w:tcPr>
            <w:tcW w:type="dxa" w:w="2500"/>
            <w:tcBorders>
              <w:top w:val="single" w:color="BBBBBB" w:sz="1"/>
              <w:left w:val="single" w:color="BBBBBB" w:sz="1"/>
              <w:bottom w:val="single" w:color="BBBBBB" w:sz="1"/>
              <w:right w:val="single" w:color="BBBBBB" w:sz="1"/>
            </w:tcBorders>
            <w:shd w:fill="F4F4F4" w:val="clear"/>
            <w:tcMar>
              <w:top w:type="dxa" w:w="70"/>
              <w:left w:type="dxa" w:w="110"/>
              <w:bottom w:type="dxa" w:w="70"/>
              <w:right w:type="dxa" w:w="110"/>
            </w:tcMar>
          </w:tcPr>
          <w:p>
            <w:pPr>
              <w:jc w:val="left"/>
            </w:pPr>
            <w:r>
              <w:rPr>
                <w:b w:val="false"/>
                <w:bCs w:val="false"/>
                <w:color w:val="222222"/>
                <w:sz w:val="15"/>
                <w:szCs w:val="15"/>
              </w:rPr>
              <w:t xml:space="preserve">Median RSI2</w:t>
            </w:r>
          </w:p>
        </w:tc>
        <w:tc>
          <w:tcPr>
            <w:tcW w:type="dxa" w:w="1700"/>
            <w:tcBorders>
              <w:top w:val="single" w:color="BBBBBB" w:sz="1"/>
              <w:left w:val="single" w:color="BBBBBB" w:sz="1"/>
              <w:bottom w:val="single" w:color="BBBBBB" w:sz="1"/>
              <w:right w:val="single" w:color="BBBBBB" w:sz="1"/>
            </w:tcBorders>
            <w:shd w:fill="F4F4F4" w:val="clear"/>
            <w:tcMar>
              <w:top w:type="dxa" w:w="70"/>
              <w:left w:type="dxa" w:w="110"/>
              <w:bottom w:type="dxa" w:w="70"/>
              <w:right w:type="dxa" w:w="110"/>
            </w:tcMar>
          </w:tcPr>
          <w:p>
            <w:pPr>
              <w:jc w:val="left"/>
            </w:pPr>
            <w:r>
              <w:rPr>
                <w:b w:val="false"/>
                <w:bCs w:val="false"/>
                <w:color w:val="222222"/>
                <w:sz w:val="15"/>
                <w:szCs w:val="15"/>
              </w:rPr>
              <w:t xml:space="preserve">~50</w:t>
            </w:r>
          </w:p>
        </w:tc>
        <w:tc>
          <w:tcPr>
            <w:tcW w:type="dxa" w:w="5160"/>
            <w:tcBorders>
              <w:top w:val="single" w:color="BBBBBB" w:sz="1"/>
              <w:left w:val="single" w:color="BBBBBB" w:sz="1"/>
              <w:bottom w:val="single" w:color="BBBBBB" w:sz="1"/>
              <w:right w:val="single" w:color="BBBBBB" w:sz="1"/>
            </w:tcBorders>
            <w:shd w:fill="F4F4F4" w:val="clear"/>
            <w:tcMar>
              <w:top w:type="dxa" w:w="70"/>
              <w:left w:type="dxa" w:w="110"/>
              <w:bottom w:type="dxa" w:w="70"/>
              <w:right w:type="dxa" w:w="110"/>
            </w:tcMar>
          </w:tcPr>
          <w:p>
            <w:pPr>
              <w:jc w:val="left"/>
            </w:pPr>
            <w:r>
              <w:rPr>
                <w:b w:val="false"/>
                <w:bCs w:val="false"/>
                <w:color w:val="222222"/>
                <w:sz w:val="15"/>
                <w:szCs w:val="15"/>
              </w:rPr>
              <w:t xml:space="preserve">Mid-band — neither extreme</w:t>
            </w:r>
          </w:p>
        </w:tc>
      </w:tr>
      <w:tr>
        <w:trPr>
          <w:cantSplit/>
        </w:trPr>
        <w:tc>
          <w:tcPr>
            <w:tcW w:type="dxa" w:w="25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Range position</w:t>
            </w:r>
          </w:p>
        </w:tc>
        <w:tc>
          <w:tcPr>
            <w:tcW w:type="dxa" w:w="17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74th percentile</w:t>
            </w:r>
          </w:p>
        </w:tc>
        <w:tc>
          <w:tcPr>
            <w:tcW w:type="dxa" w:w="51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Range Top Bias — close in upper third of 25-day range</w:t>
            </w:r>
          </w:p>
        </w:tc>
      </w:tr>
      <w:tr>
        <w:trPr>
          <w:cantSplit/>
        </w:trPr>
        <w:tc>
          <w:tcPr>
            <w:tcW w:type="dxa" w:w="2500"/>
            <w:tcBorders>
              <w:top w:val="single" w:color="BBBBBB" w:sz="1"/>
              <w:left w:val="single" w:color="BBBBBB" w:sz="1"/>
              <w:bottom w:val="single" w:color="BBBBBB" w:sz="1"/>
              <w:right w:val="single" w:color="BBBBBB" w:sz="1"/>
            </w:tcBorders>
            <w:shd w:fill="F4F4F4" w:val="clear"/>
            <w:tcMar>
              <w:top w:type="dxa" w:w="70"/>
              <w:left w:type="dxa" w:w="110"/>
              <w:bottom w:type="dxa" w:w="70"/>
              <w:right w:type="dxa" w:w="110"/>
            </w:tcMar>
          </w:tcPr>
          <w:p>
            <w:pPr>
              <w:jc w:val="left"/>
            </w:pPr>
            <w:r>
              <w:rPr>
                <w:b w:val="false"/>
                <w:bCs w:val="false"/>
                <w:color w:val="222222"/>
                <w:sz w:val="15"/>
                <w:szCs w:val="15"/>
              </w:rPr>
              <w:t xml:space="preserve">Net 25-day change</w:t>
            </w:r>
          </w:p>
        </w:tc>
        <w:tc>
          <w:tcPr>
            <w:tcW w:type="dxa" w:w="1700"/>
            <w:tcBorders>
              <w:top w:val="single" w:color="BBBBBB" w:sz="1"/>
              <w:left w:val="single" w:color="BBBBBB" w:sz="1"/>
              <w:bottom w:val="single" w:color="BBBBBB" w:sz="1"/>
              <w:right w:val="single" w:color="BBBBBB" w:sz="1"/>
            </w:tcBorders>
            <w:shd w:fill="F4F4F4" w:val="clear"/>
            <w:tcMar>
              <w:top w:type="dxa" w:w="70"/>
              <w:left w:type="dxa" w:w="110"/>
              <w:bottom w:type="dxa" w:w="70"/>
              <w:right w:type="dxa" w:w="110"/>
            </w:tcMar>
          </w:tcPr>
          <w:p>
            <w:pPr>
              <w:jc w:val="left"/>
            </w:pPr>
            <w:r>
              <w:rPr>
                <w:b w:val="false"/>
                <w:bCs w:val="false"/>
                <w:color w:val="222222"/>
                <w:sz w:val="15"/>
                <w:szCs w:val="15"/>
              </w:rPr>
              <w:t xml:space="preserve">≈ −1.1%</w:t>
            </w:r>
          </w:p>
        </w:tc>
        <w:tc>
          <w:tcPr>
            <w:tcW w:type="dxa" w:w="5160"/>
            <w:tcBorders>
              <w:top w:val="single" w:color="BBBBBB" w:sz="1"/>
              <w:left w:val="single" w:color="BBBBBB" w:sz="1"/>
              <w:bottom w:val="single" w:color="BBBBBB" w:sz="1"/>
              <w:right w:val="single" w:color="BBBBBB" w:sz="1"/>
            </w:tcBorders>
            <w:shd w:fill="F4F4F4" w:val="clear"/>
            <w:tcMar>
              <w:top w:type="dxa" w:w="70"/>
              <w:left w:type="dxa" w:w="110"/>
              <w:bottom w:type="dxa" w:w="70"/>
              <w:right w:type="dxa" w:w="110"/>
            </w:tcMar>
          </w:tcPr>
          <w:p>
            <w:pPr>
              <w:jc w:val="left"/>
            </w:pPr>
            <w:r>
              <w:rPr>
                <w:b w:val="false"/>
                <w:bCs w:val="false"/>
                <w:color w:val="222222"/>
                <w:sz w:val="15"/>
                <w:szCs w:val="15"/>
              </w:rPr>
              <w:t xml:space="preserve">Round-trip: 10,560 → 10,000 → 10,443</w:t>
            </w:r>
          </w:p>
        </w:tc>
      </w:tr>
    </w:tbl>
    <w:p>
      <w:pPr>
        <w:spacing w:after="60"/>
      </w:pPr>
      <w:r>
        <w:t xml:space="preserve"/>
      </w:r>
    </w:p>
    <w:p>
      <w:pPr>
        <w:spacing w:after="120" w:line="276"/>
        <w:jc w:val="both"/>
      </w:pPr>
      <w:r>
        <w:rPr>
          <w:b/>
          <w:bCs/>
        </w:rPr>
        <w:t xml:space="preserve">The signals do not agree. </w:t>
      </w:r>
      <w:r>
        <w:t xml:space="preserve">Overlap (0.60) says range; persistence (0.70) and the positive VOLator slope say trend. The net 25-day path is essentially flat despite two large directional legs. Per the regime rules, when Trending and Ranging criteria are not clearly co-satisfied the block is classified </w:t>
      </w:r>
      <w:r>
        <w:rPr>
          <w:b/>
          <w:bCs/>
          <w:color w:val="2E7D4F"/>
        </w:rPr>
        <w:t xml:space="preserve">Transitional</w:t>
      </w:r>
      <w:r>
        <w:t xml:space="preserve">. Directional bias within that regime is </w:t>
      </w:r>
      <w:r>
        <w:rPr>
          <w:b/>
          <w:bCs/>
        </w:rPr>
        <w:t xml:space="preserve">Mixed, tilting Bullish</w:t>
      </w:r>
      <w:r>
        <w:t xml:space="preserve"> — the most recent completed leg is firmly up and the close sits at the 74th percentile.</w:t>
      </w:r>
    </w:p>
    <w:p>
      <w:pPr>
        <w:spacing w:after="60"/>
      </w:pPr>
      <w:r>
        <w:t xml:space="preserve"/>
      </w:r>
    </w:p>
    <w:p>
      <w:pPr>
        <w:spacing w:after="120" w:line="276"/>
        <w:jc w:val="both"/>
      </w:pPr>
      <w:r>
        <w:rPr>
          <w:b/>
          <w:bCs/>
        </w:rPr>
        <w:t xml:space="preserve">VOLator current readings (scaled, −1 to +1): </w:t>
      </w:r>
      <w:r>
        <w:t xml:space="preserve">FTSE 100 +1.00 (clipped — at the top of its historical band, expanding); EURO STOXX 50 ≈ +0.6 (above midpoint, expanding); DAX 40 ≈ +0.5 (expanding); S&amp;P 500 ≈ +0.3 (above midpoint); USDX ≈ +0.1 (near midpoint, the calmest counter). Every active series sits above its zero midpoint — a broad volatility-expansion backdrop consistent with a sharp directional move rather than a quiet drift.</w:t>
      </w:r>
    </w:p>
    <w:p>
      <w:pPr>
        <w:spacing w:after="120" w:line="276"/>
        <w:jc w:val="both"/>
      </w:pPr>
      <w:r>
        <w:rPr>
          <w:b/>
          <w:bCs/>
        </w:rPr>
        <w:t xml:space="preserve">Preferred trade protocol. </w:t>
      </w:r>
      <w:r>
        <w:t xml:space="preserve">Combining the §8 short-term read (Trending Bullish) with a Transitional medium-term regime, the matrix points to a tactical breakout-style protocol with reduced conviction: treat the move as a range-edge resolution and demand confirmation rather than assuming a fully established trend. This is flagged as a short-vs-medium tension.</w:t>
      </w:r>
    </w:p>
    <w:p>
      <w:pPr>
        <w:spacing w:after="120" w:line="276"/>
        <w:jc w:val="both"/>
      </w:pPr>
      <w:r>
        <w:rPr>
          <w:b/>
          <w:bCs/>
        </w:rPr>
        <w:t xml:space="preserve">Kaufman confirmation. </w:t>
      </w:r>
      <w:r>
        <w:t xml:space="preserve">The smoothed Kaufman Efficiency Ratio is −0.07 — inside the neutral band, classified Ranging — Neutral. This contradicts the strong five-day price thrust: the index has moved violently but the net 13-session displacement is small relative to the total path travelled, so efficiency is low. Where KER and short-term price action disagree, the KER is the more conservative signal and is treated as a caution: the rebound is fast but not yet efficient. The consolidated regime label carried into the strategy module is </w:t>
      </w:r>
      <w:r>
        <w:rPr>
          <w:b/>
          <w:bCs/>
          <w:color w:val="2E7D4F"/>
        </w:rPr>
        <w:t xml:space="preserve">TRANSITION</w:t>
      </w:r>
      <w:r>
        <w:t xml:space="preserve">.</w:t>
      </w:r>
    </w:p>
    <w:p>
      <w:r>
        <w:br w:type="page"/>
      </w:r>
    </w:p>
    <w:p>
      <w:pPr>
        <w:pStyle w:val="Heading1"/>
      </w:pPr>
      <w:r>
        <w:t xml:space="preserve">10.  Cross-Asset Analysis</w:t>
      </w:r>
    </w:p>
    <w:p>
      <w:pPr>
        <w:pBdr>
          <w:bottom w:val="single" w:color="2E5E9E" w:sz="6" w:space="1"/>
        </w:pBdr>
        <w:spacing w:after="120"/>
      </w:pPr>
    </w:p>
    <w:p>
      <w:pPr>
        <w:spacing w:after="120" w:line="276"/>
        <w:jc w:val="both"/>
      </w:pPr>
      <w:r>
        <w:rPr>
          <w:color w:val="2E7D4F"/>
        </w:rPr>
        <w:t xml:space="preserve">Directional reads for the three active counters and the EURO STOXX 50 comparator, against the §9 Transitional regime. Counters confirm or contradict the read — they do not replace it.</w:t>
      </w:r>
    </w:p>
    <w:p>
      <w:pPr>
        <w:pStyle w:val="Heading3"/>
      </w:pPr>
      <w:r>
        <w:t xml:space="preserve">USDX — Dollar Index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BBBBB" w:sz="1"/>
              <w:left w:val="single" w:color="BBBBBB" w:sz="1"/>
              <w:bottom w:val="single" w:color="BBBBBB" w:sz="1"/>
              <w:right w:val="single" w:color="BBBBBB" w:sz="1"/>
            </w:tcBorders>
            <w:shd w:fill="1F3864" w:val="clear"/>
            <w:tcMar>
              <w:top w:type="dxa" w:w="70"/>
              <w:left w:type="dxa" w:w="110"/>
              <w:bottom w:type="dxa" w:w="70"/>
              <w:right w:type="dxa" w:w="110"/>
            </w:tcMar>
          </w:tcPr>
          <w:p>
            <w:pPr>
              <w:jc w:val="left"/>
            </w:pPr>
            <w:r>
              <w:rPr>
                <w:b/>
                <w:bCs/>
                <w:color w:val="FFFFFF"/>
                <w:sz w:val="16"/>
                <w:szCs w:val="16"/>
              </w:rPr>
              <w:t xml:space="preserve">Element</w:t>
            </w:r>
          </w:p>
        </w:tc>
        <w:tc>
          <w:tcPr>
            <w:tcW w:type="dxa" w:w="7160"/>
            <w:tcBorders>
              <w:top w:val="single" w:color="BBBBBB" w:sz="1"/>
              <w:left w:val="single" w:color="BBBBBB" w:sz="1"/>
              <w:bottom w:val="single" w:color="BBBBBB" w:sz="1"/>
              <w:right w:val="single" w:color="BBBBBB" w:sz="1"/>
            </w:tcBorders>
            <w:shd w:fill="1F3864" w:val="clear"/>
            <w:tcMar>
              <w:top w:type="dxa" w:w="70"/>
              <w:left w:type="dxa" w:w="110"/>
              <w:bottom w:type="dxa" w:w="70"/>
              <w:right w:type="dxa" w:w="110"/>
            </w:tcMar>
          </w:tcPr>
          <w:p>
            <w:pPr>
              <w:jc w:val="left"/>
            </w:pPr>
            <w:r>
              <w:rPr>
                <w:b/>
                <w:bCs/>
                <w:color w:val="FFFFFF"/>
                <w:sz w:val="16"/>
                <w:szCs w:val="16"/>
              </w:rPr>
              <w:t xml:space="preserve">Reading</w:t>
            </w:r>
          </w:p>
        </w:tc>
      </w:tr>
      <w:tr>
        <w:trPr>
          <w:cantSplit/>
        </w:trPr>
        <w:tc>
          <w:tcPr>
            <w:tcW w:type="dxa" w:w="22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5-day direction</w:t>
            </w:r>
          </w:p>
        </w:tc>
        <w:tc>
          <w:tcPr>
            <w:tcW w:type="dxa" w:w="71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Rising modestly (firmer dollar; DXY around the high-99s)</w:t>
            </w:r>
          </w:p>
        </w:tc>
      </w:tr>
      <w:tr>
        <w:trPr>
          <w:cantSplit/>
        </w:trPr>
        <w:tc>
          <w:tcPr>
            <w:tcW w:type="dxa" w:w="2200"/>
            <w:tcBorders>
              <w:top w:val="single" w:color="BBBBBB" w:sz="1"/>
              <w:left w:val="single" w:color="BBBBBB" w:sz="1"/>
              <w:bottom w:val="single" w:color="BBBBBB" w:sz="1"/>
              <w:right w:val="single" w:color="BBBBBB" w:sz="1"/>
            </w:tcBorders>
            <w:shd w:fill="F4F4F4" w:val="clear"/>
            <w:tcMar>
              <w:top w:type="dxa" w:w="70"/>
              <w:left w:type="dxa" w:w="110"/>
              <w:bottom w:type="dxa" w:w="70"/>
              <w:right w:type="dxa" w:w="110"/>
            </w:tcMar>
          </w:tcPr>
          <w:p>
            <w:pPr>
              <w:jc w:val="left"/>
            </w:pPr>
            <w:r>
              <w:rPr>
                <w:b w:val="false"/>
                <w:bCs w:val="false"/>
                <w:color w:val="222222"/>
                <w:sz w:val="15"/>
                <w:szCs w:val="15"/>
              </w:rPr>
              <w:t xml:space="preserve">Mechanism</w:t>
            </w:r>
          </w:p>
        </w:tc>
        <w:tc>
          <w:tcPr>
            <w:tcW w:type="dxa" w:w="7160"/>
            <w:tcBorders>
              <w:top w:val="single" w:color="BBBBBB" w:sz="1"/>
              <w:left w:val="single" w:color="BBBBBB" w:sz="1"/>
              <w:bottom w:val="single" w:color="BBBBBB" w:sz="1"/>
              <w:right w:val="single" w:color="BBBBBB" w:sz="1"/>
            </w:tcBorders>
            <w:shd w:fill="F4F4F4" w:val="clear"/>
            <w:tcMar>
              <w:top w:type="dxa" w:w="70"/>
              <w:left w:type="dxa" w:w="110"/>
              <w:bottom w:type="dxa" w:w="70"/>
              <w:right w:type="dxa" w:w="110"/>
            </w:tcMar>
          </w:tcPr>
          <w:p>
            <w:pPr>
              <w:jc w:val="left"/>
            </w:pPr>
            <w:r>
              <w:rPr>
                <w:b w:val="false"/>
                <w:bCs w:val="false"/>
                <w:color w:val="222222"/>
                <w:sz w:val="15"/>
                <w:szCs w:val="15"/>
              </w:rPr>
              <w:t xml:space="preserve">A firmer dollar weakens sterling on the cross; because roughly 80% of FTSE 100 revenue is earned abroad, GBP weakness lifts the translated value of overseas earnings — a supportive channel for the index.</w:t>
            </w:r>
          </w:p>
        </w:tc>
      </w:tr>
      <w:tr>
        <w:trPr>
          <w:cantSplit/>
        </w:trPr>
        <w:tc>
          <w:tcPr>
            <w:tcW w:type="dxa" w:w="22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Confirmation status</w:t>
            </w:r>
          </w:p>
        </w:tc>
        <w:tc>
          <w:tcPr>
            <w:tcW w:type="dxa" w:w="71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bCs/>
                <w:color w:val="2E7D4F"/>
                <w:sz w:val="15"/>
                <w:szCs w:val="15"/>
              </w:rPr>
              <w:t xml:space="preserve">Confirms</w:t>
            </w:r>
          </w:p>
        </w:tc>
      </w:tr>
      <w:tr>
        <w:trPr>
          <w:cantSplit/>
        </w:trPr>
        <w:tc>
          <w:tcPr>
            <w:tcW w:type="dxa" w:w="2200"/>
            <w:tcBorders>
              <w:top w:val="single" w:color="BBBBBB" w:sz="1"/>
              <w:left w:val="single" w:color="BBBBBB" w:sz="1"/>
              <w:bottom w:val="single" w:color="BBBBBB" w:sz="1"/>
              <w:right w:val="single" w:color="BBBBBB" w:sz="1"/>
            </w:tcBorders>
            <w:shd w:fill="F4F4F4" w:val="clear"/>
            <w:tcMar>
              <w:top w:type="dxa" w:w="70"/>
              <w:left w:type="dxa" w:w="110"/>
              <w:bottom w:type="dxa" w:w="70"/>
              <w:right w:type="dxa" w:w="110"/>
            </w:tcMar>
          </w:tcPr>
          <w:p>
            <w:pPr>
              <w:jc w:val="left"/>
            </w:pPr>
            <w:r>
              <w:rPr>
                <w:b w:val="false"/>
                <w:bCs w:val="false"/>
                <w:color w:val="222222"/>
                <w:sz w:val="15"/>
                <w:szCs w:val="15"/>
              </w:rPr>
              <w:t xml:space="preserve">Implication</w:t>
            </w:r>
          </w:p>
        </w:tc>
        <w:tc>
          <w:tcPr>
            <w:tcW w:type="dxa" w:w="7160"/>
            <w:tcBorders>
              <w:top w:val="single" w:color="BBBBBB" w:sz="1"/>
              <w:left w:val="single" w:color="BBBBBB" w:sz="1"/>
              <w:bottom w:val="single" w:color="BBBBBB" w:sz="1"/>
              <w:right w:val="single" w:color="BBBBBB" w:sz="1"/>
            </w:tcBorders>
            <w:shd w:fill="F4F4F4" w:val="clear"/>
            <w:tcMar>
              <w:top w:type="dxa" w:w="70"/>
              <w:left w:type="dxa" w:w="110"/>
              <w:bottom w:type="dxa" w:w="70"/>
              <w:right w:type="dxa" w:w="110"/>
            </w:tcMar>
          </w:tcPr>
          <w:p>
            <w:pPr>
              <w:jc w:val="left"/>
            </w:pPr>
            <w:r>
              <w:rPr>
                <w:b w:val="false"/>
                <w:bCs w:val="false"/>
                <w:color w:val="222222"/>
                <w:sz w:val="15"/>
                <w:szCs w:val="15"/>
              </w:rPr>
              <w:t xml:space="preserve">A rising dollar / softer pound is a tailwind for FTSE earnings translation and supports the rebound.</w:t>
            </w:r>
          </w:p>
        </w:tc>
      </w:tr>
    </w:tbl>
    <w:p>
      <w:pPr>
        <w:pStyle w:val="Heading3"/>
      </w:pPr>
      <w:r>
        <w:t xml:space="preserve">S&amp;P 500 — cross-Atlantic risk proxy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BBBBB" w:sz="1"/>
              <w:left w:val="single" w:color="BBBBBB" w:sz="1"/>
              <w:bottom w:val="single" w:color="BBBBBB" w:sz="1"/>
              <w:right w:val="single" w:color="BBBBBB" w:sz="1"/>
            </w:tcBorders>
            <w:shd w:fill="1F3864" w:val="clear"/>
            <w:tcMar>
              <w:top w:type="dxa" w:w="70"/>
              <w:left w:type="dxa" w:w="110"/>
              <w:bottom w:type="dxa" w:w="70"/>
              <w:right w:type="dxa" w:w="110"/>
            </w:tcMar>
          </w:tcPr>
          <w:p>
            <w:pPr>
              <w:jc w:val="left"/>
            </w:pPr>
            <w:r>
              <w:rPr>
                <w:b/>
                <w:bCs/>
                <w:color w:val="FFFFFF"/>
                <w:sz w:val="16"/>
                <w:szCs w:val="16"/>
              </w:rPr>
              <w:t xml:space="preserve">Element</w:t>
            </w:r>
          </w:p>
        </w:tc>
        <w:tc>
          <w:tcPr>
            <w:tcW w:type="dxa" w:w="7160"/>
            <w:tcBorders>
              <w:top w:val="single" w:color="BBBBBB" w:sz="1"/>
              <w:left w:val="single" w:color="BBBBBB" w:sz="1"/>
              <w:bottom w:val="single" w:color="BBBBBB" w:sz="1"/>
              <w:right w:val="single" w:color="BBBBBB" w:sz="1"/>
            </w:tcBorders>
            <w:shd w:fill="1F3864" w:val="clear"/>
            <w:tcMar>
              <w:top w:type="dxa" w:w="70"/>
              <w:left w:type="dxa" w:w="110"/>
              <w:bottom w:type="dxa" w:w="70"/>
              <w:right w:type="dxa" w:w="110"/>
            </w:tcMar>
          </w:tcPr>
          <w:p>
            <w:pPr>
              <w:jc w:val="left"/>
            </w:pPr>
            <w:r>
              <w:rPr>
                <w:b/>
                <w:bCs/>
                <w:color w:val="FFFFFF"/>
                <w:sz w:val="16"/>
                <w:szCs w:val="16"/>
              </w:rPr>
              <w:t xml:space="preserve">Reading</w:t>
            </w:r>
          </w:p>
        </w:tc>
      </w:tr>
      <w:tr>
        <w:trPr>
          <w:cantSplit/>
        </w:trPr>
        <w:tc>
          <w:tcPr>
            <w:tcW w:type="dxa" w:w="22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5-day direction</w:t>
            </w:r>
          </w:p>
        </w:tc>
        <w:tc>
          <w:tcPr>
            <w:tcW w:type="dxa" w:w="71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Rising (S&amp;P 500 holding near 7,400; broad risk-on tone)</w:t>
            </w:r>
          </w:p>
        </w:tc>
      </w:tr>
      <w:tr>
        <w:trPr>
          <w:cantSplit/>
        </w:trPr>
        <w:tc>
          <w:tcPr>
            <w:tcW w:type="dxa" w:w="2200"/>
            <w:tcBorders>
              <w:top w:val="single" w:color="BBBBBB" w:sz="1"/>
              <w:left w:val="single" w:color="BBBBBB" w:sz="1"/>
              <w:bottom w:val="single" w:color="BBBBBB" w:sz="1"/>
              <w:right w:val="single" w:color="BBBBBB" w:sz="1"/>
            </w:tcBorders>
            <w:shd w:fill="F4F4F4" w:val="clear"/>
            <w:tcMar>
              <w:top w:type="dxa" w:w="70"/>
              <w:left w:type="dxa" w:w="110"/>
              <w:bottom w:type="dxa" w:w="70"/>
              <w:right w:type="dxa" w:w="110"/>
            </w:tcMar>
          </w:tcPr>
          <w:p>
            <w:pPr>
              <w:jc w:val="left"/>
            </w:pPr>
            <w:r>
              <w:rPr>
                <w:b w:val="false"/>
                <w:bCs w:val="false"/>
                <w:color w:val="222222"/>
                <w:sz w:val="15"/>
                <w:szCs w:val="15"/>
              </w:rPr>
              <w:t xml:space="preserve">Mechanism</w:t>
            </w:r>
          </w:p>
        </w:tc>
        <w:tc>
          <w:tcPr>
            <w:tcW w:type="dxa" w:w="7160"/>
            <w:tcBorders>
              <w:top w:val="single" w:color="BBBBBB" w:sz="1"/>
              <w:left w:val="single" w:color="BBBBBB" w:sz="1"/>
              <w:bottom w:val="single" w:color="BBBBBB" w:sz="1"/>
              <w:right w:val="single" w:color="BBBBBB" w:sz="1"/>
            </w:tcBorders>
            <w:shd w:fill="F4F4F4" w:val="clear"/>
            <w:tcMar>
              <w:top w:type="dxa" w:w="70"/>
              <w:left w:type="dxa" w:w="110"/>
              <w:bottom w:type="dxa" w:w="70"/>
              <w:right w:type="dxa" w:w="110"/>
            </w:tcMar>
          </w:tcPr>
          <w:p>
            <w:pPr>
              <w:jc w:val="left"/>
            </w:pPr>
            <w:r>
              <w:rPr>
                <w:b w:val="false"/>
                <w:bCs w:val="false"/>
                <w:color w:val="222222"/>
                <w:sz w:val="15"/>
                <w:szCs w:val="15"/>
              </w:rPr>
              <w:t xml:space="preserve">The S&amp;P 500 is the common-factor beta for European equities; a rising US tape signals global risk appetite that spills into London via shared sentiment and fund flows.</w:t>
            </w:r>
          </w:p>
        </w:tc>
      </w:tr>
      <w:tr>
        <w:trPr>
          <w:cantSplit/>
        </w:trPr>
        <w:tc>
          <w:tcPr>
            <w:tcW w:type="dxa" w:w="22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Confirmation status</w:t>
            </w:r>
          </w:p>
        </w:tc>
        <w:tc>
          <w:tcPr>
            <w:tcW w:type="dxa" w:w="71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bCs/>
                <w:color w:val="2E7D4F"/>
                <w:sz w:val="15"/>
                <w:szCs w:val="15"/>
              </w:rPr>
              <w:t xml:space="preserve">Confirms</w:t>
            </w:r>
          </w:p>
        </w:tc>
      </w:tr>
      <w:tr>
        <w:trPr>
          <w:cantSplit/>
        </w:trPr>
        <w:tc>
          <w:tcPr>
            <w:tcW w:type="dxa" w:w="2200"/>
            <w:tcBorders>
              <w:top w:val="single" w:color="BBBBBB" w:sz="1"/>
              <w:left w:val="single" w:color="BBBBBB" w:sz="1"/>
              <w:bottom w:val="single" w:color="BBBBBB" w:sz="1"/>
              <w:right w:val="single" w:color="BBBBBB" w:sz="1"/>
            </w:tcBorders>
            <w:shd w:fill="F4F4F4" w:val="clear"/>
            <w:tcMar>
              <w:top w:type="dxa" w:w="70"/>
              <w:left w:type="dxa" w:w="110"/>
              <w:bottom w:type="dxa" w:w="70"/>
              <w:right w:type="dxa" w:w="110"/>
            </w:tcMar>
          </w:tcPr>
          <w:p>
            <w:pPr>
              <w:jc w:val="left"/>
            </w:pPr>
            <w:r>
              <w:rPr>
                <w:b w:val="false"/>
                <w:bCs w:val="false"/>
                <w:color w:val="222222"/>
                <w:sz w:val="15"/>
                <w:szCs w:val="15"/>
              </w:rPr>
              <w:t xml:space="preserve">Implication</w:t>
            </w:r>
          </w:p>
        </w:tc>
        <w:tc>
          <w:tcPr>
            <w:tcW w:type="dxa" w:w="7160"/>
            <w:tcBorders>
              <w:top w:val="single" w:color="BBBBBB" w:sz="1"/>
              <w:left w:val="single" w:color="BBBBBB" w:sz="1"/>
              <w:bottom w:val="single" w:color="BBBBBB" w:sz="1"/>
              <w:right w:val="single" w:color="BBBBBB" w:sz="1"/>
            </w:tcBorders>
            <w:shd w:fill="F4F4F4" w:val="clear"/>
            <w:tcMar>
              <w:top w:type="dxa" w:w="70"/>
              <w:left w:type="dxa" w:w="110"/>
              <w:bottom w:type="dxa" w:w="70"/>
              <w:right w:type="dxa" w:w="110"/>
            </w:tcMar>
          </w:tcPr>
          <w:p>
            <w:pPr>
              <w:jc w:val="left"/>
            </w:pPr>
            <w:r>
              <w:rPr>
                <w:b w:val="false"/>
                <w:bCs w:val="false"/>
                <w:color w:val="222222"/>
                <w:sz w:val="15"/>
                <w:szCs w:val="15"/>
              </w:rPr>
              <w:t xml:space="preserve">US strength corroborates the FTSE rebound as part of a synchronised risk-on move, not a UK-only quirk.</w:t>
            </w:r>
          </w:p>
        </w:tc>
      </w:tr>
    </w:tbl>
    <w:p>
      <w:pPr>
        <w:pStyle w:val="Heading3"/>
      </w:pPr>
      <w:r>
        <w:t xml:space="preserve">DAX 40 — European equity proxy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BBBBB" w:sz="1"/>
              <w:left w:val="single" w:color="BBBBBB" w:sz="1"/>
              <w:bottom w:val="single" w:color="BBBBBB" w:sz="1"/>
              <w:right w:val="single" w:color="BBBBBB" w:sz="1"/>
            </w:tcBorders>
            <w:shd w:fill="1F3864" w:val="clear"/>
            <w:tcMar>
              <w:top w:type="dxa" w:w="70"/>
              <w:left w:type="dxa" w:w="110"/>
              <w:bottom w:type="dxa" w:w="70"/>
              <w:right w:type="dxa" w:w="110"/>
            </w:tcMar>
          </w:tcPr>
          <w:p>
            <w:pPr>
              <w:jc w:val="left"/>
            </w:pPr>
            <w:r>
              <w:rPr>
                <w:b/>
                <w:bCs/>
                <w:color w:val="FFFFFF"/>
                <w:sz w:val="16"/>
                <w:szCs w:val="16"/>
              </w:rPr>
              <w:t xml:space="preserve">Element</w:t>
            </w:r>
          </w:p>
        </w:tc>
        <w:tc>
          <w:tcPr>
            <w:tcW w:type="dxa" w:w="7160"/>
            <w:tcBorders>
              <w:top w:val="single" w:color="BBBBBB" w:sz="1"/>
              <w:left w:val="single" w:color="BBBBBB" w:sz="1"/>
              <w:bottom w:val="single" w:color="BBBBBB" w:sz="1"/>
              <w:right w:val="single" w:color="BBBBBB" w:sz="1"/>
            </w:tcBorders>
            <w:shd w:fill="1F3864" w:val="clear"/>
            <w:tcMar>
              <w:top w:type="dxa" w:w="70"/>
              <w:left w:type="dxa" w:w="110"/>
              <w:bottom w:type="dxa" w:w="70"/>
              <w:right w:type="dxa" w:w="110"/>
            </w:tcMar>
          </w:tcPr>
          <w:p>
            <w:pPr>
              <w:jc w:val="left"/>
            </w:pPr>
            <w:r>
              <w:rPr>
                <w:b/>
                <w:bCs/>
                <w:color w:val="FFFFFF"/>
                <w:sz w:val="16"/>
                <w:szCs w:val="16"/>
              </w:rPr>
              <w:t xml:space="preserve">Reading</w:t>
            </w:r>
          </w:p>
        </w:tc>
      </w:tr>
      <w:tr>
        <w:trPr>
          <w:cantSplit/>
        </w:trPr>
        <w:tc>
          <w:tcPr>
            <w:tcW w:type="dxa" w:w="22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5-day direction</w:t>
            </w:r>
          </w:p>
        </w:tc>
        <w:tc>
          <w:tcPr>
            <w:tcW w:type="dxa" w:w="71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Rising over the week but soft on 21 May (closed −0.5% at ~24,607)</w:t>
            </w:r>
          </w:p>
        </w:tc>
      </w:tr>
      <w:tr>
        <w:trPr>
          <w:cantSplit/>
        </w:trPr>
        <w:tc>
          <w:tcPr>
            <w:tcW w:type="dxa" w:w="2200"/>
            <w:tcBorders>
              <w:top w:val="single" w:color="BBBBBB" w:sz="1"/>
              <w:left w:val="single" w:color="BBBBBB" w:sz="1"/>
              <w:bottom w:val="single" w:color="BBBBBB" w:sz="1"/>
              <w:right w:val="single" w:color="BBBBBB" w:sz="1"/>
            </w:tcBorders>
            <w:shd w:fill="F4F4F4" w:val="clear"/>
            <w:tcMar>
              <w:top w:type="dxa" w:w="70"/>
              <w:left w:type="dxa" w:w="110"/>
              <w:bottom w:type="dxa" w:w="70"/>
              <w:right w:type="dxa" w:w="110"/>
            </w:tcMar>
          </w:tcPr>
          <w:p>
            <w:pPr>
              <w:jc w:val="left"/>
            </w:pPr>
            <w:r>
              <w:rPr>
                <w:b w:val="false"/>
                <w:bCs w:val="false"/>
                <w:color w:val="222222"/>
                <w:sz w:val="15"/>
                <w:szCs w:val="15"/>
              </w:rPr>
              <w:t xml:space="preserve">Mechanism</w:t>
            </w:r>
          </w:p>
        </w:tc>
        <w:tc>
          <w:tcPr>
            <w:tcW w:type="dxa" w:w="7160"/>
            <w:tcBorders>
              <w:top w:val="single" w:color="BBBBBB" w:sz="1"/>
              <w:left w:val="single" w:color="BBBBBB" w:sz="1"/>
              <w:bottom w:val="single" w:color="BBBBBB" w:sz="1"/>
              <w:right w:val="single" w:color="BBBBBB" w:sz="1"/>
            </w:tcBorders>
            <w:shd w:fill="F4F4F4" w:val="clear"/>
            <w:tcMar>
              <w:top w:type="dxa" w:w="70"/>
              <w:left w:type="dxa" w:w="110"/>
              <w:bottom w:type="dxa" w:w="70"/>
              <w:right w:type="dxa" w:w="110"/>
            </w:tcMar>
          </w:tcPr>
          <w:p>
            <w:pPr>
              <w:jc w:val="left"/>
            </w:pPr>
            <w:r>
              <w:rPr>
                <w:b w:val="false"/>
                <w:bCs w:val="false"/>
                <w:color w:val="222222"/>
                <w:sz w:val="15"/>
                <w:szCs w:val="15"/>
              </w:rPr>
              <w:t xml:space="preserve">The DAX is industrials-heavy versus the FTSE's energy/financials skew; it confirms the broad European direction but its 21 May softness is a divergence on the final session.</w:t>
            </w:r>
          </w:p>
        </w:tc>
      </w:tr>
      <w:tr>
        <w:trPr>
          <w:cantSplit/>
        </w:trPr>
        <w:tc>
          <w:tcPr>
            <w:tcW w:type="dxa" w:w="22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Confirmation status</w:t>
            </w:r>
          </w:p>
        </w:tc>
        <w:tc>
          <w:tcPr>
            <w:tcW w:type="dxa" w:w="71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bCs/>
                <w:color w:val="B06A00"/>
                <w:sz w:val="15"/>
                <w:szCs w:val="15"/>
              </w:rPr>
              <w:t xml:space="preserve">Mixed</w:t>
            </w:r>
          </w:p>
        </w:tc>
      </w:tr>
      <w:tr>
        <w:trPr>
          <w:cantSplit/>
        </w:trPr>
        <w:tc>
          <w:tcPr>
            <w:tcW w:type="dxa" w:w="2200"/>
            <w:tcBorders>
              <w:top w:val="single" w:color="BBBBBB" w:sz="1"/>
              <w:left w:val="single" w:color="BBBBBB" w:sz="1"/>
              <w:bottom w:val="single" w:color="BBBBBB" w:sz="1"/>
              <w:right w:val="single" w:color="BBBBBB" w:sz="1"/>
            </w:tcBorders>
            <w:shd w:fill="F4F4F4" w:val="clear"/>
            <w:tcMar>
              <w:top w:type="dxa" w:w="70"/>
              <w:left w:type="dxa" w:w="110"/>
              <w:bottom w:type="dxa" w:w="70"/>
              <w:right w:type="dxa" w:w="110"/>
            </w:tcMar>
          </w:tcPr>
          <w:p>
            <w:pPr>
              <w:jc w:val="left"/>
            </w:pPr>
            <w:r>
              <w:rPr>
                <w:b w:val="false"/>
                <w:bCs w:val="false"/>
                <w:color w:val="222222"/>
                <w:sz w:val="15"/>
                <w:szCs w:val="15"/>
              </w:rPr>
              <w:t xml:space="preserve">Implication</w:t>
            </w:r>
          </w:p>
        </w:tc>
        <w:tc>
          <w:tcPr>
            <w:tcW w:type="dxa" w:w="7160"/>
            <w:tcBorders>
              <w:top w:val="single" w:color="BBBBBB" w:sz="1"/>
              <w:left w:val="single" w:color="BBBBBB" w:sz="1"/>
              <w:bottom w:val="single" w:color="BBBBBB" w:sz="1"/>
              <w:right w:val="single" w:color="BBBBBB" w:sz="1"/>
            </w:tcBorders>
            <w:shd w:fill="F4F4F4" w:val="clear"/>
            <w:tcMar>
              <w:top w:type="dxa" w:w="70"/>
              <w:left w:type="dxa" w:w="110"/>
              <w:bottom w:type="dxa" w:w="70"/>
              <w:right w:type="dxa" w:w="110"/>
            </w:tcMar>
          </w:tcPr>
          <w:p>
            <w:pPr>
              <w:jc w:val="left"/>
            </w:pPr>
            <w:r>
              <w:rPr>
                <w:b w:val="false"/>
                <w:bCs w:val="false"/>
                <w:color w:val="222222"/>
                <w:sz w:val="15"/>
                <w:szCs w:val="15"/>
              </w:rPr>
              <w:t xml:space="preserve">Broadly confirms the European rebound but the 21 May DAX dip while the FTSE rose is a mild non-confirmation worth monitoring.</w:t>
            </w:r>
          </w:p>
        </w:tc>
      </w:tr>
    </w:tbl>
    <w:p>
      <w:pPr>
        <w:pStyle w:val="Heading3"/>
      </w:pPr>
      <w:r>
        <w:t xml:space="preserve">EURO STOXX 50 — designated comparator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BBBBB" w:sz="1"/>
              <w:left w:val="single" w:color="BBBBBB" w:sz="1"/>
              <w:bottom w:val="single" w:color="BBBBBB" w:sz="1"/>
              <w:right w:val="single" w:color="BBBBBB" w:sz="1"/>
            </w:tcBorders>
            <w:shd w:fill="1F3864" w:val="clear"/>
            <w:tcMar>
              <w:top w:type="dxa" w:w="70"/>
              <w:left w:type="dxa" w:w="110"/>
              <w:bottom w:type="dxa" w:w="70"/>
              <w:right w:type="dxa" w:w="110"/>
            </w:tcMar>
          </w:tcPr>
          <w:p>
            <w:pPr>
              <w:jc w:val="left"/>
            </w:pPr>
            <w:r>
              <w:rPr>
                <w:b/>
                <w:bCs/>
                <w:color w:val="FFFFFF"/>
                <w:sz w:val="16"/>
                <w:szCs w:val="16"/>
              </w:rPr>
              <w:t xml:space="preserve">Element</w:t>
            </w:r>
          </w:p>
        </w:tc>
        <w:tc>
          <w:tcPr>
            <w:tcW w:type="dxa" w:w="7160"/>
            <w:tcBorders>
              <w:top w:val="single" w:color="BBBBBB" w:sz="1"/>
              <w:left w:val="single" w:color="BBBBBB" w:sz="1"/>
              <w:bottom w:val="single" w:color="BBBBBB" w:sz="1"/>
              <w:right w:val="single" w:color="BBBBBB" w:sz="1"/>
            </w:tcBorders>
            <w:shd w:fill="1F3864" w:val="clear"/>
            <w:tcMar>
              <w:top w:type="dxa" w:w="70"/>
              <w:left w:type="dxa" w:w="110"/>
              <w:bottom w:type="dxa" w:w="70"/>
              <w:right w:type="dxa" w:w="110"/>
            </w:tcMar>
          </w:tcPr>
          <w:p>
            <w:pPr>
              <w:jc w:val="left"/>
            </w:pPr>
            <w:r>
              <w:rPr>
                <w:b/>
                <w:bCs/>
                <w:color w:val="FFFFFF"/>
                <w:sz w:val="16"/>
                <w:szCs w:val="16"/>
              </w:rPr>
              <w:t xml:space="preserve">Reading</w:t>
            </w:r>
          </w:p>
        </w:tc>
      </w:tr>
      <w:tr>
        <w:trPr>
          <w:cantSplit/>
        </w:trPr>
        <w:tc>
          <w:tcPr>
            <w:tcW w:type="dxa" w:w="22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5-day direction</w:t>
            </w:r>
          </w:p>
        </w:tc>
        <w:tc>
          <w:tcPr>
            <w:tcW w:type="dxa" w:w="71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Rising (5,742 → 5,960, roughly +3.8%)</w:t>
            </w:r>
          </w:p>
        </w:tc>
      </w:tr>
      <w:tr>
        <w:trPr>
          <w:cantSplit/>
        </w:trPr>
        <w:tc>
          <w:tcPr>
            <w:tcW w:type="dxa" w:w="2200"/>
            <w:tcBorders>
              <w:top w:val="single" w:color="BBBBBB" w:sz="1"/>
              <w:left w:val="single" w:color="BBBBBB" w:sz="1"/>
              <w:bottom w:val="single" w:color="BBBBBB" w:sz="1"/>
              <w:right w:val="single" w:color="BBBBBB" w:sz="1"/>
            </w:tcBorders>
            <w:shd w:fill="F4F4F4" w:val="clear"/>
            <w:tcMar>
              <w:top w:type="dxa" w:w="70"/>
              <w:left w:type="dxa" w:w="110"/>
              <w:bottom w:type="dxa" w:w="70"/>
              <w:right w:type="dxa" w:w="110"/>
            </w:tcMar>
          </w:tcPr>
          <w:p>
            <w:pPr>
              <w:jc w:val="left"/>
            </w:pPr>
            <w:r>
              <w:rPr>
                <w:b w:val="false"/>
                <w:bCs w:val="false"/>
                <w:color w:val="222222"/>
                <w:sz w:val="15"/>
                <w:szCs w:val="15"/>
              </w:rPr>
              <w:t xml:space="preserve">Mechanism</w:t>
            </w:r>
          </w:p>
        </w:tc>
        <w:tc>
          <w:tcPr>
            <w:tcW w:type="dxa" w:w="7160"/>
            <w:tcBorders>
              <w:top w:val="single" w:color="BBBBBB" w:sz="1"/>
              <w:left w:val="single" w:color="BBBBBB" w:sz="1"/>
              <w:bottom w:val="single" w:color="BBBBBB" w:sz="1"/>
              <w:right w:val="single" w:color="BBBBBB" w:sz="1"/>
            </w:tcBorders>
            <w:shd w:fill="F4F4F4" w:val="clear"/>
            <w:tcMar>
              <w:top w:type="dxa" w:w="70"/>
              <w:left w:type="dxa" w:w="110"/>
              <w:bottom w:type="dxa" w:w="70"/>
              <w:right w:type="dxa" w:w="110"/>
            </w:tcMar>
          </w:tcPr>
          <w:p>
            <w:pPr>
              <w:jc w:val="left"/>
            </w:pPr>
            <w:r>
              <w:rPr>
                <w:b w:val="false"/>
                <w:bCs w:val="false"/>
                <w:color w:val="222222"/>
                <w:sz w:val="15"/>
                <w:szCs w:val="15"/>
              </w:rPr>
              <w:t xml:space="preserve">Direct Eurozone large-cap read; shares the US–Iran de-escalation and energy-price drivers with the FTSE.</w:t>
            </w:r>
          </w:p>
        </w:tc>
      </w:tr>
      <w:tr>
        <w:trPr>
          <w:cantSplit/>
        </w:trPr>
        <w:tc>
          <w:tcPr>
            <w:tcW w:type="dxa" w:w="22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Confirmation status</w:t>
            </w:r>
          </w:p>
        </w:tc>
        <w:tc>
          <w:tcPr>
            <w:tcW w:type="dxa" w:w="71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bCs/>
                <w:color w:val="2E7D4F"/>
                <w:sz w:val="15"/>
                <w:szCs w:val="15"/>
              </w:rPr>
              <w:t xml:space="preserve">Confirms</w:t>
            </w:r>
          </w:p>
        </w:tc>
      </w:tr>
      <w:tr>
        <w:trPr>
          <w:cantSplit/>
        </w:trPr>
        <w:tc>
          <w:tcPr>
            <w:tcW w:type="dxa" w:w="2200"/>
            <w:tcBorders>
              <w:top w:val="single" w:color="BBBBBB" w:sz="1"/>
              <w:left w:val="single" w:color="BBBBBB" w:sz="1"/>
              <w:bottom w:val="single" w:color="BBBBBB" w:sz="1"/>
              <w:right w:val="single" w:color="BBBBBB" w:sz="1"/>
            </w:tcBorders>
            <w:shd w:fill="F4F4F4" w:val="clear"/>
            <w:tcMar>
              <w:top w:type="dxa" w:w="70"/>
              <w:left w:type="dxa" w:w="110"/>
              <w:bottom w:type="dxa" w:w="70"/>
              <w:right w:type="dxa" w:w="110"/>
            </w:tcMar>
          </w:tcPr>
          <w:p>
            <w:pPr>
              <w:jc w:val="left"/>
            </w:pPr>
            <w:r>
              <w:rPr>
                <w:b w:val="false"/>
                <w:bCs w:val="false"/>
                <w:color w:val="222222"/>
                <w:sz w:val="15"/>
                <w:szCs w:val="15"/>
              </w:rPr>
              <w:t xml:space="preserve">Implication</w:t>
            </w:r>
          </w:p>
        </w:tc>
        <w:tc>
          <w:tcPr>
            <w:tcW w:type="dxa" w:w="7160"/>
            <w:tcBorders>
              <w:top w:val="single" w:color="BBBBBB" w:sz="1"/>
              <w:left w:val="single" w:color="BBBBBB" w:sz="1"/>
              <w:bottom w:val="single" w:color="BBBBBB" w:sz="1"/>
              <w:right w:val="single" w:color="BBBBBB" w:sz="1"/>
            </w:tcBorders>
            <w:shd w:fill="F4F4F4" w:val="clear"/>
            <w:tcMar>
              <w:top w:type="dxa" w:w="70"/>
              <w:left w:type="dxa" w:w="110"/>
              <w:bottom w:type="dxa" w:w="70"/>
              <w:right w:type="dxa" w:w="110"/>
            </w:tcMar>
          </w:tcPr>
          <w:p>
            <w:pPr>
              <w:jc w:val="left"/>
            </w:pPr>
            <w:r>
              <w:rPr>
                <w:b w:val="false"/>
                <w:bCs w:val="false"/>
                <w:color w:val="222222"/>
                <w:sz w:val="15"/>
                <w:szCs w:val="15"/>
              </w:rPr>
              <w:t xml:space="preserve">The comparator rebounded in lockstep, reinforcing that the move is a regional risk-on event.</w:t>
            </w:r>
          </w:p>
        </w:tc>
      </w:tr>
    </w:tbl>
    <w:p>
      <w:pPr>
        <w:spacing w:after="60"/>
      </w:pPr>
      <w:r>
        <w:t xml:space="preserve"/>
      </w:r>
    </w:p>
    <w:p>
      <w:pPr>
        <w:spacing w:after="120" w:line="276"/>
        <w:jc w:val="both"/>
      </w:pPr>
      <w:r>
        <w:rPr>
          <w:b/>
          <w:bCs/>
          <w:color w:val="B06A00"/>
        </w:rPr>
        <w:t xml:space="preserve">Aggregate cross-asset read: MIXED. </w:t>
      </w:r>
      <w:r>
        <w:t xml:space="preserve">Three counters confirm (USDX, S&amp;P 500, EURO STOXX 50) and one is mixed (DAX 40). Because confirms and a non-confirmation both occur, the aggregate is MIXED rather than a clean CONFIRM. </w:t>
      </w:r>
      <w:r>
        <w:rPr>
          <w:b/>
          <w:bCs/>
        </w:rPr>
        <w:t xml:space="preserve">Contradiction flag: </w:t>
      </w:r>
      <w:r>
        <w:t xml:space="preserve">the DAX 40's 21 May softness against a rising FTSE is recorded as a mild non-confirmation — it is not resolved away and it feeds the §15 Bull/Bear balance and the §16 forward view.</w:t>
      </w:r>
    </w:p>
    <w:p>
      <w:r>
        <w:br w:type="page"/>
      </w:r>
    </w:p>
    <w:p>
      <w:pPr>
        <w:pStyle w:val="Heading1"/>
      </w:pPr>
      <w:r>
        <w:t xml:space="preserve">11.  Floor Pivot Analysis</w:t>
      </w:r>
    </w:p>
    <w:p>
      <w:pPr>
        <w:pBdr>
          <w:bottom w:val="single" w:color="2E5E9E" w:sz="6" w:space="1"/>
        </w:pBdr>
        <w:spacing w:after="120"/>
      </w:pPr>
    </w:p>
    <w:p>
      <w:pPr>
        <w:spacing w:after="120" w:line="276"/>
        <w:jc w:val="both"/>
      </w:pPr>
      <w:r>
        <w:rPr>
          <w:color w:val="2E7D4F"/>
        </w:rPr>
        <w:t xml:space="preserve">Daily, weekly and monthly floor pivots for the FTSE 100. Mandatory row order: resistance at top, support at bottom. Prior-period H/L/C inputs were each two-source corroborated within the ±0.10-point equity-index tolerance — all three tables are CORROBORATED, none is single-source indicative.</w:t>
      </w:r>
    </w:p>
    <w:p>
      <w:pPr>
        <w:pStyle w:val="Heading3"/>
      </w:pPr>
      <w:r>
        <w:t xml:space="preserve">Daily pivots — from the 20 May session (H 10,366 · L 10,142 · C 10,330.84)</w:t>
      </w:r>
    </w:p>
    <w:tbl>
      <w:tblPr>
        <w:tblW w:type="dxa" w:w="7660"/>
        <w:tblBorders>
          <w:top w:val="single" w:color="auto" w:sz="4"/>
          <w:left w:val="single" w:color="auto" w:sz="4"/>
          <w:bottom w:val="single" w:color="auto" w:sz="4"/>
          <w:right w:val="single" w:color="auto" w:sz="4"/>
          <w:insideH w:val="single" w:color="auto" w:sz="4"/>
          <w:insideV w:val="single" w:color="auto" w:sz="4"/>
        </w:tblBorders>
      </w:tblPr>
      <w:tblGrid>
        <w:gridCol w:w="1300"/>
        <w:gridCol w:w="2380"/>
        <w:gridCol w:w="300"/>
        <w:gridCol w:w="1300"/>
        <w:gridCol w:w="2380"/>
      </w:tblGrid>
      <w:tr>
        <w:trPr>
          <w:tblHeader/>
        </w:trPr>
        <w:tc>
          <w:tcPr>
            <w:tcW w:type="dxa" w:w="1300"/>
            <w:tcBorders>
              <w:top w:val="single" w:color="BBBBBB" w:sz="1"/>
              <w:left w:val="single" w:color="BBBBBB" w:sz="1"/>
              <w:bottom w:val="single" w:color="BBBBBB" w:sz="1"/>
              <w:right w:val="single" w:color="BBBBBB" w:sz="1"/>
            </w:tcBorders>
            <w:shd w:fill="2E5E9E" w:val="clear"/>
            <w:tcMar>
              <w:top w:type="dxa" w:w="70"/>
              <w:left w:type="dxa" w:w="110"/>
              <w:bottom w:type="dxa" w:w="70"/>
              <w:right w:type="dxa" w:w="110"/>
            </w:tcMar>
          </w:tcPr>
          <w:p>
            <w:pPr>
              <w:jc w:val="left"/>
            </w:pPr>
            <w:r>
              <w:rPr>
                <w:b/>
                <w:bCs/>
                <w:color w:val="FFFFFF"/>
                <w:sz w:val="16"/>
                <w:szCs w:val="16"/>
              </w:rPr>
              <w:t xml:space="preserve">Level</w:t>
            </w:r>
          </w:p>
        </w:tc>
        <w:tc>
          <w:tcPr>
            <w:tcW w:type="dxa" w:w="2380"/>
            <w:tcBorders>
              <w:top w:val="single" w:color="BBBBBB" w:sz="1"/>
              <w:left w:val="single" w:color="BBBBBB" w:sz="1"/>
              <w:bottom w:val="single" w:color="BBBBBB" w:sz="1"/>
              <w:right w:val="single" w:color="BBBBBB" w:sz="1"/>
            </w:tcBorders>
            <w:shd w:fill="2E5E9E" w:val="clear"/>
            <w:tcMar>
              <w:top w:type="dxa" w:w="70"/>
              <w:left w:type="dxa" w:w="110"/>
              <w:bottom w:type="dxa" w:w="70"/>
              <w:right w:type="dxa" w:w="110"/>
            </w:tcMar>
          </w:tcPr>
          <w:p>
            <w:pPr>
              <w:jc w:val="left"/>
            </w:pPr>
            <w:r>
              <w:rPr>
                <w:b/>
                <w:bCs/>
                <w:color w:val="FFFFFF"/>
                <w:sz w:val="16"/>
                <w:szCs w:val="16"/>
              </w:rPr>
              <w:t xml:space="preserve">Price</w:t>
            </w:r>
          </w:p>
        </w:tc>
        <w:tc>
          <w:tcPr>
            <w:tcW w:type="dxa" w:w="300"/>
            <w:tcBorders>
              <w:top w:val="single" w:color="BBBBBB" w:sz="1"/>
              <w:left w:val="single" w:color="BBBBBB" w:sz="1"/>
              <w:bottom w:val="single" w:color="BBBBBB" w:sz="1"/>
              <w:right w:val="single" w:color="BBBBBB" w:sz="1"/>
            </w:tcBorders>
            <w:shd w:fill="2E5E9E" w:val="clear"/>
            <w:tcMar>
              <w:top w:type="dxa" w:w="70"/>
              <w:left w:type="dxa" w:w="110"/>
              <w:bottom w:type="dxa" w:w="70"/>
              <w:right w:type="dxa" w:w="110"/>
            </w:tcMar>
          </w:tcPr>
          <w:p>
            <w:pPr>
              <w:jc w:val="left"/>
            </w:pPr>
            <w:r>
              <w:rPr>
                <w:b/>
                <w:bCs/>
                <w:color w:val="FFFFFF"/>
                <w:sz w:val="16"/>
                <w:szCs w:val="16"/>
              </w:rPr>
              <w:t xml:space="preserve"/>
            </w:r>
          </w:p>
        </w:tc>
        <w:tc>
          <w:tcPr>
            <w:tcW w:type="dxa" w:w="1300"/>
            <w:tcBorders>
              <w:top w:val="single" w:color="BBBBBB" w:sz="1"/>
              <w:left w:val="single" w:color="BBBBBB" w:sz="1"/>
              <w:bottom w:val="single" w:color="BBBBBB" w:sz="1"/>
              <w:right w:val="single" w:color="BBBBBB" w:sz="1"/>
            </w:tcBorders>
            <w:shd w:fill="2E5E9E" w:val="clear"/>
            <w:tcMar>
              <w:top w:type="dxa" w:w="70"/>
              <w:left w:type="dxa" w:w="110"/>
              <w:bottom w:type="dxa" w:w="70"/>
              <w:right w:type="dxa" w:w="110"/>
            </w:tcMar>
          </w:tcPr>
          <w:p>
            <w:pPr>
              <w:jc w:val="left"/>
            </w:pPr>
            <w:r>
              <w:rPr>
                <w:b/>
                <w:bCs/>
                <w:color w:val="FFFFFF"/>
                <w:sz w:val="16"/>
                <w:szCs w:val="16"/>
              </w:rPr>
              <w:t xml:space="preserve">Level</w:t>
            </w:r>
          </w:p>
        </w:tc>
        <w:tc>
          <w:tcPr>
            <w:tcW w:type="dxa" w:w="2380"/>
            <w:tcBorders>
              <w:top w:val="single" w:color="BBBBBB" w:sz="1"/>
              <w:left w:val="single" w:color="BBBBBB" w:sz="1"/>
              <w:bottom w:val="single" w:color="BBBBBB" w:sz="1"/>
              <w:right w:val="single" w:color="BBBBBB" w:sz="1"/>
            </w:tcBorders>
            <w:shd w:fill="2E5E9E" w:val="clear"/>
            <w:tcMar>
              <w:top w:type="dxa" w:w="70"/>
              <w:left w:type="dxa" w:w="110"/>
              <w:bottom w:type="dxa" w:w="70"/>
              <w:right w:type="dxa" w:w="110"/>
            </w:tcMar>
          </w:tcPr>
          <w:p>
            <w:pPr>
              <w:jc w:val="left"/>
            </w:pPr>
            <w:r>
              <w:rPr>
                <w:b/>
                <w:bCs/>
                <w:color w:val="FFFFFF"/>
                <w:sz w:val="16"/>
                <w:szCs w:val="16"/>
              </w:rPr>
              <w:t xml:space="preserve">Price</w:t>
            </w:r>
          </w:p>
        </w:tc>
      </w:tr>
      <w:tr>
        <w:trPr>
          <w:cantSplit/>
        </w:trPr>
        <w:tc>
          <w:tcPr>
            <w:tcW w:type="dxa" w:w="13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R5</w:t>
            </w:r>
          </w:p>
        </w:tc>
        <w:tc>
          <w:tcPr>
            <w:tcW w:type="dxa" w:w="238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11,089.2</w:t>
            </w:r>
          </w:p>
        </w:tc>
        <w:tc>
          <w:tcPr>
            <w:tcW w:type="dxa" w:w="3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
            </w:r>
          </w:p>
        </w:tc>
        <w:tc>
          <w:tcPr>
            <w:tcW w:type="dxa" w:w="13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P</w:t>
            </w:r>
          </w:p>
        </w:tc>
        <w:tc>
          <w:tcPr>
            <w:tcW w:type="dxa" w:w="238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10,279.6</w:t>
            </w:r>
          </w:p>
        </w:tc>
      </w:tr>
      <w:tr>
        <w:trPr>
          <w:cantSplit/>
        </w:trPr>
        <w:tc>
          <w:tcPr>
            <w:tcW w:type="dxa" w:w="1300"/>
            <w:tcBorders>
              <w:top w:val="single" w:color="BBBBBB" w:sz="1"/>
              <w:left w:val="single" w:color="BBBBBB" w:sz="1"/>
              <w:bottom w:val="single" w:color="BBBBBB" w:sz="1"/>
              <w:right w:val="single" w:color="BBBBBB" w:sz="1"/>
            </w:tcBorders>
            <w:shd w:fill="F4F4F4" w:val="clear"/>
            <w:tcMar>
              <w:top w:type="dxa" w:w="70"/>
              <w:left w:type="dxa" w:w="110"/>
              <w:bottom w:type="dxa" w:w="70"/>
              <w:right w:type="dxa" w:w="110"/>
            </w:tcMar>
          </w:tcPr>
          <w:p>
            <w:pPr>
              <w:jc w:val="left"/>
            </w:pPr>
            <w:r>
              <w:rPr>
                <w:b w:val="false"/>
                <w:bCs w:val="false"/>
                <w:color w:val="222222"/>
                <w:sz w:val="15"/>
                <w:szCs w:val="15"/>
              </w:rPr>
              <w:t xml:space="preserve">R4</w:t>
            </w:r>
          </w:p>
        </w:tc>
        <w:tc>
          <w:tcPr>
            <w:tcW w:type="dxa" w:w="2380"/>
            <w:tcBorders>
              <w:top w:val="single" w:color="BBBBBB" w:sz="1"/>
              <w:left w:val="single" w:color="BBBBBB" w:sz="1"/>
              <w:bottom w:val="single" w:color="BBBBBB" w:sz="1"/>
              <w:right w:val="single" w:color="BBBBBB" w:sz="1"/>
            </w:tcBorders>
            <w:shd w:fill="F4F4F4" w:val="clear"/>
            <w:tcMar>
              <w:top w:type="dxa" w:w="70"/>
              <w:left w:type="dxa" w:w="110"/>
              <w:bottom w:type="dxa" w:w="70"/>
              <w:right w:type="dxa" w:w="110"/>
            </w:tcMar>
          </w:tcPr>
          <w:p>
            <w:pPr>
              <w:jc w:val="left"/>
            </w:pPr>
            <w:r>
              <w:rPr>
                <w:b w:val="false"/>
                <w:bCs w:val="false"/>
                <w:color w:val="222222"/>
                <w:sz w:val="15"/>
                <w:szCs w:val="15"/>
              </w:rPr>
              <w:t xml:space="preserve">10,865.2</w:t>
            </w:r>
          </w:p>
        </w:tc>
        <w:tc>
          <w:tcPr>
            <w:tcW w:type="dxa" w:w="300"/>
            <w:tcBorders>
              <w:top w:val="single" w:color="BBBBBB" w:sz="1"/>
              <w:left w:val="single" w:color="BBBBBB" w:sz="1"/>
              <w:bottom w:val="single" w:color="BBBBBB" w:sz="1"/>
              <w:right w:val="single" w:color="BBBBBB" w:sz="1"/>
            </w:tcBorders>
            <w:shd w:fill="F4F4F4" w:val="clear"/>
            <w:tcMar>
              <w:top w:type="dxa" w:w="70"/>
              <w:left w:type="dxa" w:w="110"/>
              <w:bottom w:type="dxa" w:w="70"/>
              <w:right w:type="dxa" w:w="110"/>
            </w:tcMar>
          </w:tcPr>
          <w:p>
            <w:pPr>
              <w:jc w:val="left"/>
            </w:pPr>
            <w:r>
              <w:rPr>
                <w:b w:val="false"/>
                <w:bCs w:val="false"/>
                <w:color w:val="222222"/>
                <w:sz w:val="15"/>
                <w:szCs w:val="15"/>
              </w:rPr>
              <w:t xml:space="preserve"/>
            </w:r>
          </w:p>
        </w:tc>
        <w:tc>
          <w:tcPr>
            <w:tcW w:type="dxa" w:w="1300"/>
            <w:tcBorders>
              <w:top w:val="single" w:color="BBBBBB" w:sz="1"/>
              <w:left w:val="single" w:color="BBBBBB" w:sz="1"/>
              <w:bottom w:val="single" w:color="BBBBBB" w:sz="1"/>
              <w:right w:val="single" w:color="BBBBBB" w:sz="1"/>
            </w:tcBorders>
            <w:shd w:fill="F4F4F4" w:val="clear"/>
            <w:tcMar>
              <w:top w:type="dxa" w:w="70"/>
              <w:left w:type="dxa" w:w="110"/>
              <w:bottom w:type="dxa" w:w="70"/>
              <w:right w:type="dxa" w:w="110"/>
            </w:tcMar>
          </w:tcPr>
          <w:p>
            <w:pPr>
              <w:jc w:val="left"/>
            </w:pPr>
            <w:r>
              <w:rPr>
                <w:b w:val="false"/>
                <w:bCs w:val="false"/>
                <w:color w:val="222222"/>
                <w:sz w:val="15"/>
                <w:szCs w:val="15"/>
              </w:rPr>
              <w:t xml:space="preserve">S1</w:t>
            </w:r>
          </w:p>
        </w:tc>
        <w:tc>
          <w:tcPr>
            <w:tcW w:type="dxa" w:w="2380"/>
            <w:tcBorders>
              <w:top w:val="single" w:color="BBBBBB" w:sz="1"/>
              <w:left w:val="single" w:color="BBBBBB" w:sz="1"/>
              <w:bottom w:val="single" w:color="BBBBBB" w:sz="1"/>
              <w:right w:val="single" w:color="BBBBBB" w:sz="1"/>
            </w:tcBorders>
            <w:shd w:fill="F4F4F4" w:val="clear"/>
            <w:tcMar>
              <w:top w:type="dxa" w:w="70"/>
              <w:left w:type="dxa" w:w="110"/>
              <w:bottom w:type="dxa" w:w="70"/>
              <w:right w:type="dxa" w:w="110"/>
            </w:tcMar>
          </w:tcPr>
          <w:p>
            <w:pPr>
              <w:jc w:val="left"/>
            </w:pPr>
            <w:r>
              <w:rPr>
                <w:b w:val="false"/>
                <w:bCs w:val="false"/>
                <w:color w:val="222222"/>
                <w:sz w:val="15"/>
                <w:szCs w:val="15"/>
              </w:rPr>
              <w:t xml:space="preserve">10,193.2</w:t>
            </w:r>
          </w:p>
        </w:tc>
      </w:tr>
      <w:tr>
        <w:trPr>
          <w:cantSplit/>
        </w:trPr>
        <w:tc>
          <w:tcPr>
            <w:tcW w:type="dxa" w:w="13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R3</w:t>
            </w:r>
          </w:p>
        </w:tc>
        <w:tc>
          <w:tcPr>
            <w:tcW w:type="dxa" w:w="238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10,641.2</w:t>
            </w:r>
          </w:p>
        </w:tc>
        <w:tc>
          <w:tcPr>
            <w:tcW w:type="dxa" w:w="3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
            </w:r>
          </w:p>
        </w:tc>
        <w:tc>
          <w:tcPr>
            <w:tcW w:type="dxa" w:w="13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S2</w:t>
            </w:r>
          </w:p>
        </w:tc>
        <w:tc>
          <w:tcPr>
            <w:tcW w:type="dxa" w:w="238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10,055.6</w:t>
            </w:r>
          </w:p>
        </w:tc>
      </w:tr>
      <w:tr>
        <w:trPr>
          <w:cantSplit/>
        </w:trPr>
        <w:tc>
          <w:tcPr>
            <w:tcW w:type="dxa" w:w="1300"/>
            <w:tcBorders>
              <w:top w:val="single" w:color="BBBBBB" w:sz="1"/>
              <w:left w:val="single" w:color="BBBBBB" w:sz="1"/>
              <w:bottom w:val="single" w:color="BBBBBB" w:sz="1"/>
              <w:right w:val="single" w:color="BBBBBB" w:sz="1"/>
            </w:tcBorders>
            <w:shd w:fill="F4F4F4" w:val="clear"/>
            <w:tcMar>
              <w:top w:type="dxa" w:w="70"/>
              <w:left w:type="dxa" w:w="110"/>
              <w:bottom w:type="dxa" w:w="70"/>
              <w:right w:type="dxa" w:w="110"/>
            </w:tcMar>
          </w:tcPr>
          <w:p>
            <w:pPr>
              <w:jc w:val="left"/>
            </w:pPr>
            <w:r>
              <w:rPr>
                <w:b w:val="false"/>
                <w:bCs w:val="false"/>
                <w:color w:val="222222"/>
                <w:sz w:val="15"/>
                <w:szCs w:val="15"/>
              </w:rPr>
              <w:t xml:space="preserve">R2</w:t>
            </w:r>
          </w:p>
        </w:tc>
        <w:tc>
          <w:tcPr>
            <w:tcW w:type="dxa" w:w="2380"/>
            <w:tcBorders>
              <w:top w:val="single" w:color="BBBBBB" w:sz="1"/>
              <w:left w:val="single" w:color="BBBBBB" w:sz="1"/>
              <w:bottom w:val="single" w:color="BBBBBB" w:sz="1"/>
              <w:right w:val="single" w:color="BBBBBB" w:sz="1"/>
            </w:tcBorders>
            <w:shd w:fill="F4F4F4" w:val="clear"/>
            <w:tcMar>
              <w:top w:type="dxa" w:w="70"/>
              <w:left w:type="dxa" w:w="110"/>
              <w:bottom w:type="dxa" w:w="70"/>
              <w:right w:type="dxa" w:w="110"/>
            </w:tcMar>
          </w:tcPr>
          <w:p>
            <w:pPr>
              <w:jc w:val="left"/>
            </w:pPr>
            <w:r>
              <w:rPr>
                <w:b w:val="false"/>
                <w:bCs w:val="false"/>
                <w:color w:val="222222"/>
                <w:sz w:val="15"/>
                <w:szCs w:val="15"/>
              </w:rPr>
              <w:t xml:space="preserve">10,503.6</w:t>
            </w:r>
          </w:p>
        </w:tc>
        <w:tc>
          <w:tcPr>
            <w:tcW w:type="dxa" w:w="300"/>
            <w:tcBorders>
              <w:top w:val="single" w:color="BBBBBB" w:sz="1"/>
              <w:left w:val="single" w:color="BBBBBB" w:sz="1"/>
              <w:bottom w:val="single" w:color="BBBBBB" w:sz="1"/>
              <w:right w:val="single" w:color="BBBBBB" w:sz="1"/>
            </w:tcBorders>
            <w:shd w:fill="F4F4F4" w:val="clear"/>
            <w:tcMar>
              <w:top w:type="dxa" w:w="70"/>
              <w:left w:type="dxa" w:w="110"/>
              <w:bottom w:type="dxa" w:w="70"/>
              <w:right w:type="dxa" w:w="110"/>
            </w:tcMar>
          </w:tcPr>
          <w:p>
            <w:pPr>
              <w:jc w:val="left"/>
            </w:pPr>
            <w:r>
              <w:rPr>
                <w:b w:val="false"/>
                <w:bCs w:val="false"/>
                <w:color w:val="222222"/>
                <w:sz w:val="15"/>
                <w:szCs w:val="15"/>
              </w:rPr>
              <w:t xml:space="preserve"/>
            </w:r>
          </w:p>
        </w:tc>
        <w:tc>
          <w:tcPr>
            <w:tcW w:type="dxa" w:w="1300"/>
            <w:tcBorders>
              <w:top w:val="single" w:color="BBBBBB" w:sz="1"/>
              <w:left w:val="single" w:color="BBBBBB" w:sz="1"/>
              <w:bottom w:val="single" w:color="BBBBBB" w:sz="1"/>
              <w:right w:val="single" w:color="BBBBBB" w:sz="1"/>
            </w:tcBorders>
            <w:shd w:fill="F4F4F4" w:val="clear"/>
            <w:tcMar>
              <w:top w:type="dxa" w:w="70"/>
              <w:left w:type="dxa" w:w="110"/>
              <w:bottom w:type="dxa" w:w="70"/>
              <w:right w:type="dxa" w:w="110"/>
            </w:tcMar>
          </w:tcPr>
          <w:p>
            <w:pPr>
              <w:jc w:val="left"/>
            </w:pPr>
            <w:r>
              <w:rPr>
                <w:b w:val="false"/>
                <w:bCs w:val="false"/>
                <w:color w:val="222222"/>
                <w:sz w:val="15"/>
                <w:szCs w:val="15"/>
              </w:rPr>
              <w:t xml:space="preserve">S3</w:t>
            </w:r>
          </w:p>
        </w:tc>
        <w:tc>
          <w:tcPr>
            <w:tcW w:type="dxa" w:w="2380"/>
            <w:tcBorders>
              <w:top w:val="single" w:color="BBBBBB" w:sz="1"/>
              <w:left w:val="single" w:color="BBBBBB" w:sz="1"/>
              <w:bottom w:val="single" w:color="BBBBBB" w:sz="1"/>
              <w:right w:val="single" w:color="BBBBBB" w:sz="1"/>
            </w:tcBorders>
            <w:shd w:fill="F4F4F4" w:val="clear"/>
            <w:tcMar>
              <w:top w:type="dxa" w:w="70"/>
              <w:left w:type="dxa" w:w="110"/>
              <w:bottom w:type="dxa" w:w="70"/>
              <w:right w:type="dxa" w:w="110"/>
            </w:tcMar>
          </w:tcPr>
          <w:p>
            <w:pPr>
              <w:jc w:val="left"/>
            </w:pPr>
            <w:r>
              <w:rPr>
                <w:b w:val="false"/>
                <w:bCs w:val="false"/>
                <w:color w:val="222222"/>
                <w:sz w:val="15"/>
                <w:szCs w:val="15"/>
              </w:rPr>
              <w:t xml:space="preserve">9,969.2</w:t>
            </w:r>
          </w:p>
        </w:tc>
      </w:tr>
      <w:tr>
        <w:trPr>
          <w:cantSplit/>
        </w:trPr>
        <w:tc>
          <w:tcPr>
            <w:tcW w:type="dxa" w:w="13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R1</w:t>
            </w:r>
          </w:p>
        </w:tc>
        <w:tc>
          <w:tcPr>
            <w:tcW w:type="dxa" w:w="238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10,417.2</w:t>
            </w:r>
          </w:p>
        </w:tc>
        <w:tc>
          <w:tcPr>
            <w:tcW w:type="dxa" w:w="3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
            </w:r>
          </w:p>
        </w:tc>
        <w:tc>
          <w:tcPr>
            <w:tcW w:type="dxa" w:w="13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S4</w:t>
            </w:r>
          </w:p>
        </w:tc>
        <w:tc>
          <w:tcPr>
            <w:tcW w:type="dxa" w:w="238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9,745.2</w:t>
            </w:r>
          </w:p>
        </w:tc>
      </w:tr>
      <w:tr>
        <w:trPr>
          <w:cantSplit/>
        </w:trPr>
        <w:tc>
          <w:tcPr>
            <w:tcW w:type="dxa" w:w="1300"/>
            <w:tcBorders>
              <w:top w:val="single" w:color="BBBBBB" w:sz="1"/>
              <w:left w:val="single" w:color="BBBBBB" w:sz="1"/>
              <w:bottom w:val="single" w:color="BBBBBB" w:sz="1"/>
              <w:right w:val="single" w:color="BBBBBB" w:sz="1"/>
            </w:tcBorders>
            <w:shd w:fill="F4F4F4" w:val="clear"/>
            <w:tcMar>
              <w:top w:type="dxa" w:w="70"/>
              <w:left w:type="dxa" w:w="110"/>
              <w:bottom w:type="dxa" w:w="70"/>
              <w:right w:type="dxa" w:w="110"/>
            </w:tcMar>
          </w:tcPr>
          <w:p>
            <w:pPr>
              <w:jc w:val="left"/>
            </w:pPr>
            <w:r>
              <w:rPr>
                <w:b w:val="false"/>
                <w:bCs w:val="false"/>
                <w:color w:val="222222"/>
                <w:sz w:val="15"/>
                <w:szCs w:val="15"/>
              </w:rPr>
              <w:t xml:space="preserve">—</w:t>
            </w:r>
          </w:p>
        </w:tc>
        <w:tc>
          <w:tcPr>
            <w:tcW w:type="dxa" w:w="2380"/>
            <w:tcBorders>
              <w:top w:val="single" w:color="BBBBBB" w:sz="1"/>
              <w:left w:val="single" w:color="BBBBBB" w:sz="1"/>
              <w:bottom w:val="single" w:color="BBBBBB" w:sz="1"/>
              <w:right w:val="single" w:color="BBBBBB" w:sz="1"/>
            </w:tcBorders>
            <w:shd w:fill="F4F4F4" w:val="clear"/>
            <w:tcMar>
              <w:top w:type="dxa" w:w="70"/>
              <w:left w:type="dxa" w:w="110"/>
              <w:bottom w:type="dxa" w:w="70"/>
              <w:right w:type="dxa" w:w="110"/>
            </w:tcMar>
          </w:tcPr>
          <w:p>
            <w:pPr>
              <w:jc w:val="left"/>
            </w:pPr>
            <w:r>
              <w:rPr>
                <w:b w:val="false"/>
                <w:bCs w:val="false"/>
                <w:color w:val="222222"/>
                <w:sz w:val="15"/>
                <w:szCs w:val="15"/>
              </w:rPr>
              <w:t xml:space="preserve">—</w:t>
            </w:r>
          </w:p>
        </w:tc>
        <w:tc>
          <w:tcPr>
            <w:tcW w:type="dxa" w:w="300"/>
            <w:tcBorders>
              <w:top w:val="single" w:color="BBBBBB" w:sz="1"/>
              <w:left w:val="single" w:color="BBBBBB" w:sz="1"/>
              <w:bottom w:val="single" w:color="BBBBBB" w:sz="1"/>
              <w:right w:val="single" w:color="BBBBBB" w:sz="1"/>
            </w:tcBorders>
            <w:shd w:fill="F4F4F4" w:val="clear"/>
            <w:tcMar>
              <w:top w:type="dxa" w:w="70"/>
              <w:left w:type="dxa" w:w="110"/>
              <w:bottom w:type="dxa" w:w="70"/>
              <w:right w:type="dxa" w:w="110"/>
            </w:tcMar>
          </w:tcPr>
          <w:p>
            <w:pPr>
              <w:jc w:val="left"/>
            </w:pPr>
            <w:r>
              <w:rPr>
                <w:b w:val="false"/>
                <w:bCs w:val="false"/>
                <w:color w:val="222222"/>
                <w:sz w:val="15"/>
                <w:szCs w:val="15"/>
              </w:rPr>
              <w:t xml:space="preserve"/>
            </w:r>
          </w:p>
        </w:tc>
        <w:tc>
          <w:tcPr>
            <w:tcW w:type="dxa" w:w="1300"/>
            <w:tcBorders>
              <w:top w:val="single" w:color="BBBBBB" w:sz="1"/>
              <w:left w:val="single" w:color="BBBBBB" w:sz="1"/>
              <w:bottom w:val="single" w:color="BBBBBB" w:sz="1"/>
              <w:right w:val="single" w:color="BBBBBB" w:sz="1"/>
            </w:tcBorders>
            <w:shd w:fill="F4F4F4" w:val="clear"/>
            <w:tcMar>
              <w:top w:type="dxa" w:w="70"/>
              <w:left w:type="dxa" w:w="110"/>
              <w:bottom w:type="dxa" w:w="70"/>
              <w:right w:type="dxa" w:w="110"/>
            </w:tcMar>
          </w:tcPr>
          <w:p>
            <w:pPr>
              <w:jc w:val="left"/>
            </w:pPr>
            <w:r>
              <w:rPr>
                <w:b w:val="false"/>
                <w:bCs w:val="false"/>
                <w:color w:val="222222"/>
                <w:sz w:val="15"/>
                <w:szCs w:val="15"/>
              </w:rPr>
              <w:t xml:space="preserve">S5</w:t>
            </w:r>
          </w:p>
        </w:tc>
        <w:tc>
          <w:tcPr>
            <w:tcW w:type="dxa" w:w="2380"/>
            <w:tcBorders>
              <w:top w:val="single" w:color="BBBBBB" w:sz="1"/>
              <w:left w:val="single" w:color="BBBBBB" w:sz="1"/>
              <w:bottom w:val="single" w:color="BBBBBB" w:sz="1"/>
              <w:right w:val="single" w:color="BBBBBB" w:sz="1"/>
            </w:tcBorders>
            <w:shd w:fill="F4F4F4" w:val="clear"/>
            <w:tcMar>
              <w:top w:type="dxa" w:w="70"/>
              <w:left w:type="dxa" w:w="110"/>
              <w:bottom w:type="dxa" w:w="70"/>
              <w:right w:type="dxa" w:w="110"/>
            </w:tcMar>
          </w:tcPr>
          <w:p>
            <w:pPr>
              <w:jc w:val="left"/>
            </w:pPr>
            <w:r>
              <w:rPr>
                <w:b w:val="false"/>
                <w:bCs w:val="false"/>
                <w:color w:val="222222"/>
                <w:sz w:val="15"/>
                <w:szCs w:val="15"/>
              </w:rPr>
              <w:t xml:space="preserve">9,521.2</w:t>
            </w:r>
          </w:p>
        </w:tc>
      </w:tr>
    </w:tbl>
    <w:p>
      <w:pPr>
        <w:pStyle w:val="Heading3"/>
      </w:pPr>
      <w:r>
        <w:t xml:space="preserve">Weekly pivots — from W/E 15 May (H 10,510 · L 9,978 · C 10,004.57)</w:t>
      </w:r>
    </w:p>
    <w:tbl>
      <w:tblPr>
        <w:tblW w:type="dxa" w:w="7660"/>
        <w:tblBorders>
          <w:top w:val="single" w:color="auto" w:sz="4"/>
          <w:left w:val="single" w:color="auto" w:sz="4"/>
          <w:bottom w:val="single" w:color="auto" w:sz="4"/>
          <w:right w:val="single" w:color="auto" w:sz="4"/>
          <w:insideH w:val="single" w:color="auto" w:sz="4"/>
          <w:insideV w:val="single" w:color="auto" w:sz="4"/>
        </w:tblBorders>
      </w:tblPr>
      <w:tblGrid>
        <w:gridCol w:w="1300"/>
        <w:gridCol w:w="2380"/>
        <w:gridCol w:w="300"/>
        <w:gridCol w:w="1300"/>
        <w:gridCol w:w="2380"/>
      </w:tblGrid>
      <w:tr>
        <w:trPr>
          <w:tblHeader/>
        </w:trPr>
        <w:tc>
          <w:tcPr>
            <w:tcW w:type="dxa" w:w="1300"/>
            <w:tcBorders>
              <w:top w:val="single" w:color="BBBBBB" w:sz="1"/>
              <w:left w:val="single" w:color="BBBBBB" w:sz="1"/>
              <w:bottom w:val="single" w:color="BBBBBB" w:sz="1"/>
              <w:right w:val="single" w:color="BBBBBB" w:sz="1"/>
            </w:tcBorders>
            <w:shd w:fill="2E5E9E" w:val="clear"/>
            <w:tcMar>
              <w:top w:type="dxa" w:w="70"/>
              <w:left w:type="dxa" w:w="110"/>
              <w:bottom w:type="dxa" w:w="70"/>
              <w:right w:type="dxa" w:w="110"/>
            </w:tcMar>
          </w:tcPr>
          <w:p>
            <w:pPr>
              <w:jc w:val="left"/>
            </w:pPr>
            <w:r>
              <w:rPr>
                <w:b/>
                <w:bCs/>
                <w:color w:val="FFFFFF"/>
                <w:sz w:val="16"/>
                <w:szCs w:val="16"/>
              </w:rPr>
              <w:t xml:space="preserve">Level</w:t>
            </w:r>
          </w:p>
        </w:tc>
        <w:tc>
          <w:tcPr>
            <w:tcW w:type="dxa" w:w="2380"/>
            <w:tcBorders>
              <w:top w:val="single" w:color="BBBBBB" w:sz="1"/>
              <w:left w:val="single" w:color="BBBBBB" w:sz="1"/>
              <w:bottom w:val="single" w:color="BBBBBB" w:sz="1"/>
              <w:right w:val="single" w:color="BBBBBB" w:sz="1"/>
            </w:tcBorders>
            <w:shd w:fill="2E5E9E" w:val="clear"/>
            <w:tcMar>
              <w:top w:type="dxa" w:w="70"/>
              <w:left w:type="dxa" w:w="110"/>
              <w:bottom w:type="dxa" w:w="70"/>
              <w:right w:type="dxa" w:w="110"/>
            </w:tcMar>
          </w:tcPr>
          <w:p>
            <w:pPr>
              <w:jc w:val="left"/>
            </w:pPr>
            <w:r>
              <w:rPr>
                <w:b/>
                <w:bCs/>
                <w:color w:val="FFFFFF"/>
                <w:sz w:val="16"/>
                <w:szCs w:val="16"/>
              </w:rPr>
              <w:t xml:space="preserve">Price</w:t>
            </w:r>
          </w:p>
        </w:tc>
        <w:tc>
          <w:tcPr>
            <w:tcW w:type="dxa" w:w="300"/>
            <w:tcBorders>
              <w:top w:val="single" w:color="BBBBBB" w:sz="1"/>
              <w:left w:val="single" w:color="BBBBBB" w:sz="1"/>
              <w:bottom w:val="single" w:color="BBBBBB" w:sz="1"/>
              <w:right w:val="single" w:color="BBBBBB" w:sz="1"/>
            </w:tcBorders>
            <w:shd w:fill="2E5E9E" w:val="clear"/>
            <w:tcMar>
              <w:top w:type="dxa" w:w="70"/>
              <w:left w:type="dxa" w:w="110"/>
              <w:bottom w:type="dxa" w:w="70"/>
              <w:right w:type="dxa" w:w="110"/>
            </w:tcMar>
          </w:tcPr>
          <w:p>
            <w:pPr>
              <w:jc w:val="left"/>
            </w:pPr>
            <w:r>
              <w:rPr>
                <w:b/>
                <w:bCs/>
                <w:color w:val="FFFFFF"/>
                <w:sz w:val="16"/>
                <w:szCs w:val="16"/>
              </w:rPr>
              <w:t xml:space="preserve"/>
            </w:r>
          </w:p>
        </w:tc>
        <w:tc>
          <w:tcPr>
            <w:tcW w:type="dxa" w:w="1300"/>
            <w:tcBorders>
              <w:top w:val="single" w:color="BBBBBB" w:sz="1"/>
              <w:left w:val="single" w:color="BBBBBB" w:sz="1"/>
              <w:bottom w:val="single" w:color="BBBBBB" w:sz="1"/>
              <w:right w:val="single" w:color="BBBBBB" w:sz="1"/>
            </w:tcBorders>
            <w:shd w:fill="2E5E9E" w:val="clear"/>
            <w:tcMar>
              <w:top w:type="dxa" w:w="70"/>
              <w:left w:type="dxa" w:w="110"/>
              <w:bottom w:type="dxa" w:w="70"/>
              <w:right w:type="dxa" w:w="110"/>
            </w:tcMar>
          </w:tcPr>
          <w:p>
            <w:pPr>
              <w:jc w:val="left"/>
            </w:pPr>
            <w:r>
              <w:rPr>
                <w:b/>
                <w:bCs/>
                <w:color w:val="FFFFFF"/>
                <w:sz w:val="16"/>
                <w:szCs w:val="16"/>
              </w:rPr>
              <w:t xml:space="preserve">Level</w:t>
            </w:r>
          </w:p>
        </w:tc>
        <w:tc>
          <w:tcPr>
            <w:tcW w:type="dxa" w:w="2380"/>
            <w:tcBorders>
              <w:top w:val="single" w:color="BBBBBB" w:sz="1"/>
              <w:left w:val="single" w:color="BBBBBB" w:sz="1"/>
              <w:bottom w:val="single" w:color="BBBBBB" w:sz="1"/>
              <w:right w:val="single" w:color="BBBBBB" w:sz="1"/>
            </w:tcBorders>
            <w:shd w:fill="2E5E9E" w:val="clear"/>
            <w:tcMar>
              <w:top w:type="dxa" w:w="70"/>
              <w:left w:type="dxa" w:w="110"/>
              <w:bottom w:type="dxa" w:w="70"/>
              <w:right w:type="dxa" w:w="110"/>
            </w:tcMar>
          </w:tcPr>
          <w:p>
            <w:pPr>
              <w:jc w:val="left"/>
            </w:pPr>
            <w:r>
              <w:rPr>
                <w:b/>
                <w:bCs/>
                <w:color w:val="FFFFFF"/>
                <w:sz w:val="16"/>
                <w:szCs w:val="16"/>
              </w:rPr>
              <w:t xml:space="preserve">Price</w:t>
            </w:r>
          </w:p>
        </w:tc>
      </w:tr>
      <w:tr>
        <w:trPr>
          <w:cantSplit/>
        </w:trPr>
        <w:tc>
          <w:tcPr>
            <w:tcW w:type="dxa" w:w="13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R5</w:t>
            </w:r>
          </w:p>
        </w:tc>
        <w:tc>
          <w:tcPr>
            <w:tcW w:type="dxa" w:w="238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11,946.4</w:t>
            </w:r>
          </w:p>
        </w:tc>
        <w:tc>
          <w:tcPr>
            <w:tcW w:type="dxa" w:w="3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
            </w:r>
          </w:p>
        </w:tc>
        <w:tc>
          <w:tcPr>
            <w:tcW w:type="dxa" w:w="13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P</w:t>
            </w:r>
          </w:p>
        </w:tc>
        <w:tc>
          <w:tcPr>
            <w:tcW w:type="dxa" w:w="238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10,164.2</w:t>
            </w:r>
          </w:p>
        </w:tc>
      </w:tr>
      <w:tr>
        <w:trPr>
          <w:cantSplit/>
        </w:trPr>
        <w:tc>
          <w:tcPr>
            <w:tcW w:type="dxa" w:w="1300"/>
            <w:tcBorders>
              <w:top w:val="single" w:color="BBBBBB" w:sz="1"/>
              <w:left w:val="single" w:color="BBBBBB" w:sz="1"/>
              <w:bottom w:val="single" w:color="BBBBBB" w:sz="1"/>
              <w:right w:val="single" w:color="BBBBBB" w:sz="1"/>
            </w:tcBorders>
            <w:shd w:fill="F4F4F4" w:val="clear"/>
            <w:tcMar>
              <w:top w:type="dxa" w:w="70"/>
              <w:left w:type="dxa" w:w="110"/>
              <w:bottom w:type="dxa" w:w="70"/>
              <w:right w:type="dxa" w:w="110"/>
            </w:tcMar>
          </w:tcPr>
          <w:p>
            <w:pPr>
              <w:jc w:val="left"/>
            </w:pPr>
            <w:r>
              <w:rPr>
                <w:b w:val="false"/>
                <w:bCs w:val="false"/>
                <w:color w:val="222222"/>
                <w:sz w:val="15"/>
                <w:szCs w:val="15"/>
              </w:rPr>
              <w:t xml:space="preserve">R4</w:t>
            </w:r>
          </w:p>
        </w:tc>
        <w:tc>
          <w:tcPr>
            <w:tcW w:type="dxa" w:w="2380"/>
            <w:tcBorders>
              <w:top w:val="single" w:color="BBBBBB" w:sz="1"/>
              <w:left w:val="single" w:color="BBBBBB" w:sz="1"/>
              <w:bottom w:val="single" w:color="BBBBBB" w:sz="1"/>
              <w:right w:val="single" w:color="BBBBBB" w:sz="1"/>
            </w:tcBorders>
            <w:shd w:fill="F4F4F4" w:val="clear"/>
            <w:tcMar>
              <w:top w:type="dxa" w:w="70"/>
              <w:left w:type="dxa" w:w="110"/>
              <w:bottom w:type="dxa" w:w="70"/>
              <w:right w:type="dxa" w:w="110"/>
            </w:tcMar>
          </w:tcPr>
          <w:p>
            <w:pPr>
              <w:jc w:val="left"/>
            </w:pPr>
            <w:r>
              <w:rPr>
                <w:b w:val="false"/>
                <w:bCs w:val="false"/>
                <w:color w:val="222222"/>
                <w:sz w:val="15"/>
                <w:szCs w:val="15"/>
              </w:rPr>
              <w:t xml:space="preserve">11,414.4</w:t>
            </w:r>
          </w:p>
        </w:tc>
        <w:tc>
          <w:tcPr>
            <w:tcW w:type="dxa" w:w="300"/>
            <w:tcBorders>
              <w:top w:val="single" w:color="BBBBBB" w:sz="1"/>
              <w:left w:val="single" w:color="BBBBBB" w:sz="1"/>
              <w:bottom w:val="single" w:color="BBBBBB" w:sz="1"/>
              <w:right w:val="single" w:color="BBBBBB" w:sz="1"/>
            </w:tcBorders>
            <w:shd w:fill="F4F4F4" w:val="clear"/>
            <w:tcMar>
              <w:top w:type="dxa" w:w="70"/>
              <w:left w:type="dxa" w:w="110"/>
              <w:bottom w:type="dxa" w:w="70"/>
              <w:right w:type="dxa" w:w="110"/>
            </w:tcMar>
          </w:tcPr>
          <w:p>
            <w:pPr>
              <w:jc w:val="left"/>
            </w:pPr>
            <w:r>
              <w:rPr>
                <w:b w:val="false"/>
                <w:bCs w:val="false"/>
                <w:color w:val="222222"/>
                <w:sz w:val="15"/>
                <w:szCs w:val="15"/>
              </w:rPr>
              <w:t xml:space="preserve"/>
            </w:r>
          </w:p>
        </w:tc>
        <w:tc>
          <w:tcPr>
            <w:tcW w:type="dxa" w:w="1300"/>
            <w:tcBorders>
              <w:top w:val="single" w:color="BBBBBB" w:sz="1"/>
              <w:left w:val="single" w:color="BBBBBB" w:sz="1"/>
              <w:bottom w:val="single" w:color="BBBBBB" w:sz="1"/>
              <w:right w:val="single" w:color="BBBBBB" w:sz="1"/>
            </w:tcBorders>
            <w:shd w:fill="F4F4F4" w:val="clear"/>
            <w:tcMar>
              <w:top w:type="dxa" w:w="70"/>
              <w:left w:type="dxa" w:w="110"/>
              <w:bottom w:type="dxa" w:w="70"/>
              <w:right w:type="dxa" w:w="110"/>
            </w:tcMar>
          </w:tcPr>
          <w:p>
            <w:pPr>
              <w:jc w:val="left"/>
            </w:pPr>
            <w:r>
              <w:rPr>
                <w:b w:val="false"/>
                <w:bCs w:val="false"/>
                <w:color w:val="222222"/>
                <w:sz w:val="15"/>
                <w:szCs w:val="15"/>
              </w:rPr>
              <w:t xml:space="preserve">S1</w:t>
            </w:r>
          </w:p>
        </w:tc>
        <w:tc>
          <w:tcPr>
            <w:tcW w:type="dxa" w:w="2380"/>
            <w:tcBorders>
              <w:top w:val="single" w:color="BBBBBB" w:sz="1"/>
              <w:left w:val="single" w:color="BBBBBB" w:sz="1"/>
              <w:bottom w:val="single" w:color="BBBBBB" w:sz="1"/>
              <w:right w:val="single" w:color="BBBBBB" w:sz="1"/>
            </w:tcBorders>
            <w:shd w:fill="F4F4F4" w:val="clear"/>
            <w:tcMar>
              <w:top w:type="dxa" w:w="70"/>
              <w:left w:type="dxa" w:w="110"/>
              <w:bottom w:type="dxa" w:w="70"/>
              <w:right w:type="dxa" w:w="110"/>
            </w:tcMar>
          </w:tcPr>
          <w:p>
            <w:pPr>
              <w:jc w:val="left"/>
            </w:pPr>
            <w:r>
              <w:rPr>
                <w:b w:val="false"/>
                <w:bCs w:val="false"/>
                <w:color w:val="222222"/>
                <w:sz w:val="15"/>
                <w:szCs w:val="15"/>
              </w:rPr>
              <w:t xml:space="preserve">9,818.4</w:t>
            </w:r>
          </w:p>
        </w:tc>
      </w:tr>
      <w:tr>
        <w:trPr>
          <w:cantSplit/>
        </w:trPr>
        <w:tc>
          <w:tcPr>
            <w:tcW w:type="dxa" w:w="13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R3</w:t>
            </w:r>
          </w:p>
        </w:tc>
        <w:tc>
          <w:tcPr>
            <w:tcW w:type="dxa" w:w="238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10,882.4</w:t>
            </w:r>
          </w:p>
        </w:tc>
        <w:tc>
          <w:tcPr>
            <w:tcW w:type="dxa" w:w="3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
            </w:r>
          </w:p>
        </w:tc>
        <w:tc>
          <w:tcPr>
            <w:tcW w:type="dxa" w:w="13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S2</w:t>
            </w:r>
          </w:p>
        </w:tc>
        <w:tc>
          <w:tcPr>
            <w:tcW w:type="dxa" w:w="238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9,632.2</w:t>
            </w:r>
          </w:p>
        </w:tc>
      </w:tr>
      <w:tr>
        <w:trPr>
          <w:cantSplit/>
        </w:trPr>
        <w:tc>
          <w:tcPr>
            <w:tcW w:type="dxa" w:w="1300"/>
            <w:tcBorders>
              <w:top w:val="single" w:color="BBBBBB" w:sz="1"/>
              <w:left w:val="single" w:color="BBBBBB" w:sz="1"/>
              <w:bottom w:val="single" w:color="BBBBBB" w:sz="1"/>
              <w:right w:val="single" w:color="BBBBBB" w:sz="1"/>
            </w:tcBorders>
            <w:shd w:fill="F4F4F4" w:val="clear"/>
            <w:tcMar>
              <w:top w:type="dxa" w:w="70"/>
              <w:left w:type="dxa" w:w="110"/>
              <w:bottom w:type="dxa" w:w="70"/>
              <w:right w:type="dxa" w:w="110"/>
            </w:tcMar>
          </w:tcPr>
          <w:p>
            <w:pPr>
              <w:jc w:val="left"/>
            </w:pPr>
            <w:r>
              <w:rPr>
                <w:b w:val="false"/>
                <w:bCs w:val="false"/>
                <w:color w:val="222222"/>
                <w:sz w:val="15"/>
                <w:szCs w:val="15"/>
              </w:rPr>
              <w:t xml:space="preserve">R2</w:t>
            </w:r>
          </w:p>
        </w:tc>
        <w:tc>
          <w:tcPr>
            <w:tcW w:type="dxa" w:w="2380"/>
            <w:tcBorders>
              <w:top w:val="single" w:color="BBBBBB" w:sz="1"/>
              <w:left w:val="single" w:color="BBBBBB" w:sz="1"/>
              <w:bottom w:val="single" w:color="BBBBBB" w:sz="1"/>
              <w:right w:val="single" w:color="BBBBBB" w:sz="1"/>
            </w:tcBorders>
            <w:shd w:fill="F4F4F4" w:val="clear"/>
            <w:tcMar>
              <w:top w:type="dxa" w:w="70"/>
              <w:left w:type="dxa" w:w="110"/>
              <w:bottom w:type="dxa" w:w="70"/>
              <w:right w:type="dxa" w:w="110"/>
            </w:tcMar>
          </w:tcPr>
          <w:p>
            <w:pPr>
              <w:jc w:val="left"/>
            </w:pPr>
            <w:r>
              <w:rPr>
                <w:b w:val="false"/>
                <w:bCs w:val="false"/>
                <w:color w:val="222222"/>
                <w:sz w:val="15"/>
                <w:szCs w:val="15"/>
              </w:rPr>
              <w:t xml:space="preserve">10,696.2</w:t>
            </w:r>
          </w:p>
        </w:tc>
        <w:tc>
          <w:tcPr>
            <w:tcW w:type="dxa" w:w="300"/>
            <w:tcBorders>
              <w:top w:val="single" w:color="BBBBBB" w:sz="1"/>
              <w:left w:val="single" w:color="BBBBBB" w:sz="1"/>
              <w:bottom w:val="single" w:color="BBBBBB" w:sz="1"/>
              <w:right w:val="single" w:color="BBBBBB" w:sz="1"/>
            </w:tcBorders>
            <w:shd w:fill="F4F4F4" w:val="clear"/>
            <w:tcMar>
              <w:top w:type="dxa" w:w="70"/>
              <w:left w:type="dxa" w:w="110"/>
              <w:bottom w:type="dxa" w:w="70"/>
              <w:right w:type="dxa" w:w="110"/>
            </w:tcMar>
          </w:tcPr>
          <w:p>
            <w:pPr>
              <w:jc w:val="left"/>
            </w:pPr>
            <w:r>
              <w:rPr>
                <w:b w:val="false"/>
                <w:bCs w:val="false"/>
                <w:color w:val="222222"/>
                <w:sz w:val="15"/>
                <w:szCs w:val="15"/>
              </w:rPr>
              <w:t xml:space="preserve"/>
            </w:r>
          </w:p>
        </w:tc>
        <w:tc>
          <w:tcPr>
            <w:tcW w:type="dxa" w:w="1300"/>
            <w:tcBorders>
              <w:top w:val="single" w:color="BBBBBB" w:sz="1"/>
              <w:left w:val="single" w:color="BBBBBB" w:sz="1"/>
              <w:bottom w:val="single" w:color="BBBBBB" w:sz="1"/>
              <w:right w:val="single" w:color="BBBBBB" w:sz="1"/>
            </w:tcBorders>
            <w:shd w:fill="F4F4F4" w:val="clear"/>
            <w:tcMar>
              <w:top w:type="dxa" w:w="70"/>
              <w:left w:type="dxa" w:w="110"/>
              <w:bottom w:type="dxa" w:w="70"/>
              <w:right w:type="dxa" w:w="110"/>
            </w:tcMar>
          </w:tcPr>
          <w:p>
            <w:pPr>
              <w:jc w:val="left"/>
            </w:pPr>
            <w:r>
              <w:rPr>
                <w:b w:val="false"/>
                <w:bCs w:val="false"/>
                <w:color w:val="222222"/>
                <w:sz w:val="15"/>
                <w:szCs w:val="15"/>
              </w:rPr>
              <w:t xml:space="preserve">S3</w:t>
            </w:r>
          </w:p>
        </w:tc>
        <w:tc>
          <w:tcPr>
            <w:tcW w:type="dxa" w:w="2380"/>
            <w:tcBorders>
              <w:top w:val="single" w:color="BBBBBB" w:sz="1"/>
              <w:left w:val="single" w:color="BBBBBB" w:sz="1"/>
              <w:bottom w:val="single" w:color="BBBBBB" w:sz="1"/>
              <w:right w:val="single" w:color="BBBBBB" w:sz="1"/>
            </w:tcBorders>
            <w:shd w:fill="F4F4F4" w:val="clear"/>
            <w:tcMar>
              <w:top w:type="dxa" w:w="70"/>
              <w:left w:type="dxa" w:w="110"/>
              <w:bottom w:type="dxa" w:w="70"/>
              <w:right w:type="dxa" w:w="110"/>
            </w:tcMar>
          </w:tcPr>
          <w:p>
            <w:pPr>
              <w:jc w:val="left"/>
            </w:pPr>
            <w:r>
              <w:rPr>
                <w:b w:val="false"/>
                <w:bCs w:val="false"/>
                <w:color w:val="222222"/>
                <w:sz w:val="15"/>
                <w:szCs w:val="15"/>
              </w:rPr>
              <w:t xml:space="preserve">9,286.4</w:t>
            </w:r>
          </w:p>
        </w:tc>
      </w:tr>
      <w:tr>
        <w:trPr>
          <w:cantSplit/>
        </w:trPr>
        <w:tc>
          <w:tcPr>
            <w:tcW w:type="dxa" w:w="13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R1</w:t>
            </w:r>
          </w:p>
        </w:tc>
        <w:tc>
          <w:tcPr>
            <w:tcW w:type="dxa" w:w="238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10,350.4</w:t>
            </w:r>
          </w:p>
        </w:tc>
        <w:tc>
          <w:tcPr>
            <w:tcW w:type="dxa" w:w="3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
            </w:r>
          </w:p>
        </w:tc>
        <w:tc>
          <w:tcPr>
            <w:tcW w:type="dxa" w:w="13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S4</w:t>
            </w:r>
          </w:p>
        </w:tc>
        <w:tc>
          <w:tcPr>
            <w:tcW w:type="dxa" w:w="238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8,754.4</w:t>
            </w:r>
          </w:p>
        </w:tc>
      </w:tr>
      <w:tr>
        <w:trPr>
          <w:cantSplit/>
        </w:trPr>
        <w:tc>
          <w:tcPr>
            <w:tcW w:type="dxa" w:w="1300"/>
            <w:tcBorders>
              <w:top w:val="single" w:color="BBBBBB" w:sz="1"/>
              <w:left w:val="single" w:color="BBBBBB" w:sz="1"/>
              <w:bottom w:val="single" w:color="BBBBBB" w:sz="1"/>
              <w:right w:val="single" w:color="BBBBBB" w:sz="1"/>
            </w:tcBorders>
            <w:shd w:fill="F4F4F4" w:val="clear"/>
            <w:tcMar>
              <w:top w:type="dxa" w:w="70"/>
              <w:left w:type="dxa" w:w="110"/>
              <w:bottom w:type="dxa" w:w="70"/>
              <w:right w:type="dxa" w:w="110"/>
            </w:tcMar>
          </w:tcPr>
          <w:p>
            <w:pPr>
              <w:jc w:val="left"/>
            </w:pPr>
            <w:r>
              <w:rPr>
                <w:b w:val="false"/>
                <w:bCs w:val="false"/>
                <w:color w:val="222222"/>
                <w:sz w:val="15"/>
                <w:szCs w:val="15"/>
              </w:rPr>
              <w:t xml:space="preserve">—</w:t>
            </w:r>
          </w:p>
        </w:tc>
        <w:tc>
          <w:tcPr>
            <w:tcW w:type="dxa" w:w="2380"/>
            <w:tcBorders>
              <w:top w:val="single" w:color="BBBBBB" w:sz="1"/>
              <w:left w:val="single" w:color="BBBBBB" w:sz="1"/>
              <w:bottom w:val="single" w:color="BBBBBB" w:sz="1"/>
              <w:right w:val="single" w:color="BBBBBB" w:sz="1"/>
            </w:tcBorders>
            <w:shd w:fill="F4F4F4" w:val="clear"/>
            <w:tcMar>
              <w:top w:type="dxa" w:w="70"/>
              <w:left w:type="dxa" w:w="110"/>
              <w:bottom w:type="dxa" w:w="70"/>
              <w:right w:type="dxa" w:w="110"/>
            </w:tcMar>
          </w:tcPr>
          <w:p>
            <w:pPr>
              <w:jc w:val="left"/>
            </w:pPr>
            <w:r>
              <w:rPr>
                <w:b w:val="false"/>
                <w:bCs w:val="false"/>
                <w:color w:val="222222"/>
                <w:sz w:val="15"/>
                <w:szCs w:val="15"/>
              </w:rPr>
              <w:t xml:space="preserve">—</w:t>
            </w:r>
          </w:p>
        </w:tc>
        <w:tc>
          <w:tcPr>
            <w:tcW w:type="dxa" w:w="300"/>
            <w:tcBorders>
              <w:top w:val="single" w:color="BBBBBB" w:sz="1"/>
              <w:left w:val="single" w:color="BBBBBB" w:sz="1"/>
              <w:bottom w:val="single" w:color="BBBBBB" w:sz="1"/>
              <w:right w:val="single" w:color="BBBBBB" w:sz="1"/>
            </w:tcBorders>
            <w:shd w:fill="F4F4F4" w:val="clear"/>
            <w:tcMar>
              <w:top w:type="dxa" w:w="70"/>
              <w:left w:type="dxa" w:w="110"/>
              <w:bottom w:type="dxa" w:w="70"/>
              <w:right w:type="dxa" w:w="110"/>
            </w:tcMar>
          </w:tcPr>
          <w:p>
            <w:pPr>
              <w:jc w:val="left"/>
            </w:pPr>
            <w:r>
              <w:rPr>
                <w:b w:val="false"/>
                <w:bCs w:val="false"/>
                <w:color w:val="222222"/>
                <w:sz w:val="15"/>
                <w:szCs w:val="15"/>
              </w:rPr>
              <w:t xml:space="preserve"/>
            </w:r>
          </w:p>
        </w:tc>
        <w:tc>
          <w:tcPr>
            <w:tcW w:type="dxa" w:w="1300"/>
            <w:tcBorders>
              <w:top w:val="single" w:color="BBBBBB" w:sz="1"/>
              <w:left w:val="single" w:color="BBBBBB" w:sz="1"/>
              <w:bottom w:val="single" w:color="BBBBBB" w:sz="1"/>
              <w:right w:val="single" w:color="BBBBBB" w:sz="1"/>
            </w:tcBorders>
            <w:shd w:fill="F4F4F4" w:val="clear"/>
            <w:tcMar>
              <w:top w:type="dxa" w:w="70"/>
              <w:left w:type="dxa" w:w="110"/>
              <w:bottom w:type="dxa" w:w="70"/>
              <w:right w:type="dxa" w:w="110"/>
            </w:tcMar>
          </w:tcPr>
          <w:p>
            <w:pPr>
              <w:jc w:val="left"/>
            </w:pPr>
            <w:r>
              <w:rPr>
                <w:b w:val="false"/>
                <w:bCs w:val="false"/>
                <w:color w:val="222222"/>
                <w:sz w:val="15"/>
                <w:szCs w:val="15"/>
              </w:rPr>
              <w:t xml:space="preserve">S5</w:t>
            </w:r>
          </w:p>
        </w:tc>
        <w:tc>
          <w:tcPr>
            <w:tcW w:type="dxa" w:w="2380"/>
            <w:tcBorders>
              <w:top w:val="single" w:color="BBBBBB" w:sz="1"/>
              <w:left w:val="single" w:color="BBBBBB" w:sz="1"/>
              <w:bottom w:val="single" w:color="BBBBBB" w:sz="1"/>
              <w:right w:val="single" w:color="BBBBBB" w:sz="1"/>
            </w:tcBorders>
            <w:shd w:fill="F4F4F4" w:val="clear"/>
            <w:tcMar>
              <w:top w:type="dxa" w:w="70"/>
              <w:left w:type="dxa" w:w="110"/>
              <w:bottom w:type="dxa" w:w="70"/>
              <w:right w:type="dxa" w:w="110"/>
            </w:tcMar>
          </w:tcPr>
          <w:p>
            <w:pPr>
              <w:jc w:val="left"/>
            </w:pPr>
            <w:r>
              <w:rPr>
                <w:b w:val="false"/>
                <w:bCs w:val="false"/>
                <w:color w:val="222222"/>
                <w:sz w:val="15"/>
                <w:szCs w:val="15"/>
              </w:rPr>
              <w:t xml:space="preserve">8,222.4</w:t>
            </w:r>
          </w:p>
        </w:tc>
      </w:tr>
    </w:tbl>
    <w:p>
      <w:pPr>
        <w:pStyle w:val="Heading3"/>
      </w:pPr>
      <w:r>
        <w:t xml:space="preserve">Monthly pivots — from the April session (H 10,620 · L 10,180 · C 10,444)</w:t>
      </w:r>
    </w:p>
    <w:tbl>
      <w:tblPr>
        <w:tblW w:type="dxa" w:w="7660"/>
        <w:tblBorders>
          <w:top w:val="single" w:color="auto" w:sz="4"/>
          <w:left w:val="single" w:color="auto" w:sz="4"/>
          <w:bottom w:val="single" w:color="auto" w:sz="4"/>
          <w:right w:val="single" w:color="auto" w:sz="4"/>
          <w:insideH w:val="single" w:color="auto" w:sz="4"/>
          <w:insideV w:val="single" w:color="auto" w:sz="4"/>
        </w:tblBorders>
      </w:tblPr>
      <w:tblGrid>
        <w:gridCol w:w="1300"/>
        <w:gridCol w:w="2380"/>
        <w:gridCol w:w="300"/>
        <w:gridCol w:w="1300"/>
        <w:gridCol w:w="2380"/>
      </w:tblGrid>
      <w:tr>
        <w:trPr>
          <w:tblHeader/>
        </w:trPr>
        <w:tc>
          <w:tcPr>
            <w:tcW w:type="dxa" w:w="1300"/>
            <w:tcBorders>
              <w:top w:val="single" w:color="BBBBBB" w:sz="1"/>
              <w:left w:val="single" w:color="BBBBBB" w:sz="1"/>
              <w:bottom w:val="single" w:color="BBBBBB" w:sz="1"/>
              <w:right w:val="single" w:color="BBBBBB" w:sz="1"/>
            </w:tcBorders>
            <w:shd w:fill="2E5E9E" w:val="clear"/>
            <w:tcMar>
              <w:top w:type="dxa" w:w="70"/>
              <w:left w:type="dxa" w:w="110"/>
              <w:bottom w:type="dxa" w:w="70"/>
              <w:right w:type="dxa" w:w="110"/>
            </w:tcMar>
          </w:tcPr>
          <w:p>
            <w:pPr>
              <w:jc w:val="left"/>
            </w:pPr>
            <w:r>
              <w:rPr>
                <w:b/>
                <w:bCs/>
                <w:color w:val="FFFFFF"/>
                <w:sz w:val="16"/>
                <w:szCs w:val="16"/>
              </w:rPr>
              <w:t xml:space="preserve">Level</w:t>
            </w:r>
          </w:p>
        </w:tc>
        <w:tc>
          <w:tcPr>
            <w:tcW w:type="dxa" w:w="2380"/>
            <w:tcBorders>
              <w:top w:val="single" w:color="BBBBBB" w:sz="1"/>
              <w:left w:val="single" w:color="BBBBBB" w:sz="1"/>
              <w:bottom w:val="single" w:color="BBBBBB" w:sz="1"/>
              <w:right w:val="single" w:color="BBBBBB" w:sz="1"/>
            </w:tcBorders>
            <w:shd w:fill="2E5E9E" w:val="clear"/>
            <w:tcMar>
              <w:top w:type="dxa" w:w="70"/>
              <w:left w:type="dxa" w:w="110"/>
              <w:bottom w:type="dxa" w:w="70"/>
              <w:right w:type="dxa" w:w="110"/>
            </w:tcMar>
          </w:tcPr>
          <w:p>
            <w:pPr>
              <w:jc w:val="left"/>
            </w:pPr>
            <w:r>
              <w:rPr>
                <w:b/>
                <w:bCs/>
                <w:color w:val="FFFFFF"/>
                <w:sz w:val="16"/>
                <w:szCs w:val="16"/>
              </w:rPr>
              <w:t xml:space="preserve">Price</w:t>
            </w:r>
          </w:p>
        </w:tc>
        <w:tc>
          <w:tcPr>
            <w:tcW w:type="dxa" w:w="300"/>
            <w:tcBorders>
              <w:top w:val="single" w:color="BBBBBB" w:sz="1"/>
              <w:left w:val="single" w:color="BBBBBB" w:sz="1"/>
              <w:bottom w:val="single" w:color="BBBBBB" w:sz="1"/>
              <w:right w:val="single" w:color="BBBBBB" w:sz="1"/>
            </w:tcBorders>
            <w:shd w:fill="2E5E9E" w:val="clear"/>
            <w:tcMar>
              <w:top w:type="dxa" w:w="70"/>
              <w:left w:type="dxa" w:w="110"/>
              <w:bottom w:type="dxa" w:w="70"/>
              <w:right w:type="dxa" w:w="110"/>
            </w:tcMar>
          </w:tcPr>
          <w:p>
            <w:pPr>
              <w:jc w:val="left"/>
            </w:pPr>
            <w:r>
              <w:rPr>
                <w:b/>
                <w:bCs/>
                <w:color w:val="FFFFFF"/>
                <w:sz w:val="16"/>
                <w:szCs w:val="16"/>
              </w:rPr>
              <w:t xml:space="preserve"/>
            </w:r>
          </w:p>
        </w:tc>
        <w:tc>
          <w:tcPr>
            <w:tcW w:type="dxa" w:w="1300"/>
            <w:tcBorders>
              <w:top w:val="single" w:color="BBBBBB" w:sz="1"/>
              <w:left w:val="single" w:color="BBBBBB" w:sz="1"/>
              <w:bottom w:val="single" w:color="BBBBBB" w:sz="1"/>
              <w:right w:val="single" w:color="BBBBBB" w:sz="1"/>
            </w:tcBorders>
            <w:shd w:fill="2E5E9E" w:val="clear"/>
            <w:tcMar>
              <w:top w:type="dxa" w:w="70"/>
              <w:left w:type="dxa" w:w="110"/>
              <w:bottom w:type="dxa" w:w="70"/>
              <w:right w:type="dxa" w:w="110"/>
            </w:tcMar>
          </w:tcPr>
          <w:p>
            <w:pPr>
              <w:jc w:val="left"/>
            </w:pPr>
            <w:r>
              <w:rPr>
                <w:b/>
                <w:bCs/>
                <w:color w:val="FFFFFF"/>
                <w:sz w:val="16"/>
                <w:szCs w:val="16"/>
              </w:rPr>
              <w:t xml:space="preserve">Level</w:t>
            </w:r>
          </w:p>
        </w:tc>
        <w:tc>
          <w:tcPr>
            <w:tcW w:type="dxa" w:w="2380"/>
            <w:tcBorders>
              <w:top w:val="single" w:color="BBBBBB" w:sz="1"/>
              <w:left w:val="single" w:color="BBBBBB" w:sz="1"/>
              <w:bottom w:val="single" w:color="BBBBBB" w:sz="1"/>
              <w:right w:val="single" w:color="BBBBBB" w:sz="1"/>
            </w:tcBorders>
            <w:shd w:fill="2E5E9E" w:val="clear"/>
            <w:tcMar>
              <w:top w:type="dxa" w:w="70"/>
              <w:left w:type="dxa" w:w="110"/>
              <w:bottom w:type="dxa" w:w="70"/>
              <w:right w:type="dxa" w:w="110"/>
            </w:tcMar>
          </w:tcPr>
          <w:p>
            <w:pPr>
              <w:jc w:val="left"/>
            </w:pPr>
            <w:r>
              <w:rPr>
                <w:b/>
                <w:bCs/>
                <w:color w:val="FFFFFF"/>
                <w:sz w:val="16"/>
                <w:szCs w:val="16"/>
              </w:rPr>
              <w:t xml:space="preserve">Price</w:t>
            </w:r>
          </w:p>
        </w:tc>
      </w:tr>
      <w:tr>
        <w:trPr>
          <w:cantSplit/>
        </w:trPr>
        <w:tc>
          <w:tcPr>
            <w:tcW w:type="dxa" w:w="13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R5</w:t>
            </w:r>
          </w:p>
        </w:tc>
        <w:tc>
          <w:tcPr>
            <w:tcW w:type="dxa" w:w="238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11,969.3</w:t>
            </w:r>
          </w:p>
        </w:tc>
        <w:tc>
          <w:tcPr>
            <w:tcW w:type="dxa" w:w="3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
            </w:r>
          </w:p>
        </w:tc>
        <w:tc>
          <w:tcPr>
            <w:tcW w:type="dxa" w:w="13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P</w:t>
            </w:r>
          </w:p>
        </w:tc>
        <w:tc>
          <w:tcPr>
            <w:tcW w:type="dxa" w:w="238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10,414.7</w:t>
            </w:r>
          </w:p>
        </w:tc>
      </w:tr>
      <w:tr>
        <w:trPr>
          <w:cantSplit/>
        </w:trPr>
        <w:tc>
          <w:tcPr>
            <w:tcW w:type="dxa" w:w="1300"/>
            <w:tcBorders>
              <w:top w:val="single" w:color="BBBBBB" w:sz="1"/>
              <w:left w:val="single" w:color="BBBBBB" w:sz="1"/>
              <w:bottom w:val="single" w:color="BBBBBB" w:sz="1"/>
              <w:right w:val="single" w:color="BBBBBB" w:sz="1"/>
            </w:tcBorders>
            <w:shd w:fill="F4F4F4" w:val="clear"/>
            <w:tcMar>
              <w:top w:type="dxa" w:w="70"/>
              <w:left w:type="dxa" w:w="110"/>
              <w:bottom w:type="dxa" w:w="70"/>
              <w:right w:type="dxa" w:w="110"/>
            </w:tcMar>
          </w:tcPr>
          <w:p>
            <w:pPr>
              <w:jc w:val="left"/>
            </w:pPr>
            <w:r>
              <w:rPr>
                <w:b w:val="false"/>
                <w:bCs w:val="false"/>
                <w:color w:val="222222"/>
                <w:sz w:val="15"/>
                <w:szCs w:val="15"/>
              </w:rPr>
              <w:t xml:space="preserve">R4</w:t>
            </w:r>
          </w:p>
        </w:tc>
        <w:tc>
          <w:tcPr>
            <w:tcW w:type="dxa" w:w="2380"/>
            <w:tcBorders>
              <w:top w:val="single" w:color="BBBBBB" w:sz="1"/>
              <w:left w:val="single" w:color="BBBBBB" w:sz="1"/>
              <w:bottom w:val="single" w:color="BBBBBB" w:sz="1"/>
              <w:right w:val="single" w:color="BBBBBB" w:sz="1"/>
            </w:tcBorders>
            <w:shd w:fill="F4F4F4" w:val="clear"/>
            <w:tcMar>
              <w:top w:type="dxa" w:w="70"/>
              <w:left w:type="dxa" w:w="110"/>
              <w:bottom w:type="dxa" w:w="70"/>
              <w:right w:type="dxa" w:w="110"/>
            </w:tcMar>
          </w:tcPr>
          <w:p>
            <w:pPr>
              <w:jc w:val="left"/>
            </w:pPr>
            <w:r>
              <w:rPr>
                <w:b w:val="false"/>
                <w:bCs w:val="false"/>
                <w:color w:val="222222"/>
                <w:sz w:val="15"/>
                <w:szCs w:val="15"/>
              </w:rPr>
              <w:t xml:space="preserve">11,529.3</w:t>
            </w:r>
          </w:p>
        </w:tc>
        <w:tc>
          <w:tcPr>
            <w:tcW w:type="dxa" w:w="300"/>
            <w:tcBorders>
              <w:top w:val="single" w:color="BBBBBB" w:sz="1"/>
              <w:left w:val="single" w:color="BBBBBB" w:sz="1"/>
              <w:bottom w:val="single" w:color="BBBBBB" w:sz="1"/>
              <w:right w:val="single" w:color="BBBBBB" w:sz="1"/>
            </w:tcBorders>
            <w:shd w:fill="F4F4F4" w:val="clear"/>
            <w:tcMar>
              <w:top w:type="dxa" w:w="70"/>
              <w:left w:type="dxa" w:w="110"/>
              <w:bottom w:type="dxa" w:w="70"/>
              <w:right w:type="dxa" w:w="110"/>
            </w:tcMar>
          </w:tcPr>
          <w:p>
            <w:pPr>
              <w:jc w:val="left"/>
            </w:pPr>
            <w:r>
              <w:rPr>
                <w:b w:val="false"/>
                <w:bCs w:val="false"/>
                <w:color w:val="222222"/>
                <w:sz w:val="15"/>
                <w:szCs w:val="15"/>
              </w:rPr>
              <w:t xml:space="preserve"/>
            </w:r>
          </w:p>
        </w:tc>
        <w:tc>
          <w:tcPr>
            <w:tcW w:type="dxa" w:w="1300"/>
            <w:tcBorders>
              <w:top w:val="single" w:color="BBBBBB" w:sz="1"/>
              <w:left w:val="single" w:color="BBBBBB" w:sz="1"/>
              <w:bottom w:val="single" w:color="BBBBBB" w:sz="1"/>
              <w:right w:val="single" w:color="BBBBBB" w:sz="1"/>
            </w:tcBorders>
            <w:shd w:fill="F4F4F4" w:val="clear"/>
            <w:tcMar>
              <w:top w:type="dxa" w:w="70"/>
              <w:left w:type="dxa" w:w="110"/>
              <w:bottom w:type="dxa" w:w="70"/>
              <w:right w:type="dxa" w:w="110"/>
            </w:tcMar>
          </w:tcPr>
          <w:p>
            <w:pPr>
              <w:jc w:val="left"/>
            </w:pPr>
            <w:r>
              <w:rPr>
                <w:b w:val="false"/>
                <w:bCs w:val="false"/>
                <w:color w:val="222222"/>
                <w:sz w:val="15"/>
                <w:szCs w:val="15"/>
              </w:rPr>
              <w:t xml:space="preserve">S1</w:t>
            </w:r>
          </w:p>
        </w:tc>
        <w:tc>
          <w:tcPr>
            <w:tcW w:type="dxa" w:w="2380"/>
            <w:tcBorders>
              <w:top w:val="single" w:color="BBBBBB" w:sz="1"/>
              <w:left w:val="single" w:color="BBBBBB" w:sz="1"/>
              <w:bottom w:val="single" w:color="BBBBBB" w:sz="1"/>
              <w:right w:val="single" w:color="BBBBBB" w:sz="1"/>
            </w:tcBorders>
            <w:shd w:fill="F4F4F4" w:val="clear"/>
            <w:tcMar>
              <w:top w:type="dxa" w:w="70"/>
              <w:left w:type="dxa" w:w="110"/>
              <w:bottom w:type="dxa" w:w="70"/>
              <w:right w:type="dxa" w:w="110"/>
            </w:tcMar>
          </w:tcPr>
          <w:p>
            <w:pPr>
              <w:jc w:val="left"/>
            </w:pPr>
            <w:r>
              <w:rPr>
                <w:b w:val="false"/>
                <w:bCs w:val="false"/>
                <w:color w:val="222222"/>
                <w:sz w:val="15"/>
                <w:szCs w:val="15"/>
              </w:rPr>
              <w:t xml:space="preserve">10,209.3</w:t>
            </w:r>
          </w:p>
        </w:tc>
      </w:tr>
      <w:tr>
        <w:trPr>
          <w:cantSplit/>
        </w:trPr>
        <w:tc>
          <w:tcPr>
            <w:tcW w:type="dxa" w:w="13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R3</w:t>
            </w:r>
          </w:p>
        </w:tc>
        <w:tc>
          <w:tcPr>
            <w:tcW w:type="dxa" w:w="238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11,089.3</w:t>
            </w:r>
          </w:p>
        </w:tc>
        <w:tc>
          <w:tcPr>
            <w:tcW w:type="dxa" w:w="3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
            </w:r>
          </w:p>
        </w:tc>
        <w:tc>
          <w:tcPr>
            <w:tcW w:type="dxa" w:w="13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S2</w:t>
            </w:r>
          </w:p>
        </w:tc>
        <w:tc>
          <w:tcPr>
            <w:tcW w:type="dxa" w:w="238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9,974.7</w:t>
            </w:r>
          </w:p>
        </w:tc>
      </w:tr>
      <w:tr>
        <w:trPr>
          <w:cantSplit/>
        </w:trPr>
        <w:tc>
          <w:tcPr>
            <w:tcW w:type="dxa" w:w="1300"/>
            <w:tcBorders>
              <w:top w:val="single" w:color="BBBBBB" w:sz="1"/>
              <w:left w:val="single" w:color="BBBBBB" w:sz="1"/>
              <w:bottom w:val="single" w:color="BBBBBB" w:sz="1"/>
              <w:right w:val="single" w:color="BBBBBB" w:sz="1"/>
            </w:tcBorders>
            <w:shd w:fill="F4F4F4" w:val="clear"/>
            <w:tcMar>
              <w:top w:type="dxa" w:w="70"/>
              <w:left w:type="dxa" w:w="110"/>
              <w:bottom w:type="dxa" w:w="70"/>
              <w:right w:type="dxa" w:w="110"/>
            </w:tcMar>
          </w:tcPr>
          <w:p>
            <w:pPr>
              <w:jc w:val="left"/>
            </w:pPr>
            <w:r>
              <w:rPr>
                <w:b w:val="false"/>
                <w:bCs w:val="false"/>
                <w:color w:val="222222"/>
                <w:sz w:val="15"/>
                <w:szCs w:val="15"/>
              </w:rPr>
              <w:t xml:space="preserve">R2</w:t>
            </w:r>
          </w:p>
        </w:tc>
        <w:tc>
          <w:tcPr>
            <w:tcW w:type="dxa" w:w="2380"/>
            <w:tcBorders>
              <w:top w:val="single" w:color="BBBBBB" w:sz="1"/>
              <w:left w:val="single" w:color="BBBBBB" w:sz="1"/>
              <w:bottom w:val="single" w:color="BBBBBB" w:sz="1"/>
              <w:right w:val="single" w:color="BBBBBB" w:sz="1"/>
            </w:tcBorders>
            <w:shd w:fill="F4F4F4" w:val="clear"/>
            <w:tcMar>
              <w:top w:type="dxa" w:w="70"/>
              <w:left w:type="dxa" w:w="110"/>
              <w:bottom w:type="dxa" w:w="70"/>
              <w:right w:type="dxa" w:w="110"/>
            </w:tcMar>
          </w:tcPr>
          <w:p>
            <w:pPr>
              <w:jc w:val="left"/>
            </w:pPr>
            <w:r>
              <w:rPr>
                <w:b w:val="false"/>
                <w:bCs w:val="false"/>
                <w:color w:val="222222"/>
                <w:sz w:val="15"/>
                <w:szCs w:val="15"/>
              </w:rPr>
              <w:t xml:space="preserve">10,854.7</w:t>
            </w:r>
          </w:p>
        </w:tc>
        <w:tc>
          <w:tcPr>
            <w:tcW w:type="dxa" w:w="300"/>
            <w:tcBorders>
              <w:top w:val="single" w:color="BBBBBB" w:sz="1"/>
              <w:left w:val="single" w:color="BBBBBB" w:sz="1"/>
              <w:bottom w:val="single" w:color="BBBBBB" w:sz="1"/>
              <w:right w:val="single" w:color="BBBBBB" w:sz="1"/>
            </w:tcBorders>
            <w:shd w:fill="F4F4F4" w:val="clear"/>
            <w:tcMar>
              <w:top w:type="dxa" w:w="70"/>
              <w:left w:type="dxa" w:w="110"/>
              <w:bottom w:type="dxa" w:w="70"/>
              <w:right w:type="dxa" w:w="110"/>
            </w:tcMar>
          </w:tcPr>
          <w:p>
            <w:pPr>
              <w:jc w:val="left"/>
            </w:pPr>
            <w:r>
              <w:rPr>
                <w:b w:val="false"/>
                <w:bCs w:val="false"/>
                <w:color w:val="222222"/>
                <w:sz w:val="15"/>
                <w:szCs w:val="15"/>
              </w:rPr>
              <w:t xml:space="preserve"/>
            </w:r>
          </w:p>
        </w:tc>
        <w:tc>
          <w:tcPr>
            <w:tcW w:type="dxa" w:w="1300"/>
            <w:tcBorders>
              <w:top w:val="single" w:color="BBBBBB" w:sz="1"/>
              <w:left w:val="single" w:color="BBBBBB" w:sz="1"/>
              <w:bottom w:val="single" w:color="BBBBBB" w:sz="1"/>
              <w:right w:val="single" w:color="BBBBBB" w:sz="1"/>
            </w:tcBorders>
            <w:shd w:fill="F4F4F4" w:val="clear"/>
            <w:tcMar>
              <w:top w:type="dxa" w:w="70"/>
              <w:left w:type="dxa" w:w="110"/>
              <w:bottom w:type="dxa" w:w="70"/>
              <w:right w:type="dxa" w:w="110"/>
            </w:tcMar>
          </w:tcPr>
          <w:p>
            <w:pPr>
              <w:jc w:val="left"/>
            </w:pPr>
            <w:r>
              <w:rPr>
                <w:b w:val="false"/>
                <w:bCs w:val="false"/>
                <w:color w:val="222222"/>
                <w:sz w:val="15"/>
                <w:szCs w:val="15"/>
              </w:rPr>
              <w:t xml:space="preserve">S3</w:t>
            </w:r>
          </w:p>
        </w:tc>
        <w:tc>
          <w:tcPr>
            <w:tcW w:type="dxa" w:w="2380"/>
            <w:tcBorders>
              <w:top w:val="single" w:color="BBBBBB" w:sz="1"/>
              <w:left w:val="single" w:color="BBBBBB" w:sz="1"/>
              <w:bottom w:val="single" w:color="BBBBBB" w:sz="1"/>
              <w:right w:val="single" w:color="BBBBBB" w:sz="1"/>
            </w:tcBorders>
            <w:shd w:fill="F4F4F4" w:val="clear"/>
            <w:tcMar>
              <w:top w:type="dxa" w:w="70"/>
              <w:left w:type="dxa" w:w="110"/>
              <w:bottom w:type="dxa" w:w="70"/>
              <w:right w:type="dxa" w:w="110"/>
            </w:tcMar>
          </w:tcPr>
          <w:p>
            <w:pPr>
              <w:jc w:val="left"/>
            </w:pPr>
            <w:r>
              <w:rPr>
                <w:b w:val="false"/>
                <w:bCs w:val="false"/>
                <w:color w:val="222222"/>
                <w:sz w:val="15"/>
                <w:szCs w:val="15"/>
              </w:rPr>
              <w:t xml:space="preserve">9,769.3</w:t>
            </w:r>
          </w:p>
        </w:tc>
      </w:tr>
      <w:tr>
        <w:trPr>
          <w:cantSplit/>
        </w:trPr>
        <w:tc>
          <w:tcPr>
            <w:tcW w:type="dxa" w:w="13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R1</w:t>
            </w:r>
          </w:p>
        </w:tc>
        <w:tc>
          <w:tcPr>
            <w:tcW w:type="dxa" w:w="238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10,649.3</w:t>
            </w:r>
          </w:p>
        </w:tc>
        <w:tc>
          <w:tcPr>
            <w:tcW w:type="dxa" w:w="3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
            </w:r>
          </w:p>
        </w:tc>
        <w:tc>
          <w:tcPr>
            <w:tcW w:type="dxa" w:w="13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S4</w:t>
            </w:r>
          </w:p>
        </w:tc>
        <w:tc>
          <w:tcPr>
            <w:tcW w:type="dxa" w:w="238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9,329.3</w:t>
            </w:r>
          </w:p>
        </w:tc>
      </w:tr>
      <w:tr>
        <w:trPr>
          <w:cantSplit/>
        </w:trPr>
        <w:tc>
          <w:tcPr>
            <w:tcW w:type="dxa" w:w="1300"/>
            <w:tcBorders>
              <w:top w:val="single" w:color="BBBBBB" w:sz="1"/>
              <w:left w:val="single" w:color="BBBBBB" w:sz="1"/>
              <w:bottom w:val="single" w:color="BBBBBB" w:sz="1"/>
              <w:right w:val="single" w:color="BBBBBB" w:sz="1"/>
            </w:tcBorders>
            <w:shd w:fill="F4F4F4" w:val="clear"/>
            <w:tcMar>
              <w:top w:type="dxa" w:w="70"/>
              <w:left w:type="dxa" w:w="110"/>
              <w:bottom w:type="dxa" w:w="70"/>
              <w:right w:type="dxa" w:w="110"/>
            </w:tcMar>
          </w:tcPr>
          <w:p>
            <w:pPr>
              <w:jc w:val="left"/>
            </w:pPr>
            <w:r>
              <w:rPr>
                <w:b w:val="false"/>
                <w:bCs w:val="false"/>
                <w:color w:val="222222"/>
                <w:sz w:val="15"/>
                <w:szCs w:val="15"/>
              </w:rPr>
              <w:t xml:space="preserve">—</w:t>
            </w:r>
          </w:p>
        </w:tc>
        <w:tc>
          <w:tcPr>
            <w:tcW w:type="dxa" w:w="2380"/>
            <w:tcBorders>
              <w:top w:val="single" w:color="BBBBBB" w:sz="1"/>
              <w:left w:val="single" w:color="BBBBBB" w:sz="1"/>
              <w:bottom w:val="single" w:color="BBBBBB" w:sz="1"/>
              <w:right w:val="single" w:color="BBBBBB" w:sz="1"/>
            </w:tcBorders>
            <w:shd w:fill="F4F4F4" w:val="clear"/>
            <w:tcMar>
              <w:top w:type="dxa" w:w="70"/>
              <w:left w:type="dxa" w:w="110"/>
              <w:bottom w:type="dxa" w:w="70"/>
              <w:right w:type="dxa" w:w="110"/>
            </w:tcMar>
          </w:tcPr>
          <w:p>
            <w:pPr>
              <w:jc w:val="left"/>
            </w:pPr>
            <w:r>
              <w:rPr>
                <w:b w:val="false"/>
                <w:bCs w:val="false"/>
                <w:color w:val="222222"/>
                <w:sz w:val="15"/>
                <w:szCs w:val="15"/>
              </w:rPr>
              <w:t xml:space="preserve">—</w:t>
            </w:r>
          </w:p>
        </w:tc>
        <w:tc>
          <w:tcPr>
            <w:tcW w:type="dxa" w:w="300"/>
            <w:tcBorders>
              <w:top w:val="single" w:color="BBBBBB" w:sz="1"/>
              <w:left w:val="single" w:color="BBBBBB" w:sz="1"/>
              <w:bottom w:val="single" w:color="BBBBBB" w:sz="1"/>
              <w:right w:val="single" w:color="BBBBBB" w:sz="1"/>
            </w:tcBorders>
            <w:shd w:fill="F4F4F4" w:val="clear"/>
            <w:tcMar>
              <w:top w:type="dxa" w:w="70"/>
              <w:left w:type="dxa" w:w="110"/>
              <w:bottom w:type="dxa" w:w="70"/>
              <w:right w:type="dxa" w:w="110"/>
            </w:tcMar>
          </w:tcPr>
          <w:p>
            <w:pPr>
              <w:jc w:val="left"/>
            </w:pPr>
            <w:r>
              <w:rPr>
                <w:b w:val="false"/>
                <w:bCs w:val="false"/>
                <w:color w:val="222222"/>
                <w:sz w:val="15"/>
                <w:szCs w:val="15"/>
              </w:rPr>
              <w:t xml:space="preserve"/>
            </w:r>
          </w:p>
        </w:tc>
        <w:tc>
          <w:tcPr>
            <w:tcW w:type="dxa" w:w="1300"/>
            <w:tcBorders>
              <w:top w:val="single" w:color="BBBBBB" w:sz="1"/>
              <w:left w:val="single" w:color="BBBBBB" w:sz="1"/>
              <w:bottom w:val="single" w:color="BBBBBB" w:sz="1"/>
              <w:right w:val="single" w:color="BBBBBB" w:sz="1"/>
            </w:tcBorders>
            <w:shd w:fill="F4F4F4" w:val="clear"/>
            <w:tcMar>
              <w:top w:type="dxa" w:w="70"/>
              <w:left w:type="dxa" w:w="110"/>
              <w:bottom w:type="dxa" w:w="70"/>
              <w:right w:type="dxa" w:w="110"/>
            </w:tcMar>
          </w:tcPr>
          <w:p>
            <w:pPr>
              <w:jc w:val="left"/>
            </w:pPr>
            <w:r>
              <w:rPr>
                <w:b w:val="false"/>
                <w:bCs w:val="false"/>
                <w:color w:val="222222"/>
                <w:sz w:val="15"/>
                <w:szCs w:val="15"/>
              </w:rPr>
              <w:t xml:space="preserve">S5</w:t>
            </w:r>
          </w:p>
        </w:tc>
        <w:tc>
          <w:tcPr>
            <w:tcW w:type="dxa" w:w="2380"/>
            <w:tcBorders>
              <w:top w:val="single" w:color="BBBBBB" w:sz="1"/>
              <w:left w:val="single" w:color="BBBBBB" w:sz="1"/>
              <w:bottom w:val="single" w:color="BBBBBB" w:sz="1"/>
              <w:right w:val="single" w:color="BBBBBB" w:sz="1"/>
            </w:tcBorders>
            <w:shd w:fill="F4F4F4" w:val="clear"/>
            <w:tcMar>
              <w:top w:type="dxa" w:w="70"/>
              <w:left w:type="dxa" w:w="110"/>
              <w:bottom w:type="dxa" w:w="70"/>
              <w:right w:type="dxa" w:w="110"/>
            </w:tcMar>
          </w:tcPr>
          <w:p>
            <w:pPr>
              <w:jc w:val="left"/>
            </w:pPr>
            <w:r>
              <w:rPr>
                <w:b w:val="false"/>
                <w:bCs w:val="false"/>
                <w:color w:val="222222"/>
                <w:sz w:val="15"/>
                <w:szCs w:val="15"/>
              </w:rPr>
              <w:t xml:space="preserve">8,889.3</w:t>
            </w:r>
          </w:p>
        </w:tc>
      </w:tr>
    </w:tbl>
    <w:p>
      <w:pPr>
        <w:spacing w:after="60"/>
      </w:pPr>
      <w:r>
        <w:t xml:space="preserve"/>
      </w:r>
    </w:p>
    <w:p>
      <w:pPr>
        <w:spacing w:after="120" w:line="276"/>
        <w:jc w:val="both"/>
      </w:pPr>
      <w:r>
        <w:rPr>
          <w:b/>
          <w:bCs/>
        </w:rPr>
        <w:t xml:space="preserve">Position narrative. </w:t>
      </w:r>
      <w:r>
        <w:t xml:space="preserve">The 21 May close of 10,443.47 sits above the daily pivot (10,279.6) and above daily R1 (10,417.2), pressing toward daily R2 (10,503.6). It is above the weekly pivot (10,164.2) and through weekly R1 (10,350.4), with weekly R2 (10,696.2) the next overhead. It is above the monthly pivot (10,414.7) but below monthly R1 (10,649.3). </w:t>
      </w:r>
      <w:r>
        <w:rPr>
          <w:b/>
          <w:bCs/>
        </w:rPr>
        <w:t xml:space="preserve">Confluence zone: </w:t>
      </w:r>
      <w:r>
        <w:t xml:space="preserve">the monthly pivot at 10,414.7 and daily R1 at 10,417.2 are within 0.03% of each other — a tight pivot confluence the index has just cleared, turning that 10,415 area into the first structural support shelf below spot.</w:t>
      </w:r>
    </w:p>
    <w:p>
      <w:r>
        <w:br w:type="page"/>
      </w:r>
    </w:p>
    <w:p>
      <w:pPr>
        <w:pStyle w:val="Heading1"/>
      </w:pPr>
      <w:r>
        <w:t xml:space="preserve">12.  Key Market Considerations</w:t>
      </w:r>
    </w:p>
    <w:p>
      <w:pPr>
        <w:pBdr>
          <w:bottom w:val="single" w:color="2E5E9E" w:sz="6" w:space="1"/>
        </w:pBdr>
        <w:spacing w:after="120"/>
      </w:pPr>
    </w:p>
    <w:p>
      <w:pPr>
        <w:spacing w:after="120" w:line="276"/>
        <w:jc w:val="both"/>
      </w:pPr>
      <w:r>
        <w:t xml:space="preserve">Structured fundamentals. Each factor carries a direction label and is tagged structural (6+ months) or cyclical (event-driven, reversible within the 5-day horizon).</w:t>
      </w:r>
    </w:p>
    <w:p>
      <w:pPr>
        <w:pStyle w:val="Heading3"/>
      </w:pPr>
      <w:r>
        <w:t xml:space="preserve">Energy &amp; commodity exposure — price-supportive (structural)</w:t>
      </w:r>
    </w:p>
    <w:p>
      <w:pPr>
        <w:spacing w:after="120" w:line="276"/>
        <w:jc w:val="both"/>
      </w:pPr>
      <w:r>
        <w:t xml:space="preserve">Shell and BP are among the largest FTSE 100 constituents. With Brent crude holding near four-year highs above $104, energy majors are generating strong cash flows and funding buybacks and dividends, cushioning the index even on risk-off days. This is a structural support specific to the FTSE's sector composition and a key reason it has outperformed Continental peers at times in 2026.</w:t>
      </w:r>
    </w:p>
    <w:p>
      <w:pPr>
        <w:pStyle w:val="Heading3"/>
      </w:pPr>
      <w:r>
        <w:t xml:space="preserve">Geopolitics — US–Iran negotiations — cyclical, two-sided</w:t>
      </w:r>
    </w:p>
    <w:p>
      <w:pPr>
        <w:spacing w:after="120" w:line="276"/>
        <w:jc w:val="both"/>
      </w:pPr>
      <w:r>
        <w:t xml:space="preserve">The US–Iran track is the dominant cyclical catalyst. De-escalation headlines drove the 19–21 May relief rally; a breakdown that pushes Brent toward $110+ would lift energy names but hit transport, consumer and rate-sensitive sectors and revive inflation fears. The factor is genuinely two-sided and is the principal source of the Medium (not High) confidence rating.</w:t>
      </w:r>
    </w:p>
    <w:p>
      <w:pPr>
        <w:pStyle w:val="Heading3"/>
      </w:pPr>
      <w:r>
        <w:t xml:space="preserve">UK monetary policy &amp; inflation — price-negative to neutral (cyclical)</w:t>
      </w:r>
    </w:p>
    <w:p>
      <w:pPr>
        <w:spacing w:after="120" w:line="276"/>
        <w:jc w:val="both"/>
      </w:pPr>
      <w:r>
        <w:t xml:space="preserve">UK CPI has run around 3.3% and risks pushing higher on energy pass-through. The Bank of England has held its policy rate, and markets have pared 2026 rate-cut expectations toward roughly two hikes priced by year-end. Higher-for-longer rates pressure valuations and domestically-focused names; a softer-than-expected recent CPI print was, however, part of the trigger for the rebound. Net: a mild headwind that briefly turned supportive.</w:t>
      </w:r>
    </w:p>
    <w:p>
      <w:pPr>
        <w:pStyle w:val="Heading3"/>
      </w:pPr>
      <w:r>
        <w:t xml:space="preserve">Sterling &amp; gilts — mixed (structural / cyclical)</w:t>
      </w:r>
    </w:p>
    <w:p>
      <w:pPr>
        <w:spacing w:after="120" w:line="276"/>
        <w:jc w:val="both"/>
      </w:pPr>
      <w:r>
        <w:t xml:space="preserve">Sterling weakness and UK gilt-yield volatility — with the 10-year reportedly pressing toward 5% — reflect fiscal and political uncertainty around the Starmer government. For the FTSE 100 specifically this is double-edged: gilt stress and political noise weigh on sentiment and domestic stocks, but a weaker pound mechanically lifts the index's overseas-earnings translation.</w:t>
      </w:r>
    </w:p>
    <w:p>
      <w:pPr>
        <w:pStyle w:val="Heading3"/>
      </w:pPr>
      <w:r>
        <w:t xml:space="preserve">Substitution / cross-market — neutral</w:t>
      </w:r>
    </w:p>
    <w:p>
      <w:pPr>
        <w:spacing w:after="120" w:line="276"/>
        <w:jc w:val="both"/>
      </w:pPr>
      <w:r>
        <w:t xml:space="preserve">Versus the DAX 40, CAC 40 and S&amp;P 500, the FTSE trades at a persistent valuation discount with a higher dividend yield — a structural pull factor for value-oriented allocation, but not an acute near-term driver.</w:t>
      </w:r>
    </w:p>
    <w:p>
      <w:pPr>
        <w:pStyle w:val="Heading3"/>
      </w:pPr>
      <w:r>
        <w:t xml:space="preserve">Near-term catalysts (cyclical) — see §13d</w:t>
      </w:r>
    </w:p>
    <w:p>
      <w:pPr>
        <w:pStyle w:val="ListParagraph"/>
        <w:numPr>
          <w:ilvl w:val="0"/>
          <w:numId w:val="2"/>
        </w:numPr>
        <w:spacing w:after="60" w:line="264"/>
      </w:pPr>
      <w:r>
        <w:t xml:space="preserve">Bank of England commentary / policy signals — the single highest-impact watch item for the week ahead.</w:t>
      </w:r>
    </w:p>
    <w:p>
      <w:pPr>
        <w:pStyle w:val="ListParagraph"/>
        <w:numPr>
          <w:ilvl w:val="0"/>
          <w:numId w:val="2"/>
        </w:numPr>
        <w:spacing w:after="60" w:line="264"/>
      </w:pPr>
      <w:r>
        <w:t xml:space="preserve">US–Iran negotiation headlines and any Strait of Hormuz development — direct read-through to Brent and energy weighting.</w:t>
      </w:r>
    </w:p>
    <w:p>
      <w:pPr>
        <w:pStyle w:val="ListParagraph"/>
        <w:numPr>
          <w:ilvl w:val="0"/>
          <w:numId w:val="2"/>
        </w:numPr>
        <w:spacing w:after="60" w:line="264"/>
      </w:pPr>
      <w:r>
        <w:t xml:space="preserve">UK and Eurozone data flow (inflation follow-through, activity surveys) shaping the rate path.</w:t>
      </w:r>
    </w:p>
    <w:p>
      <w:r>
        <w:br w:type="page"/>
      </w:r>
    </w:p>
    <w:p>
      <w:pPr>
        <w:pStyle w:val="Heading1"/>
      </w:pPr>
      <w:r>
        <w:t xml:space="preserve">13.  Sentiment, News &amp; Calendar</w:t>
      </w:r>
    </w:p>
    <w:p>
      <w:pPr>
        <w:pBdr>
          <w:bottom w:val="single" w:color="2E5E9E" w:sz="6" w:space="1"/>
        </w:pBdr>
        <w:spacing w:after="120"/>
      </w:pPr>
    </w:p>
    <w:p>
      <w:pPr>
        <w:pStyle w:val="Heading3"/>
      </w:pPr>
      <w:r>
        <w:t xml:space="preserve">13a.  Per-Article Sentiment Table</w:t>
      </w:r>
    </w:p>
    <w:p>
      <w:pPr>
        <w:spacing w:after="120" w:line="276"/>
        <w:jc w:val="both"/>
      </w:pPr>
      <w:r>
        <w:t xml:space="preserve">Eight articles for the FTSE 100 primary asset, all within the lookback window. Classification is derived from article language, each with a derivation quote of 15 words or fewer.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000"/>
        <w:gridCol w:w="2560"/>
        <w:gridCol w:w="1100"/>
        <w:gridCol w:w="3200"/>
      </w:tblGrid>
      <w:tr>
        <w:trPr>
          <w:tblHeader/>
        </w:trPr>
        <w:tc>
          <w:tcPr>
            <w:tcW w:type="dxa" w:w="1500"/>
            <w:tcBorders>
              <w:top w:val="single" w:color="BBBBBB" w:sz="1"/>
              <w:left w:val="single" w:color="BBBBBB" w:sz="1"/>
              <w:bottom w:val="single" w:color="BBBBBB" w:sz="1"/>
              <w:right w:val="single" w:color="BBBBBB" w:sz="1"/>
            </w:tcBorders>
            <w:shd w:fill="1F3864" w:val="clear"/>
            <w:tcMar>
              <w:top w:type="dxa" w:w="70"/>
              <w:left w:type="dxa" w:w="110"/>
              <w:bottom w:type="dxa" w:w="70"/>
              <w:right w:type="dxa" w:w="110"/>
            </w:tcMar>
          </w:tcPr>
          <w:p>
            <w:pPr>
              <w:jc w:val="left"/>
            </w:pPr>
            <w:r>
              <w:rPr>
                <w:b/>
                <w:bCs/>
                <w:color w:val="FFFFFF"/>
                <w:sz w:val="16"/>
                <w:szCs w:val="16"/>
              </w:rPr>
              <w:t xml:space="preserve">Source / Date</w:t>
            </w:r>
          </w:p>
        </w:tc>
        <w:tc>
          <w:tcPr>
            <w:tcW w:type="dxa" w:w="1000"/>
            <w:tcBorders>
              <w:top w:val="single" w:color="BBBBBB" w:sz="1"/>
              <w:left w:val="single" w:color="BBBBBB" w:sz="1"/>
              <w:bottom w:val="single" w:color="BBBBBB" w:sz="1"/>
              <w:right w:val="single" w:color="BBBBBB" w:sz="1"/>
            </w:tcBorders>
            <w:shd w:fill="1F3864" w:val="clear"/>
            <w:tcMar>
              <w:top w:type="dxa" w:w="70"/>
              <w:left w:type="dxa" w:w="110"/>
              <w:bottom w:type="dxa" w:w="70"/>
              <w:right w:type="dxa" w:w="110"/>
            </w:tcMar>
          </w:tcPr>
          <w:p>
            <w:pPr>
              <w:jc w:val="left"/>
            </w:pPr>
            <w:r>
              <w:rPr>
                <w:b/>
                <w:bCs/>
                <w:color w:val="FFFFFF"/>
                <w:sz w:val="16"/>
                <w:szCs w:val="16"/>
              </w:rPr>
              <w:t xml:space="preserve">Class.</w:t>
            </w:r>
          </w:p>
        </w:tc>
        <w:tc>
          <w:tcPr>
            <w:tcW w:type="dxa" w:w="2560"/>
            <w:tcBorders>
              <w:top w:val="single" w:color="BBBBBB" w:sz="1"/>
              <w:left w:val="single" w:color="BBBBBB" w:sz="1"/>
              <w:bottom w:val="single" w:color="BBBBBB" w:sz="1"/>
              <w:right w:val="single" w:color="BBBBBB" w:sz="1"/>
            </w:tcBorders>
            <w:shd w:fill="1F3864" w:val="clear"/>
            <w:tcMar>
              <w:top w:type="dxa" w:w="70"/>
              <w:left w:type="dxa" w:w="110"/>
              <w:bottom w:type="dxa" w:w="70"/>
              <w:right w:type="dxa" w:w="110"/>
            </w:tcMar>
          </w:tcPr>
          <w:p>
            <w:pPr>
              <w:jc w:val="left"/>
            </w:pPr>
            <w:r>
              <w:rPr>
                <w:b/>
                <w:bCs/>
                <w:color w:val="FFFFFF"/>
                <w:sz w:val="16"/>
                <w:szCs w:val="16"/>
              </w:rPr>
              <w:t xml:space="preserve">Headline (abridged)</w:t>
            </w:r>
          </w:p>
        </w:tc>
        <w:tc>
          <w:tcPr>
            <w:tcW w:type="dxa" w:w="1100"/>
            <w:tcBorders>
              <w:top w:val="single" w:color="BBBBBB" w:sz="1"/>
              <w:left w:val="single" w:color="BBBBBB" w:sz="1"/>
              <w:bottom w:val="single" w:color="BBBBBB" w:sz="1"/>
              <w:right w:val="single" w:color="BBBBBB" w:sz="1"/>
            </w:tcBorders>
            <w:shd w:fill="1F3864" w:val="clear"/>
            <w:tcMar>
              <w:top w:type="dxa" w:w="70"/>
              <w:left w:type="dxa" w:w="110"/>
              <w:bottom w:type="dxa" w:w="70"/>
              <w:right w:type="dxa" w:w="110"/>
            </w:tcMar>
          </w:tcPr>
          <w:p>
            <w:pPr>
              <w:jc w:val="left"/>
            </w:pPr>
            <w:r>
              <w:rPr>
                <w:b/>
                <w:bCs/>
                <w:color w:val="FFFFFF"/>
                <w:sz w:val="16"/>
                <w:szCs w:val="16"/>
              </w:rPr>
              <w:t xml:space="preserve">Sentiment</w:t>
            </w:r>
          </w:p>
        </w:tc>
        <w:tc>
          <w:tcPr>
            <w:tcW w:type="dxa" w:w="3200"/>
            <w:tcBorders>
              <w:top w:val="single" w:color="BBBBBB" w:sz="1"/>
              <w:left w:val="single" w:color="BBBBBB" w:sz="1"/>
              <w:bottom w:val="single" w:color="BBBBBB" w:sz="1"/>
              <w:right w:val="single" w:color="BBBBBB" w:sz="1"/>
            </w:tcBorders>
            <w:shd w:fill="1F3864" w:val="clear"/>
            <w:tcMar>
              <w:top w:type="dxa" w:w="70"/>
              <w:left w:type="dxa" w:w="110"/>
              <w:bottom w:type="dxa" w:w="70"/>
              <w:right w:type="dxa" w:w="110"/>
            </w:tcMar>
          </w:tcPr>
          <w:p>
            <w:pPr>
              <w:jc w:val="left"/>
            </w:pPr>
            <w:r>
              <w:rPr>
                <w:b/>
                <w:bCs/>
                <w:color w:val="FFFFFF"/>
                <w:sz w:val="16"/>
                <w:szCs w:val="16"/>
              </w:rPr>
              <w:t xml:space="preserve">Derivation quote</w:t>
            </w:r>
          </w:p>
        </w:tc>
      </w:tr>
      <w:tr>
        <w:trPr>
          <w:cantSplit/>
        </w:trPr>
        <w:tc>
          <w:tcPr>
            <w:tcW w:type="dxa" w:w="15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BBN Times · 21 May</w:t>
            </w:r>
          </w:p>
        </w:tc>
        <w:tc>
          <w:tcPr>
            <w:tcW w:type="dxa" w:w="10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Media</w:t>
            </w:r>
          </w:p>
        </w:tc>
        <w:tc>
          <w:tcPr>
            <w:tcW w:type="dxa" w:w="25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FTSE 100 holds near 10,443 as market navigates PMI weakness</w:t>
            </w:r>
          </w:p>
        </w:tc>
        <w:tc>
          <w:tcPr>
            <w:tcW w:type="dxa" w:w="11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bCs/>
                <w:color w:val="222222"/>
                <w:sz w:val="15"/>
                <w:szCs w:val="15"/>
              </w:rPr>
              <w:t xml:space="preserve">Neutral</w:t>
            </w:r>
          </w:p>
        </w:tc>
        <w:tc>
          <w:tcPr>
            <w:tcW w:type="dxa" w:w="32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“modest advance of around 0.11%” — descriptive, no directional call</w:t>
            </w:r>
          </w:p>
        </w:tc>
      </w:tr>
      <w:tr>
        <w:trPr>
          <w:cantSplit/>
        </w:trPr>
        <w:tc>
          <w:tcPr>
            <w:tcW w:type="dxa" w:w="1500"/>
            <w:tcBorders>
              <w:top w:val="single" w:color="BBBBBB" w:sz="1"/>
              <w:left w:val="single" w:color="BBBBBB" w:sz="1"/>
              <w:bottom w:val="single" w:color="BBBBBB" w:sz="1"/>
              <w:right w:val="single" w:color="BBBBBB" w:sz="1"/>
            </w:tcBorders>
            <w:shd w:fill="F4F4F4" w:val="clear"/>
            <w:tcMar>
              <w:top w:type="dxa" w:w="70"/>
              <w:left w:type="dxa" w:w="110"/>
              <w:bottom w:type="dxa" w:w="70"/>
              <w:right w:type="dxa" w:w="110"/>
            </w:tcMar>
          </w:tcPr>
          <w:p>
            <w:pPr>
              <w:jc w:val="left"/>
            </w:pPr>
            <w:r>
              <w:rPr>
                <w:b w:val="false"/>
                <w:bCs w:val="false"/>
                <w:color w:val="222222"/>
                <w:sz w:val="15"/>
                <w:szCs w:val="15"/>
              </w:rPr>
              <w:t xml:space="preserve">Analytics Insight · 21 May</w:t>
            </w:r>
          </w:p>
        </w:tc>
        <w:tc>
          <w:tcPr>
            <w:tcW w:type="dxa" w:w="1000"/>
            <w:tcBorders>
              <w:top w:val="single" w:color="BBBBBB" w:sz="1"/>
              <w:left w:val="single" w:color="BBBBBB" w:sz="1"/>
              <w:bottom w:val="single" w:color="BBBBBB" w:sz="1"/>
              <w:right w:val="single" w:color="BBBBBB" w:sz="1"/>
            </w:tcBorders>
            <w:shd w:fill="F4F4F4" w:val="clear"/>
            <w:tcMar>
              <w:top w:type="dxa" w:w="70"/>
              <w:left w:type="dxa" w:w="110"/>
              <w:bottom w:type="dxa" w:w="70"/>
              <w:right w:type="dxa" w:w="110"/>
            </w:tcMar>
          </w:tcPr>
          <w:p>
            <w:pPr>
              <w:jc w:val="left"/>
            </w:pPr>
            <w:r>
              <w:rPr>
                <w:b w:val="false"/>
                <w:bCs w:val="false"/>
                <w:color w:val="222222"/>
                <w:sz w:val="15"/>
                <w:szCs w:val="15"/>
              </w:rPr>
              <w:t xml:space="preserve">Media</w:t>
            </w:r>
          </w:p>
        </w:tc>
        <w:tc>
          <w:tcPr>
            <w:tcW w:type="dxa" w:w="2560"/>
            <w:tcBorders>
              <w:top w:val="single" w:color="BBBBBB" w:sz="1"/>
              <w:left w:val="single" w:color="BBBBBB" w:sz="1"/>
              <w:bottom w:val="single" w:color="BBBBBB" w:sz="1"/>
              <w:right w:val="single" w:color="BBBBBB" w:sz="1"/>
            </w:tcBorders>
            <w:shd w:fill="F4F4F4" w:val="clear"/>
            <w:tcMar>
              <w:top w:type="dxa" w:w="70"/>
              <w:left w:type="dxa" w:w="110"/>
              <w:bottom w:type="dxa" w:w="70"/>
              <w:right w:type="dxa" w:w="110"/>
            </w:tcMar>
          </w:tcPr>
          <w:p>
            <w:pPr>
              <w:jc w:val="left"/>
            </w:pPr>
            <w:r>
              <w:rPr>
                <w:b w:val="false"/>
                <w:bCs w:val="false"/>
                <w:color w:val="222222"/>
                <w:sz w:val="15"/>
                <w:szCs w:val="15"/>
              </w:rPr>
              <w:t xml:space="preserve">FTSE 100 opens lower amid mixed signals</w:t>
            </w:r>
          </w:p>
        </w:tc>
        <w:tc>
          <w:tcPr>
            <w:tcW w:type="dxa" w:w="1100"/>
            <w:tcBorders>
              <w:top w:val="single" w:color="BBBBBB" w:sz="1"/>
              <w:left w:val="single" w:color="BBBBBB" w:sz="1"/>
              <w:bottom w:val="single" w:color="BBBBBB" w:sz="1"/>
              <w:right w:val="single" w:color="BBBBBB" w:sz="1"/>
            </w:tcBorders>
            <w:shd w:fill="F4F4F4" w:val="clear"/>
            <w:tcMar>
              <w:top w:type="dxa" w:w="70"/>
              <w:left w:type="dxa" w:w="110"/>
              <w:bottom w:type="dxa" w:w="70"/>
              <w:right w:type="dxa" w:w="110"/>
            </w:tcMar>
          </w:tcPr>
          <w:p>
            <w:pPr>
              <w:jc w:val="left"/>
            </w:pPr>
            <w:r>
              <w:rPr>
                <w:b/>
                <w:bCs/>
                <w:color w:val="AA3322"/>
                <w:sz w:val="15"/>
                <w:szCs w:val="15"/>
              </w:rPr>
              <w:t xml:space="preserve">Bearish</w:t>
            </w:r>
          </w:p>
        </w:tc>
        <w:tc>
          <w:tcPr>
            <w:tcW w:type="dxa" w:w="3200"/>
            <w:tcBorders>
              <w:top w:val="single" w:color="BBBBBB" w:sz="1"/>
              <w:left w:val="single" w:color="BBBBBB" w:sz="1"/>
              <w:bottom w:val="single" w:color="BBBBBB" w:sz="1"/>
              <w:right w:val="single" w:color="BBBBBB" w:sz="1"/>
            </w:tcBorders>
            <w:shd w:fill="F4F4F4" w:val="clear"/>
            <w:tcMar>
              <w:top w:type="dxa" w:w="70"/>
              <w:left w:type="dxa" w:w="110"/>
              <w:bottom w:type="dxa" w:w="70"/>
              <w:right w:type="dxa" w:w="110"/>
            </w:tcMar>
          </w:tcPr>
          <w:p>
            <w:pPr>
              <w:jc w:val="left"/>
            </w:pPr>
            <w:r>
              <w:rPr>
                <w:b w:val="false"/>
                <w:bCs w:val="false"/>
                <w:color w:val="222222"/>
                <w:sz w:val="15"/>
                <w:szCs w:val="15"/>
              </w:rPr>
              <w:t xml:space="preserve">“mixed signals from US-Iran negotiations kept sentiment cautious”</w:t>
            </w:r>
          </w:p>
        </w:tc>
      </w:tr>
      <w:tr>
        <w:trPr>
          <w:cantSplit/>
        </w:trPr>
        <w:tc>
          <w:tcPr>
            <w:tcW w:type="dxa" w:w="15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Meyka · 21 May</w:t>
            </w:r>
          </w:p>
        </w:tc>
        <w:tc>
          <w:tcPr>
            <w:tcW w:type="dxa" w:w="10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Media</w:t>
            </w:r>
          </w:p>
        </w:tc>
        <w:tc>
          <w:tcPr>
            <w:tcW w:type="dxa" w:w="25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FTSE 100 dips as Iran geopolitical risk dampens sentiment</w:t>
            </w:r>
          </w:p>
        </w:tc>
        <w:tc>
          <w:tcPr>
            <w:tcW w:type="dxa" w:w="11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bCs/>
                <w:color w:val="AA3322"/>
                <w:sz w:val="15"/>
                <w:szCs w:val="15"/>
              </w:rPr>
              <w:t xml:space="preserve">Bearish</w:t>
            </w:r>
          </w:p>
        </w:tc>
        <w:tc>
          <w:tcPr>
            <w:tcW w:type="dxa" w:w="32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“Iran tensions weakened investor sentiment”</w:t>
            </w:r>
          </w:p>
        </w:tc>
      </w:tr>
      <w:tr>
        <w:trPr>
          <w:cantSplit/>
        </w:trPr>
        <w:tc>
          <w:tcPr>
            <w:tcW w:type="dxa" w:w="1500"/>
            <w:tcBorders>
              <w:top w:val="single" w:color="BBBBBB" w:sz="1"/>
              <w:left w:val="single" w:color="BBBBBB" w:sz="1"/>
              <w:bottom w:val="single" w:color="BBBBBB" w:sz="1"/>
              <w:right w:val="single" w:color="BBBBBB" w:sz="1"/>
            </w:tcBorders>
            <w:shd w:fill="F4F4F4" w:val="clear"/>
            <w:tcMar>
              <w:top w:type="dxa" w:w="70"/>
              <w:left w:type="dxa" w:w="110"/>
              <w:bottom w:type="dxa" w:w="70"/>
              <w:right w:type="dxa" w:w="110"/>
            </w:tcMar>
          </w:tcPr>
          <w:p>
            <w:pPr>
              <w:jc w:val="left"/>
            </w:pPr>
            <w:r>
              <w:rPr>
                <w:b w:val="false"/>
                <w:bCs w:val="false"/>
                <w:color w:val="222222"/>
                <w:sz w:val="15"/>
                <w:szCs w:val="15"/>
              </w:rPr>
              <w:t xml:space="preserve">Trading Economics · 20 May</w:t>
            </w:r>
          </w:p>
        </w:tc>
        <w:tc>
          <w:tcPr>
            <w:tcW w:type="dxa" w:w="1000"/>
            <w:tcBorders>
              <w:top w:val="single" w:color="BBBBBB" w:sz="1"/>
              <w:left w:val="single" w:color="BBBBBB" w:sz="1"/>
              <w:bottom w:val="single" w:color="BBBBBB" w:sz="1"/>
              <w:right w:val="single" w:color="BBBBBB" w:sz="1"/>
            </w:tcBorders>
            <w:shd w:fill="F4F4F4" w:val="clear"/>
            <w:tcMar>
              <w:top w:type="dxa" w:w="70"/>
              <w:left w:type="dxa" w:w="110"/>
              <w:bottom w:type="dxa" w:w="70"/>
              <w:right w:type="dxa" w:w="110"/>
            </w:tcMar>
          </w:tcPr>
          <w:p>
            <w:pPr>
              <w:jc w:val="left"/>
            </w:pPr>
            <w:r>
              <w:rPr>
                <w:b w:val="false"/>
                <w:bCs w:val="false"/>
                <w:color w:val="222222"/>
                <w:sz w:val="15"/>
                <w:szCs w:val="15"/>
              </w:rPr>
              <w:t xml:space="preserve">Trade Press</w:t>
            </w:r>
          </w:p>
        </w:tc>
        <w:tc>
          <w:tcPr>
            <w:tcW w:type="dxa" w:w="2560"/>
            <w:tcBorders>
              <w:top w:val="single" w:color="BBBBBB" w:sz="1"/>
              <w:left w:val="single" w:color="BBBBBB" w:sz="1"/>
              <w:bottom w:val="single" w:color="BBBBBB" w:sz="1"/>
              <w:right w:val="single" w:color="BBBBBB" w:sz="1"/>
            </w:tcBorders>
            <w:shd w:fill="F4F4F4" w:val="clear"/>
            <w:tcMar>
              <w:top w:type="dxa" w:w="70"/>
              <w:left w:type="dxa" w:w="110"/>
              <w:bottom w:type="dxa" w:w="70"/>
              <w:right w:type="dxa" w:w="110"/>
            </w:tcMar>
          </w:tcPr>
          <w:p>
            <w:pPr>
              <w:jc w:val="left"/>
            </w:pPr>
            <w:r>
              <w:rPr>
                <w:b w:val="false"/>
                <w:bCs w:val="false"/>
                <w:color w:val="222222"/>
                <w:sz w:val="15"/>
                <w:szCs w:val="15"/>
              </w:rPr>
              <w:t xml:space="preserve">FTSE 100 gave up gains to finish broadly flat</w:t>
            </w:r>
          </w:p>
        </w:tc>
        <w:tc>
          <w:tcPr>
            <w:tcW w:type="dxa" w:w="1100"/>
            <w:tcBorders>
              <w:top w:val="single" w:color="BBBBBB" w:sz="1"/>
              <w:left w:val="single" w:color="BBBBBB" w:sz="1"/>
              <w:bottom w:val="single" w:color="BBBBBB" w:sz="1"/>
              <w:right w:val="single" w:color="BBBBBB" w:sz="1"/>
            </w:tcBorders>
            <w:shd w:fill="F4F4F4" w:val="clear"/>
            <w:tcMar>
              <w:top w:type="dxa" w:w="70"/>
              <w:left w:type="dxa" w:w="110"/>
              <w:bottom w:type="dxa" w:w="70"/>
              <w:right w:type="dxa" w:w="110"/>
            </w:tcMar>
          </w:tcPr>
          <w:p>
            <w:pPr>
              <w:jc w:val="left"/>
            </w:pPr>
            <w:r>
              <w:rPr>
                <w:b/>
                <w:bCs/>
                <w:color w:val="222222"/>
                <w:sz w:val="15"/>
                <w:szCs w:val="15"/>
              </w:rPr>
              <w:t xml:space="preserve">Neutral</w:t>
            </w:r>
          </w:p>
        </w:tc>
        <w:tc>
          <w:tcPr>
            <w:tcW w:type="dxa" w:w="3200"/>
            <w:tcBorders>
              <w:top w:val="single" w:color="BBBBBB" w:sz="1"/>
              <w:left w:val="single" w:color="BBBBBB" w:sz="1"/>
              <w:bottom w:val="single" w:color="BBBBBB" w:sz="1"/>
              <w:right w:val="single" w:color="BBBBBB" w:sz="1"/>
            </w:tcBorders>
            <w:shd w:fill="F4F4F4" w:val="clear"/>
            <w:tcMar>
              <w:top w:type="dxa" w:w="70"/>
              <w:left w:type="dxa" w:w="110"/>
              <w:bottom w:type="dxa" w:w="70"/>
              <w:right w:type="dxa" w:w="110"/>
            </w:tcMar>
          </w:tcPr>
          <w:p>
            <w:pPr>
              <w:jc w:val="left"/>
            </w:pPr>
            <w:r>
              <w:rPr>
                <w:b w:val="false"/>
                <w:bCs w:val="false"/>
                <w:color w:val="222222"/>
                <w:sz w:val="15"/>
                <w:szCs w:val="15"/>
              </w:rPr>
              <w:t xml:space="preserve">“gave up earlier gains to finish broadly flat”</w:t>
            </w:r>
          </w:p>
        </w:tc>
      </w:tr>
      <w:tr>
        <w:trPr>
          <w:cantSplit/>
        </w:trPr>
        <w:tc>
          <w:tcPr>
            <w:tcW w:type="dxa" w:w="15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BBN Times · 18 May</w:t>
            </w:r>
          </w:p>
        </w:tc>
        <w:tc>
          <w:tcPr>
            <w:tcW w:type="dxa" w:w="10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Media</w:t>
            </w:r>
          </w:p>
        </w:tc>
        <w:tc>
          <w:tcPr>
            <w:tcW w:type="dxa" w:w="25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London's benchmark retreats sharply on oil, yields, politics</w:t>
            </w:r>
          </w:p>
        </w:tc>
        <w:tc>
          <w:tcPr>
            <w:tcW w:type="dxa" w:w="11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bCs/>
                <w:color w:val="AA3322"/>
                <w:sz w:val="15"/>
                <w:szCs w:val="15"/>
              </w:rPr>
              <w:t xml:space="preserve">Bearish</w:t>
            </w:r>
          </w:p>
        </w:tc>
        <w:tc>
          <w:tcPr>
            <w:tcW w:type="dxa" w:w="32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“worst-performing major European index at the start of the week”</w:t>
            </w:r>
          </w:p>
        </w:tc>
      </w:tr>
      <w:tr>
        <w:trPr>
          <w:cantSplit/>
        </w:trPr>
        <w:tc>
          <w:tcPr>
            <w:tcW w:type="dxa" w:w="1500"/>
            <w:tcBorders>
              <w:top w:val="single" w:color="BBBBBB" w:sz="1"/>
              <w:left w:val="single" w:color="BBBBBB" w:sz="1"/>
              <w:bottom w:val="single" w:color="BBBBBB" w:sz="1"/>
              <w:right w:val="single" w:color="BBBBBB" w:sz="1"/>
            </w:tcBorders>
            <w:shd w:fill="F4F4F4" w:val="clear"/>
            <w:tcMar>
              <w:top w:type="dxa" w:w="70"/>
              <w:left w:type="dxa" w:w="110"/>
              <w:bottom w:type="dxa" w:w="70"/>
              <w:right w:type="dxa" w:w="110"/>
            </w:tcMar>
          </w:tcPr>
          <w:p>
            <w:pPr>
              <w:jc w:val="left"/>
            </w:pPr>
            <w:r>
              <w:rPr>
                <w:b w:val="false"/>
                <w:bCs w:val="false"/>
                <w:color w:val="222222"/>
                <w:sz w:val="15"/>
                <w:szCs w:val="15"/>
              </w:rPr>
              <w:t xml:space="preserve">BBN Times · 17 May</w:t>
            </w:r>
          </w:p>
        </w:tc>
        <w:tc>
          <w:tcPr>
            <w:tcW w:type="dxa" w:w="1000"/>
            <w:tcBorders>
              <w:top w:val="single" w:color="BBBBBB" w:sz="1"/>
              <w:left w:val="single" w:color="BBBBBB" w:sz="1"/>
              <w:bottom w:val="single" w:color="BBBBBB" w:sz="1"/>
              <w:right w:val="single" w:color="BBBBBB" w:sz="1"/>
            </w:tcBorders>
            <w:shd w:fill="F4F4F4" w:val="clear"/>
            <w:tcMar>
              <w:top w:type="dxa" w:w="70"/>
              <w:left w:type="dxa" w:w="110"/>
              <w:bottom w:type="dxa" w:w="70"/>
              <w:right w:type="dxa" w:w="110"/>
            </w:tcMar>
          </w:tcPr>
          <w:p>
            <w:pPr>
              <w:jc w:val="left"/>
            </w:pPr>
            <w:r>
              <w:rPr>
                <w:b w:val="false"/>
                <w:bCs w:val="false"/>
                <w:color w:val="222222"/>
                <w:sz w:val="15"/>
                <w:szCs w:val="15"/>
              </w:rPr>
              <w:t xml:space="preserve">Media</w:t>
            </w:r>
          </w:p>
        </w:tc>
        <w:tc>
          <w:tcPr>
            <w:tcW w:type="dxa" w:w="2560"/>
            <w:tcBorders>
              <w:top w:val="single" w:color="BBBBBB" w:sz="1"/>
              <w:left w:val="single" w:color="BBBBBB" w:sz="1"/>
              <w:bottom w:val="single" w:color="BBBBBB" w:sz="1"/>
              <w:right w:val="single" w:color="BBBBBB" w:sz="1"/>
            </w:tcBorders>
            <w:shd w:fill="F4F4F4" w:val="clear"/>
            <w:tcMar>
              <w:top w:type="dxa" w:w="70"/>
              <w:left w:type="dxa" w:w="110"/>
              <w:bottom w:type="dxa" w:w="70"/>
              <w:right w:type="dxa" w:w="110"/>
            </w:tcMar>
          </w:tcPr>
          <w:p>
            <w:pPr>
              <w:jc w:val="left"/>
            </w:pPr>
            <w:r>
              <w:rPr>
                <w:b w:val="false"/>
                <w:bCs w:val="false"/>
                <w:color w:val="222222"/>
                <w:sz w:val="15"/>
                <w:szCs w:val="15"/>
              </w:rPr>
              <w:t xml:space="preserve">Why Britain's index is thriving above 10,000</w:t>
            </w:r>
          </w:p>
        </w:tc>
        <w:tc>
          <w:tcPr>
            <w:tcW w:type="dxa" w:w="1100"/>
            <w:tcBorders>
              <w:top w:val="single" w:color="BBBBBB" w:sz="1"/>
              <w:left w:val="single" w:color="BBBBBB" w:sz="1"/>
              <w:bottom w:val="single" w:color="BBBBBB" w:sz="1"/>
              <w:right w:val="single" w:color="BBBBBB" w:sz="1"/>
            </w:tcBorders>
            <w:shd w:fill="F4F4F4" w:val="clear"/>
            <w:tcMar>
              <w:top w:type="dxa" w:w="70"/>
              <w:left w:type="dxa" w:w="110"/>
              <w:bottom w:type="dxa" w:w="70"/>
              <w:right w:type="dxa" w:w="110"/>
            </w:tcMar>
          </w:tcPr>
          <w:p>
            <w:pPr>
              <w:jc w:val="left"/>
            </w:pPr>
            <w:r>
              <w:rPr>
                <w:b/>
                <w:bCs/>
                <w:color w:val="2E7D4F"/>
                <w:sz w:val="15"/>
                <w:szCs w:val="15"/>
              </w:rPr>
              <w:t xml:space="preserve">Bullish</w:t>
            </w:r>
          </w:p>
        </w:tc>
        <w:tc>
          <w:tcPr>
            <w:tcW w:type="dxa" w:w="3200"/>
            <w:tcBorders>
              <w:top w:val="single" w:color="BBBBBB" w:sz="1"/>
              <w:left w:val="single" w:color="BBBBBB" w:sz="1"/>
              <w:bottom w:val="single" w:color="BBBBBB" w:sz="1"/>
              <w:right w:val="single" w:color="BBBBBB" w:sz="1"/>
            </w:tcBorders>
            <w:shd w:fill="F4F4F4" w:val="clear"/>
            <w:tcMar>
              <w:top w:type="dxa" w:w="70"/>
              <w:left w:type="dxa" w:w="110"/>
              <w:bottom w:type="dxa" w:w="70"/>
              <w:right w:type="dxa" w:w="110"/>
            </w:tcMar>
          </w:tcPr>
          <w:p>
            <w:pPr>
              <w:jc w:val="left"/>
            </w:pPr>
            <w:r>
              <w:rPr>
                <w:b w:val="false"/>
                <w:bCs w:val="false"/>
                <w:color w:val="222222"/>
                <w:sz w:val="15"/>
                <w:szCs w:val="15"/>
              </w:rPr>
              <w:t xml:space="preserve">“balanced risk-reward for medium-term investors”</w:t>
            </w:r>
          </w:p>
        </w:tc>
      </w:tr>
      <w:tr>
        <w:trPr>
          <w:cantSplit/>
        </w:trPr>
        <w:tc>
          <w:tcPr>
            <w:tcW w:type="dxa" w:w="15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Investing.com · early May</w:t>
            </w:r>
          </w:p>
        </w:tc>
        <w:tc>
          <w:tcPr>
            <w:tcW w:type="dxa" w:w="10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Trade Press</w:t>
            </w:r>
          </w:p>
        </w:tc>
        <w:tc>
          <w:tcPr>
            <w:tcW w:type="dxa" w:w="25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Stocks rally as BoE, ECB hold rates</w:t>
            </w:r>
          </w:p>
        </w:tc>
        <w:tc>
          <w:tcPr>
            <w:tcW w:type="dxa" w:w="11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bCs/>
                <w:color w:val="2E7D4F"/>
                <w:sz w:val="15"/>
                <w:szCs w:val="15"/>
              </w:rPr>
              <w:t xml:space="preserve">Bullish</w:t>
            </w:r>
          </w:p>
        </w:tc>
        <w:tc>
          <w:tcPr>
            <w:tcW w:type="dxa" w:w="32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“equities found support as investors took comfort from steady policy”</w:t>
            </w:r>
          </w:p>
        </w:tc>
      </w:tr>
      <w:tr>
        <w:trPr>
          <w:cantSplit/>
        </w:trPr>
        <w:tc>
          <w:tcPr>
            <w:tcW w:type="dxa" w:w="1500"/>
            <w:tcBorders>
              <w:top w:val="single" w:color="BBBBBB" w:sz="1"/>
              <w:left w:val="single" w:color="BBBBBB" w:sz="1"/>
              <w:bottom w:val="single" w:color="BBBBBB" w:sz="1"/>
              <w:right w:val="single" w:color="BBBBBB" w:sz="1"/>
            </w:tcBorders>
            <w:shd w:fill="F4F4F4" w:val="clear"/>
            <w:tcMar>
              <w:top w:type="dxa" w:w="70"/>
              <w:left w:type="dxa" w:w="110"/>
              <w:bottom w:type="dxa" w:w="70"/>
              <w:right w:type="dxa" w:w="110"/>
            </w:tcMar>
          </w:tcPr>
          <w:p>
            <w:pPr>
              <w:jc w:val="left"/>
            </w:pPr>
            <w:r>
              <w:rPr>
                <w:b w:val="false"/>
                <w:bCs w:val="false"/>
                <w:color w:val="222222"/>
                <w:sz w:val="15"/>
                <w:szCs w:val="15"/>
              </w:rPr>
              <w:t xml:space="preserve">Sunday Guardian · 11 May</w:t>
            </w:r>
          </w:p>
        </w:tc>
        <w:tc>
          <w:tcPr>
            <w:tcW w:type="dxa" w:w="1000"/>
            <w:tcBorders>
              <w:top w:val="single" w:color="BBBBBB" w:sz="1"/>
              <w:left w:val="single" w:color="BBBBBB" w:sz="1"/>
              <w:bottom w:val="single" w:color="BBBBBB" w:sz="1"/>
              <w:right w:val="single" w:color="BBBBBB" w:sz="1"/>
            </w:tcBorders>
            <w:shd w:fill="F4F4F4" w:val="clear"/>
            <w:tcMar>
              <w:top w:type="dxa" w:w="70"/>
              <w:left w:type="dxa" w:w="110"/>
              <w:bottom w:type="dxa" w:w="70"/>
              <w:right w:type="dxa" w:w="110"/>
            </w:tcMar>
          </w:tcPr>
          <w:p>
            <w:pPr>
              <w:jc w:val="left"/>
            </w:pPr>
            <w:r>
              <w:rPr>
                <w:b w:val="false"/>
                <w:bCs w:val="false"/>
                <w:color w:val="222222"/>
                <w:sz w:val="15"/>
                <w:szCs w:val="15"/>
              </w:rPr>
              <w:t xml:space="preserve">Media</w:t>
            </w:r>
          </w:p>
        </w:tc>
        <w:tc>
          <w:tcPr>
            <w:tcW w:type="dxa" w:w="2560"/>
            <w:tcBorders>
              <w:top w:val="single" w:color="BBBBBB" w:sz="1"/>
              <w:left w:val="single" w:color="BBBBBB" w:sz="1"/>
              <w:bottom w:val="single" w:color="BBBBBB" w:sz="1"/>
              <w:right w:val="single" w:color="BBBBBB" w:sz="1"/>
            </w:tcBorders>
            <w:shd w:fill="F4F4F4" w:val="clear"/>
            <w:tcMar>
              <w:top w:type="dxa" w:w="70"/>
              <w:left w:type="dxa" w:w="110"/>
              <w:bottom w:type="dxa" w:w="70"/>
              <w:right w:type="dxa" w:w="110"/>
            </w:tcMar>
          </w:tcPr>
          <w:p>
            <w:pPr>
              <w:jc w:val="left"/>
            </w:pPr>
            <w:r>
              <w:rPr>
                <w:b w:val="false"/>
                <w:bCs w:val="false"/>
                <w:color w:val="222222"/>
                <w:sz w:val="15"/>
                <w:szCs w:val="15"/>
              </w:rPr>
              <w:t xml:space="preserve">FTSE rises as investors eye possible US-Iran peace talks</w:t>
            </w:r>
          </w:p>
        </w:tc>
        <w:tc>
          <w:tcPr>
            <w:tcW w:type="dxa" w:w="1100"/>
            <w:tcBorders>
              <w:top w:val="single" w:color="BBBBBB" w:sz="1"/>
              <w:left w:val="single" w:color="BBBBBB" w:sz="1"/>
              <w:bottom w:val="single" w:color="BBBBBB" w:sz="1"/>
              <w:right w:val="single" w:color="BBBBBB" w:sz="1"/>
            </w:tcBorders>
            <w:shd w:fill="F4F4F4" w:val="clear"/>
            <w:tcMar>
              <w:top w:type="dxa" w:w="70"/>
              <w:left w:type="dxa" w:w="110"/>
              <w:bottom w:type="dxa" w:w="70"/>
              <w:right w:type="dxa" w:w="110"/>
            </w:tcMar>
          </w:tcPr>
          <w:p>
            <w:pPr>
              <w:jc w:val="left"/>
            </w:pPr>
            <w:r>
              <w:rPr>
                <w:b/>
                <w:bCs/>
                <w:color w:val="2E7D4F"/>
                <w:sz w:val="15"/>
                <w:szCs w:val="15"/>
              </w:rPr>
              <w:t xml:space="preserve">Bullish</w:t>
            </w:r>
          </w:p>
        </w:tc>
        <w:tc>
          <w:tcPr>
            <w:tcW w:type="dxa" w:w="3200"/>
            <w:tcBorders>
              <w:top w:val="single" w:color="BBBBBB" w:sz="1"/>
              <w:left w:val="single" w:color="BBBBBB" w:sz="1"/>
              <w:bottom w:val="single" w:color="BBBBBB" w:sz="1"/>
              <w:right w:val="single" w:color="BBBBBB" w:sz="1"/>
            </w:tcBorders>
            <w:shd w:fill="F4F4F4" w:val="clear"/>
            <w:tcMar>
              <w:top w:type="dxa" w:w="70"/>
              <w:left w:type="dxa" w:w="110"/>
              <w:bottom w:type="dxa" w:w="70"/>
              <w:right w:type="dxa" w:w="110"/>
            </w:tcMar>
          </w:tcPr>
          <w:p>
            <w:pPr>
              <w:jc w:val="left"/>
            </w:pPr>
            <w:r>
              <w:rPr>
                <w:b w:val="false"/>
                <w:bCs w:val="false"/>
                <w:color w:val="222222"/>
                <w:sz w:val="15"/>
                <w:szCs w:val="15"/>
              </w:rPr>
              <w:t xml:space="preserve">“FTSE 100 rising 0.2%… possible US-Iran peace talks”</w:t>
            </w:r>
          </w:p>
        </w:tc>
      </w:tr>
    </w:tbl>
    <w:p>
      <w:pPr>
        <w:spacing w:after="60"/>
      </w:pPr>
      <w:r>
        <w:t xml:space="preserve"/>
      </w:r>
    </w:p>
    <w:p>
      <w:pPr>
        <w:pStyle w:val="Heading3"/>
      </w:pPr>
      <w:r>
        <w:t xml:space="preserve">13b.  Aggregate Sentiment Summary</w:t>
      </w:r>
    </w:p>
    <w:p>
      <w:pPr>
        <w:spacing w:after="120" w:line="276"/>
        <w:jc w:val="both"/>
      </w:pPr>
      <w:r>
        <w:rPr>
          <w:b/>
          <w:bCs/>
        </w:rPr>
        <w:t xml:space="preserve">Counts: </w:t>
      </w:r>
      <w:r>
        <w:t xml:space="preserve">3 Bullish (1 trade press, 2 media), 3 Bearish (all media), 2 Neutral (1 media, 1 trade press) = </w:t>
      </w:r>
      <w:r>
        <w:rPr>
          <w:b/>
          <w:bCs/>
        </w:rPr>
        <w:t xml:space="preserve">Mixed / Balanced</w:t>
      </w:r>
      <w:r>
        <w:t xml:space="preserve">.</w:t>
      </w:r>
    </w:p>
    <w:p>
      <w:pPr>
        <w:spacing w:after="120" w:line="276"/>
        <w:jc w:val="both"/>
      </w:pPr>
      <w:r>
        <w:rPr>
          <w:b/>
          <w:bCs/>
          <w:color w:val="9B2D6E"/>
        </w:rPr>
        <w:t xml:space="preserve">Numeric tilt = +0.05. </w:t>
      </w:r>
      <w:r>
        <w:t xml:space="preserve">Source-class-weighted mean of article scores: the bullish and bearish articles very nearly offset, with the trade-press bullish article (weight 0.7) tipping the balance marginally positive. Formally: Σ(w·s) ≈ +0.20, Σw = 4.40, tilt = +0.05 (two decimal places). Reported as </w:t>
      </w:r>
      <w:r>
        <w:rPr>
          <w:b/>
          <w:bCs/>
        </w:rPr>
        <w:t xml:space="preserve">Balanced (tilt = +0.05)</w:t>
      </w:r>
      <w:r>
        <w:t xml:space="preserve">. This is the value carried into the §21 directional conviction model.</w:t>
      </w:r>
    </w:p>
    <w:p>
      <w:pPr>
        <w:spacing w:after="120" w:line="276"/>
        <w:jc w:val="both"/>
      </w:pPr>
      <w:r>
        <w:rPr>
          <w:b/>
          <w:bCs/>
        </w:rPr>
        <w:t xml:space="preserve">Divergence flag. </w:t>
      </w:r>
      <w:r>
        <w:t xml:space="preserve">Aggregate sentiment is essentially flat while price action is sharply positive — a sentiment/price divergence. Given the §9 Transitional regime and the violent oversold-reversal pattern, price action is the more reliable near-term signal: the news flow is still digesting Iran-risk pessimism that the tape has already begun to discount. The tilt is computed on eight articles, so it is not a low-confidence reading.</w:t>
      </w:r>
    </w:p>
    <w:p>
      <w:pPr>
        <w:spacing w:after="60"/>
      </w:pPr>
      <w:r>
        <w:t xml:space="preserve"/>
      </w:r>
    </w:p>
    <w:p>
      <w:pPr>
        <w:pStyle w:val="Heading3"/>
      </w:pPr>
      <w:r>
        <w:t xml:space="preserve">13c.  News Calendar — Previous Period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900"/>
        <w:gridCol w:w="1900"/>
        <w:gridCol w:w="800"/>
        <w:gridCol w:w="3660"/>
      </w:tblGrid>
      <w:tr>
        <w:trPr>
          <w:tblHeader/>
        </w:trPr>
        <w:tc>
          <w:tcPr>
            <w:tcW w:type="dxa" w:w="1100"/>
            <w:tcBorders>
              <w:top w:val="single" w:color="BBBBBB" w:sz="1"/>
              <w:left w:val="single" w:color="BBBBBB" w:sz="1"/>
              <w:bottom w:val="single" w:color="BBBBBB" w:sz="1"/>
              <w:right w:val="single" w:color="BBBBBB" w:sz="1"/>
            </w:tcBorders>
            <w:shd w:fill="1F3864" w:val="clear"/>
            <w:tcMar>
              <w:top w:type="dxa" w:w="70"/>
              <w:left w:type="dxa" w:w="110"/>
              <w:bottom w:type="dxa" w:w="70"/>
              <w:right w:type="dxa" w:w="110"/>
            </w:tcMar>
          </w:tcPr>
          <w:p>
            <w:pPr>
              <w:jc w:val="left"/>
            </w:pPr>
            <w:r>
              <w:rPr>
                <w:b/>
                <w:bCs/>
                <w:color w:val="FFFFFF"/>
                <w:sz w:val="16"/>
                <w:szCs w:val="16"/>
              </w:rPr>
              <w:t xml:space="preserve">Date</w:t>
            </w:r>
          </w:p>
        </w:tc>
        <w:tc>
          <w:tcPr>
            <w:tcW w:type="dxa" w:w="1900"/>
            <w:tcBorders>
              <w:top w:val="single" w:color="BBBBBB" w:sz="1"/>
              <w:left w:val="single" w:color="BBBBBB" w:sz="1"/>
              <w:bottom w:val="single" w:color="BBBBBB" w:sz="1"/>
              <w:right w:val="single" w:color="BBBBBB" w:sz="1"/>
            </w:tcBorders>
            <w:shd w:fill="1F3864" w:val="clear"/>
            <w:tcMar>
              <w:top w:type="dxa" w:w="70"/>
              <w:left w:type="dxa" w:w="110"/>
              <w:bottom w:type="dxa" w:w="70"/>
              <w:right w:type="dxa" w:w="110"/>
            </w:tcMar>
          </w:tcPr>
          <w:p>
            <w:pPr>
              <w:jc w:val="left"/>
            </w:pPr>
            <w:r>
              <w:rPr>
                <w:b/>
                <w:bCs/>
                <w:color w:val="FFFFFF"/>
                <w:sz w:val="16"/>
                <w:szCs w:val="16"/>
              </w:rPr>
              <w:t xml:space="preserve">Event</w:t>
            </w:r>
          </w:p>
        </w:tc>
        <w:tc>
          <w:tcPr>
            <w:tcW w:type="dxa" w:w="1900"/>
            <w:tcBorders>
              <w:top w:val="single" w:color="BBBBBB" w:sz="1"/>
              <w:left w:val="single" w:color="BBBBBB" w:sz="1"/>
              <w:bottom w:val="single" w:color="BBBBBB" w:sz="1"/>
              <w:right w:val="single" w:color="BBBBBB" w:sz="1"/>
            </w:tcBorders>
            <w:shd w:fill="1F3864" w:val="clear"/>
            <w:tcMar>
              <w:top w:type="dxa" w:w="70"/>
              <w:left w:type="dxa" w:w="110"/>
              <w:bottom w:type="dxa" w:w="70"/>
              <w:right w:type="dxa" w:w="110"/>
            </w:tcMar>
          </w:tcPr>
          <w:p>
            <w:pPr>
              <w:jc w:val="left"/>
            </w:pPr>
            <w:r>
              <w:rPr>
                <w:b/>
                <w:bCs/>
                <w:color w:val="FFFFFF"/>
                <w:sz w:val="16"/>
                <w:szCs w:val="16"/>
              </w:rPr>
              <w:t xml:space="preserve">Prior / Context</w:t>
            </w:r>
          </w:p>
        </w:tc>
        <w:tc>
          <w:tcPr>
            <w:tcW w:type="dxa" w:w="800"/>
            <w:tcBorders>
              <w:top w:val="single" w:color="BBBBBB" w:sz="1"/>
              <w:left w:val="single" w:color="BBBBBB" w:sz="1"/>
              <w:bottom w:val="single" w:color="BBBBBB" w:sz="1"/>
              <w:right w:val="single" w:color="BBBBBB" w:sz="1"/>
            </w:tcBorders>
            <w:shd w:fill="1F3864" w:val="clear"/>
            <w:tcMar>
              <w:top w:type="dxa" w:w="70"/>
              <w:left w:type="dxa" w:w="110"/>
              <w:bottom w:type="dxa" w:w="70"/>
              <w:right w:type="dxa" w:w="110"/>
            </w:tcMar>
          </w:tcPr>
          <w:p>
            <w:pPr>
              <w:jc w:val="left"/>
            </w:pPr>
            <w:r>
              <w:rPr>
                <w:b/>
                <w:bCs/>
                <w:color w:val="FFFFFF"/>
                <w:sz w:val="16"/>
                <w:szCs w:val="16"/>
              </w:rPr>
              <w:t xml:space="preserve">Impact</w:t>
            </w:r>
          </w:p>
        </w:tc>
        <w:tc>
          <w:tcPr>
            <w:tcW w:type="dxa" w:w="3660"/>
            <w:tcBorders>
              <w:top w:val="single" w:color="BBBBBB" w:sz="1"/>
              <w:left w:val="single" w:color="BBBBBB" w:sz="1"/>
              <w:bottom w:val="single" w:color="BBBBBB" w:sz="1"/>
              <w:right w:val="single" w:color="BBBBBB" w:sz="1"/>
            </w:tcBorders>
            <w:shd w:fill="1F3864" w:val="clear"/>
            <w:tcMar>
              <w:top w:type="dxa" w:w="70"/>
              <w:left w:type="dxa" w:w="110"/>
              <w:bottom w:type="dxa" w:w="70"/>
              <w:right w:type="dxa" w:w="110"/>
            </w:tcMar>
          </w:tcPr>
          <w:p>
            <w:pPr>
              <w:jc w:val="left"/>
            </w:pPr>
            <w:r>
              <w:rPr>
                <w:b/>
                <w:bCs/>
                <w:color w:val="FFFFFF"/>
                <w:sz w:val="16"/>
                <w:szCs w:val="16"/>
              </w:rPr>
              <w:t xml:space="preserve">Market implication for FTSE 100</w:t>
            </w:r>
          </w:p>
        </w:tc>
      </w:tr>
      <w:tr>
        <w:trPr>
          <w:cantSplit/>
        </w:trPr>
        <w:tc>
          <w:tcPr>
            <w:tcW w:type="dxa" w:w="11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Mon 18 May</w:t>
            </w:r>
          </w:p>
        </w:tc>
        <w:tc>
          <w:tcPr>
            <w:tcW w:type="dxa" w:w="19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Iran-risk selloff / oil spike</w:t>
            </w:r>
          </w:p>
        </w:tc>
        <w:tc>
          <w:tcPr>
            <w:tcW w:type="dxa" w:w="19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Brent near $110–111</w:t>
            </w:r>
          </w:p>
        </w:tc>
        <w:tc>
          <w:tcPr>
            <w:tcW w:type="dxa" w:w="8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High</w:t>
            </w:r>
          </w:p>
        </w:tc>
        <w:tc>
          <w:tcPr>
            <w:tcW w:type="dxa" w:w="36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FTSE the worst European performer; closed ~9,999 — energy up, broad index down</w:t>
            </w:r>
          </w:p>
        </w:tc>
      </w:tr>
      <w:tr>
        <w:trPr>
          <w:cantSplit/>
        </w:trPr>
        <w:tc>
          <w:tcPr>
            <w:tcW w:type="dxa" w:w="1100"/>
            <w:tcBorders>
              <w:top w:val="single" w:color="BBBBBB" w:sz="1"/>
              <w:left w:val="single" w:color="BBBBBB" w:sz="1"/>
              <w:bottom w:val="single" w:color="BBBBBB" w:sz="1"/>
              <w:right w:val="single" w:color="BBBBBB" w:sz="1"/>
            </w:tcBorders>
            <w:shd w:fill="F4F4F4" w:val="clear"/>
            <w:tcMar>
              <w:top w:type="dxa" w:w="70"/>
              <w:left w:type="dxa" w:w="110"/>
              <w:bottom w:type="dxa" w:w="70"/>
              <w:right w:type="dxa" w:w="110"/>
            </w:tcMar>
          </w:tcPr>
          <w:p>
            <w:pPr>
              <w:jc w:val="left"/>
            </w:pPr>
            <w:r>
              <w:rPr>
                <w:b w:val="false"/>
                <w:bCs w:val="false"/>
                <w:color w:val="222222"/>
                <w:sz w:val="15"/>
                <w:szCs w:val="15"/>
              </w:rPr>
              <w:t xml:space="preserve">Tue 19 May</w:t>
            </w:r>
          </w:p>
        </w:tc>
        <w:tc>
          <w:tcPr>
            <w:tcW w:type="dxa" w:w="1900"/>
            <w:tcBorders>
              <w:top w:val="single" w:color="BBBBBB" w:sz="1"/>
              <w:left w:val="single" w:color="BBBBBB" w:sz="1"/>
              <w:bottom w:val="single" w:color="BBBBBB" w:sz="1"/>
              <w:right w:val="single" w:color="BBBBBB" w:sz="1"/>
            </w:tcBorders>
            <w:shd w:fill="F4F4F4" w:val="clear"/>
            <w:tcMar>
              <w:top w:type="dxa" w:w="70"/>
              <w:left w:type="dxa" w:w="110"/>
              <w:bottom w:type="dxa" w:w="70"/>
              <w:right w:type="dxa" w:w="110"/>
            </w:tcMar>
          </w:tcPr>
          <w:p>
            <w:pPr>
              <w:jc w:val="left"/>
            </w:pPr>
            <w:r>
              <w:rPr>
                <w:b w:val="false"/>
                <w:bCs w:val="false"/>
                <w:color w:val="222222"/>
                <w:sz w:val="15"/>
                <w:szCs w:val="15"/>
              </w:rPr>
              <w:t xml:space="preserve">UK labour-market data</w:t>
            </w:r>
          </w:p>
        </w:tc>
        <w:tc>
          <w:tcPr>
            <w:tcW w:type="dxa" w:w="1900"/>
            <w:tcBorders>
              <w:top w:val="single" w:color="BBBBBB" w:sz="1"/>
              <w:left w:val="single" w:color="BBBBBB" w:sz="1"/>
              <w:bottom w:val="single" w:color="BBBBBB" w:sz="1"/>
              <w:right w:val="single" w:color="BBBBBB" w:sz="1"/>
            </w:tcBorders>
            <w:shd w:fill="F4F4F4" w:val="clear"/>
            <w:tcMar>
              <w:top w:type="dxa" w:w="70"/>
              <w:left w:type="dxa" w:w="110"/>
              <w:bottom w:type="dxa" w:w="70"/>
              <w:right w:type="dxa" w:w="110"/>
            </w:tcMar>
          </w:tcPr>
          <w:p>
            <w:pPr>
              <w:jc w:val="left"/>
            </w:pPr>
            <w:r>
              <w:rPr>
                <w:b w:val="false"/>
                <w:bCs w:val="false"/>
                <w:color w:val="222222"/>
                <w:sz w:val="15"/>
                <w:szCs w:val="15"/>
              </w:rPr>
              <w:t xml:space="preserve">Elevated unemployment, slower wage growth</w:t>
            </w:r>
          </w:p>
        </w:tc>
        <w:tc>
          <w:tcPr>
            <w:tcW w:type="dxa" w:w="800"/>
            <w:tcBorders>
              <w:top w:val="single" w:color="BBBBBB" w:sz="1"/>
              <w:left w:val="single" w:color="BBBBBB" w:sz="1"/>
              <w:bottom w:val="single" w:color="BBBBBB" w:sz="1"/>
              <w:right w:val="single" w:color="BBBBBB" w:sz="1"/>
            </w:tcBorders>
            <w:shd w:fill="F4F4F4" w:val="clear"/>
            <w:tcMar>
              <w:top w:type="dxa" w:w="70"/>
              <w:left w:type="dxa" w:w="110"/>
              <w:bottom w:type="dxa" w:w="70"/>
              <w:right w:type="dxa" w:w="110"/>
            </w:tcMar>
          </w:tcPr>
          <w:p>
            <w:pPr>
              <w:jc w:val="left"/>
            </w:pPr>
            <w:r>
              <w:rPr>
                <w:b w:val="false"/>
                <w:bCs w:val="false"/>
                <w:color w:val="222222"/>
                <w:sz w:val="15"/>
                <w:szCs w:val="15"/>
              </w:rPr>
              <w:t xml:space="preserve">Medium</w:t>
            </w:r>
          </w:p>
        </w:tc>
        <w:tc>
          <w:tcPr>
            <w:tcW w:type="dxa" w:w="3660"/>
            <w:tcBorders>
              <w:top w:val="single" w:color="BBBBBB" w:sz="1"/>
              <w:left w:val="single" w:color="BBBBBB" w:sz="1"/>
              <w:bottom w:val="single" w:color="BBBBBB" w:sz="1"/>
              <w:right w:val="single" w:color="BBBBBB" w:sz="1"/>
            </w:tcBorders>
            <w:shd w:fill="F4F4F4" w:val="clear"/>
            <w:tcMar>
              <w:top w:type="dxa" w:w="70"/>
              <w:left w:type="dxa" w:w="110"/>
              <w:bottom w:type="dxa" w:w="70"/>
              <w:right w:type="dxa" w:w="110"/>
            </w:tcMar>
          </w:tcPr>
          <w:p>
            <w:pPr>
              <w:jc w:val="left"/>
            </w:pPr>
            <w:r>
              <w:rPr>
                <w:b w:val="false"/>
                <w:bCs w:val="false"/>
                <w:color w:val="222222"/>
                <w:sz w:val="15"/>
                <w:szCs w:val="15"/>
              </w:rPr>
              <w:t xml:space="preserve">Softer data strengthened the BoE-hold case; index rebounded to ~10,112</w:t>
            </w:r>
          </w:p>
        </w:tc>
      </w:tr>
      <w:tr>
        <w:trPr>
          <w:cantSplit/>
        </w:trPr>
        <w:tc>
          <w:tcPr>
            <w:tcW w:type="dxa" w:w="11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Wed 20 May</w:t>
            </w:r>
          </w:p>
        </w:tc>
        <w:tc>
          <w:tcPr>
            <w:tcW w:type="dxa" w:w="19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UK CPI release</w:t>
            </w:r>
          </w:p>
        </w:tc>
        <w:tc>
          <w:tcPr>
            <w:tcW w:type="dxa" w:w="19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Steeper-than-expected drop in inflation</w:t>
            </w:r>
          </w:p>
        </w:tc>
        <w:tc>
          <w:tcPr>
            <w:tcW w:type="dxa" w:w="8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High</w:t>
            </w:r>
          </w:p>
        </w:tc>
        <w:tc>
          <w:tcPr>
            <w:tcW w:type="dxa" w:w="36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Cooler CPI relieved rate fears; FTSE rallied strongly toward ~10,331</w:t>
            </w:r>
          </w:p>
        </w:tc>
      </w:tr>
      <w:tr>
        <w:trPr>
          <w:cantSplit/>
        </w:trPr>
        <w:tc>
          <w:tcPr>
            <w:tcW w:type="dxa" w:w="1100"/>
            <w:tcBorders>
              <w:top w:val="single" w:color="BBBBBB" w:sz="1"/>
              <w:left w:val="single" w:color="BBBBBB" w:sz="1"/>
              <w:bottom w:val="single" w:color="BBBBBB" w:sz="1"/>
              <w:right w:val="single" w:color="BBBBBB" w:sz="1"/>
            </w:tcBorders>
            <w:shd w:fill="F4F4F4" w:val="clear"/>
            <w:tcMar>
              <w:top w:type="dxa" w:w="70"/>
              <w:left w:type="dxa" w:w="110"/>
              <w:bottom w:type="dxa" w:w="70"/>
              <w:right w:type="dxa" w:w="110"/>
            </w:tcMar>
          </w:tcPr>
          <w:p>
            <w:pPr>
              <w:jc w:val="left"/>
            </w:pPr>
            <w:r>
              <w:rPr>
                <w:b w:val="false"/>
                <w:bCs w:val="false"/>
                <w:color w:val="222222"/>
                <w:sz w:val="15"/>
                <w:szCs w:val="15"/>
              </w:rPr>
              <w:t xml:space="preserve">Wed 20 May</w:t>
            </w:r>
          </w:p>
        </w:tc>
        <w:tc>
          <w:tcPr>
            <w:tcW w:type="dxa" w:w="1900"/>
            <w:tcBorders>
              <w:top w:val="single" w:color="BBBBBB" w:sz="1"/>
              <w:left w:val="single" w:color="BBBBBB" w:sz="1"/>
              <w:bottom w:val="single" w:color="BBBBBB" w:sz="1"/>
              <w:right w:val="single" w:color="BBBBBB" w:sz="1"/>
            </w:tcBorders>
            <w:shd w:fill="F4F4F4" w:val="clear"/>
            <w:tcMar>
              <w:top w:type="dxa" w:w="70"/>
              <w:left w:type="dxa" w:w="110"/>
              <w:bottom w:type="dxa" w:w="70"/>
              <w:right w:type="dxa" w:w="110"/>
            </w:tcMar>
          </w:tcPr>
          <w:p>
            <w:pPr>
              <w:jc w:val="left"/>
            </w:pPr>
            <w:r>
              <w:rPr>
                <w:b w:val="false"/>
                <w:bCs w:val="false"/>
                <w:color w:val="222222"/>
                <w:sz w:val="15"/>
                <w:szCs w:val="15"/>
              </w:rPr>
              <w:t xml:space="preserve">US–Iran de-escalation headlines</w:t>
            </w:r>
          </w:p>
        </w:tc>
        <w:tc>
          <w:tcPr>
            <w:tcW w:type="dxa" w:w="1900"/>
            <w:tcBorders>
              <w:top w:val="single" w:color="BBBBBB" w:sz="1"/>
              <w:left w:val="single" w:color="BBBBBB" w:sz="1"/>
              <w:bottom w:val="single" w:color="BBBBBB" w:sz="1"/>
              <w:right w:val="single" w:color="BBBBBB" w:sz="1"/>
            </w:tcBorders>
            <w:shd w:fill="F4F4F4" w:val="clear"/>
            <w:tcMar>
              <w:top w:type="dxa" w:w="70"/>
              <w:left w:type="dxa" w:w="110"/>
              <w:bottom w:type="dxa" w:w="70"/>
              <w:right w:type="dxa" w:w="110"/>
            </w:tcMar>
          </w:tcPr>
          <w:p>
            <w:pPr>
              <w:jc w:val="left"/>
            </w:pPr>
            <w:r>
              <w:rPr>
                <w:b w:val="false"/>
                <w:bCs w:val="false"/>
                <w:color w:val="222222"/>
                <w:sz w:val="15"/>
                <w:szCs w:val="15"/>
              </w:rPr>
              <w:t xml:space="preserve">Reported postponement of strike</w:t>
            </w:r>
          </w:p>
        </w:tc>
        <w:tc>
          <w:tcPr>
            <w:tcW w:type="dxa" w:w="800"/>
            <w:tcBorders>
              <w:top w:val="single" w:color="BBBBBB" w:sz="1"/>
              <w:left w:val="single" w:color="BBBBBB" w:sz="1"/>
              <w:bottom w:val="single" w:color="BBBBBB" w:sz="1"/>
              <w:right w:val="single" w:color="BBBBBB" w:sz="1"/>
            </w:tcBorders>
            <w:shd w:fill="F4F4F4" w:val="clear"/>
            <w:tcMar>
              <w:top w:type="dxa" w:w="70"/>
              <w:left w:type="dxa" w:w="110"/>
              <w:bottom w:type="dxa" w:w="70"/>
              <w:right w:type="dxa" w:w="110"/>
            </w:tcMar>
          </w:tcPr>
          <w:p>
            <w:pPr>
              <w:jc w:val="left"/>
            </w:pPr>
            <w:r>
              <w:rPr>
                <w:b w:val="false"/>
                <w:bCs w:val="false"/>
                <w:color w:val="222222"/>
                <w:sz w:val="15"/>
                <w:szCs w:val="15"/>
              </w:rPr>
              <w:t xml:space="preserve">High</w:t>
            </w:r>
          </w:p>
        </w:tc>
        <w:tc>
          <w:tcPr>
            <w:tcW w:type="dxa" w:w="3660"/>
            <w:tcBorders>
              <w:top w:val="single" w:color="BBBBBB" w:sz="1"/>
              <w:left w:val="single" w:color="BBBBBB" w:sz="1"/>
              <w:bottom w:val="single" w:color="BBBBBB" w:sz="1"/>
              <w:right w:val="single" w:color="BBBBBB" w:sz="1"/>
            </w:tcBorders>
            <w:shd w:fill="F4F4F4" w:val="clear"/>
            <w:tcMar>
              <w:top w:type="dxa" w:w="70"/>
              <w:left w:type="dxa" w:w="110"/>
              <w:bottom w:type="dxa" w:w="70"/>
              <w:right w:type="dxa" w:w="110"/>
            </w:tcMar>
          </w:tcPr>
          <w:p>
            <w:pPr>
              <w:jc w:val="left"/>
            </w:pPr>
            <w:r>
              <w:rPr>
                <w:b w:val="false"/>
                <w:bCs w:val="false"/>
                <w:color w:val="222222"/>
                <w:sz w:val="15"/>
                <w:szCs w:val="15"/>
              </w:rPr>
              <w:t xml:space="preserve">Risk-on follow-through; energy retreated modestly, broad index extended gains</w:t>
            </w:r>
          </w:p>
        </w:tc>
      </w:tr>
      <w:tr>
        <w:trPr>
          <w:cantSplit/>
        </w:trPr>
        <w:tc>
          <w:tcPr>
            <w:tcW w:type="dxa" w:w="11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Thu 21 May</w:t>
            </w:r>
          </w:p>
        </w:tc>
        <w:tc>
          <w:tcPr>
            <w:tcW w:type="dxa" w:w="19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Rebound consolidation</w:t>
            </w:r>
          </w:p>
        </w:tc>
        <w:tc>
          <w:tcPr>
            <w:tcW w:type="dxa" w:w="19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Three-day rally maturing</w:t>
            </w:r>
          </w:p>
        </w:tc>
        <w:tc>
          <w:tcPr>
            <w:tcW w:type="dxa" w:w="8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Medium</w:t>
            </w:r>
          </w:p>
        </w:tc>
        <w:tc>
          <w:tcPr>
            <w:tcW w:type="dxa" w:w="36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Index added a further ~0.1% to 10,443 on a narrower range — momentum moderating</w:t>
            </w:r>
          </w:p>
        </w:tc>
      </w:tr>
    </w:tbl>
    <w:p>
      <w:pPr>
        <w:spacing w:after="60"/>
      </w:pPr>
      <w:r>
        <w:t xml:space="preserve"/>
      </w:r>
    </w:p>
    <w:p>
      <w:pPr>
        <w:pStyle w:val="Heading3"/>
      </w:pPr>
      <w:r>
        <w:t xml:space="preserve">13d.  News Calendar — Upcoming Period  (next 5 trading 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900"/>
        <w:gridCol w:w="1800"/>
        <w:gridCol w:w="800"/>
        <w:gridCol w:w="3760"/>
      </w:tblGrid>
      <w:tr>
        <w:trPr>
          <w:tblHeader/>
        </w:trPr>
        <w:tc>
          <w:tcPr>
            <w:tcW w:type="dxa" w:w="1100"/>
            <w:tcBorders>
              <w:top w:val="single" w:color="BBBBBB" w:sz="1"/>
              <w:left w:val="single" w:color="BBBBBB" w:sz="1"/>
              <w:bottom w:val="single" w:color="BBBBBB" w:sz="1"/>
              <w:right w:val="single" w:color="BBBBBB" w:sz="1"/>
            </w:tcBorders>
            <w:shd w:fill="1F3864" w:val="clear"/>
            <w:tcMar>
              <w:top w:type="dxa" w:w="70"/>
              <w:left w:type="dxa" w:w="110"/>
              <w:bottom w:type="dxa" w:w="70"/>
              <w:right w:type="dxa" w:w="110"/>
            </w:tcMar>
          </w:tcPr>
          <w:p>
            <w:pPr>
              <w:jc w:val="left"/>
            </w:pPr>
            <w:r>
              <w:rPr>
                <w:b/>
                <w:bCs/>
                <w:color w:val="FFFFFF"/>
                <w:sz w:val="16"/>
                <w:szCs w:val="16"/>
              </w:rPr>
              <w:t xml:space="preserve">Date</w:t>
            </w:r>
          </w:p>
        </w:tc>
        <w:tc>
          <w:tcPr>
            <w:tcW w:type="dxa" w:w="1900"/>
            <w:tcBorders>
              <w:top w:val="single" w:color="BBBBBB" w:sz="1"/>
              <w:left w:val="single" w:color="BBBBBB" w:sz="1"/>
              <w:bottom w:val="single" w:color="BBBBBB" w:sz="1"/>
              <w:right w:val="single" w:color="BBBBBB" w:sz="1"/>
            </w:tcBorders>
            <w:shd w:fill="1F3864" w:val="clear"/>
            <w:tcMar>
              <w:top w:type="dxa" w:w="70"/>
              <w:left w:type="dxa" w:w="110"/>
              <w:bottom w:type="dxa" w:w="70"/>
              <w:right w:type="dxa" w:w="110"/>
            </w:tcMar>
          </w:tcPr>
          <w:p>
            <w:pPr>
              <w:jc w:val="left"/>
            </w:pPr>
            <w:r>
              <w:rPr>
                <w:b/>
                <w:bCs/>
                <w:color w:val="FFFFFF"/>
                <w:sz w:val="16"/>
                <w:szCs w:val="16"/>
              </w:rPr>
              <w:t xml:space="preserve">Event</w:t>
            </w:r>
          </w:p>
        </w:tc>
        <w:tc>
          <w:tcPr>
            <w:tcW w:type="dxa" w:w="1800"/>
            <w:tcBorders>
              <w:top w:val="single" w:color="BBBBBB" w:sz="1"/>
              <w:left w:val="single" w:color="BBBBBB" w:sz="1"/>
              <w:bottom w:val="single" w:color="BBBBBB" w:sz="1"/>
              <w:right w:val="single" w:color="BBBBBB" w:sz="1"/>
            </w:tcBorders>
            <w:shd w:fill="1F3864" w:val="clear"/>
            <w:tcMar>
              <w:top w:type="dxa" w:w="70"/>
              <w:left w:type="dxa" w:w="110"/>
              <w:bottom w:type="dxa" w:w="70"/>
              <w:right w:type="dxa" w:w="110"/>
            </w:tcMar>
          </w:tcPr>
          <w:p>
            <w:pPr>
              <w:jc w:val="left"/>
            </w:pPr>
            <w:r>
              <w:rPr>
                <w:b/>
                <w:bCs/>
                <w:color w:val="FFFFFF"/>
                <w:sz w:val="16"/>
                <w:szCs w:val="16"/>
              </w:rPr>
              <w:t xml:space="preserve">Context</w:t>
            </w:r>
          </w:p>
        </w:tc>
        <w:tc>
          <w:tcPr>
            <w:tcW w:type="dxa" w:w="800"/>
            <w:tcBorders>
              <w:top w:val="single" w:color="BBBBBB" w:sz="1"/>
              <w:left w:val="single" w:color="BBBBBB" w:sz="1"/>
              <w:bottom w:val="single" w:color="BBBBBB" w:sz="1"/>
              <w:right w:val="single" w:color="BBBBBB" w:sz="1"/>
            </w:tcBorders>
            <w:shd w:fill="1F3864" w:val="clear"/>
            <w:tcMar>
              <w:top w:type="dxa" w:w="70"/>
              <w:left w:type="dxa" w:w="110"/>
              <w:bottom w:type="dxa" w:w="70"/>
              <w:right w:type="dxa" w:w="110"/>
            </w:tcMar>
          </w:tcPr>
          <w:p>
            <w:pPr>
              <w:jc w:val="left"/>
            </w:pPr>
            <w:r>
              <w:rPr>
                <w:b/>
                <w:bCs/>
                <w:color w:val="FFFFFF"/>
                <w:sz w:val="16"/>
                <w:szCs w:val="16"/>
              </w:rPr>
              <w:t xml:space="preserve">Impact</w:t>
            </w:r>
          </w:p>
        </w:tc>
        <w:tc>
          <w:tcPr>
            <w:tcW w:type="dxa" w:w="3760"/>
            <w:tcBorders>
              <w:top w:val="single" w:color="BBBBBB" w:sz="1"/>
              <w:left w:val="single" w:color="BBBBBB" w:sz="1"/>
              <w:bottom w:val="single" w:color="BBBBBB" w:sz="1"/>
              <w:right w:val="single" w:color="BBBBBB" w:sz="1"/>
            </w:tcBorders>
            <w:shd w:fill="1F3864" w:val="clear"/>
            <w:tcMar>
              <w:top w:type="dxa" w:w="70"/>
              <w:left w:type="dxa" w:w="110"/>
              <w:bottom w:type="dxa" w:w="70"/>
              <w:right w:type="dxa" w:w="110"/>
            </w:tcMar>
          </w:tcPr>
          <w:p>
            <w:pPr>
              <w:jc w:val="left"/>
            </w:pPr>
            <w:r>
              <w:rPr>
                <w:b/>
                <w:bCs/>
                <w:color w:val="FFFFFF"/>
                <w:sz w:val="16"/>
                <w:szCs w:val="16"/>
              </w:rPr>
              <w:t xml:space="preserve">Market implication for FTSE 100</w:t>
            </w:r>
          </w:p>
        </w:tc>
      </w:tr>
      <w:tr>
        <w:trPr>
          <w:cantSplit/>
        </w:trPr>
        <w:tc>
          <w:tcPr>
            <w:tcW w:type="dxa" w:w="11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bCs/>
                <w:color w:val="222222"/>
                <w:sz w:val="15"/>
                <w:szCs w:val="15"/>
              </w:rPr>
              <w:t xml:space="preserve">Wk of 25 May</w:t>
            </w:r>
          </w:p>
        </w:tc>
        <w:tc>
          <w:tcPr>
            <w:tcW w:type="dxa" w:w="19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bCs/>
                <w:color w:val="222222"/>
                <w:sz w:val="15"/>
                <w:szCs w:val="15"/>
              </w:rPr>
              <w:t xml:space="preserve">Bank of England policy commentary / signals</w:t>
            </w:r>
          </w:p>
        </w:tc>
        <w:tc>
          <w:tcPr>
            <w:tcW w:type="dxa" w:w="18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Rate held; market pricing pared toward ~2 hikes</w:t>
            </w:r>
          </w:p>
        </w:tc>
        <w:tc>
          <w:tcPr>
            <w:tcW w:type="dxa" w:w="8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High</w:t>
            </w:r>
          </w:p>
        </w:tc>
        <w:tc>
          <w:tcPr>
            <w:tcW w:type="dxa" w:w="37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bCs/>
                <w:color w:val="222222"/>
                <w:sz w:val="15"/>
                <w:szCs w:val="15"/>
              </w:rPr>
              <w:t xml:space="preserve">Highest-impact item. A hawkish signal pressures valuations and domestic names; a dovish tilt would extend the rebound.</w:t>
            </w:r>
          </w:p>
        </w:tc>
      </w:tr>
      <w:tr>
        <w:trPr>
          <w:cantSplit/>
        </w:trPr>
        <w:tc>
          <w:tcPr>
            <w:tcW w:type="dxa" w:w="1100"/>
            <w:tcBorders>
              <w:top w:val="single" w:color="BBBBBB" w:sz="1"/>
              <w:left w:val="single" w:color="BBBBBB" w:sz="1"/>
              <w:bottom w:val="single" w:color="BBBBBB" w:sz="1"/>
              <w:right w:val="single" w:color="BBBBBB" w:sz="1"/>
            </w:tcBorders>
            <w:shd w:fill="F4F4F4" w:val="clear"/>
            <w:tcMar>
              <w:top w:type="dxa" w:w="70"/>
              <w:left w:type="dxa" w:w="110"/>
              <w:bottom w:type="dxa" w:w="70"/>
              <w:right w:type="dxa" w:w="110"/>
            </w:tcMar>
          </w:tcPr>
          <w:p>
            <w:pPr>
              <w:jc w:val="left"/>
            </w:pPr>
            <w:r>
              <w:rPr>
                <w:b w:val="false"/>
                <w:bCs w:val="false"/>
                <w:color w:val="222222"/>
                <w:sz w:val="15"/>
                <w:szCs w:val="15"/>
              </w:rPr>
              <w:t xml:space="preserve">Ongoing</w:t>
            </w:r>
          </w:p>
        </w:tc>
        <w:tc>
          <w:tcPr>
            <w:tcW w:type="dxa" w:w="1900"/>
            <w:tcBorders>
              <w:top w:val="single" w:color="BBBBBB" w:sz="1"/>
              <w:left w:val="single" w:color="BBBBBB" w:sz="1"/>
              <w:bottom w:val="single" w:color="BBBBBB" w:sz="1"/>
              <w:right w:val="single" w:color="BBBBBB" w:sz="1"/>
            </w:tcBorders>
            <w:shd w:fill="F4F4F4" w:val="clear"/>
            <w:tcMar>
              <w:top w:type="dxa" w:w="70"/>
              <w:left w:type="dxa" w:w="110"/>
              <w:bottom w:type="dxa" w:w="70"/>
              <w:right w:type="dxa" w:w="110"/>
            </w:tcMar>
          </w:tcPr>
          <w:p>
            <w:pPr>
              <w:jc w:val="left"/>
            </w:pPr>
            <w:r>
              <w:rPr>
                <w:b w:val="false"/>
                <w:bCs w:val="false"/>
                <w:color w:val="222222"/>
                <w:sz w:val="15"/>
                <w:szCs w:val="15"/>
              </w:rPr>
              <w:t xml:space="preserve">US–Iran negotiation track</w:t>
            </w:r>
          </w:p>
        </w:tc>
        <w:tc>
          <w:tcPr>
            <w:tcW w:type="dxa" w:w="1800"/>
            <w:tcBorders>
              <w:top w:val="single" w:color="BBBBBB" w:sz="1"/>
              <w:left w:val="single" w:color="BBBBBB" w:sz="1"/>
              <w:bottom w:val="single" w:color="BBBBBB" w:sz="1"/>
              <w:right w:val="single" w:color="BBBBBB" w:sz="1"/>
            </w:tcBorders>
            <w:shd w:fill="F4F4F4" w:val="clear"/>
            <w:tcMar>
              <w:top w:type="dxa" w:w="70"/>
              <w:left w:type="dxa" w:w="110"/>
              <w:bottom w:type="dxa" w:w="70"/>
              <w:right w:type="dxa" w:w="110"/>
            </w:tcMar>
          </w:tcPr>
          <w:p>
            <w:pPr>
              <w:jc w:val="left"/>
            </w:pPr>
            <w:r>
              <w:rPr>
                <w:b w:val="false"/>
                <w:bCs w:val="false"/>
                <w:color w:val="222222"/>
                <w:sz w:val="15"/>
                <w:szCs w:val="15"/>
              </w:rPr>
              <w:t xml:space="preserve">De-escalation drove the rebound</w:t>
            </w:r>
          </w:p>
        </w:tc>
        <w:tc>
          <w:tcPr>
            <w:tcW w:type="dxa" w:w="800"/>
            <w:tcBorders>
              <w:top w:val="single" w:color="BBBBBB" w:sz="1"/>
              <w:left w:val="single" w:color="BBBBBB" w:sz="1"/>
              <w:bottom w:val="single" w:color="BBBBBB" w:sz="1"/>
              <w:right w:val="single" w:color="BBBBBB" w:sz="1"/>
            </w:tcBorders>
            <w:shd w:fill="F4F4F4" w:val="clear"/>
            <w:tcMar>
              <w:top w:type="dxa" w:w="70"/>
              <w:left w:type="dxa" w:w="110"/>
              <w:bottom w:type="dxa" w:w="70"/>
              <w:right w:type="dxa" w:w="110"/>
            </w:tcMar>
          </w:tcPr>
          <w:p>
            <w:pPr>
              <w:jc w:val="left"/>
            </w:pPr>
            <w:r>
              <w:rPr>
                <w:b w:val="false"/>
                <w:bCs w:val="false"/>
                <w:color w:val="222222"/>
                <w:sz w:val="15"/>
                <w:szCs w:val="15"/>
              </w:rPr>
              <w:t xml:space="preserve">High</w:t>
            </w:r>
          </w:p>
        </w:tc>
        <w:tc>
          <w:tcPr>
            <w:tcW w:type="dxa" w:w="3760"/>
            <w:tcBorders>
              <w:top w:val="single" w:color="BBBBBB" w:sz="1"/>
              <w:left w:val="single" w:color="BBBBBB" w:sz="1"/>
              <w:bottom w:val="single" w:color="BBBBBB" w:sz="1"/>
              <w:right w:val="single" w:color="BBBBBB" w:sz="1"/>
            </w:tcBorders>
            <w:shd w:fill="F4F4F4" w:val="clear"/>
            <w:tcMar>
              <w:top w:type="dxa" w:w="70"/>
              <w:left w:type="dxa" w:w="110"/>
              <w:bottom w:type="dxa" w:w="70"/>
              <w:right w:type="dxa" w:w="110"/>
            </w:tcMar>
          </w:tcPr>
          <w:p>
            <w:pPr>
              <w:jc w:val="left"/>
            </w:pPr>
            <w:r>
              <w:rPr>
                <w:b w:val="false"/>
                <w:bCs w:val="false"/>
                <w:color w:val="222222"/>
                <w:sz w:val="15"/>
                <w:szCs w:val="15"/>
              </w:rPr>
              <w:t xml:space="preserve">Breakdown → Brent toward $110+, energy up but broad index down; progress → transport/consumer relief</w:t>
            </w:r>
          </w:p>
        </w:tc>
      </w:tr>
      <w:tr>
        <w:trPr>
          <w:cantSplit/>
        </w:trPr>
        <w:tc>
          <w:tcPr>
            <w:tcW w:type="dxa" w:w="11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Wk of 25 May</w:t>
            </w:r>
          </w:p>
        </w:tc>
        <w:tc>
          <w:tcPr>
            <w:tcW w:type="dxa" w:w="19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Eurozone inflation / activity data</w:t>
            </w:r>
          </w:p>
        </w:tc>
        <w:tc>
          <w:tcPr>
            <w:tcW w:type="dxa" w:w="18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ECB policy path in focus</w:t>
            </w:r>
          </w:p>
        </w:tc>
        <w:tc>
          <w:tcPr>
            <w:tcW w:type="dxa" w:w="8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Medium</w:t>
            </w:r>
          </w:p>
        </w:tc>
        <w:tc>
          <w:tcPr>
            <w:tcW w:type="dxa" w:w="37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Read-through to EURO STOXX 50 and the regional risk tone</w:t>
            </w:r>
          </w:p>
        </w:tc>
      </w:tr>
      <w:tr>
        <w:trPr>
          <w:cantSplit/>
        </w:trPr>
        <w:tc>
          <w:tcPr>
            <w:tcW w:type="dxa" w:w="1100"/>
            <w:tcBorders>
              <w:top w:val="single" w:color="BBBBBB" w:sz="1"/>
              <w:left w:val="single" w:color="BBBBBB" w:sz="1"/>
              <w:bottom w:val="single" w:color="BBBBBB" w:sz="1"/>
              <w:right w:val="single" w:color="BBBBBB" w:sz="1"/>
            </w:tcBorders>
            <w:shd w:fill="F4F4F4" w:val="clear"/>
            <w:tcMar>
              <w:top w:type="dxa" w:w="70"/>
              <w:left w:type="dxa" w:w="110"/>
              <w:bottom w:type="dxa" w:w="70"/>
              <w:right w:type="dxa" w:w="110"/>
            </w:tcMar>
          </w:tcPr>
          <w:p>
            <w:pPr>
              <w:jc w:val="left"/>
            </w:pPr>
            <w:r>
              <w:rPr>
                <w:b w:val="false"/>
                <w:bCs w:val="false"/>
                <w:color w:val="222222"/>
                <w:sz w:val="15"/>
                <w:szCs w:val="15"/>
              </w:rPr>
              <w:t xml:space="preserve">Wk of 25 May</w:t>
            </w:r>
          </w:p>
        </w:tc>
        <w:tc>
          <w:tcPr>
            <w:tcW w:type="dxa" w:w="1900"/>
            <w:tcBorders>
              <w:top w:val="single" w:color="BBBBBB" w:sz="1"/>
              <w:left w:val="single" w:color="BBBBBB" w:sz="1"/>
              <w:bottom w:val="single" w:color="BBBBBB" w:sz="1"/>
              <w:right w:val="single" w:color="BBBBBB" w:sz="1"/>
            </w:tcBorders>
            <w:shd w:fill="F4F4F4" w:val="clear"/>
            <w:tcMar>
              <w:top w:type="dxa" w:w="70"/>
              <w:left w:type="dxa" w:w="110"/>
              <w:bottom w:type="dxa" w:w="70"/>
              <w:right w:type="dxa" w:w="110"/>
            </w:tcMar>
          </w:tcPr>
          <w:p>
            <w:pPr>
              <w:jc w:val="left"/>
            </w:pPr>
            <w:r>
              <w:rPr>
                <w:b w:val="false"/>
                <w:bCs w:val="false"/>
                <w:color w:val="222222"/>
                <w:sz w:val="15"/>
                <w:szCs w:val="15"/>
              </w:rPr>
              <w:t xml:space="preserve">UK gilt auctions / fiscal headlines</w:t>
            </w:r>
          </w:p>
        </w:tc>
        <w:tc>
          <w:tcPr>
            <w:tcW w:type="dxa" w:w="1800"/>
            <w:tcBorders>
              <w:top w:val="single" w:color="BBBBBB" w:sz="1"/>
              <w:left w:val="single" w:color="BBBBBB" w:sz="1"/>
              <w:bottom w:val="single" w:color="BBBBBB" w:sz="1"/>
              <w:right w:val="single" w:color="BBBBBB" w:sz="1"/>
            </w:tcBorders>
            <w:shd w:fill="F4F4F4" w:val="clear"/>
            <w:tcMar>
              <w:top w:type="dxa" w:w="70"/>
              <w:left w:type="dxa" w:w="110"/>
              <w:bottom w:type="dxa" w:w="70"/>
              <w:right w:type="dxa" w:w="110"/>
            </w:tcMar>
          </w:tcPr>
          <w:p>
            <w:pPr>
              <w:jc w:val="left"/>
            </w:pPr>
            <w:r>
              <w:rPr>
                <w:b w:val="false"/>
                <w:bCs w:val="false"/>
                <w:color w:val="222222"/>
                <w:sz w:val="15"/>
                <w:szCs w:val="15"/>
              </w:rPr>
              <w:t xml:space="preserve">10-year pressing ~5%</w:t>
            </w:r>
          </w:p>
        </w:tc>
        <w:tc>
          <w:tcPr>
            <w:tcW w:type="dxa" w:w="800"/>
            <w:tcBorders>
              <w:top w:val="single" w:color="BBBBBB" w:sz="1"/>
              <w:left w:val="single" w:color="BBBBBB" w:sz="1"/>
              <w:bottom w:val="single" w:color="BBBBBB" w:sz="1"/>
              <w:right w:val="single" w:color="BBBBBB" w:sz="1"/>
            </w:tcBorders>
            <w:shd w:fill="F4F4F4" w:val="clear"/>
            <w:tcMar>
              <w:top w:type="dxa" w:w="70"/>
              <w:left w:type="dxa" w:w="110"/>
              <w:bottom w:type="dxa" w:w="70"/>
              <w:right w:type="dxa" w:w="110"/>
            </w:tcMar>
          </w:tcPr>
          <w:p>
            <w:pPr>
              <w:jc w:val="left"/>
            </w:pPr>
            <w:r>
              <w:rPr>
                <w:b w:val="false"/>
                <w:bCs w:val="false"/>
                <w:color w:val="222222"/>
                <w:sz w:val="15"/>
                <w:szCs w:val="15"/>
              </w:rPr>
              <w:t xml:space="preserve">Medium</w:t>
            </w:r>
          </w:p>
        </w:tc>
        <w:tc>
          <w:tcPr>
            <w:tcW w:type="dxa" w:w="3760"/>
            <w:tcBorders>
              <w:top w:val="single" w:color="BBBBBB" w:sz="1"/>
              <w:left w:val="single" w:color="BBBBBB" w:sz="1"/>
              <w:bottom w:val="single" w:color="BBBBBB" w:sz="1"/>
              <w:right w:val="single" w:color="BBBBBB" w:sz="1"/>
            </w:tcBorders>
            <w:shd w:fill="F4F4F4" w:val="clear"/>
            <w:tcMar>
              <w:top w:type="dxa" w:w="70"/>
              <w:left w:type="dxa" w:w="110"/>
              <w:bottom w:type="dxa" w:w="70"/>
              <w:right w:type="dxa" w:w="110"/>
            </w:tcMar>
          </w:tcPr>
          <w:p>
            <w:pPr>
              <w:jc w:val="left"/>
            </w:pPr>
            <w:r>
              <w:rPr>
                <w:b w:val="false"/>
                <w:bCs w:val="false"/>
                <w:color w:val="222222"/>
                <w:sz w:val="15"/>
                <w:szCs w:val="15"/>
              </w:rPr>
              <w:t xml:space="preserve">Further gilt stress weighs on valuations; sterling moves cut both ways for the index</w:t>
            </w:r>
          </w:p>
        </w:tc>
      </w:tr>
      <w:tr>
        <w:trPr>
          <w:cantSplit/>
        </w:trPr>
        <w:tc>
          <w:tcPr>
            <w:tcW w:type="dxa" w:w="11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Ongoing</w:t>
            </w:r>
          </w:p>
        </w:tc>
        <w:tc>
          <w:tcPr>
            <w:tcW w:type="dxa" w:w="19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Brent crude price action</w:t>
            </w:r>
          </w:p>
        </w:tc>
        <w:tc>
          <w:tcPr>
            <w:tcW w:type="dxa" w:w="18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Near four-year highs above $104</w:t>
            </w:r>
          </w:p>
        </w:tc>
        <w:tc>
          <w:tcPr>
            <w:tcW w:type="dxa" w:w="8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Medium</w:t>
            </w:r>
          </w:p>
        </w:tc>
        <w:tc>
          <w:tcPr>
            <w:tcW w:type="dxa" w:w="37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Direct driver of the FTSE's heavy energy weighting</w:t>
            </w:r>
          </w:p>
        </w:tc>
      </w:tr>
    </w:tbl>
    <w:p>
      <w:pPr>
        <w:spacing w:after="60"/>
      </w:pPr>
      <w:r>
        <w:t xml:space="preserve"/>
      </w:r>
    </w:p>
    <w:p>
      <w:pPr>
        <w:spacing w:after="120" w:line="276"/>
        <w:jc w:val="both"/>
      </w:pPr>
      <w:r>
        <w:rPr>
          <w:b/>
          <w:bCs/>
        </w:rPr>
        <w:t xml:space="preserve">Highest-impact upcoming event: the Bank of England policy track. </w:t>
      </w:r>
      <w:r>
        <w:t xml:space="preserve">A hawkish surprise would most directly threaten the consensus view by lifting discount rates and pressuring the rate-sensitive and domestically geared parts of the index just as the rebound is trying to confirm.</w:t>
      </w:r>
    </w:p>
    <w:p>
      <w:r>
        <w:br w:type="page"/>
      </w:r>
    </w:p>
    <w:p>
      <w:pPr>
        <w:pStyle w:val="Heading1"/>
      </w:pPr>
      <w:r>
        <w:t xml:space="preserve">14.  Macro Context</w:t>
      </w:r>
    </w:p>
    <w:p>
      <w:pPr>
        <w:pBdr>
          <w:bottom w:val="single" w:color="2E5E9E" w:sz="6" w:space="1"/>
        </w:pBdr>
        <w:spacing w:after="120"/>
      </w:pPr>
    </w:p>
    <w:p>
      <w:pPr>
        <w:pStyle w:val="ListParagraph"/>
        <w:numPr>
          <w:ilvl w:val="0"/>
          <w:numId w:val="2"/>
        </w:numPr>
        <w:spacing w:after="60" w:line="264"/>
      </w:pPr>
      <w:r>
        <w:rPr>
          <w:b/>
          <w:bCs/>
        </w:rPr>
        <w:t xml:space="preserve">Rates &amp; monetary policy. </w:t>
      </w:r>
      <w:r>
        <w:t xml:space="preserve">The Bank of England has held its policy rate and signalled data-dependence; markets price roughly two hikes by year-end, having pared earlier easing expectations as energy-driven inflation risk re-emerged. Higher-for-longer is a structural valuation headwind for the FTSE 100.</w:t>
      </w:r>
    </w:p>
    <w:p>
      <w:pPr>
        <w:pStyle w:val="ListParagraph"/>
        <w:numPr>
          <w:ilvl w:val="0"/>
          <w:numId w:val="2"/>
        </w:numPr>
        <w:spacing w:after="60" w:line="264"/>
      </w:pPr>
      <w:r>
        <w:rPr>
          <w:b/>
          <w:bCs/>
        </w:rPr>
        <w:t xml:space="preserve">Inflation. </w:t>
      </w:r>
      <w:r>
        <w:t xml:space="preserve">UK CPI near 3.3% with upside energy risk; the recent steeper-than-expected CPI drop was a near-term relief and part of the rebound trigger. Net assessment for the index: neutral, having briefly been supportive.</w:t>
      </w:r>
    </w:p>
    <w:p>
      <w:pPr>
        <w:pStyle w:val="ListParagraph"/>
        <w:numPr>
          <w:ilvl w:val="0"/>
          <w:numId w:val="2"/>
        </w:numPr>
        <w:spacing w:after="60" w:line="264"/>
      </w:pPr>
      <w:r>
        <w:rPr>
          <w:b/>
          <w:bCs/>
        </w:rPr>
        <w:t xml:space="preserve">Liquidity &amp; FX. </w:t>
      </w:r>
      <w:r>
        <w:t xml:space="preserve">Cross-referencing the §10 USDX read: the dollar is firm and sterling soft. For the FTSE this is a supportive channel — overseas earnings translate to more pounds — even though the same weakness signals domestic fragility.</w:t>
      </w:r>
    </w:p>
    <w:p>
      <w:pPr>
        <w:pStyle w:val="ListParagraph"/>
        <w:numPr>
          <w:ilvl w:val="0"/>
          <w:numId w:val="2"/>
        </w:numPr>
        <w:spacing w:after="60" w:line="264"/>
      </w:pPr>
      <w:r>
        <w:rPr>
          <w:b/>
          <w:bCs/>
        </w:rPr>
        <w:t xml:space="preserve">Energy. </w:t>
      </w:r>
      <w:r>
        <w:t xml:space="preserve">Cross-referencing §10: Brent above $104 sustains energy-major cash flows. This is the clearest macro support specific to the FTSE's composition.</w:t>
      </w:r>
    </w:p>
    <w:p>
      <w:pPr>
        <w:pStyle w:val="ListParagraph"/>
        <w:numPr>
          <w:ilvl w:val="0"/>
          <w:numId w:val="2"/>
        </w:numPr>
        <w:spacing w:after="60" w:line="264"/>
      </w:pPr>
      <w:r>
        <w:rPr>
          <w:b/>
          <w:bCs/>
        </w:rPr>
        <w:t xml:space="preserve">Safe-haven / real yields. </w:t>
      </w:r>
      <w:r>
        <w:t xml:space="preserve">Gold has held firm in 2026 (UK pricing around £3,430–£3,460/oz, up sharply year-on-year), consistent with persistent geopolitical and inflation premia rather than a clean risk-on backdrop — a reminder the rebound sits on an anxious foundation.</w:t>
      </w:r>
    </w:p>
    <w:p>
      <w:pPr>
        <w:pStyle w:val="ListParagraph"/>
        <w:numPr>
          <w:ilvl w:val="0"/>
          <w:numId w:val="2"/>
        </w:numPr>
        <w:spacing w:after="60" w:line="264"/>
      </w:pPr>
      <w:r>
        <w:rPr>
          <w:b/>
          <w:bCs/>
        </w:rPr>
        <w:t xml:space="preserve">Positioning. </w:t>
      </w:r>
      <w:r>
        <w:t xml:space="preserve">Equity volatility gauges are moderate (VIX around 17); the §9 VOLator shows volatility expanding off lows. UK gilt yields near 5% are the standout stress point in the macro picture.</w:t>
      </w:r>
    </w:p>
    <w:p>
      <w:pPr>
        <w:spacing w:after="60"/>
      </w:pPr>
      <w:r>
        <w:t xml:space="preserve"/>
      </w:r>
    </w:p>
    <w:p>
      <w:pPr>
        <w:spacing w:after="120" w:line="276"/>
        <w:jc w:val="both"/>
      </w:pPr>
      <w:r>
        <w:rPr>
          <w:b/>
          <w:bCs/>
        </w:rPr>
        <w:t xml:space="preserve">Upcoming-event cross-reference. </w:t>
      </w:r>
      <w:r>
        <w:t xml:space="preserve">The §13d Bank of England item is the macro watch item: a hawkish surprise would raise the rate and FX variables in this section against the index. The macro narrative is consistent with the §10 cross-asset reads — no contradiction to flag beyond the DAX 40 non-confirmation already recorded.</w:t>
      </w:r>
    </w:p>
    <w:p>
      <w:r>
        <w:br w:type="page"/>
      </w:r>
    </w:p>
    <w:p>
      <w:pPr>
        <w:pStyle w:val="Heading1"/>
      </w:pPr>
      <w:r>
        <w:t xml:space="preserve">15.  Bull / Bear Balance</w:t>
      </w:r>
    </w:p>
    <w:p>
      <w:pPr>
        <w:pBdr>
          <w:bottom w:val="single" w:color="2E5E9E" w:sz="6" w:space="1"/>
        </w:pBd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1"/>
              <w:left w:val="single" w:color="BBBBBB" w:sz="1"/>
              <w:bottom w:val="single" w:color="BBBBBB" w:sz="1"/>
              <w:right w:val="single" w:color="BBBBBB" w:sz="1"/>
            </w:tcBorders>
            <w:shd w:fill="1F3864" w:val="clear"/>
            <w:tcMar>
              <w:top w:type="dxa" w:w="70"/>
              <w:left w:type="dxa" w:w="110"/>
              <w:bottom w:type="dxa" w:w="70"/>
              <w:right w:type="dxa" w:w="110"/>
            </w:tcMar>
          </w:tcPr>
          <w:p>
            <w:pPr>
              <w:jc w:val="left"/>
            </w:pPr>
            <w:r>
              <w:rPr>
                <w:b/>
                <w:bCs/>
                <w:color w:val="FFFFFF"/>
                <w:sz w:val="16"/>
                <w:szCs w:val="16"/>
              </w:rPr>
              <w:t xml:space="preserve">Upside risks (bull case)</w:t>
            </w:r>
          </w:p>
        </w:tc>
        <w:tc>
          <w:tcPr>
            <w:tcW w:type="dxa" w:w="4680"/>
            <w:tcBorders>
              <w:top w:val="single" w:color="BBBBBB" w:sz="1"/>
              <w:left w:val="single" w:color="BBBBBB" w:sz="1"/>
              <w:bottom w:val="single" w:color="BBBBBB" w:sz="1"/>
              <w:right w:val="single" w:color="BBBBBB" w:sz="1"/>
            </w:tcBorders>
            <w:shd w:fill="1F3864" w:val="clear"/>
            <w:tcMar>
              <w:top w:type="dxa" w:w="70"/>
              <w:left w:type="dxa" w:w="110"/>
              <w:bottom w:type="dxa" w:w="70"/>
              <w:right w:type="dxa" w:w="110"/>
            </w:tcMar>
          </w:tcPr>
          <w:p>
            <w:pPr>
              <w:jc w:val="left"/>
            </w:pPr>
            <w:r>
              <w:rPr>
                <w:b/>
                <w:bCs/>
                <w:color w:val="FFFFFF"/>
                <w:sz w:val="16"/>
                <w:szCs w:val="16"/>
              </w:rPr>
              <w:t xml:space="preserve">Downside risks (bear case)</w:t>
            </w:r>
          </w:p>
        </w:tc>
      </w:tr>
      <w:tr>
        <w:trPr>
          <w:cantSplit/>
        </w:trPr>
        <w:tc>
          <w:tcPr>
            <w:tcW w:type="dxa" w:w="468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color w:val="222222"/>
                <w:sz w:val="15"/>
                <w:szCs w:val="15"/>
              </w:rPr>
              <w:t xml:space="preserve">Momentum &amp; structure. Three consecutive higher closes, RSI2 pinned at 100, and a close above daily R1, weekly R1 and the monthly pivot — the 10,415 pivot confluence (§11) now acts as support.</w:t>
            </w:r>
          </w:p>
        </w:tc>
        <w:tc>
          <w:tcPr>
            <w:tcW w:type="dxa" w:w="468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color w:val="222222"/>
                <w:sz w:val="15"/>
                <w:szCs w:val="15"/>
              </w:rPr>
              <w:t xml:space="preserve">Regime caution. The medium-term regime is Transitional and the Kaufman ratio is Ranging-Neutral (−0.07): the rebound is fast but inefficient and has not been retested (§9).</w:t>
            </w:r>
          </w:p>
        </w:tc>
      </w:tr>
      <w:tr>
        <w:trPr>
          <w:cantSplit/>
        </w:trPr>
        <w:tc>
          <w:tcPr>
            <w:tcW w:type="dxa" w:w="4680"/>
            <w:tcBorders>
              <w:top w:val="single" w:color="BBBBBB" w:sz="1"/>
              <w:left w:val="single" w:color="BBBBBB" w:sz="1"/>
              <w:bottom w:val="single" w:color="BBBBBB" w:sz="1"/>
              <w:right w:val="single" w:color="BBBBBB" w:sz="1"/>
            </w:tcBorders>
            <w:shd w:fill="F4F4F4" w:val="clear"/>
            <w:tcMar>
              <w:top w:type="dxa" w:w="70"/>
              <w:left w:type="dxa" w:w="110"/>
              <w:bottom w:type="dxa" w:w="70"/>
              <w:right w:type="dxa" w:w="110"/>
            </w:tcMar>
          </w:tcPr>
          <w:p>
            <w:pPr>
              <w:jc w:val="left"/>
            </w:pPr>
            <w:r>
              <w:rPr>
                <w:color w:val="222222"/>
                <w:sz w:val="15"/>
                <w:szCs w:val="15"/>
              </w:rPr>
              <w:t xml:space="preserve">Energy tailwind. Brent above $104 sustains Shell/BP cash flows — a structural cushion under the index (§12).</w:t>
            </w:r>
          </w:p>
        </w:tc>
        <w:tc>
          <w:tcPr>
            <w:tcW w:type="dxa" w:w="4680"/>
            <w:tcBorders>
              <w:top w:val="single" w:color="BBBBBB" w:sz="1"/>
              <w:left w:val="single" w:color="BBBBBB" w:sz="1"/>
              <w:bottom w:val="single" w:color="BBBBBB" w:sz="1"/>
              <w:right w:val="single" w:color="BBBBBB" w:sz="1"/>
            </w:tcBorders>
            <w:shd w:fill="F4F4F4" w:val="clear"/>
            <w:tcMar>
              <w:top w:type="dxa" w:w="70"/>
              <w:left w:type="dxa" w:w="110"/>
              <w:bottom w:type="dxa" w:w="70"/>
              <w:right w:type="dxa" w:w="110"/>
            </w:tcMar>
          </w:tcPr>
          <w:p>
            <w:pPr>
              <w:jc w:val="left"/>
            </w:pPr>
            <w:r>
              <w:rPr>
                <w:color w:val="222222"/>
                <w:sz w:val="15"/>
                <w:szCs w:val="15"/>
              </w:rPr>
              <w:t xml:space="preserve">BoE event risk. The §13d Bank of England track is the highest-impact watch item; a hawkish surprise would pressure valuations directly.</w:t>
            </w:r>
          </w:p>
        </w:tc>
      </w:tr>
      <w:tr>
        <w:trPr>
          <w:cantSplit/>
        </w:trPr>
        <w:tc>
          <w:tcPr>
            <w:tcW w:type="dxa" w:w="468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color w:val="222222"/>
                <w:sz w:val="15"/>
                <w:szCs w:val="15"/>
              </w:rPr>
              <w:t xml:space="preserve">Cross-asset support. USDX, S&amp;P 500 and EURO STOXX 50 all confirm a synchronised regional risk-on move (§10).</w:t>
            </w:r>
          </w:p>
        </w:tc>
        <w:tc>
          <w:tcPr>
            <w:tcW w:type="dxa" w:w="468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color w:val="222222"/>
                <w:sz w:val="15"/>
                <w:szCs w:val="15"/>
              </w:rPr>
              <w:t xml:space="preserve">DAX non-confirmation. The DAX 40 fell on 21 May while the FTSE rose — a mild cross-asset contradiction flagged in §10.</w:t>
            </w:r>
          </w:p>
        </w:tc>
      </w:tr>
      <w:tr>
        <w:trPr>
          <w:cantSplit/>
        </w:trPr>
        <w:tc>
          <w:tcPr>
            <w:tcW w:type="dxa" w:w="4680"/>
            <w:tcBorders>
              <w:top w:val="single" w:color="BBBBBB" w:sz="1"/>
              <w:left w:val="single" w:color="BBBBBB" w:sz="1"/>
              <w:bottom w:val="single" w:color="BBBBBB" w:sz="1"/>
              <w:right w:val="single" w:color="BBBBBB" w:sz="1"/>
            </w:tcBorders>
            <w:shd w:fill="F4F4F4" w:val="clear"/>
            <w:tcMar>
              <w:top w:type="dxa" w:w="70"/>
              <w:left w:type="dxa" w:w="110"/>
              <w:bottom w:type="dxa" w:w="70"/>
              <w:right w:type="dxa" w:w="110"/>
            </w:tcMar>
          </w:tcPr>
          <w:p>
            <w:pPr>
              <w:jc w:val="left"/>
            </w:pPr>
            <w:r>
              <w:rPr>
                <w:color w:val="222222"/>
                <w:sz w:val="15"/>
                <w:szCs w:val="15"/>
              </w:rPr>
              <w:t xml:space="preserve">FX translation. A soft pound lifts the index's overseas-earnings translation (§14).</w:t>
            </w:r>
          </w:p>
        </w:tc>
        <w:tc>
          <w:tcPr>
            <w:tcW w:type="dxa" w:w="4680"/>
            <w:tcBorders>
              <w:top w:val="single" w:color="BBBBBB" w:sz="1"/>
              <w:left w:val="single" w:color="BBBBBB" w:sz="1"/>
              <w:bottom w:val="single" w:color="BBBBBB" w:sz="1"/>
              <w:right w:val="single" w:color="BBBBBB" w:sz="1"/>
            </w:tcBorders>
            <w:shd w:fill="F4F4F4" w:val="clear"/>
            <w:tcMar>
              <w:top w:type="dxa" w:w="70"/>
              <w:left w:type="dxa" w:w="110"/>
              <w:bottom w:type="dxa" w:w="70"/>
              <w:right w:type="dxa" w:w="110"/>
            </w:tcMar>
          </w:tcPr>
          <w:p>
            <w:pPr>
              <w:jc w:val="left"/>
            </w:pPr>
            <w:r>
              <w:rPr>
                <w:color w:val="222222"/>
                <w:sz w:val="15"/>
                <w:szCs w:val="15"/>
              </w:rPr>
              <w:t xml:space="preserve">Iran two-sided risk. A negotiation breakdown pushing Brent toward $110+ would hit transport, consumer and rate-sensitive sectors and revive inflation fear (§12, §13d).</w:t>
            </w:r>
          </w:p>
        </w:tc>
      </w:tr>
      <w:tr>
        <w:trPr>
          <w:cantSplit/>
        </w:trPr>
        <w:tc>
          <w:tcPr>
            <w:tcW w:type="dxa" w:w="468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color w:val="222222"/>
                <w:sz w:val="15"/>
                <w:szCs w:val="15"/>
              </w:rPr>
              <w:t xml:space="preserve">Valuation discount. The FTSE trades cheap to US and Continental peers with a higher yield — a structural pull for allocation (§12).</w:t>
            </w:r>
          </w:p>
        </w:tc>
        <w:tc>
          <w:tcPr>
            <w:tcW w:type="dxa" w:w="468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color w:val="222222"/>
                <w:sz w:val="15"/>
                <w:szCs w:val="15"/>
              </w:rPr>
              <w:t xml:space="preserve">Gilt &amp; fiscal stress. UK 10-year yields near 5% and political uncertainty weigh on valuations and domestic confidence (§14).</w:t>
            </w:r>
          </w:p>
        </w:tc>
      </w:tr>
    </w:tbl>
    <w:p>
      <w:pPr>
        <w:spacing w:after="60"/>
      </w:pPr>
      <w:r>
        <w:t xml:space="preserve"/>
      </w:r>
    </w:p>
    <w:p>
      <w:pPr>
        <w:spacing w:after="120" w:line="276"/>
        <w:jc w:val="both"/>
      </w:pPr>
      <w:r>
        <w:rPr>
          <w:b/>
          <w:bCs/>
        </w:rPr>
        <w:t xml:space="preserve">Balance. </w:t>
      </w:r>
      <w:r>
        <w:t xml:space="preserve">The near-term tape favours the bulls — momentum, energy support and cross-asset confirmation are tangible and present. The bear case is principally about what has not yet happened: an unconfirmed rebound, a pivotal BoE event, and a Transitional regime that by definition can resolve either way. On balance the risk skew is modestly bullish for the immediate session but with a wide two-sided distribution beyond it.</w:t>
      </w:r>
    </w:p>
    <w:p>
      <w:r>
        <w:br w:type="page"/>
      </w:r>
    </w:p>
    <w:p>
      <w:pPr>
        <w:pStyle w:val="Heading1"/>
      </w:pPr>
      <w:r>
        <w:t xml:space="preserve">16.  Forward View</w:t>
      </w:r>
    </w:p>
    <w:p>
      <w:pPr>
        <w:pBdr>
          <w:bottom w:val="single" w:color="2E5E9E" w:sz="6" w:space="1"/>
        </w:pBdr>
        <w:spacing w:after="120"/>
      </w:pPr>
    </w:p>
    <w:p>
      <w:pPr>
        <w:spacing w:after="120" w:line="276"/>
        <w:jc w:val="both"/>
      </w:pPr>
      <w:r>
        <w:rPr>
          <w:b/>
          <w:bCs/>
        </w:rPr>
        <w:t xml:space="preserve">Expected direction (next 5 trading days): modestly higher with a consolidation bias. </w:t>
      </w:r>
      <w:r>
        <w:t xml:space="preserve">The base case is that the FTSE 100 holds the 10,415 pivot-confluence shelf and grinds toward the 10,500–10,540 zone (daily R2 / 25-session resistance), but with the violent three-day pace giving way to narrower ranges as the rebound digests — the 21 May session already showed that moderation.</w:t>
      </w:r>
    </w:p>
    <w:p>
      <w:pPr>
        <w:spacing w:after="120" w:line="276"/>
        <w:jc w:val="both"/>
      </w:pPr>
      <w:r>
        <w:rPr>
          <w:b/>
          <w:bCs/>
        </w:rPr>
        <w:t xml:space="preserve">Expected trading range: </w:t>
      </w:r>
      <w:r>
        <w:t xml:space="preserve">10,350 – 10,540 index points for the bulk of the horizon, with 10,350 (the 21 May low) the first line of defence and 10,193 (daily S1) the deeper support if the rebound fails.</w:t>
      </w:r>
    </w:p>
    <w:p>
      <w:pPr>
        <w:spacing w:after="120" w:line="276"/>
        <w:jc w:val="both"/>
      </w:pPr>
      <w:r>
        <w:rPr>
          <w:b/>
          <w:bCs/>
        </w:rPr>
        <w:t xml:space="preserve">Base-case invalidation: </w:t>
      </w:r>
      <w:r>
        <w:t xml:space="preserve">a daily close back below 10,279.6 (the daily pivot) would break the constructive structure and signal the rebound has stalled; below the weekly pivot at 10,164 the medium-term picture turns outright defensive.</w:t>
      </w:r>
    </w:p>
    <w:p>
      <w:pPr>
        <w:spacing w:after="120" w:line="276"/>
        <w:jc w:val="both"/>
      </w:pPr>
      <w:r>
        <w:rPr>
          <w:b/>
          <w:bCs/>
        </w:rPr>
        <w:t xml:space="preserve">Relationship to the technical regime. </w:t>
      </w:r>
      <w:r>
        <w:t xml:space="preserve">This forward view respects the §9 classification. It does not assume a fully established uptrend — consistent with the Transitional regime and the Ranging-Neutral Kaufman read — and instead frames a constructive-but-consolidating path that demands confirmation. There is no contradiction to flag: the view is deliberately more cautious than the raw five-day thrust would imply. The dominant watch item remains the §13d Bank of England track.</w:t>
      </w:r>
    </w:p>
    <w:p>
      <w:r>
        <w:br w:type="page"/>
      </w:r>
    </w:p>
    <w:p>
      <w:pPr>
        <w:pStyle w:val="Heading1"/>
      </w:pPr>
      <w:r>
        <w:t xml:space="preserve">17.  Forecast</w:t>
      </w:r>
    </w:p>
    <w:p>
      <w:pPr>
        <w:pBdr>
          <w:bottom w:val="single" w:color="2E5E9E" w:sz="6" w:space="1"/>
        </w:pBdr>
        <w:spacing w:after="120"/>
      </w:pPr>
    </w:p>
    <w:p>
      <w:pPr>
        <w:pBdr>
          <w:top w:val="single" w:color="2E5E9E" w:sz="4"/>
          <w:left w:val="single" w:color="2E5E9E" w:sz="4"/>
          <w:bottom w:val="single" w:color="2E5E9E" w:sz="4"/>
          <w:right w:val="single" w:color="2E5E9E" w:sz="4"/>
        </w:pBdr>
        <w:shd w:fill="EEF2F8" w:val="clear"/>
        <w:spacing w:after="120" w:before="120"/>
      </w:pPr>
      <w:r>
        <w:rPr>
          <w:b/>
          <w:bCs/>
          <w:color w:val="1F3864"/>
          <w:sz w:val="22"/>
          <w:szCs w:val="22"/>
        </w:rPr>
        <w:t xml:space="preserve">The FTSE 100 carries its oversold-reversal momentum modestly higher into 22 May, holding the 10,415 pivot-confluence support and extending toward the 10,500–10,540 resistance band, while a Transitional medium-term regime and a pivotal Bank of England event cap conviction.</w:t>
      </w:r>
    </w:p>
    <w:p>
      <w:pPr>
        <w:pStyle w:val="Heading1"/>
      </w:pPr>
      <w:r>
        <w:t xml:space="preserve">18.  Final Analyst Judgement</w:t>
      </w:r>
    </w:p>
    <w:p>
      <w:pPr>
        <w:pBdr>
          <w:bottom w:val="single" w:color="2E5E9E" w:sz="6" w:space="1"/>
        </w:pBdr>
        <w:spacing w:after="120"/>
      </w:pPr>
    </w:p>
    <w:p>
      <w:pPr>
        <w:spacing w:after="120" w:line="276"/>
        <w:jc w:val="both"/>
      </w:pPr>
      <w:r>
        <w:rPr>
          <w:b/>
          <w:bCs/>
        </w:rPr>
        <w:t xml:space="preserve">Consensus price call: </w:t>
      </w:r>
      <w:r>
        <w:t xml:space="preserve">FTSE 100 cash index 10,443 points (range 10,410–10,475), confidence Medium, market tone cautiously bullish.</w:t>
      </w:r>
    </w:p>
    <w:p>
      <w:pPr>
        <w:spacing w:after="120" w:line="276"/>
        <w:jc w:val="both"/>
      </w:pPr>
      <w:r>
        <w:t xml:space="preserve">The three reasons most responsible for the current level:</w:t>
      </w:r>
    </w:p>
    <w:p>
      <w:pPr>
        <w:pStyle w:val="ListParagraph"/>
        <w:numPr>
          <w:ilvl w:val="0"/>
          <w:numId w:val="2"/>
        </w:numPr>
        <w:spacing w:after="60" w:line="264"/>
      </w:pPr>
      <w:r>
        <w:rPr>
          <w:b/>
          <w:bCs/>
        </w:rPr>
        <w:t xml:space="preserve">Oversold-reversal momentum. </w:t>
      </w:r>
      <w:r>
        <w:t xml:space="preserve">A capitulation low near 10,000 on 15–18 May released a sharp 444-point snap-back as US–Iran de-escalation and a cooler UK CPI print removed the two pressures that drove the selloff.</w:t>
      </w:r>
    </w:p>
    <w:p>
      <w:pPr>
        <w:pStyle w:val="ListParagraph"/>
        <w:numPr>
          <w:ilvl w:val="0"/>
          <w:numId w:val="2"/>
        </w:numPr>
        <w:spacing w:after="60" w:line="264"/>
      </w:pPr>
      <w:r>
        <w:rPr>
          <w:b/>
          <w:bCs/>
        </w:rPr>
        <w:t xml:space="preserve">Energy-sector ballast. </w:t>
      </w:r>
      <w:r>
        <w:t xml:space="preserve">Brent above $104 keeps Shell and BP — major index weights — generating strong cash flows, structurally cushioning the FTSE.</w:t>
      </w:r>
    </w:p>
    <w:p>
      <w:pPr>
        <w:pStyle w:val="ListParagraph"/>
        <w:numPr>
          <w:ilvl w:val="0"/>
          <w:numId w:val="2"/>
        </w:numPr>
        <w:spacing w:after="60" w:line="264"/>
      </w:pPr>
      <w:r>
        <w:rPr>
          <w:b/>
          <w:bCs/>
        </w:rPr>
        <w:t xml:space="preserve">Synchronised regional risk-on. </w:t>
      </w:r>
      <w:r>
        <w:t xml:space="preserve">The EURO STOXX 50 and S&amp;P 500 rebounded in lockstep and a soft pound lifted earnings translation, confirming the move is regional rather than a UK-specific quirk.</w:t>
      </w:r>
    </w:p>
    <w:p>
      <w:pPr>
        <w:spacing w:after="120" w:line="276"/>
        <w:jc w:val="both"/>
      </w:pPr>
      <w:r>
        <w:rPr>
          <w:b/>
          <w:bCs/>
        </w:rPr>
        <w:t xml:space="preserve">Single watch item: </w:t>
      </w:r>
      <w:r>
        <w:t xml:space="preserve">the Bank of England policy track in the week ahead — the one scheduled catalyst capable of decisively confirming or invalidating the rebound. The directional model resolves LONG (§21a), but the Medium confidence rating and the Transitional regime mean position sizing should respect the unconfirmed, event-exposed nature of the move.</w:t>
      </w:r>
    </w:p>
    <w:p>
      <w:r>
        <w:br w:type="page"/>
      </w:r>
    </w:p>
    <w:p>
      <w:pPr>
        <w:pStyle w:val="Heading1"/>
      </w:pPr>
      <w:r>
        <w:t xml:space="preserve">19.  Source Discipline Note</w:t>
      </w:r>
    </w:p>
    <w:p>
      <w:pPr>
        <w:pBdr>
          <w:bottom w:val="single" w:color="2E5E9E" w:sz="6" w:space="1"/>
        </w:pBdr>
        <w:spacing w:after="120"/>
      </w:pPr>
    </w:p>
    <w:p>
      <w:pPr>
        <w:pStyle w:val="ListParagraph"/>
        <w:numPr>
          <w:ilvl w:val="0"/>
          <w:numId w:val="2"/>
        </w:numPr>
        <w:spacing w:after="60" w:line="264"/>
      </w:pPr>
      <w:r>
        <w:rPr>
          <w:b/>
          <w:bCs/>
        </w:rPr>
        <w:t xml:space="preserve">Live vs. indicative. </w:t>
      </w:r>
      <w:r>
        <w:t xml:space="preserve">All ten OHLC rows across the FTSE 100 and EURO STOXX 50 (§6) reached two-source corroboration within the ±0.10-point equity-index tolerance. No field is single-source indicative.</w:t>
      </w:r>
    </w:p>
    <w:p>
      <w:pPr>
        <w:pStyle w:val="ListParagraph"/>
        <w:numPr>
          <w:ilvl w:val="0"/>
          <w:numId w:val="2"/>
        </w:numPr>
        <w:spacing w:after="60" w:line="264"/>
      </w:pPr>
      <w:r>
        <w:rPr>
          <w:b/>
          <w:bCs/>
        </w:rPr>
        <w:t xml:space="preserve">Pivot corroboration. </w:t>
      </w:r>
      <w:r>
        <w:t xml:space="preserve">Prior-period H/L/C inputs for the daily, weekly and monthly pivot tables (§11) were each two-source corroborated. All three pivot timeframes are flagged CORROBORATED on the technical output surface — none carries the single-source-indicative flag, so the §21 pivot trade is not suppressed on corroboration grounds.</w:t>
      </w:r>
    </w:p>
    <w:p>
      <w:pPr>
        <w:pStyle w:val="ListParagraph"/>
        <w:numPr>
          <w:ilvl w:val="0"/>
          <w:numId w:val="2"/>
        </w:numPr>
        <w:spacing w:after="60" w:line="264"/>
      </w:pPr>
      <w:r>
        <w:rPr>
          <w:b/>
          <w:bCs/>
        </w:rPr>
        <w:t xml:space="preserve">Data gaps &amp; assumptions. </w:t>
      </w:r>
      <w:r>
        <w:t xml:space="preserve">The 25-session medium-term close series blends fully corroborated recent sessions with corroborated-trajectory values for the earlier part of the window; intra-session highs and lows for the older sessions are derived for regime-metric purposes only and are not used for pivot calculation or trade pricing. This is disclosed rather than presented as definitive.</w:t>
      </w:r>
    </w:p>
    <w:p>
      <w:pPr>
        <w:pStyle w:val="ListParagraph"/>
        <w:numPr>
          <w:ilvl w:val="0"/>
          <w:numId w:val="2"/>
        </w:numPr>
        <w:spacing w:after="60" w:line="264"/>
      </w:pPr>
      <w:r>
        <w:rPr>
          <w:b/>
          <w:bCs/>
        </w:rPr>
        <w:t xml:space="preserve">Corroboration limitation. </w:t>
      </w:r>
      <w:r>
        <w:t xml:space="preserve">Per the run instruction, trading strategies are produced even where price corroboration could not be fully exhausted across all approved sources. Corroboration leniency was applied: the §6 closes and §11 pivot inputs are two-source corroborated, but the wider source stack was not exhausted to the full depth the protocol specifies. Strategy levels in §21 should therefore be treated as directionally indicative.</w:t>
      </w:r>
    </w:p>
    <w:p>
      <w:pPr>
        <w:pStyle w:val="ListParagraph"/>
        <w:numPr>
          <w:ilvl w:val="0"/>
          <w:numId w:val="2"/>
        </w:numPr>
        <w:spacing w:after="60" w:line="264"/>
      </w:pPr>
      <w:r>
        <w:rPr>
          <w:b/>
          <w:bCs/>
        </w:rPr>
        <w:t xml:space="preserve">Currency. </w:t>
      </w:r>
      <w:r>
        <w:t xml:space="preserve">FTSE 100 figures are GBP cash points; EURO STOXX 50 figures are EUR original. No cross-currency normalization was applied — each index is analysed in its native unit.</w:t>
      </w:r>
    </w:p>
    <w:p>
      <w:pPr>
        <w:pStyle w:val="Heading1"/>
      </w:pPr>
      <w:r>
        <w:t xml:space="preserve">20.  Agent Log</w:t>
      </w:r>
    </w:p>
    <w:p>
      <w:pPr>
        <w:pBdr>
          <w:bottom w:val="single" w:color="2E5E9E" w:sz="6" w:space="1"/>
        </w:pBdr>
        <w:spacing w:after="120"/>
      </w:pPr>
    </w:p>
    <w:p>
      <w:pPr>
        <w:spacing w:after="120" w:line="276"/>
        <w:jc w:val="both"/>
      </w:pPr>
      <w:r>
        <w:rPr>
          <w:b/>
          <w:bCs/>
        </w:rPr>
        <w:t xml:space="preserve">Run timestamp: </w:t>
      </w:r>
      <w:r>
        <w:t xml:space="preserve">22 May 2026 (forward trade date) — analytical snapshot close of 21 May 2026, Europe/London.</w:t>
      </w:r>
    </w:p>
    <w:p>
      <w:pPr>
        <w:pStyle w:val="Heading3"/>
      </w:pPr>
      <w:r>
        <w:t xml:space="preserve">Sources attempted &amp; validation</w:t>
      </w:r>
    </w:p>
    <w:p>
      <w:pPr>
        <w:pStyle w:val="ListParagraph"/>
        <w:numPr>
          <w:ilvl w:val="0"/>
          <w:numId w:val="2"/>
        </w:numPr>
        <w:spacing w:after="60" w:line="264"/>
      </w:pPr>
      <w:r>
        <w:t xml:space="preserve">FTSE 100 OHLC: Investing.com and Stooq / Twelve Data / TradingView / Yahoo Finance corroborated each session; deltas 0.03–0.08 points, all inside the ±0.10-point equity-index tolerance.</w:t>
      </w:r>
    </w:p>
    <w:p>
      <w:pPr>
        <w:pStyle w:val="ListParagraph"/>
        <w:numPr>
          <w:ilvl w:val="0"/>
          <w:numId w:val="2"/>
        </w:numPr>
        <w:spacing w:after="60" w:line="264"/>
      </w:pPr>
      <w:r>
        <w:t xml:space="preserve">EURO STOXX 50 OHLC: Investing.com with Stooq / Twelve Data / EBC / STOXX / Yahoo Finance; deltas 0.04–0.09 points, all corroborated.</w:t>
      </w:r>
    </w:p>
    <w:p>
      <w:pPr>
        <w:pStyle w:val="ListParagraph"/>
        <w:numPr>
          <w:ilvl w:val="0"/>
          <w:numId w:val="2"/>
        </w:numPr>
        <w:spacing w:after="60" w:line="264"/>
      </w:pPr>
      <w:r>
        <w:t xml:space="preserve">Counter assets (USDX, S&amp;P 500, DAX 40): directional reads only — Yahoo Finance counter snapshots and Trading Economics; used for cross-asset confirmation, not priced into trade cards.</w:t>
      </w:r>
    </w:p>
    <w:p>
      <w:pPr>
        <w:pStyle w:val="Heading3"/>
      </w:pPr>
      <w:r>
        <w:t xml:space="preserve">Sentiment derivation</w:t>
      </w:r>
    </w:p>
    <w:p>
      <w:pPr>
        <w:pStyle w:val="ListParagraph"/>
        <w:numPr>
          <w:ilvl w:val="0"/>
          <w:numId w:val="2"/>
        </w:numPr>
        <w:spacing w:after="60" w:line="264"/>
      </w:pPr>
      <w:r>
        <w:t xml:space="preserve">Eight FTSE 100 articles classified from explicit article language (§13a); each carries a 15-word-or-fewer derivation quote. Source-class weighting applied (institutional/trade-press 0.7–1.0, media 0.5).</w:t>
      </w:r>
    </w:p>
    <w:p>
      <w:pPr>
        <w:pStyle w:val="ListParagraph"/>
        <w:numPr>
          <w:ilvl w:val="0"/>
          <w:numId w:val="2"/>
        </w:numPr>
        <w:spacing w:after="60" w:line="264"/>
      </w:pPr>
      <w:r>
        <w:t xml:space="preserve">Aggregate: 3 Bullish / 3 Bearish / 2 Neutral = Balanced; numeric tilt +0.05. Computed on eight articles — not a low-confidence reading. Sentiment/price divergence flagged in §13b.</w:t>
      </w:r>
    </w:p>
    <w:p>
      <w:pPr>
        <w:pStyle w:val="Heading3"/>
      </w:pPr>
      <w:r>
        <w:t xml:space="preserve">Strategy module trace</w:t>
      </w:r>
    </w:p>
    <w:p>
      <w:pPr>
        <w:pStyle w:val="ListParagraph"/>
        <w:numPr>
          <w:ilvl w:val="0"/>
          <w:numId w:val="2"/>
        </w:numPr>
        <w:spacing w:after="60" w:line="264"/>
      </w:pPr>
      <w:r>
        <w:rPr>
          <w:b/>
          <w:bCs/>
        </w:rPr>
        <w:t xml:space="preserve">Direction-score weights basis: defaults </w:t>
      </w:r>
      <w:r>
        <w:t xml:space="preserve">(the v2.1 baseline 0.25 / 0.20 / 0.10 / 0.15 / 0.15 / 0.15). Weights are within the 20-session lock window — no tuning applied.</w:t>
      </w:r>
    </w:p>
    <w:p>
      <w:pPr>
        <w:pStyle w:val="ListParagraph"/>
        <w:numPr>
          <w:ilvl w:val="0"/>
          <w:numId w:val="2"/>
        </w:numPr>
        <w:spacing w:after="60" w:line="264"/>
      </w:pPr>
      <w:r>
        <w:t xml:space="preserve">Direction score = +0.44 → LONG. Per-signal contributions: short-term technical +0.250, medium-term regime +0.100, VOLator +0.050, Kaufman −0.010, sentiment +0.007, cross-asset +0.045.</w:t>
      </w:r>
    </w:p>
    <w:p>
      <w:pPr>
        <w:pStyle w:val="ListParagraph"/>
        <w:numPr>
          <w:ilvl w:val="0"/>
          <w:numId w:val="2"/>
        </w:numPr>
        <w:spacing w:after="60" w:line="264"/>
      </w:pPr>
      <w:r>
        <w:t xml:space="preserve">Consolidated regime label: TRANSITION. RANGE dual-gate not engaged (regime is not RANGE) — no SurfaceContractError.</w:t>
      </w:r>
    </w:p>
    <w:p>
      <w:pPr>
        <w:pStyle w:val="ListParagraph"/>
        <w:numPr>
          <w:ilvl w:val="0"/>
          <w:numId w:val="2"/>
        </w:numPr>
        <w:spacing w:after="60" w:line="264"/>
      </w:pPr>
      <w:r>
        <w:t xml:space="preserve">Suppression reasons: Trade 2 — none on corroboration grounds (all pivot tiers corroborated); produced as a TRANSITION breakout-side card. Trade 3 — fork resolves to 3C (Momentum-Breakout) under the TRANSITION regime. No trade suppressed.</w:t>
      </w:r>
    </w:p>
    <w:p>
      <w:pPr>
        <w:pStyle w:val="ListParagraph"/>
        <w:numPr>
          <w:ilvl w:val="0"/>
          <w:numId w:val="2"/>
        </w:numPr>
        <w:spacing w:after="60" w:line="264"/>
      </w:pPr>
      <w:r>
        <w:t xml:space="preserve">Backtest: prior 5 sessions reconstructed at each t−1 close; sentiment frozen per-session; resolution on actual t-session OHLC with conservative stop-first tick priority.</w:t>
      </w:r>
    </w:p>
    <w:p>
      <w:pPr>
        <w:pStyle w:val="Heading3"/>
      </w:pPr>
      <w:r>
        <w:t xml:space="preserve">Anomalies &amp; overrides</w:t>
      </w:r>
    </w:p>
    <w:p>
      <w:pPr>
        <w:pStyle w:val="ListParagraph"/>
        <w:numPr>
          <w:ilvl w:val="0"/>
          <w:numId w:val="2"/>
        </w:numPr>
        <w:spacing w:after="60" w:line="264"/>
      </w:pPr>
      <w:r>
        <w:rPr>
          <w:b/>
          <w:bCs/>
        </w:rPr>
        <w:t xml:space="preserve">Daily-open anchor override. </w:t>
      </w:r>
      <w:r>
        <w:t xml:space="preserve">The Trade 1 daily-open anchor was set to 07:00 UK for this run (overriding the master-template default). This is the appropriate anchor for the FTSE pre-open window and matches the configured value for this instance; the override is logged here for traceability.</w:t>
      </w:r>
    </w:p>
    <w:p>
      <w:pPr>
        <w:pStyle w:val="ListParagraph"/>
        <w:numPr>
          <w:ilvl w:val="0"/>
          <w:numId w:val="2"/>
        </w:numPr>
        <w:spacing w:after="60" w:line="264"/>
      </w:pPr>
      <w:r>
        <w:rPr>
          <w:b/>
          <w:bCs/>
        </w:rPr>
        <w:t xml:space="preserve">Corroboration leniency. </w:t>
      </w:r>
      <w:r>
        <w:t xml:space="preserve">Per run instruction, the full approved-source stack was not exhausted to protocol depth; strategy output was produced regardless. §6 closes and §11 pivot inputs are two-source corroborated. Recorded as a deviation.</w:t>
      </w:r>
    </w:p>
    <w:p>
      <w:pPr>
        <w:pStyle w:val="ListParagraph"/>
        <w:numPr>
          <w:ilvl w:val="0"/>
          <w:numId w:val="2"/>
        </w:numPr>
        <w:spacing w:after="60" w:line="264"/>
      </w:pPr>
      <w:r>
        <w:t xml:space="preserve">Kaufman/price conflict: KER Ranging-Neutral against a strong five-day price thrust — flagged in §9 and treated as a conviction cap, not resolved away.</w:t>
      </w:r>
    </w:p>
    <w:p>
      <w:r>
        <w:br w:type="page"/>
      </w:r>
    </w:p>
    <w:p>
      <w:pPr>
        <w:pStyle w:val="Heading1"/>
      </w:pPr>
      <w:r>
        <w:t xml:space="preserve">21.  Strategy Recommendations</w:t>
      </w:r>
    </w:p>
    <w:p>
      <w:pPr>
        <w:pBdr>
          <w:bottom w:val="single" w:color="2E5E9E" w:sz="6" w:space="1"/>
        </w:pBdr>
        <w:spacing w:after="120"/>
      </w:pPr>
    </w:p>
    <w:p>
      <w:pPr>
        <w:pStyle w:val="Heading2"/>
      </w:pPr>
      <w:r>
        <w:t xml:space="preserve">21a.  Directional Conviction</w:t>
      </w:r>
    </w:p>
    <w:p>
      <w:pPr>
        <w:spacing w:after="120" w:line="276"/>
        <w:jc w:val="both"/>
      </w:pPr>
      <w:r>
        <w:rPr>
          <w:b/>
          <w:bCs/>
        </w:rPr>
        <w:t xml:space="preserve">Direction: </w:t>
      </w:r>
      <w:r>
        <w:rPr>
          <w:b/>
          <w:bCs/>
          <w:color w:val="9B2D6E"/>
        </w:rPr>
        <w:t xml:space="preserve">LONG</w:t>
      </w:r>
      <w:r>
        <w:rPr>
          <w:b/>
          <w:bCs/>
        </w:rPr>
        <w:t xml:space="preserve">   ·   Score: </w:t>
      </w:r>
      <w:r>
        <w:rPr>
          <w:b/>
          <w:bCs/>
          <w:color w:val="9B2D6E"/>
        </w:rPr>
        <w:t xml:space="preserve">+0.44</w:t>
      </w:r>
      <w:r>
        <w:t xml:space="preserve">   (conviction threshold 0.25 — comfortably exceeded).</w:t>
      </w:r>
    </w:p>
    <w:p>
      <w:pPr>
        <w:spacing w:after="120" w:line="276"/>
        <w:jc w:val="both"/>
      </w:pPr>
      <w:r>
        <w:t xml:space="preserve">The directional model resolves LONG. The three highest-weighted contributing signals are the short-term technical bias (§8) at +0.25 — the single largest contributor, reflecting three higher closes and RSI2 pinned at 100; the medium-term regime (§9) at +0.10, scored as a Transitional regime with the most recent completed swing pointing up; and the cross-asset confirmation (§10) at +0.045 from a MIXED counter aggregate. Sentiment (§13b) adds a negligible +0.007 and the Kaufman signal a slight −0.010 drag. Weights are at defaults (within the 20-session lock). </w:t>
      </w:r>
      <w:r>
        <w:rPr>
          <w:b/>
          <w:bCs/>
        </w:rPr>
        <w:t xml:space="preserve">Conflict flag: </w:t>
      </w:r>
      <w:r>
        <w:t xml:space="preserve">the §21a LONG direction and the §17 forecast point the same way (constructive); there is no directional conflict to disclose. Note, however, that the LONG score is dominated by short-term momentum while §16–§17 deliberately temper that into a consolidation bias — the trade cards below are sized to respect that tension.</w:t>
      </w:r>
    </w:p>
    <w:p>
      <w:pPr>
        <w:spacing w:after="60"/>
      </w:pPr>
      <w:r>
        <w:t xml:space="preserve"/>
      </w:r>
    </w:p>
    <w:p>
      <w:pPr>
        <w:pStyle w:val="Heading2"/>
      </w:pPr>
      <w:r>
        <w:t xml:space="preserve">21b.  Trade Cards</w:t>
      </w:r>
    </w:p>
    <w:p>
      <w:pPr>
        <w:spacing w:after="120" w:line="276"/>
        <w:jc w:val="both"/>
      </w:pPr>
      <w:r>
        <w:t xml:space="preserve">Three regime-aware cards for the FTSE 100. All levels in index points; distances also in the native unit (points). Regime label: TRANSITION. </w:t>
      </w:r>
      <w:r>
        <w:rPr>
          <w:b/>
          <w:bCs/>
        </w:rPr>
        <w:t xml:space="preserve">Corroboration caveat applies to all three cards </w:t>
      </w:r>
      <w:r>
        <w:t xml:space="preserve">— see §19; strategy levels are directionally indicative.</w:t>
      </w:r>
    </w:p>
    <w:p>
      <w:pPr>
        <w:pStyle w:val="Heading3"/>
      </w:pPr>
      <w:r>
        <w:t xml:space="preserve">Trade 1 — Daily Directional  (LONG)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rPr>
          <w:tblHeader/>
        </w:trPr>
        <w:tc>
          <w:tcPr>
            <w:tcW w:type="dxa" w:w="2100"/>
            <w:tcBorders>
              <w:top w:val="single" w:color="BBBBBB" w:sz="1"/>
              <w:left w:val="single" w:color="BBBBBB" w:sz="1"/>
              <w:bottom w:val="single" w:color="BBBBBB" w:sz="1"/>
              <w:right w:val="single" w:color="BBBBBB" w:sz="1"/>
            </w:tcBorders>
            <w:shd w:fill="9B2D6E" w:val="clear"/>
            <w:tcMar>
              <w:top w:type="dxa" w:w="70"/>
              <w:left w:type="dxa" w:w="110"/>
              <w:bottom w:type="dxa" w:w="70"/>
              <w:right w:type="dxa" w:w="110"/>
            </w:tcMar>
          </w:tcPr>
          <w:p>
            <w:pPr>
              <w:jc w:val="left"/>
            </w:pPr>
            <w:r>
              <w:rPr>
                <w:b/>
                <w:bCs/>
                <w:color w:val="FFFFFF"/>
                <w:sz w:val="16"/>
                <w:szCs w:val="16"/>
              </w:rPr>
              <w:t xml:space="preserve">Field</w:t>
            </w:r>
          </w:p>
        </w:tc>
        <w:tc>
          <w:tcPr>
            <w:tcW w:type="dxa" w:w="7260"/>
            <w:tcBorders>
              <w:top w:val="single" w:color="BBBBBB" w:sz="1"/>
              <w:left w:val="single" w:color="BBBBBB" w:sz="1"/>
              <w:bottom w:val="single" w:color="BBBBBB" w:sz="1"/>
              <w:right w:val="single" w:color="BBBBBB" w:sz="1"/>
            </w:tcBorders>
            <w:shd w:fill="9B2D6E" w:val="clear"/>
            <w:tcMar>
              <w:top w:type="dxa" w:w="70"/>
              <w:left w:type="dxa" w:w="110"/>
              <w:bottom w:type="dxa" w:w="70"/>
              <w:right w:type="dxa" w:w="110"/>
            </w:tcMar>
          </w:tcPr>
          <w:p>
            <w:pPr>
              <w:jc w:val="left"/>
            </w:pPr>
            <w:r>
              <w:rPr>
                <w:b/>
                <w:bCs/>
                <w:color w:val="FFFFFF"/>
                <w:sz w:val="16"/>
                <w:szCs w:val="16"/>
              </w:rPr>
              <w:t xml:space="preserve">Specification</w:t>
            </w:r>
          </w:p>
        </w:tc>
      </w:tr>
      <w:tr>
        <w:trPr>
          <w:cantSplit/>
        </w:trPr>
        <w:tc>
          <w:tcPr>
            <w:tcW w:type="dxa" w:w="21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Trade type</w:t>
            </w:r>
          </w:p>
        </w:tc>
        <w:tc>
          <w:tcPr>
            <w:tcW w:type="dxa" w:w="72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Trade 1 — Daily Directional</w:t>
            </w:r>
          </w:p>
        </w:tc>
      </w:tr>
      <w:tr>
        <w:trPr>
          <w:cantSplit/>
        </w:trPr>
        <w:tc>
          <w:tcPr>
            <w:tcW w:type="dxa" w:w="2100"/>
            <w:tcBorders>
              <w:top w:val="single" w:color="BBBBBB" w:sz="1"/>
              <w:left w:val="single" w:color="BBBBBB" w:sz="1"/>
              <w:bottom w:val="single" w:color="BBBBBB" w:sz="1"/>
              <w:right w:val="single" w:color="BBBBBB" w:sz="1"/>
            </w:tcBorders>
            <w:shd w:fill="F4F4F4" w:val="clear"/>
            <w:tcMar>
              <w:top w:type="dxa" w:w="70"/>
              <w:left w:type="dxa" w:w="110"/>
              <w:bottom w:type="dxa" w:w="70"/>
              <w:right w:type="dxa" w:w="110"/>
            </w:tcMar>
          </w:tcPr>
          <w:p>
            <w:pPr>
              <w:jc w:val="left"/>
            </w:pPr>
            <w:r>
              <w:rPr>
                <w:b w:val="false"/>
                <w:bCs w:val="false"/>
                <w:color w:val="222222"/>
                <w:sz w:val="15"/>
                <w:szCs w:val="15"/>
              </w:rPr>
              <w:t xml:space="preserve">Direction</w:t>
            </w:r>
          </w:p>
        </w:tc>
        <w:tc>
          <w:tcPr>
            <w:tcW w:type="dxa" w:w="7260"/>
            <w:tcBorders>
              <w:top w:val="single" w:color="BBBBBB" w:sz="1"/>
              <w:left w:val="single" w:color="BBBBBB" w:sz="1"/>
              <w:bottom w:val="single" w:color="BBBBBB" w:sz="1"/>
              <w:right w:val="single" w:color="BBBBBB" w:sz="1"/>
            </w:tcBorders>
            <w:shd w:fill="F4F4F4" w:val="clear"/>
            <w:tcMar>
              <w:top w:type="dxa" w:w="70"/>
              <w:left w:type="dxa" w:w="110"/>
              <w:bottom w:type="dxa" w:w="70"/>
              <w:right w:type="dxa" w:w="110"/>
            </w:tcMar>
          </w:tcPr>
          <w:p>
            <w:pPr>
              <w:jc w:val="left"/>
            </w:pPr>
            <w:r>
              <w:rPr>
                <w:b/>
                <w:bCs/>
                <w:color w:val="2E7D4F"/>
                <w:sz w:val="15"/>
                <w:szCs w:val="15"/>
              </w:rPr>
              <w:t xml:space="preserve">LONG — direction score +0.44, above the 0.25 conviction threshold</w:t>
            </w:r>
          </w:p>
        </w:tc>
      </w:tr>
      <w:tr>
        <w:trPr>
          <w:cantSplit/>
        </w:trPr>
        <w:tc>
          <w:tcPr>
            <w:tcW w:type="dxa" w:w="21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Entry</w:t>
            </w:r>
          </w:p>
        </w:tc>
        <w:tc>
          <w:tcPr>
            <w:tcW w:type="dxa" w:w="72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Market at 07:00 UK on 22 May 2026 — pre-open anchor. Reference ≈ 10,443 points.</w:t>
            </w:r>
          </w:p>
        </w:tc>
      </w:tr>
      <w:tr>
        <w:trPr>
          <w:cantSplit/>
        </w:trPr>
        <w:tc>
          <w:tcPr>
            <w:tcW w:type="dxa" w:w="2100"/>
            <w:tcBorders>
              <w:top w:val="single" w:color="BBBBBB" w:sz="1"/>
              <w:left w:val="single" w:color="BBBBBB" w:sz="1"/>
              <w:bottom w:val="single" w:color="BBBBBB" w:sz="1"/>
              <w:right w:val="single" w:color="BBBBBB" w:sz="1"/>
            </w:tcBorders>
            <w:shd w:fill="F4F4F4" w:val="clear"/>
            <w:tcMar>
              <w:top w:type="dxa" w:w="70"/>
              <w:left w:type="dxa" w:w="110"/>
              <w:bottom w:type="dxa" w:w="70"/>
              <w:right w:type="dxa" w:w="110"/>
            </w:tcMar>
          </w:tcPr>
          <w:p>
            <w:pPr>
              <w:jc w:val="left"/>
            </w:pPr>
            <w:r>
              <w:rPr>
                <w:b w:val="false"/>
                <w:bCs w:val="false"/>
                <w:color w:val="222222"/>
                <w:sz w:val="15"/>
                <w:szCs w:val="15"/>
              </w:rPr>
              <w:t xml:space="preserve">Stop loss</w:t>
            </w:r>
          </w:p>
        </w:tc>
        <w:tc>
          <w:tcPr>
            <w:tcW w:type="dxa" w:w="7260"/>
            <w:tcBorders>
              <w:top w:val="single" w:color="BBBBBB" w:sz="1"/>
              <w:left w:val="single" w:color="BBBBBB" w:sz="1"/>
              <w:bottom w:val="single" w:color="BBBBBB" w:sz="1"/>
              <w:right w:val="single" w:color="BBBBBB" w:sz="1"/>
            </w:tcBorders>
            <w:shd w:fill="F4F4F4" w:val="clear"/>
            <w:tcMar>
              <w:top w:type="dxa" w:w="70"/>
              <w:left w:type="dxa" w:w="110"/>
              <w:bottom w:type="dxa" w:w="70"/>
              <w:right w:type="dxa" w:w="110"/>
            </w:tcMar>
          </w:tcPr>
          <w:p>
            <w:pPr>
              <w:jc w:val="left"/>
            </w:pPr>
            <w:r>
              <w:rPr>
                <w:b w:val="false"/>
                <w:bCs w:val="false"/>
                <w:color w:val="222222"/>
                <w:sz w:val="15"/>
                <w:szCs w:val="15"/>
              </w:rPr>
              <w:t xml:space="preserve">10,318 points — 125 points below entry. Structural anchor: 21 May session low (10,353) less a 0.25 × ATR buffer (≈35 points) ≈ 10,318. Inside the 3.5 × ATR cap (≈496 points), so the structural stop applies in full.</w:t>
            </w:r>
          </w:p>
        </w:tc>
      </w:tr>
      <w:tr>
        <w:trPr>
          <w:cantSplit/>
        </w:trPr>
        <w:tc>
          <w:tcPr>
            <w:tcW w:type="dxa" w:w="21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Risk (R)</w:t>
            </w:r>
          </w:p>
        </w:tc>
        <w:tc>
          <w:tcPr>
            <w:tcW w:type="dxa" w:w="72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125 points (10,443 → 10,318)</w:t>
            </w:r>
          </w:p>
        </w:tc>
      </w:tr>
      <w:tr>
        <w:trPr>
          <w:cantSplit/>
        </w:trPr>
        <w:tc>
          <w:tcPr>
            <w:tcW w:type="dxa" w:w="2100"/>
            <w:tcBorders>
              <w:top w:val="single" w:color="BBBBBB" w:sz="1"/>
              <w:left w:val="single" w:color="BBBBBB" w:sz="1"/>
              <w:bottom w:val="single" w:color="BBBBBB" w:sz="1"/>
              <w:right w:val="single" w:color="BBBBBB" w:sz="1"/>
            </w:tcBorders>
            <w:shd w:fill="F4F4F4" w:val="clear"/>
            <w:tcMar>
              <w:top w:type="dxa" w:w="70"/>
              <w:left w:type="dxa" w:w="110"/>
              <w:bottom w:type="dxa" w:w="70"/>
              <w:right w:type="dxa" w:w="110"/>
            </w:tcMar>
          </w:tcPr>
          <w:p>
            <w:pPr>
              <w:jc w:val="left"/>
            </w:pPr>
            <w:r>
              <w:rPr>
                <w:b w:val="false"/>
                <w:bCs w:val="false"/>
                <w:color w:val="222222"/>
                <w:sz w:val="15"/>
                <w:szCs w:val="15"/>
              </w:rPr>
              <w:t xml:space="preserve">TP1 (Unit 1)</w:t>
            </w:r>
          </w:p>
        </w:tc>
        <w:tc>
          <w:tcPr>
            <w:tcW w:type="dxa" w:w="7260"/>
            <w:tcBorders>
              <w:top w:val="single" w:color="BBBBBB" w:sz="1"/>
              <w:left w:val="single" w:color="BBBBBB" w:sz="1"/>
              <w:bottom w:val="single" w:color="BBBBBB" w:sz="1"/>
              <w:right w:val="single" w:color="BBBBBB" w:sz="1"/>
            </w:tcBorders>
            <w:shd w:fill="F4F4F4" w:val="clear"/>
            <w:tcMar>
              <w:top w:type="dxa" w:w="70"/>
              <w:left w:type="dxa" w:w="110"/>
              <w:bottom w:type="dxa" w:w="70"/>
              <w:right w:type="dxa" w:w="110"/>
            </w:tcMar>
          </w:tcPr>
          <w:p>
            <w:pPr>
              <w:jc w:val="left"/>
            </w:pPr>
            <w:r>
              <w:rPr>
                <w:b w:val="false"/>
                <w:bCs w:val="false"/>
                <w:color w:val="222222"/>
                <w:sz w:val="15"/>
                <w:szCs w:val="15"/>
              </w:rPr>
              <w:t xml:space="preserve">10,568 points — +1R (+125 points)</w:t>
            </w:r>
          </w:p>
        </w:tc>
      </w:tr>
      <w:tr>
        <w:trPr>
          <w:cantSplit/>
        </w:trPr>
        <w:tc>
          <w:tcPr>
            <w:tcW w:type="dxa" w:w="21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TP2 (Unit 2)</w:t>
            </w:r>
          </w:p>
        </w:tc>
        <w:tc>
          <w:tcPr>
            <w:tcW w:type="dxa" w:w="72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10,693 points — +2R (+250 points). On fill, Unit 3 stop moves to entry +0.2R ≈ 10,468.</w:t>
            </w:r>
          </w:p>
        </w:tc>
      </w:tr>
      <w:tr>
        <w:trPr>
          <w:cantSplit/>
        </w:trPr>
        <w:tc>
          <w:tcPr>
            <w:tcW w:type="dxa" w:w="2100"/>
            <w:tcBorders>
              <w:top w:val="single" w:color="BBBBBB" w:sz="1"/>
              <w:left w:val="single" w:color="BBBBBB" w:sz="1"/>
              <w:bottom w:val="single" w:color="BBBBBB" w:sz="1"/>
              <w:right w:val="single" w:color="BBBBBB" w:sz="1"/>
            </w:tcBorders>
            <w:shd w:fill="F4F4F4" w:val="clear"/>
            <w:tcMar>
              <w:top w:type="dxa" w:w="70"/>
              <w:left w:type="dxa" w:w="110"/>
              <w:bottom w:type="dxa" w:w="70"/>
              <w:right w:type="dxa" w:w="110"/>
            </w:tcMar>
          </w:tcPr>
          <w:p>
            <w:pPr>
              <w:jc w:val="left"/>
            </w:pPr>
            <w:r>
              <w:rPr>
                <w:b w:val="false"/>
                <w:bCs w:val="false"/>
                <w:color w:val="222222"/>
                <w:sz w:val="15"/>
                <w:szCs w:val="15"/>
              </w:rPr>
              <w:t xml:space="preserve">TP3 (Unit 3 — runner)</w:t>
            </w:r>
          </w:p>
        </w:tc>
        <w:tc>
          <w:tcPr>
            <w:tcW w:type="dxa" w:w="7260"/>
            <w:tcBorders>
              <w:top w:val="single" w:color="BBBBBB" w:sz="1"/>
              <w:left w:val="single" w:color="BBBBBB" w:sz="1"/>
              <w:bottom w:val="single" w:color="BBBBBB" w:sz="1"/>
              <w:right w:val="single" w:color="BBBBBB" w:sz="1"/>
            </w:tcBorders>
            <w:shd w:fill="F4F4F4" w:val="clear"/>
            <w:tcMar>
              <w:top w:type="dxa" w:w="70"/>
              <w:left w:type="dxa" w:w="110"/>
              <w:bottom w:type="dxa" w:w="70"/>
              <w:right w:type="dxa" w:w="110"/>
            </w:tcMar>
          </w:tcPr>
          <w:p>
            <w:pPr>
              <w:jc w:val="left"/>
            </w:pPr>
            <w:r>
              <w:rPr>
                <w:b w:val="false"/>
                <w:bCs w:val="false"/>
                <w:color w:val="222222"/>
                <w:sz w:val="15"/>
                <w:szCs w:val="15"/>
              </w:rPr>
              <w:t xml:space="preserve">Time-stopped at the 22 May session close, or price-stopped at 3 × ATR (≈10,868), whichever triggers first.</w:t>
            </w:r>
          </w:p>
        </w:tc>
      </w:tr>
      <w:tr>
        <w:trPr>
          <w:cantSplit/>
        </w:trPr>
        <w:tc>
          <w:tcPr>
            <w:tcW w:type="dxa" w:w="21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Tranche management</w:t>
            </w:r>
          </w:p>
        </w:tc>
        <w:tc>
          <w:tcPr>
            <w:tcW w:type="dxa" w:w="72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3 equal units; Unit 1 exits at TP1, Unit 2 at TP2; on Unit 2 fill Unit 3 stop trails to entry +0.2R.</w:t>
            </w:r>
          </w:p>
        </w:tc>
      </w:tr>
      <w:tr>
        <w:trPr>
          <w:cantSplit/>
        </w:trPr>
        <w:tc>
          <w:tcPr>
            <w:tcW w:type="dxa" w:w="2100"/>
            <w:tcBorders>
              <w:top w:val="single" w:color="BBBBBB" w:sz="1"/>
              <w:left w:val="single" w:color="BBBBBB" w:sz="1"/>
              <w:bottom w:val="single" w:color="BBBBBB" w:sz="1"/>
              <w:right w:val="single" w:color="BBBBBB" w:sz="1"/>
            </w:tcBorders>
            <w:shd w:fill="F4F4F4" w:val="clear"/>
            <w:tcMar>
              <w:top w:type="dxa" w:w="70"/>
              <w:left w:type="dxa" w:w="110"/>
              <w:bottom w:type="dxa" w:w="70"/>
              <w:right w:type="dxa" w:w="110"/>
            </w:tcMar>
          </w:tcPr>
          <w:p>
            <w:pPr>
              <w:jc w:val="left"/>
            </w:pPr>
            <w:r>
              <w:rPr>
                <w:b w:val="false"/>
                <w:bCs w:val="false"/>
                <w:color w:val="222222"/>
                <w:sz w:val="15"/>
                <w:szCs w:val="15"/>
              </w:rPr>
              <w:t xml:space="preserve">Confluences</w:t>
            </w:r>
          </w:p>
        </w:tc>
        <w:tc>
          <w:tcPr>
            <w:tcW w:type="dxa" w:w="7260"/>
            <w:tcBorders>
              <w:top w:val="single" w:color="BBBBBB" w:sz="1"/>
              <w:left w:val="single" w:color="BBBBBB" w:sz="1"/>
              <w:bottom w:val="single" w:color="BBBBBB" w:sz="1"/>
              <w:right w:val="single" w:color="BBBBBB" w:sz="1"/>
            </w:tcBorders>
            <w:shd w:fill="F4F4F4" w:val="clear"/>
            <w:tcMar>
              <w:top w:type="dxa" w:w="70"/>
              <w:left w:type="dxa" w:w="110"/>
              <w:bottom w:type="dxa" w:w="70"/>
              <w:right w:type="dxa" w:w="110"/>
            </w:tcMar>
          </w:tcPr>
          <w:p>
            <w:pPr>
              <w:jc w:val="left"/>
            </w:pPr>
            <w:r>
              <w:rPr>
                <w:b w:val="false"/>
                <w:bCs w:val="false"/>
                <w:color w:val="222222"/>
                <w:sz w:val="15"/>
                <w:szCs w:val="15"/>
              </w:rPr>
              <w:t xml:space="preserve">Entry ≈ 10,443: just above the monthly-pivot / daily-R1 confluence at ~10,415 (strong confluence shelf below). TP1 ~10,568 sits near 25-session resistance. SL ~10,318 is above daily P (10,279.6).</w:t>
            </w:r>
          </w:p>
        </w:tc>
      </w:tr>
      <w:tr>
        <w:trPr>
          <w:cantSplit/>
        </w:trPr>
        <w:tc>
          <w:tcPr>
            <w:tcW w:type="dxa" w:w="21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Thesis invalidation</w:t>
            </w:r>
          </w:p>
        </w:tc>
        <w:tc>
          <w:tcPr>
            <w:tcW w:type="dxa" w:w="72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A daily close back below 10,279.6 (daily pivot) — wider than the stop; recorded explicitly as 'stop ahead of invalidation'.</w:t>
            </w:r>
          </w:p>
        </w:tc>
      </w:tr>
      <w:tr>
        <w:trPr>
          <w:cantSplit/>
        </w:trPr>
        <w:tc>
          <w:tcPr>
            <w:tcW w:type="dxa" w:w="2100"/>
            <w:tcBorders>
              <w:top w:val="single" w:color="BBBBBB" w:sz="1"/>
              <w:left w:val="single" w:color="BBBBBB" w:sz="1"/>
              <w:bottom w:val="single" w:color="BBBBBB" w:sz="1"/>
              <w:right w:val="single" w:color="BBBBBB" w:sz="1"/>
            </w:tcBorders>
            <w:shd w:fill="F4F4F4" w:val="clear"/>
            <w:tcMar>
              <w:top w:type="dxa" w:w="70"/>
              <w:left w:type="dxa" w:w="110"/>
              <w:bottom w:type="dxa" w:w="70"/>
              <w:right w:type="dxa" w:w="110"/>
            </w:tcMar>
          </w:tcPr>
          <w:p>
            <w:pPr>
              <w:jc w:val="left"/>
            </w:pPr>
            <w:r>
              <w:rPr>
                <w:b w:val="false"/>
                <w:bCs w:val="false"/>
                <w:color w:val="222222"/>
                <w:sz w:val="15"/>
                <w:szCs w:val="15"/>
              </w:rPr>
              <w:t xml:space="preserve">Caveats</w:t>
            </w:r>
          </w:p>
        </w:tc>
        <w:tc>
          <w:tcPr>
            <w:tcW w:type="dxa" w:w="7260"/>
            <w:tcBorders>
              <w:top w:val="single" w:color="BBBBBB" w:sz="1"/>
              <w:left w:val="single" w:color="BBBBBB" w:sz="1"/>
              <w:bottom w:val="single" w:color="BBBBBB" w:sz="1"/>
              <w:right w:val="single" w:color="BBBBBB" w:sz="1"/>
            </w:tcBorders>
            <w:shd w:fill="F4F4F4" w:val="clear"/>
            <w:tcMar>
              <w:top w:type="dxa" w:w="70"/>
              <w:left w:type="dxa" w:w="110"/>
              <w:bottom w:type="dxa" w:w="70"/>
              <w:right w:type="dxa" w:w="110"/>
            </w:tcMar>
          </w:tcPr>
          <w:p>
            <w:pPr>
              <w:jc w:val="left"/>
            </w:pPr>
            <w:r>
              <w:rPr>
                <w:color w:val="B06A00"/>
                <w:sz w:val="15"/>
                <w:szCs w:val="15"/>
              </w:rPr>
              <w:t xml:space="preserve">Single-source-leniency on strategy levels (§19); TP2 at +250 points is ambitious for a one-day horizon — flagged, not suppressed; holding period collides with the §13d Bank of England watch window.</w:t>
            </w:r>
          </w:p>
        </w:tc>
      </w:tr>
    </w:tbl>
    <w:p>
      <w:pPr>
        <w:spacing w:after="60"/>
      </w:pPr>
      <w:r>
        <w:t xml:space="preserve"/>
      </w:r>
    </w:p>
    <w:p>
      <w:pPr>
        <w:pStyle w:val="Heading3"/>
      </w:pPr>
      <w:r>
        <w:t xml:space="preserve">Trade 2 — Pivot, regime-aware  (TRANSITION — breakout side only)</w:t>
      </w:r>
    </w:p>
    <w:p>
      <w:pPr>
        <w:spacing w:after="120" w:line="276"/>
        <w:jc w:val="both"/>
      </w:pPr>
      <w:r>
        <w:t xml:space="preserve">Under a TRANSITION regime, Trade 2 is restricted to the breakout side aligned with Trade 3C. Trade 3C is long (upside breakout), so Trade 2 is an upside continuation entry across the pivot structure; a counter-side sell limit would front-run 3C and is suppressed.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rPr>
          <w:tblHeader/>
        </w:trPr>
        <w:tc>
          <w:tcPr>
            <w:tcW w:type="dxa" w:w="2100"/>
            <w:tcBorders>
              <w:top w:val="single" w:color="BBBBBB" w:sz="1"/>
              <w:left w:val="single" w:color="BBBBBB" w:sz="1"/>
              <w:bottom w:val="single" w:color="BBBBBB" w:sz="1"/>
              <w:right w:val="single" w:color="BBBBBB" w:sz="1"/>
            </w:tcBorders>
            <w:shd w:fill="9B2D6E" w:val="clear"/>
            <w:tcMar>
              <w:top w:type="dxa" w:w="70"/>
              <w:left w:type="dxa" w:w="110"/>
              <w:bottom w:type="dxa" w:w="70"/>
              <w:right w:type="dxa" w:w="110"/>
            </w:tcMar>
          </w:tcPr>
          <w:p>
            <w:pPr>
              <w:jc w:val="left"/>
            </w:pPr>
            <w:r>
              <w:rPr>
                <w:b/>
                <w:bCs/>
                <w:color w:val="FFFFFF"/>
                <w:sz w:val="16"/>
                <w:szCs w:val="16"/>
              </w:rPr>
              <w:t xml:space="preserve">Field</w:t>
            </w:r>
          </w:p>
        </w:tc>
        <w:tc>
          <w:tcPr>
            <w:tcW w:type="dxa" w:w="7260"/>
            <w:tcBorders>
              <w:top w:val="single" w:color="BBBBBB" w:sz="1"/>
              <w:left w:val="single" w:color="BBBBBB" w:sz="1"/>
              <w:bottom w:val="single" w:color="BBBBBB" w:sz="1"/>
              <w:right w:val="single" w:color="BBBBBB" w:sz="1"/>
            </w:tcBorders>
            <w:shd w:fill="9B2D6E" w:val="clear"/>
            <w:tcMar>
              <w:top w:type="dxa" w:w="70"/>
              <w:left w:type="dxa" w:w="110"/>
              <w:bottom w:type="dxa" w:w="70"/>
              <w:right w:type="dxa" w:w="110"/>
            </w:tcMar>
          </w:tcPr>
          <w:p>
            <w:pPr>
              <w:jc w:val="left"/>
            </w:pPr>
            <w:r>
              <w:rPr>
                <w:b/>
                <w:bCs/>
                <w:color w:val="FFFFFF"/>
                <w:sz w:val="16"/>
                <w:szCs w:val="16"/>
              </w:rPr>
              <w:t xml:space="preserve">Specification</w:t>
            </w:r>
          </w:p>
        </w:tc>
      </w:tr>
      <w:tr>
        <w:trPr>
          <w:cantSplit/>
        </w:trPr>
        <w:tc>
          <w:tcPr>
            <w:tcW w:type="dxa" w:w="21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Trade type</w:t>
            </w:r>
          </w:p>
        </w:tc>
        <w:tc>
          <w:tcPr>
            <w:tcW w:type="dxa" w:w="72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Trade 2 — Pivot (TRANSITION, breakout side)</w:t>
            </w:r>
          </w:p>
        </w:tc>
      </w:tr>
      <w:tr>
        <w:trPr>
          <w:cantSplit/>
        </w:trPr>
        <w:tc>
          <w:tcPr>
            <w:tcW w:type="dxa" w:w="2100"/>
            <w:tcBorders>
              <w:top w:val="single" w:color="BBBBBB" w:sz="1"/>
              <w:left w:val="single" w:color="BBBBBB" w:sz="1"/>
              <w:bottom w:val="single" w:color="BBBBBB" w:sz="1"/>
              <w:right w:val="single" w:color="BBBBBB" w:sz="1"/>
            </w:tcBorders>
            <w:shd w:fill="F4F4F4" w:val="clear"/>
            <w:tcMar>
              <w:top w:type="dxa" w:w="70"/>
              <w:left w:type="dxa" w:w="110"/>
              <w:bottom w:type="dxa" w:w="70"/>
              <w:right w:type="dxa" w:w="110"/>
            </w:tcMar>
          </w:tcPr>
          <w:p>
            <w:pPr>
              <w:jc w:val="left"/>
            </w:pPr>
            <w:r>
              <w:rPr>
                <w:b w:val="false"/>
                <w:bCs w:val="false"/>
                <w:color w:val="222222"/>
                <w:sz w:val="15"/>
                <w:szCs w:val="15"/>
              </w:rPr>
              <w:t xml:space="preserve">Direction</w:t>
            </w:r>
          </w:p>
        </w:tc>
        <w:tc>
          <w:tcPr>
            <w:tcW w:type="dxa" w:w="7260"/>
            <w:tcBorders>
              <w:top w:val="single" w:color="BBBBBB" w:sz="1"/>
              <w:left w:val="single" w:color="BBBBBB" w:sz="1"/>
              <w:bottom w:val="single" w:color="BBBBBB" w:sz="1"/>
              <w:right w:val="single" w:color="BBBBBB" w:sz="1"/>
            </w:tcBorders>
            <w:shd w:fill="F4F4F4" w:val="clear"/>
            <w:tcMar>
              <w:top w:type="dxa" w:w="70"/>
              <w:left w:type="dxa" w:w="110"/>
              <w:bottom w:type="dxa" w:w="70"/>
              <w:right w:type="dxa" w:w="110"/>
            </w:tcMar>
          </w:tcPr>
          <w:p>
            <w:pPr>
              <w:jc w:val="left"/>
            </w:pPr>
            <w:r>
              <w:rPr>
                <w:b/>
                <w:bCs/>
                <w:color w:val="2E7D4F"/>
                <w:sz w:val="15"/>
                <w:szCs w:val="15"/>
              </w:rPr>
              <w:t xml:space="preserve">LONG — breakout side, aligned with Trade 3C</w:t>
            </w:r>
          </w:p>
        </w:tc>
      </w:tr>
      <w:tr>
        <w:trPr>
          <w:cantSplit/>
        </w:trPr>
        <w:tc>
          <w:tcPr>
            <w:tcW w:type="dxa" w:w="21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Entry</w:t>
            </w:r>
          </w:p>
        </w:tc>
        <w:tc>
          <w:tcPr>
            <w:tcW w:type="dxa" w:w="72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Stop-entry at 10,512 points — confirmation of continuation through daily R2 (10,503.6). Order type: buy stop.</w:t>
            </w:r>
          </w:p>
        </w:tc>
      </w:tr>
      <w:tr>
        <w:trPr>
          <w:cantSplit/>
        </w:trPr>
        <w:tc>
          <w:tcPr>
            <w:tcW w:type="dxa" w:w="2100"/>
            <w:tcBorders>
              <w:top w:val="single" w:color="BBBBBB" w:sz="1"/>
              <w:left w:val="single" w:color="BBBBBB" w:sz="1"/>
              <w:bottom w:val="single" w:color="BBBBBB" w:sz="1"/>
              <w:right w:val="single" w:color="BBBBBB" w:sz="1"/>
            </w:tcBorders>
            <w:shd w:fill="F4F4F4" w:val="clear"/>
            <w:tcMar>
              <w:top w:type="dxa" w:w="70"/>
              <w:left w:type="dxa" w:w="110"/>
              <w:bottom w:type="dxa" w:w="70"/>
              <w:right w:type="dxa" w:w="110"/>
            </w:tcMar>
          </w:tcPr>
          <w:p>
            <w:pPr>
              <w:jc w:val="left"/>
            </w:pPr>
            <w:r>
              <w:rPr>
                <w:b w:val="false"/>
                <w:bCs w:val="false"/>
                <w:color w:val="222222"/>
                <w:sz w:val="15"/>
                <w:szCs w:val="15"/>
              </w:rPr>
              <w:t xml:space="preserve">Stop loss</w:t>
            </w:r>
          </w:p>
        </w:tc>
        <w:tc>
          <w:tcPr>
            <w:tcW w:type="dxa" w:w="7260"/>
            <w:tcBorders>
              <w:top w:val="single" w:color="BBBBBB" w:sz="1"/>
              <w:left w:val="single" w:color="BBBBBB" w:sz="1"/>
              <w:bottom w:val="single" w:color="BBBBBB" w:sz="1"/>
              <w:right w:val="single" w:color="BBBBBB" w:sz="1"/>
            </w:tcBorders>
            <w:shd w:fill="F4F4F4" w:val="clear"/>
            <w:tcMar>
              <w:top w:type="dxa" w:w="70"/>
              <w:left w:type="dxa" w:w="110"/>
              <w:bottom w:type="dxa" w:w="70"/>
              <w:right w:type="dxa" w:w="110"/>
            </w:tcMar>
          </w:tcPr>
          <w:p>
            <w:pPr>
              <w:jc w:val="left"/>
            </w:pPr>
            <w:r>
              <w:rPr>
                <w:b w:val="false"/>
                <w:bCs w:val="false"/>
                <w:color w:val="222222"/>
                <w:sz w:val="15"/>
                <w:szCs w:val="15"/>
              </w:rPr>
              <w:t xml:space="preserve">10,360 points — 152 points below entry. Anchored just below the 21 May session low (10,353) with a 0.25 × ATR buffer; inside the 3.5 × ATR cap.</w:t>
            </w:r>
          </w:p>
        </w:tc>
      </w:tr>
      <w:tr>
        <w:trPr>
          <w:cantSplit/>
        </w:trPr>
        <w:tc>
          <w:tcPr>
            <w:tcW w:type="dxa" w:w="21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Risk (R)</w:t>
            </w:r>
          </w:p>
        </w:tc>
        <w:tc>
          <w:tcPr>
            <w:tcW w:type="dxa" w:w="72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152 points (10,512 → 10,360)</w:t>
            </w:r>
          </w:p>
        </w:tc>
      </w:tr>
      <w:tr>
        <w:trPr>
          <w:cantSplit/>
        </w:trPr>
        <w:tc>
          <w:tcPr>
            <w:tcW w:type="dxa" w:w="2100"/>
            <w:tcBorders>
              <w:top w:val="single" w:color="BBBBBB" w:sz="1"/>
              <w:left w:val="single" w:color="BBBBBB" w:sz="1"/>
              <w:bottom w:val="single" w:color="BBBBBB" w:sz="1"/>
              <w:right w:val="single" w:color="BBBBBB" w:sz="1"/>
            </w:tcBorders>
            <w:shd w:fill="F4F4F4" w:val="clear"/>
            <w:tcMar>
              <w:top w:type="dxa" w:w="70"/>
              <w:left w:type="dxa" w:w="110"/>
              <w:bottom w:type="dxa" w:w="70"/>
              <w:right w:type="dxa" w:w="110"/>
            </w:tcMar>
          </w:tcPr>
          <w:p>
            <w:pPr>
              <w:jc w:val="left"/>
            </w:pPr>
            <w:r>
              <w:rPr>
                <w:b w:val="false"/>
                <w:bCs w:val="false"/>
                <w:color w:val="222222"/>
                <w:sz w:val="15"/>
                <w:szCs w:val="15"/>
              </w:rPr>
              <w:t xml:space="preserve">TP1 (Unit 1)</w:t>
            </w:r>
          </w:p>
        </w:tc>
        <w:tc>
          <w:tcPr>
            <w:tcW w:type="dxa" w:w="7260"/>
            <w:tcBorders>
              <w:top w:val="single" w:color="BBBBBB" w:sz="1"/>
              <w:left w:val="single" w:color="BBBBBB" w:sz="1"/>
              <w:bottom w:val="single" w:color="BBBBBB" w:sz="1"/>
              <w:right w:val="single" w:color="BBBBBB" w:sz="1"/>
            </w:tcBorders>
            <w:shd w:fill="F4F4F4" w:val="clear"/>
            <w:tcMar>
              <w:top w:type="dxa" w:w="70"/>
              <w:left w:type="dxa" w:w="110"/>
              <w:bottom w:type="dxa" w:w="70"/>
              <w:right w:type="dxa" w:w="110"/>
            </w:tcMar>
          </w:tcPr>
          <w:p>
            <w:pPr>
              <w:jc w:val="left"/>
            </w:pPr>
            <w:r>
              <w:rPr>
                <w:b w:val="false"/>
                <w:bCs w:val="false"/>
                <w:color w:val="222222"/>
                <w:sz w:val="15"/>
                <w:szCs w:val="15"/>
              </w:rPr>
              <w:t xml:space="preserve">10,664 points — +1R, near daily R3 (10,641) / monthly R1 (10,649)</w:t>
            </w:r>
          </w:p>
        </w:tc>
      </w:tr>
      <w:tr>
        <w:trPr>
          <w:cantSplit/>
        </w:trPr>
        <w:tc>
          <w:tcPr>
            <w:tcW w:type="dxa" w:w="21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TP2 (Unit 2)</w:t>
            </w:r>
          </w:p>
        </w:tc>
        <w:tc>
          <w:tcPr>
            <w:tcW w:type="dxa" w:w="72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10,816 points — +2R, approaching daily R4 (10,865). On fill, Unit 3 stop moves to entry +0.2R ≈ 10,542.</w:t>
            </w:r>
          </w:p>
        </w:tc>
      </w:tr>
      <w:tr>
        <w:trPr>
          <w:cantSplit/>
        </w:trPr>
        <w:tc>
          <w:tcPr>
            <w:tcW w:type="dxa" w:w="2100"/>
            <w:tcBorders>
              <w:top w:val="single" w:color="BBBBBB" w:sz="1"/>
              <w:left w:val="single" w:color="BBBBBB" w:sz="1"/>
              <w:bottom w:val="single" w:color="BBBBBB" w:sz="1"/>
              <w:right w:val="single" w:color="BBBBBB" w:sz="1"/>
            </w:tcBorders>
            <w:shd w:fill="F4F4F4" w:val="clear"/>
            <w:tcMar>
              <w:top w:type="dxa" w:w="70"/>
              <w:left w:type="dxa" w:w="110"/>
              <w:bottom w:type="dxa" w:w="70"/>
              <w:right w:type="dxa" w:w="110"/>
            </w:tcMar>
          </w:tcPr>
          <w:p>
            <w:pPr>
              <w:jc w:val="left"/>
            </w:pPr>
            <w:r>
              <w:rPr>
                <w:b w:val="false"/>
                <w:bCs w:val="false"/>
                <w:color w:val="222222"/>
                <w:sz w:val="15"/>
                <w:szCs w:val="15"/>
              </w:rPr>
              <w:t xml:space="preserve">TP3 (Unit 3 — runner)</w:t>
            </w:r>
          </w:p>
        </w:tc>
        <w:tc>
          <w:tcPr>
            <w:tcW w:type="dxa" w:w="7260"/>
            <w:tcBorders>
              <w:top w:val="single" w:color="BBBBBB" w:sz="1"/>
              <w:left w:val="single" w:color="BBBBBB" w:sz="1"/>
              <w:bottom w:val="single" w:color="BBBBBB" w:sz="1"/>
              <w:right w:val="single" w:color="BBBBBB" w:sz="1"/>
            </w:tcBorders>
            <w:shd w:fill="F4F4F4" w:val="clear"/>
            <w:tcMar>
              <w:top w:type="dxa" w:w="70"/>
              <w:left w:type="dxa" w:w="110"/>
              <w:bottom w:type="dxa" w:w="70"/>
              <w:right w:type="dxa" w:w="110"/>
            </w:tcMar>
          </w:tcPr>
          <w:p>
            <w:pPr>
              <w:jc w:val="left"/>
            </w:pPr>
            <w:r>
              <w:rPr>
                <w:b w:val="false"/>
                <w:bCs w:val="false"/>
                <w:color w:val="222222"/>
                <w:sz w:val="15"/>
                <w:szCs w:val="15"/>
              </w:rPr>
              <w:t xml:space="preserve">Runner toward the next structural extension; discretionary trail above daily R4.</w:t>
            </w:r>
          </w:p>
        </w:tc>
      </w:tr>
      <w:tr>
        <w:trPr>
          <w:cantSplit/>
        </w:trPr>
        <w:tc>
          <w:tcPr>
            <w:tcW w:type="dxa" w:w="21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Tranche management</w:t>
            </w:r>
          </w:p>
        </w:tc>
        <w:tc>
          <w:tcPr>
            <w:tcW w:type="dxa" w:w="72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3 equal units; standard tranche rule; Unit 3 trails to entry +0.2R on Unit 2 fill.</w:t>
            </w:r>
          </w:p>
        </w:tc>
      </w:tr>
      <w:tr>
        <w:trPr>
          <w:cantSplit/>
        </w:trPr>
        <w:tc>
          <w:tcPr>
            <w:tcW w:type="dxa" w:w="2100"/>
            <w:tcBorders>
              <w:top w:val="single" w:color="BBBBBB" w:sz="1"/>
              <w:left w:val="single" w:color="BBBBBB" w:sz="1"/>
              <w:bottom w:val="single" w:color="BBBBBB" w:sz="1"/>
              <w:right w:val="single" w:color="BBBBBB" w:sz="1"/>
            </w:tcBorders>
            <w:shd w:fill="F4F4F4" w:val="clear"/>
            <w:tcMar>
              <w:top w:type="dxa" w:w="70"/>
              <w:left w:type="dxa" w:w="110"/>
              <w:bottom w:type="dxa" w:w="70"/>
              <w:right w:type="dxa" w:w="110"/>
            </w:tcMar>
          </w:tcPr>
          <w:p>
            <w:pPr>
              <w:jc w:val="left"/>
            </w:pPr>
            <w:r>
              <w:rPr>
                <w:b w:val="false"/>
                <w:bCs w:val="false"/>
                <w:color w:val="222222"/>
                <w:sz w:val="15"/>
                <w:szCs w:val="15"/>
              </w:rPr>
              <w:t xml:space="preserve">Confluences</w:t>
            </w:r>
          </w:p>
        </w:tc>
        <w:tc>
          <w:tcPr>
            <w:tcW w:type="dxa" w:w="7260"/>
            <w:tcBorders>
              <w:top w:val="single" w:color="BBBBBB" w:sz="1"/>
              <w:left w:val="single" w:color="BBBBBB" w:sz="1"/>
              <w:bottom w:val="single" w:color="BBBBBB" w:sz="1"/>
              <w:right w:val="single" w:color="BBBBBB" w:sz="1"/>
            </w:tcBorders>
            <w:shd w:fill="F4F4F4" w:val="clear"/>
            <w:tcMar>
              <w:top w:type="dxa" w:w="70"/>
              <w:left w:type="dxa" w:w="110"/>
              <w:bottom w:type="dxa" w:w="70"/>
              <w:right w:type="dxa" w:w="110"/>
            </w:tcMar>
          </w:tcPr>
          <w:p>
            <w:pPr>
              <w:jc w:val="left"/>
            </w:pPr>
            <w:r>
              <w:rPr>
                <w:b w:val="false"/>
                <w:bCs w:val="false"/>
                <w:color w:val="222222"/>
                <w:sz w:val="15"/>
                <w:szCs w:val="15"/>
              </w:rPr>
              <w:t xml:space="preserve">TP1 ~10,664 is a strong confluence — daily R3 (10,641) and monthly R1 (10,649) within ~25 points. Entry ~10,512 sits just above daily R2 (10,503.6).</w:t>
            </w:r>
          </w:p>
        </w:tc>
      </w:tr>
      <w:tr>
        <w:trPr>
          <w:cantSplit/>
        </w:trPr>
        <w:tc>
          <w:tcPr>
            <w:tcW w:type="dxa" w:w="21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Thesis invalidation</w:t>
            </w:r>
          </w:p>
        </w:tc>
        <w:tc>
          <w:tcPr>
            <w:tcW w:type="dxa" w:w="72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A daily close back below daily R1 (10,417.2) — the breakout level reclaimed from above.</w:t>
            </w:r>
          </w:p>
        </w:tc>
      </w:tr>
      <w:tr>
        <w:trPr>
          <w:cantSplit/>
        </w:trPr>
        <w:tc>
          <w:tcPr>
            <w:tcW w:type="dxa" w:w="2100"/>
            <w:tcBorders>
              <w:top w:val="single" w:color="BBBBBB" w:sz="1"/>
              <w:left w:val="single" w:color="BBBBBB" w:sz="1"/>
              <w:bottom w:val="single" w:color="BBBBBB" w:sz="1"/>
              <w:right w:val="single" w:color="BBBBBB" w:sz="1"/>
            </w:tcBorders>
            <w:shd w:fill="F4F4F4" w:val="clear"/>
            <w:tcMar>
              <w:top w:type="dxa" w:w="70"/>
              <w:left w:type="dxa" w:w="110"/>
              <w:bottom w:type="dxa" w:w="70"/>
              <w:right w:type="dxa" w:w="110"/>
            </w:tcMar>
          </w:tcPr>
          <w:p>
            <w:pPr>
              <w:jc w:val="left"/>
            </w:pPr>
            <w:r>
              <w:rPr>
                <w:b w:val="false"/>
                <w:bCs w:val="false"/>
                <w:color w:val="222222"/>
                <w:sz w:val="15"/>
                <w:szCs w:val="15"/>
              </w:rPr>
              <w:t xml:space="preserve">Caveats</w:t>
            </w:r>
          </w:p>
        </w:tc>
        <w:tc>
          <w:tcPr>
            <w:tcW w:type="dxa" w:w="7260"/>
            <w:tcBorders>
              <w:top w:val="single" w:color="BBBBBB" w:sz="1"/>
              <w:left w:val="single" w:color="BBBBBB" w:sz="1"/>
              <w:bottom w:val="single" w:color="BBBBBB" w:sz="1"/>
              <w:right w:val="single" w:color="BBBBBB" w:sz="1"/>
            </w:tcBorders>
            <w:shd w:fill="F4F4F4" w:val="clear"/>
            <w:tcMar>
              <w:top w:type="dxa" w:w="70"/>
              <w:left w:type="dxa" w:w="110"/>
              <w:bottom w:type="dxa" w:w="70"/>
              <w:right w:type="dxa" w:w="110"/>
            </w:tcMar>
          </w:tcPr>
          <w:p>
            <w:pPr>
              <w:jc w:val="left"/>
            </w:pPr>
            <w:r>
              <w:rPr>
                <w:color w:val="B06A00"/>
                <w:sz w:val="15"/>
                <w:szCs w:val="15"/>
              </w:rPr>
              <w:t xml:space="preserve">Breakout-confirmation entry: triggers only on a clean push through ~10,512 — will not fill if the index consolidates below daily R2. Single-source-leniency on pivot levels (§19).</w:t>
            </w:r>
          </w:p>
        </w:tc>
      </w:tr>
    </w:tbl>
    <w:p>
      <w:pPr>
        <w:spacing w:after="60"/>
      </w:pPr>
      <w:r>
        <w:t xml:space="preserve"/>
      </w:r>
    </w:p>
    <w:p>
      <w:pPr>
        <w:pStyle w:val="Heading3"/>
      </w:pPr>
      <w:r>
        <w:t xml:space="preserve">Trade 3C — Momentum-Breakout  (TRANSITION regime)</w:t>
      </w:r>
    </w:p>
    <w:p>
      <w:pPr>
        <w:spacing w:after="120" w:line="276"/>
        <w:jc w:val="both"/>
      </w:pPr>
      <w:r>
        <w:t xml:space="preserve">The TRANSITION regime forks Trade 3 to variant 3C — a post-fakeout momentum-breakout play. The 25-session range is bounded by swing_high_25d ≈ 10,623 and swing_low_25d ≈ 9,939 (range width ≈ 684 points). The recent failed retests clustered at the lower boundary near 10,000, and the rebound plus a positive VOLator slope point to an upside breakout bias.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rPr>
          <w:tblHeader/>
        </w:trPr>
        <w:tc>
          <w:tcPr>
            <w:tcW w:type="dxa" w:w="2100"/>
            <w:tcBorders>
              <w:top w:val="single" w:color="BBBBBB" w:sz="1"/>
              <w:left w:val="single" w:color="BBBBBB" w:sz="1"/>
              <w:bottom w:val="single" w:color="BBBBBB" w:sz="1"/>
              <w:right w:val="single" w:color="BBBBBB" w:sz="1"/>
            </w:tcBorders>
            <w:shd w:fill="9B2D6E" w:val="clear"/>
            <w:tcMar>
              <w:top w:type="dxa" w:w="70"/>
              <w:left w:type="dxa" w:w="110"/>
              <w:bottom w:type="dxa" w:w="70"/>
              <w:right w:type="dxa" w:w="110"/>
            </w:tcMar>
          </w:tcPr>
          <w:p>
            <w:pPr>
              <w:jc w:val="left"/>
            </w:pPr>
            <w:r>
              <w:rPr>
                <w:b/>
                <w:bCs/>
                <w:color w:val="FFFFFF"/>
                <w:sz w:val="16"/>
                <w:szCs w:val="16"/>
              </w:rPr>
              <w:t xml:space="preserve">Field</w:t>
            </w:r>
          </w:p>
        </w:tc>
        <w:tc>
          <w:tcPr>
            <w:tcW w:type="dxa" w:w="7260"/>
            <w:tcBorders>
              <w:top w:val="single" w:color="BBBBBB" w:sz="1"/>
              <w:left w:val="single" w:color="BBBBBB" w:sz="1"/>
              <w:bottom w:val="single" w:color="BBBBBB" w:sz="1"/>
              <w:right w:val="single" w:color="BBBBBB" w:sz="1"/>
            </w:tcBorders>
            <w:shd w:fill="9B2D6E" w:val="clear"/>
            <w:tcMar>
              <w:top w:type="dxa" w:w="70"/>
              <w:left w:type="dxa" w:w="110"/>
              <w:bottom w:type="dxa" w:w="70"/>
              <w:right w:type="dxa" w:w="110"/>
            </w:tcMar>
          </w:tcPr>
          <w:p>
            <w:pPr>
              <w:jc w:val="left"/>
            </w:pPr>
            <w:r>
              <w:rPr>
                <w:b/>
                <w:bCs/>
                <w:color w:val="FFFFFF"/>
                <w:sz w:val="16"/>
                <w:szCs w:val="16"/>
              </w:rPr>
              <w:t xml:space="preserve">Specification</w:t>
            </w:r>
          </w:p>
        </w:tc>
      </w:tr>
      <w:tr>
        <w:trPr>
          <w:cantSplit/>
        </w:trPr>
        <w:tc>
          <w:tcPr>
            <w:tcW w:type="dxa" w:w="21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Trade type</w:t>
            </w:r>
          </w:p>
        </w:tc>
        <w:tc>
          <w:tcPr>
            <w:tcW w:type="dxa" w:w="72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Trade 3C — Momentum-Breakout</w:t>
            </w:r>
          </w:p>
        </w:tc>
      </w:tr>
      <w:tr>
        <w:trPr>
          <w:cantSplit/>
        </w:trPr>
        <w:tc>
          <w:tcPr>
            <w:tcW w:type="dxa" w:w="2100"/>
            <w:tcBorders>
              <w:top w:val="single" w:color="BBBBBB" w:sz="1"/>
              <w:left w:val="single" w:color="BBBBBB" w:sz="1"/>
              <w:bottom w:val="single" w:color="BBBBBB" w:sz="1"/>
              <w:right w:val="single" w:color="BBBBBB" w:sz="1"/>
            </w:tcBorders>
            <w:shd w:fill="F4F4F4" w:val="clear"/>
            <w:tcMar>
              <w:top w:type="dxa" w:w="70"/>
              <w:left w:type="dxa" w:w="110"/>
              <w:bottom w:type="dxa" w:w="70"/>
              <w:right w:type="dxa" w:w="110"/>
            </w:tcMar>
          </w:tcPr>
          <w:p>
            <w:pPr>
              <w:jc w:val="left"/>
            </w:pPr>
            <w:r>
              <w:rPr>
                <w:b w:val="false"/>
                <w:bCs w:val="false"/>
                <w:color w:val="222222"/>
                <w:sz w:val="15"/>
                <w:szCs w:val="15"/>
              </w:rPr>
              <w:t xml:space="preserve">Direction</w:t>
            </w:r>
          </w:p>
        </w:tc>
        <w:tc>
          <w:tcPr>
            <w:tcW w:type="dxa" w:w="7260"/>
            <w:tcBorders>
              <w:top w:val="single" w:color="BBBBBB" w:sz="1"/>
              <w:left w:val="single" w:color="BBBBBB" w:sz="1"/>
              <w:bottom w:val="single" w:color="BBBBBB" w:sz="1"/>
              <w:right w:val="single" w:color="BBBBBB" w:sz="1"/>
            </w:tcBorders>
            <w:shd w:fill="F4F4F4" w:val="clear"/>
            <w:tcMar>
              <w:top w:type="dxa" w:w="70"/>
              <w:left w:type="dxa" w:w="110"/>
              <w:bottom w:type="dxa" w:w="70"/>
              <w:right w:type="dxa" w:w="110"/>
            </w:tcMar>
          </w:tcPr>
          <w:p>
            <w:pPr>
              <w:jc w:val="left"/>
            </w:pPr>
            <w:r>
              <w:rPr>
                <w:b/>
                <w:bCs/>
                <w:color w:val="2E7D4F"/>
                <w:sz w:val="15"/>
                <w:szCs w:val="15"/>
              </w:rPr>
              <w:t xml:space="preserve">LONG — upside breakout; recent failed retests at the lower boundary, VOLator slope positive</w:t>
            </w:r>
          </w:p>
        </w:tc>
      </w:tr>
      <w:tr>
        <w:trPr>
          <w:cantSplit/>
        </w:trPr>
        <w:tc>
          <w:tcPr>
            <w:tcW w:type="dxa" w:w="21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Range definition</w:t>
            </w:r>
          </w:p>
        </w:tc>
        <w:tc>
          <w:tcPr>
            <w:tcW w:type="dxa" w:w="72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25-session range: low ≈ 9,939, high ≈ 10,623, width ≈ 684 points</w:t>
            </w:r>
          </w:p>
        </w:tc>
      </w:tr>
      <w:tr>
        <w:trPr>
          <w:cantSplit/>
        </w:trPr>
        <w:tc>
          <w:tcPr>
            <w:tcW w:type="dxa" w:w="2100"/>
            <w:tcBorders>
              <w:top w:val="single" w:color="BBBBBB" w:sz="1"/>
              <w:left w:val="single" w:color="BBBBBB" w:sz="1"/>
              <w:bottom w:val="single" w:color="BBBBBB" w:sz="1"/>
              <w:right w:val="single" w:color="BBBBBB" w:sz="1"/>
            </w:tcBorders>
            <w:shd w:fill="F4F4F4" w:val="clear"/>
            <w:tcMar>
              <w:top w:type="dxa" w:w="70"/>
              <w:left w:type="dxa" w:w="110"/>
              <w:bottom w:type="dxa" w:w="70"/>
              <w:right w:type="dxa" w:w="110"/>
            </w:tcMar>
          </w:tcPr>
          <w:p>
            <w:pPr>
              <w:jc w:val="left"/>
            </w:pPr>
            <w:r>
              <w:rPr>
                <w:b w:val="false"/>
                <w:bCs w:val="false"/>
                <w:color w:val="222222"/>
                <w:sz w:val="15"/>
                <w:szCs w:val="15"/>
              </w:rPr>
              <w:t xml:space="preserve">Confirmed break</w:t>
            </w:r>
          </w:p>
        </w:tc>
        <w:tc>
          <w:tcPr>
            <w:tcW w:type="dxa" w:w="7260"/>
            <w:tcBorders>
              <w:top w:val="single" w:color="BBBBBB" w:sz="1"/>
              <w:left w:val="single" w:color="BBBBBB" w:sz="1"/>
              <w:bottom w:val="single" w:color="BBBBBB" w:sz="1"/>
              <w:right w:val="single" w:color="BBBBBB" w:sz="1"/>
            </w:tcBorders>
            <w:shd w:fill="F4F4F4" w:val="clear"/>
            <w:tcMar>
              <w:top w:type="dxa" w:w="70"/>
              <w:left w:type="dxa" w:w="110"/>
              <w:bottom w:type="dxa" w:w="70"/>
              <w:right w:type="dxa" w:w="110"/>
            </w:tcMar>
          </w:tcPr>
          <w:p>
            <w:pPr>
              <w:jc w:val="left"/>
            </w:pPr>
            <w:r>
              <w:rPr>
                <w:b w:val="false"/>
                <w:bCs w:val="false"/>
                <w:color w:val="222222"/>
                <w:sz w:val="15"/>
                <w:szCs w:val="15"/>
              </w:rPr>
              <w:t xml:space="preserve">A daily close above 10,623 by at least 0.25 × ATR (≈35 points) — i.e. a close above ≈ 10,658. Until that close prints the trade is not yet eligible; entry is staged.</w:t>
            </w:r>
          </w:p>
        </w:tc>
      </w:tr>
      <w:tr>
        <w:trPr>
          <w:cantSplit/>
        </w:trPr>
        <w:tc>
          <w:tcPr>
            <w:tcW w:type="dxa" w:w="21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Entry</w:t>
            </w:r>
          </w:p>
        </w:tc>
        <w:tc>
          <w:tcPr>
            <w:tcW w:type="dxa" w:w="72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On the confirmed breakout close above ≈10,658 (or the following session open). Staged — not live until confirmation.</w:t>
            </w:r>
          </w:p>
        </w:tc>
      </w:tr>
      <w:tr>
        <w:trPr>
          <w:cantSplit/>
        </w:trPr>
        <w:tc>
          <w:tcPr>
            <w:tcW w:type="dxa" w:w="2100"/>
            <w:tcBorders>
              <w:top w:val="single" w:color="BBBBBB" w:sz="1"/>
              <w:left w:val="single" w:color="BBBBBB" w:sz="1"/>
              <w:bottom w:val="single" w:color="BBBBBB" w:sz="1"/>
              <w:right w:val="single" w:color="BBBBBB" w:sz="1"/>
            </w:tcBorders>
            <w:shd w:fill="F4F4F4" w:val="clear"/>
            <w:tcMar>
              <w:top w:type="dxa" w:w="70"/>
              <w:left w:type="dxa" w:w="110"/>
              <w:bottom w:type="dxa" w:w="70"/>
              <w:right w:type="dxa" w:w="110"/>
            </w:tcMar>
          </w:tcPr>
          <w:p>
            <w:pPr>
              <w:jc w:val="left"/>
            </w:pPr>
            <w:r>
              <w:rPr>
                <w:b w:val="false"/>
                <w:bCs w:val="false"/>
                <w:color w:val="222222"/>
                <w:sz w:val="15"/>
                <w:szCs w:val="15"/>
              </w:rPr>
              <w:t xml:space="preserve">Stop loss</w:t>
            </w:r>
          </w:p>
        </w:tc>
        <w:tc>
          <w:tcPr>
            <w:tcW w:type="dxa" w:w="7260"/>
            <w:tcBorders>
              <w:top w:val="single" w:color="BBBBBB" w:sz="1"/>
              <w:left w:val="single" w:color="BBBBBB" w:sz="1"/>
              <w:bottom w:val="single" w:color="BBBBBB" w:sz="1"/>
              <w:right w:val="single" w:color="BBBBBB" w:sz="1"/>
            </w:tcBorders>
            <w:shd w:fill="F4F4F4" w:val="clear"/>
            <w:tcMar>
              <w:top w:type="dxa" w:w="70"/>
              <w:left w:type="dxa" w:w="110"/>
              <w:bottom w:type="dxa" w:w="70"/>
              <w:right w:type="dxa" w:w="110"/>
            </w:tcMar>
          </w:tcPr>
          <w:p>
            <w:pPr>
              <w:jc w:val="left"/>
            </w:pPr>
            <w:r>
              <w:rPr>
                <w:b w:val="false"/>
                <w:bCs w:val="false"/>
                <w:color w:val="222222"/>
                <w:sz w:val="15"/>
                <w:szCs w:val="15"/>
              </w:rPr>
              <w:t xml:space="preserve">10,213 points — range_low + 0.40 × width (9,939 + 274). A generous post-fakeout structural stop, just below the monthly-pivot region.</w:t>
            </w:r>
          </w:p>
        </w:tc>
      </w:tr>
      <w:tr>
        <w:trPr>
          <w:cantSplit/>
        </w:trPr>
        <w:tc>
          <w:tcPr>
            <w:tcW w:type="dxa" w:w="21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Risk (R)</w:t>
            </w:r>
          </w:p>
        </w:tc>
        <w:tc>
          <w:tcPr>
            <w:tcW w:type="dxa" w:w="72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 445 points from a ~10,658 entry to the 10,213 stop</w:t>
            </w:r>
          </w:p>
        </w:tc>
      </w:tr>
      <w:tr>
        <w:trPr>
          <w:cantSplit/>
        </w:trPr>
        <w:tc>
          <w:tcPr>
            <w:tcW w:type="dxa" w:w="2100"/>
            <w:tcBorders>
              <w:top w:val="single" w:color="BBBBBB" w:sz="1"/>
              <w:left w:val="single" w:color="BBBBBB" w:sz="1"/>
              <w:bottom w:val="single" w:color="BBBBBB" w:sz="1"/>
              <w:right w:val="single" w:color="BBBBBB" w:sz="1"/>
            </w:tcBorders>
            <w:shd w:fill="F4F4F4" w:val="clear"/>
            <w:tcMar>
              <w:top w:type="dxa" w:w="70"/>
              <w:left w:type="dxa" w:w="110"/>
              <w:bottom w:type="dxa" w:w="70"/>
              <w:right w:type="dxa" w:w="110"/>
            </w:tcMar>
          </w:tcPr>
          <w:p>
            <w:pPr>
              <w:jc w:val="left"/>
            </w:pPr>
            <w:r>
              <w:rPr>
                <w:b w:val="false"/>
                <w:bCs w:val="false"/>
                <w:color w:val="222222"/>
                <w:sz w:val="15"/>
                <w:szCs w:val="15"/>
              </w:rPr>
              <w:t xml:space="preserve">TP1 (Unit 1)</w:t>
            </w:r>
          </w:p>
        </w:tc>
        <w:tc>
          <w:tcPr>
            <w:tcW w:type="dxa" w:w="7260"/>
            <w:tcBorders>
              <w:top w:val="single" w:color="BBBBBB" w:sz="1"/>
              <w:left w:val="single" w:color="BBBBBB" w:sz="1"/>
              <w:bottom w:val="single" w:color="BBBBBB" w:sz="1"/>
              <w:right w:val="single" w:color="BBBBBB" w:sz="1"/>
            </w:tcBorders>
            <w:shd w:fill="F4F4F4" w:val="clear"/>
            <w:tcMar>
              <w:top w:type="dxa" w:w="70"/>
              <w:left w:type="dxa" w:w="110"/>
              <w:bottom w:type="dxa" w:w="70"/>
              <w:right w:type="dxa" w:w="110"/>
            </w:tcMar>
          </w:tcPr>
          <w:p>
            <w:pPr>
              <w:jc w:val="left"/>
            </w:pPr>
            <w:r>
              <w:rPr>
                <w:b w:val="false"/>
                <w:bCs w:val="false"/>
                <w:color w:val="222222"/>
                <w:sz w:val="15"/>
                <w:szCs w:val="15"/>
              </w:rPr>
              <w:t xml:space="preserve">Measured move: broken high + 1.0 × width ≈ 10,623 + 684 = 11,307 points</w:t>
            </w:r>
          </w:p>
        </w:tc>
      </w:tr>
      <w:tr>
        <w:trPr>
          <w:cantSplit/>
        </w:trPr>
        <w:tc>
          <w:tcPr>
            <w:tcW w:type="dxa" w:w="21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TP2 (Unit 2)</w:t>
            </w:r>
          </w:p>
        </w:tc>
        <w:tc>
          <w:tcPr>
            <w:tcW w:type="dxa" w:w="72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1.5 × measured move ≈ 11,649 points. On fill, Unit 3 stop moves to the broken boundary (≈10,623).</w:t>
            </w:r>
          </w:p>
        </w:tc>
      </w:tr>
      <w:tr>
        <w:trPr>
          <w:cantSplit/>
        </w:trPr>
        <w:tc>
          <w:tcPr>
            <w:tcW w:type="dxa" w:w="2100"/>
            <w:tcBorders>
              <w:top w:val="single" w:color="BBBBBB" w:sz="1"/>
              <w:left w:val="single" w:color="BBBBBB" w:sz="1"/>
              <w:bottom w:val="single" w:color="BBBBBB" w:sz="1"/>
              <w:right w:val="single" w:color="BBBBBB" w:sz="1"/>
            </w:tcBorders>
            <w:shd w:fill="F4F4F4" w:val="clear"/>
            <w:tcMar>
              <w:top w:type="dxa" w:w="70"/>
              <w:left w:type="dxa" w:w="110"/>
              <w:bottom w:type="dxa" w:w="70"/>
              <w:right w:type="dxa" w:w="110"/>
            </w:tcMar>
          </w:tcPr>
          <w:p>
            <w:pPr>
              <w:jc w:val="left"/>
            </w:pPr>
            <w:r>
              <w:rPr>
                <w:b w:val="false"/>
                <w:bCs w:val="false"/>
                <w:color w:val="222222"/>
                <w:sz w:val="15"/>
                <w:szCs w:val="15"/>
              </w:rPr>
              <w:t xml:space="preserve">TP3 (Unit 3 — runner)</w:t>
            </w:r>
          </w:p>
        </w:tc>
        <w:tc>
          <w:tcPr>
            <w:tcW w:type="dxa" w:w="7260"/>
            <w:tcBorders>
              <w:top w:val="single" w:color="BBBBBB" w:sz="1"/>
              <w:left w:val="single" w:color="BBBBBB" w:sz="1"/>
              <w:bottom w:val="single" w:color="BBBBBB" w:sz="1"/>
              <w:right w:val="single" w:color="BBBBBB" w:sz="1"/>
            </w:tcBorders>
            <w:shd w:fill="F4F4F4" w:val="clear"/>
            <w:tcMar>
              <w:top w:type="dxa" w:w="70"/>
              <w:left w:type="dxa" w:w="110"/>
              <w:bottom w:type="dxa" w:w="70"/>
              <w:right w:type="dxa" w:w="110"/>
            </w:tcMar>
          </w:tcPr>
          <w:p>
            <w:pPr>
              <w:jc w:val="left"/>
            </w:pPr>
            <w:r>
              <w:rPr>
                <w:b w:val="false"/>
                <w:bCs w:val="false"/>
                <w:color w:val="222222"/>
                <w:sz w:val="15"/>
                <w:szCs w:val="15"/>
              </w:rPr>
              <w:t xml:space="preserve">Discretionary trail beyond 1.5 × measured move, anchored to subsequent swing structure.</w:t>
            </w:r>
          </w:p>
        </w:tc>
      </w:tr>
      <w:tr>
        <w:trPr>
          <w:cantSplit/>
        </w:trPr>
        <w:tc>
          <w:tcPr>
            <w:tcW w:type="dxa" w:w="21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Tranche management</w:t>
            </w:r>
          </w:p>
        </w:tc>
        <w:tc>
          <w:tcPr>
            <w:tcW w:type="dxa" w:w="72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3 equal units; on Unit 2 fill the runner stop moves to the broken boundary — tighter than the standard trail.</w:t>
            </w:r>
          </w:p>
        </w:tc>
      </w:tr>
      <w:tr>
        <w:trPr>
          <w:cantSplit/>
        </w:trPr>
        <w:tc>
          <w:tcPr>
            <w:tcW w:type="dxa" w:w="2100"/>
            <w:tcBorders>
              <w:top w:val="single" w:color="BBBBBB" w:sz="1"/>
              <w:left w:val="single" w:color="BBBBBB" w:sz="1"/>
              <w:bottom w:val="single" w:color="BBBBBB" w:sz="1"/>
              <w:right w:val="single" w:color="BBBBBB" w:sz="1"/>
            </w:tcBorders>
            <w:shd w:fill="F4F4F4" w:val="clear"/>
            <w:tcMar>
              <w:top w:type="dxa" w:w="70"/>
              <w:left w:type="dxa" w:w="110"/>
              <w:bottom w:type="dxa" w:w="70"/>
              <w:right w:type="dxa" w:w="110"/>
            </w:tcMar>
          </w:tcPr>
          <w:p>
            <w:pPr>
              <w:jc w:val="left"/>
            </w:pPr>
            <w:r>
              <w:rPr>
                <w:b w:val="false"/>
                <w:bCs w:val="false"/>
                <w:color w:val="222222"/>
                <w:sz w:val="15"/>
                <w:szCs w:val="15"/>
              </w:rPr>
              <w:t xml:space="preserve">Confluences</w:t>
            </w:r>
          </w:p>
        </w:tc>
        <w:tc>
          <w:tcPr>
            <w:tcW w:type="dxa" w:w="7260"/>
            <w:tcBorders>
              <w:top w:val="single" w:color="BBBBBB" w:sz="1"/>
              <w:left w:val="single" w:color="BBBBBB" w:sz="1"/>
              <w:bottom w:val="single" w:color="BBBBBB" w:sz="1"/>
              <w:right w:val="single" w:color="BBBBBB" w:sz="1"/>
            </w:tcBorders>
            <w:shd w:fill="F4F4F4" w:val="clear"/>
            <w:tcMar>
              <w:top w:type="dxa" w:w="70"/>
              <w:left w:type="dxa" w:w="110"/>
              <w:bottom w:type="dxa" w:w="70"/>
              <w:right w:type="dxa" w:w="110"/>
            </w:tcMar>
          </w:tcPr>
          <w:p>
            <w:pPr>
              <w:jc w:val="left"/>
            </w:pPr>
            <w:r>
              <w:rPr>
                <w:b w:val="false"/>
                <w:bCs w:val="false"/>
                <w:color w:val="222222"/>
                <w:sz w:val="15"/>
                <w:szCs w:val="15"/>
              </w:rPr>
              <w:t xml:space="preserve">Breakout trigger ~10,658 sits near monthly R1 (10,649) — a confluence that, once cleared, removes the nearest overhead pivot.</w:t>
            </w:r>
          </w:p>
        </w:tc>
      </w:tr>
      <w:tr>
        <w:trPr>
          <w:cantSplit/>
        </w:trPr>
        <w:tc>
          <w:tcPr>
            <w:tcW w:type="dxa" w:w="21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Thesis invalidation</w:t>
            </w:r>
          </w:p>
        </w:tc>
        <w:tc>
          <w:tcPr>
            <w:tcW w:type="dxa" w:w="72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A daily close back inside the range past the midpoint (≈10,281) — the breakout has failed.</w:t>
            </w:r>
          </w:p>
        </w:tc>
      </w:tr>
      <w:tr>
        <w:trPr>
          <w:cantSplit/>
        </w:trPr>
        <w:tc>
          <w:tcPr>
            <w:tcW w:type="dxa" w:w="2100"/>
            <w:tcBorders>
              <w:top w:val="single" w:color="BBBBBB" w:sz="1"/>
              <w:left w:val="single" w:color="BBBBBB" w:sz="1"/>
              <w:bottom w:val="single" w:color="BBBBBB" w:sz="1"/>
              <w:right w:val="single" w:color="BBBBBB" w:sz="1"/>
            </w:tcBorders>
            <w:shd w:fill="F4F4F4" w:val="clear"/>
            <w:tcMar>
              <w:top w:type="dxa" w:w="70"/>
              <w:left w:type="dxa" w:w="110"/>
              <w:bottom w:type="dxa" w:w="70"/>
              <w:right w:type="dxa" w:w="110"/>
            </w:tcMar>
          </w:tcPr>
          <w:p>
            <w:pPr>
              <w:jc w:val="left"/>
            </w:pPr>
            <w:r>
              <w:rPr>
                <w:b w:val="false"/>
                <w:bCs w:val="false"/>
                <w:color w:val="222222"/>
                <w:sz w:val="15"/>
                <w:szCs w:val="15"/>
              </w:rPr>
              <w:t xml:space="preserve">Caveats</w:t>
            </w:r>
          </w:p>
        </w:tc>
        <w:tc>
          <w:tcPr>
            <w:tcW w:type="dxa" w:w="7260"/>
            <w:tcBorders>
              <w:top w:val="single" w:color="BBBBBB" w:sz="1"/>
              <w:left w:val="single" w:color="BBBBBB" w:sz="1"/>
              <w:bottom w:val="single" w:color="BBBBBB" w:sz="1"/>
              <w:right w:val="single" w:color="BBBBBB" w:sz="1"/>
            </w:tcBorders>
            <w:shd w:fill="F4F4F4" w:val="clear"/>
            <w:tcMar>
              <w:top w:type="dxa" w:w="70"/>
              <w:left w:type="dxa" w:w="110"/>
              <w:bottom w:type="dxa" w:w="70"/>
              <w:right w:type="dxa" w:w="110"/>
            </w:tcMar>
          </w:tcPr>
          <w:p>
            <w:pPr>
              <w:jc w:val="left"/>
            </w:pPr>
            <w:r>
              <w:rPr>
                <w:color w:val="B06A00"/>
                <w:sz w:val="15"/>
                <w:szCs w:val="15"/>
              </w:rPr>
              <w:t xml:space="preserve">Staged trade — NOT live until a confirmed daily close above ≈10,658; if the rebound stalls below the 25-session high the trade simply never triggers. Measured-move targets are multi-week, not daily, horizons. Single-source-leniency on levels (§19).</w:t>
            </w:r>
          </w:p>
        </w:tc>
      </w:tr>
    </w:tbl>
    <w:p>
      <w:pPr>
        <w:spacing w:after="60"/>
      </w:pPr>
      <w:r>
        <w:t xml:space="preserve"/>
      </w:r>
    </w:p>
    <w:p>
      <w:pPr>
        <w:pStyle w:val="Heading2"/>
      </w:pPr>
      <w:r>
        <w:t xml:space="preserve">21c.  5-Session No-Leakage Backtest</w:t>
      </w:r>
    </w:p>
    <w:p>
      <w:pPr>
        <w:spacing w:after="120" w:line="276"/>
        <w:jc w:val="both"/>
      </w:pPr>
      <w:r>
        <w:t xml:space="preserve">Each prior session reconstructed as if the model had run at the preceding t−1 close, resolved on actual subsequent OHLC. Sentiment, regime, ATR, swings and pivots are recomputed at t−1 with no forward leakage. Slippage = 0; conservative stop-first tick priority.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80"/>
        <w:gridCol w:w="1320"/>
        <w:gridCol w:w="1340"/>
        <w:gridCol w:w="1020"/>
        <w:gridCol w:w="1700"/>
        <w:gridCol w:w="1400"/>
        <w:gridCol w:w="1400"/>
      </w:tblGrid>
      <w:tr>
        <w:trPr>
          <w:tblHeader/>
        </w:trPr>
        <w:tc>
          <w:tcPr>
            <w:tcW w:type="dxa" w:w="1180"/>
            <w:tcBorders>
              <w:top w:val="single" w:color="BBBBBB" w:sz="1"/>
              <w:left w:val="single" w:color="BBBBBB" w:sz="1"/>
              <w:bottom w:val="single" w:color="BBBBBB" w:sz="1"/>
              <w:right w:val="single" w:color="BBBBBB" w:sz="1"/>
            </w:tcBorders>
            <w:shd w:fill="1F3864" w:val="clear"/>
            <w:tcMar>
              <w:top w:type="dxa" w:w="70"/>
              <w:left w:type="dxa" w:w="110"/>
              <w:bottom w:type="dxa" w:w="70"/>
              <w:right w:type="dxa" w:w="110"/>
            </w:tcMar>
          </w:tcPr>
          <w:p>
            <w:pPr>
              <w:jc w:val="left"/>
            </w:pPr>
            <w:r>
              <w:rPr>
                <w:b/>
                <w:bCs/>
                <w:color w:val="FFFFFF"/>
                <w:sz w:val="16"/>
                <w:szCs w:val="16"/>
              </w:rPr>
              <w:t xml:space="preserve">Date (t−N)</w:t>
            </w:r>
          </w:p>
        </w:tc>
        <w:tc>
          <w:tcPr>
            <w:tcW w:type="dxa" w:w="1320"/>
            <w:tcBorders>
              <w:top w:val="single" w:color="BBBBBB" w:sz="1"/>
              <w:left w:val="single" w:color="BBBBBB" w:sz="1"/>
              <w:bottom w:val="single" w:color="BBBBBB" w:sz="1"/>
              <w:right w:val="single" w:color="BBBBBB" w:sz="1"/>
            </w:tcBorders>
            <w:shd w:fill="1F3864" w:val="clear"/>
            <w:tcMar>
              <w:top w:type="dxa" w:w="70"/>
              <w:left w:type="dxa" w:w="110"/>
              <w:bottom w:type="dxa" w:w="70"/>
              <w:right w:type="dxa" w:w="110"/>
            </w:tcMar>
          </w:tcPr>
          <w:p>
            <w:pPr>
              <w:jc w:val="left"/>
            </w:pPr>
            <w:r>
              <w:rPr>
                <w:b/>
                <w:bCs/>
                <w:color w:val="FFFFFF"/>
                <w:sz w:val="16"/>
                <w:szCs w:val="16"/>
              </w:rPr>
              <w:t xml:space="preserve">Strategy</w:t>
            </w:r>
          </w:p>
        </w:tc>
        <w:tc>
          <w:tcPr>
            <w:tcW w:type="dxa" w:w="1340"/>
            <w:tcBorders>
              <w:top w:val="single" w:color="BBBBBB" w:sz="1"/>
              <w:left w:val="single" w:color="BBBBBB" w:sz="1"/>
              <w:bottom w:val="single" w:color="BBBBBB" w:sz="1"/>
              <w:right w:val="single" w:color="BBBBBB" w:sz="1"/>
            </w:tcBorders>
            <w:shd w:fill="1F3864" w:val="clear"/>
            <w:tcMar>
              <w:top w:type="dxa" w:w="70"/>
              <w:left w:type="dxa" w:w="110"/>
              <w:bottom w:type="dxa" w:w="70"/>
              <w:right w:type="dxa" w:w="110"/>
            </w:tcMar>
          </w:tcPr>
          <w:p>
            <w:pPr>
              <w:jc w:val="left"/>
            </w:pPr>
            <w:r>
              <w:rPr>
                <w:b/>
                <w:bCs/>
                <w:color w:val="FFFFFF"/>
                <w:sz w:val="16"/>
                <w:szCs w:val="16"/>
              </w:rPr>
              <w:t xml:space="preserve">Direction</w:t>
            </w:r>
          </w:p>
        </w:tc>
        <w:tc>
          <w:tcPr>
            <w:tcW w:type="dxa" w:w="1020"/>
            <w:tcBorders>
              <w:top w:val="single" w:color="BBBBBB" w:sz="1"/>
              <w:left w:val="single" w:color="BBBBBB" w:sz="1"/>
              <w:bottom w:val="single" w:color="BBBBBB" w:sz="1"/>
              <w:right w:val="single" w:color="BBBBBB" w:sz="1"/>
            </w:tcBorders>
            <w:shd w:fill="1F3864" w:val="clear"/>
            <w:tcMar>
              <w:top w:type="dxa" w:w="70"/>
              <w:left w:type="dxa" w:w="110"/>
              <w:bottom w:type="dxa" w:w="70"/>
              <w:right w:type="dxa" w:w="110"/>
            </w:tcMar>
          </w:tcPr>
          <w:p>
            <w:pPr>
              <w:jc w:val="left"/>
            </w:pPr>
            <w:r>
              <w:rPr>
                <w:b/>
                <w:bCs/>
                <w:color w:val="FFFFFF"/>
                <w:sz w:val="16"/>
                <w:szCs w:val="16"/>
              </w:rPr>
              <w:t xml:space="preserve">Triggered</w:t>
            </w:r>
          </w:p>
        </w:tc>
        <w:tc>
          <w:tcPr>
            <w:tcW w:type="dxa" w:w="1700"/>
            <w:tcBorders>
              <w:top w:val="single" w:color="BBBBBB" w:sz="1"/>
              <w:left w:val="single" w:color="BBBBBB" w:sz="1"/>
              <w:bottom w:val="single" w:color="BBBBBB" w:sz="1"/>
              <w:right w:val="single" w:color="BBBBBB" w:sz="1"/>
            </w:tcBorders>
            <w:shd w:fill="1F3864" w:val="clear"/>
            <w:tcMar>
              <w:top w:type="dxa" w:w="70"/>
              <w:left w:type="dxa" w:w="110"/>
              <w:bottom w:type="dxa" w:w="70"/>
              <w:right w:type="dxa" w:w="110"/>
            </w:tcMar>
          </w:tcPr>
          <w:p>
            <w:pPr>
              <w:jc w:val="left"/>
            </w:pPr>
            <w:r>
              <w:rPr>
                <w:b/>
                <w:bCs/>
                <w:color w:val="FFFFFF"/>
                <w:sz w:val="16"/>
                <w:szCs w:val="16"/>
              </w:rPr>
              <w:t xml:space="preserve">Entry / Exit</w:t>
            </w:r>
          </w:p>
        </w:tc>
        <w:tc>
          <w:tcPr>
            <w:tcW w:type="dxa" w:w="1400"/>
            <w:tcBorders>
              <w:top w:val="single" w:color="BBBBBB" w:sz="1"/>
              <w:left w:val="single" w:color="BBBBBB" w:sz="1"/>
              <w:bottom w:val="single" w:color="BBBBBB" w:sz="1"/>
              <w:right w:val="single" w:color="BBBBBB" w:sz="1"/>
            </w:tcBorders>
            <w:shd w:fill="1F3864" w:val="clear"/>
            <w:tcMar>
              <w:top w:type="dxa" w:w="70"/>
              <w:left w:type="dxa" w:w="110"/>
              <w:bottom w:type="dxa" w:w="70"/>
              <w:right w:type="dxa" w:w="110"/>
            </w:tcMar>
          </w:tcPr>
          <w:p>
            <w:pPr>
              <w:jc w:val="left"/>
            </w:pPr>
            <w:r>
              <w:rPr>
                <w:b/>
                <w:bCs/>
                <w:color w:val="FFFFFF"/>
                <w:sz w:val="16"/>
                <w:szCs w:val="16"/>
              </w:rPr>
              <w:t xml:space="preserve">Outcome (R)</w:t>
            </w:r>
          </w:p>
        </w:tc>
        <w:tc>
          <w:tcPr>
            <w:tcW w:type="dxa" w:w="1400"/>
            <w:tcBorders>
              <w:top w:val="single" w:color="BBBBBB" w:sz="1"/>
              <w:left w:val="single" w:color="BBBBBB" w:sz="1"/>
              <w:bottom w:val="single" w:color="BBBBBB" w:sz="1"/>
              <w:right w:val="single" w:color="BBBBBB" w:sz="1"/>
            </w:tcBorders>
            <w:shd w:fill="1F3864" w:val="clear"/>
            <w:tcMar>
              <w:top w:type="dxa" w:w="70"/>
              <w:left w:type="dxa" w:w="110"/>
              <w:bottom w:type="dxa" w:w="70"/>
              <w:right w:type="dxa" w:w="110"/>
            </w:tcMar>
          </w:tcPr>
          <w:p>
            <w:pPr>
              <w:jc w:val="left"/>
            </w:pPr>
            <w:r>
              <w:rPr>
                <w:b/>
                <w:bCs/>
                <w:color w:val="FFFFFF"/>
                <w:sz w:val="16"/>
                <w:szCs w:val="16"/>
              </w:rPr>
              <w:t xml:space="preserve">Days</w:t>
            </w:r>
          </w:p>
        </w:tc>
      </w:tr>
      <w:tr>
        <w:trPr>
          <w:cantSplit/>
        </w:trPr>
        <w:tc>
          <w:tcPr>
            <w:tcW w:type="dxa" w:w="118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15 May (t−5)</w:t>
            </w:r>
          </w:p>
        </w:tc>
        <w:tc>
          <w:tcPr>
            <w:tcW w:type="dxa" w:w="132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Trade 1</w:t>
            </w:r>
          </w:p>
        </w:tc>
        <w:tc>
          <w:tcPr>
            <w:tcW w:type="dxa" w:w="134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SHORT</w:t>
            </w:r>
          </w:p>
        </w:tc>
        <w:tc>
          <w:tcPr>
            <w:tcW w:type="dxa" w:w="102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YES</w:t>
            </w:r>
          </w:p>
        </w:tc>
        <w:tc>
          <w:tcPr>
            <w:tcW w:type="dxa" w:w="17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9,985 / 9,999</w:t>
            </w:r>
          </w:p>
        </w:tc>
        <w:tc>
          <w:tcPr>
            <w:tcW w:type="dxa" w:w="14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−0.6R</w:t>
            </w:r>
          </w:p>
        </w:tc>
        <w:tc>
          <w:tcPr>
            <w:tcW w:type="dxa" w:w="14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1</w:t>
            </w:r>
          </w:p>
        </w:tc>
      </w:tr>
      <w:tr>
        <w:trPr>
          <w:cantSplit/>
        </w:trPr>
        <w:tc>
          <w:tcPr>
            <w:tcW w:type="dxa" w:w="1180"/>
            <w:tcBorders>
              <w:top w:val="single" w:color="BBBBBB" w:sz="1"/>
              <w:left w:val="single" w:color="BBBBBB" w:sz="1"/>
              <w:bottom w:val="single" w:color="BBBBBB" w:sz="1"/>
              <w:right w:val="single" w:color="BBBBBB" w:sz="1"/>
            </w:tcBorders>
            <w:shd w:fill="F4F4F4" w:val="clear"/>
            <w:tcMar>
              <w:top w:type="dxa" w:w="70"/>
              <w:left w:type="dxa" w:w="110"/>
              <w:bottom w:type="dxa" w:w="70"/>
              <w:right w:type="dxa" w:w="110"/>
            </w:tcMar>
          </w:tcPr>
          <w:p>
            <w:pPr>
              <w:jc w:val="left"/>
            </w:pPr>
            <w:r>
              <w:rPr>
                <w:b w:val="false"/>
                <w:bCs w:val="false"/>
                <w:color w:val="222222"/>
                <w:sz w:val="15"/>
                <w:szCs w:val="15"/>
              </w:rPr>
              <w:t xml:space="preserve">15 May (t−5)</w:t>
            </w:r>
          </w:p>
        </w:tc>
        <w:tc>
          <w:tcPr>
            <w:tcW w:type="dxa" w:w="1320"/>
            <w:tcBorders>
              <w:top w:val="single" w:color="BBBBBB" w:sz="1"/>
              <w:left w:val="single" w:color="BBBBBB" w:sz="1"/>
              <w:bottom w:val="single" w:color="BBBBBB" w:sz="1"/>
              <w:right w:val="single" w:color="BBBBBB" w:sz="1"/>
            </w:tcBorders>
            <w:shd w:fill="F4F4F4" w:val="clear"/>
            <w:tcMar>
              <w:top w:type="dxa" w:w="70"/>
              <w:left w:type="dxa" w:w="110"/>
              <w:bottom w:type="dxa" w:w="70"/>
              <w:right w:type="dxa" w:w="110"/>
            </w:tcMar>
          </w:tcPr>
          <w:p>
            <w:pPr>
              <w:jc w:val="left"/>
            </w:pPr>
            <w:r>
              <w:rPr>
                <w:b w:val="false"/>
                <w:bCs w:val="false"/>
                <w:color w:val="222222"/>
                <w:sz w:val="15"/>
                <w:szCs w:val="15"/>
              </w:rPr>
              <w:t xml:space="preserve">Trade 2</w:t>
            </w:r>
          </w:p>
        </w:tc>
        <w:tc>
          <w:tcPr>
            <w:tcW w:type="dxa" w:w="1340"/>
            <w:tcBorders>
              <w:top w:val="single" w:color="BBBBBB" w:sz="1"/>
              <w:left w:val="single" w:color="BBBBBB" w:sz="1"/>
              <w:bottom w:val="single" w:color="BBBBBB" w:sz="1"/>
              <w:right w:val="single" w:color="BBBBBB" w:sz="1"/>
            </w:tcBorders>
            <w:shd w:fill="F4F4F4" w:val="clear"/>
            <w:tcMar>
              <w:top w:type="dxa" w:w="70"/>
              <w:left w:type="dxa" w:w="110"/>
              <w:bottom w:type="dxa" w:w="70"/>
              <w:right w:type="dxa" w:w="110"/>
            </w:tcMar>
          </w:tcPr>
          <w:p>
            <w:pPr>
              <w:jc w:val="left"/>
            </w:pPr>
            <w:r>
              <w:rPr>
                <w:b w:val="false"/>
                <w:bCs w:val="false"/>
                <w:color w:val="222222"/>
                <w:sz w:val="15"/>
                <w:szCs w:val="15"/>
              </w:rPr>
              <w:t xml:space="preserve">SHORT (range)</w:t>
            </w:r>
          </w:p>
        </w:tc>
        <w:tc>
          <w:tcPr>
            <w:tcW w:type="dxa" w:w="1020"/>
            <w:tcBorders>
              <w:top w:val="single" w:color="BBBBBB" w:sz="1"/>
              <w:left w:val="single" w:color="BBBBBB" w:sz="1"/>
              <w:bottom w:val="single" w:color="BBBBBB" w:sz="1"/>
              <w:right w:val="single" w:color="BBBBBB" w:sz="1"/>
            </w:tcBorders>
            <w:shd w:fill="F4F4F4" w:val="clear"/>
            <w:tcMar>
              <w:top w:type="dxa" w:w="70"/>
              <w:left w:type="dxa" w:w="110"/>
              <w:bottom w:type="dxa" w:w="70"/>
              <w:right w:type="dxa" w:w="110"/>
            </w:tcMar>
          </w:tcPr>
          <w:p>
            <w:pPr>
              <w:jc w:val="left"/>
            </w:pPr>
            <w:r>
              <w:rPr>
                <w:b w:val="false"/>
                <w:bCs w:val="false"/>
                <w:color w:val="222222"/>
                <w:sz w:val="15"/>
                <w:szCs w:val="15"/>
              </w:rPr>
              <w:t xml:space="preserve">NO</w:t>
            </w:r>
          </w:p>
        </w:tc>
        <w:tc>
          <w:tcPr>
            <w:tcW w:type="dxa" w:w="1700"/>
            <w:tcBorders>
              <w:top w:val="single" w:color="BBBBBB" w:sz="1"/>
              <w:left w:val="single" w:color="BBBBBB" w:sz="1"/>
              <w:bottom w:val="single" w:color="BBBBBB" w:sz="1"/>
              <w:right w:val="single" w:color="BBBBBB" w:sz="1"/>
            </w:tcBorders>
            <w:shd w:fill="F4F4F4" w:val="clear"/>
            <w:tcMar>
              <w:top w:type="dxa" w:w="70"/>
              <w:left w:type="dxa" w:w="110"/>
              <w:bottom w:type="dxa" w:w="70"/>
              <w:right w:type="dxa" w:w="110"/>
            </w:tcMar>
          </w:tcPr>
          <w:p>
            <w:pPr>
              <w:jc w:val="left"/>
            </w:pPr>
            <w:r>
              <w:rPr>
                <w:b w:val="false"/>
                <w:bCs w:val="false"/>
                <w:color w:val="222222"/>
                <w:sz w:val="15"/>
                <w:szCs w:val="15"/>
              </w:rPr>
              <w:t xml:space="preserve">— limit not reached</w:t>
            </w:r>
          </w:p>
        </w:tc>
        <w:tc>
          <w:tcPr>
            <w:tcW w:type="dxa" w:w="1400"/>
            <w:tcBorders>
              <w:top w:val="single" w:color="BBBBBB" w:sz="1"/>
              <w:left w:val="single" w:color="BBBBBB" w:sz="1"/>
              <w:bottom w:val="single" w:color="BBBBBB" w:sz="1"/>
              <w:right w:val="single" w:color="BBBBBB" w:sz="1"/>
            </w:tcBorders>
            <w:shd w:fill="F4F4F4" w:val="clear"/>
            <w:tcMar>
              <w:top w:type="dxa" w:w="70"/>
              <w:left w:type="dxa" w:w="110"/>
              <w:bottom w:type="dxa" w:w="70"/>
              <w:right w:type="dxa" w:w="110"/>
            </w:tcMar>
          </w:tcPr>
          <w:p>
            <w:pPr>
              <w:jc w:val="left"/>
            </w:pPr>
            <w:r>
              <w:rPr>
                <w:b w:val="false"/>
                <w:bCs w:val="false"/>
                <w:color w:val="222222"/>
                <w:sz w:val="15"/>
                <w:szCs w:val="15"/>
              </w:rPr>
              <w:t xml:space="preserve">—</w:t>
            </w:r>
          </w:p>
        </w:tc>
        <w:tc>
          <w:tcPr>
            <w:tcW w:type="dxa" w:w="1400"/>
            <w:tcBorders>
              <w:top w:val="single" w:color="BBBBBB" w:sz="1"/>
              <w:left w:val="single" w:color="BBBBBB" w:sz="1"/>
              <w:bottom w:val="single" w:color="BBBBBB" w:sz="1"/>
              <w:right w:val="single" w:color="BBBBBB" w:sz="1"/>
            </w:tcBorders>
            <w:shd w:fill="F4F4F4" w:val="clear"/>
            <w:tcMar>
              <w:top w:type="dxa" w:w="70"/>
              <w:left w:type="dxa" w:w="110"/>
              <w:bottom w:type="dxa" w:w="70"/>
              <w:right w:type="dxa" w:w="110"/>
            </w:tcMar>
          </w:tcPr>
          <w:p>
            <w:pPr>
              <w:jc w:val="left"/>
            </w:pPr>
            <w:r>
              <w:rPr>
                <w:b w:val="false"/>
                <w:bCs w:val="false"/>
                <w:color w:val="222222"/>
                <w:sz w:val="15"/>
                <w:szCs w:val="15"/>
              </w:rPr>
              <w:t xml:space="preserve">—</w:t>
            </w:r>
          </w:p>
        </w:tc>
      </w:tr>
      <w:tr>
        <w:trPr>
          <w:cantSplit/>
        </w:trPr>
        <w:tc>
          <w:tcPr>
            <w:tcW w:type="dxa" w:w="118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15 May (t−5)</w:t>
            </w:r>
          </w:p>
        </w:tc>
        <w:tc>
          <w:tcPr>
            <w:tcW w:type="dxa" w:w="132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Trade 3B</w:t>
            </w:r>
          </w:p>
        </w:tc>
        <w:tc>
          <w:tcPr>
            <w:tcW w:type="dxa" w:w="134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SHORT</w:t>
            </w:r>
          </w:p>
        </w:tc>
        <w:tc>
          <w:tcPr>
            <w:tcW w:type="dxa" w:w="102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YES</w:t>
            </w:r>
          </w:p>
        </w:tc>
        <w:tc>
          <w:tcPr>
            <w:tcW w:type="dxa" w:w="17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10,060 / 9,999</w:t>
            </w:r>
          </w:p>
        </w:tc>
        <w:tc>
          <w:tcPr>
            <w:tcW w:type="dxa" w:w="14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+0.4R</w:t>
            </w:r>
          </w:p>
        </w:tc>
        <w:tc>
          <w:tcPr>
            <w:tcW w:type="dxa" w:w="14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1</w:t>
            </w:r>
          </w:p>
        </w:tc>
      </w:tr>
      <w:tr>
        <w:trPr>
          <w:cantSplit/>
        </w:trPr>
        <w:tc>
          <w:tcPr>
            <w:tcW w:type="dxa" w:w="1180"/>
            <w:tcBorders>
              <w:top w:val="single" w:color="BBBBBB" w:sz="1"/>
              <w:left w:val="single" w:color="BBBBBB" w:sz="1"/>
              <w:bottom w:val="single" w:color="BBBBBB" w:sz="1"/>
              <w:right w:val="single" w:color="BBBBBB" w:sz="1"/>
            </w:tcBorders>
            <w:shd w:fill="F4F4F4" w:val="clear"/>
            <w:tcMar>
              <w:top w:type="dxa" w:w="70"/>
              <w:left w:type="dxa" w:w="110"/>
              <w:bottom w:type="dxa" w:w="70"/>
              <w:right w:type="dxa" w:w="110"/>
            </w:tcMar>
          </w:tcPr>
          <w:p>
            <w:pPr>
              <w:jc w:val="left"/>
            </w:pPr>
            <w:r>
              <w:rPr>
                <w:b w:val="false"/>
                <w:bCs w:val="false"/>
                <w:color w:val="222222"/>
                <w:sz w:val="15"/>
                <w:szCs w:val="15"/>
              </w:rPr>
              <w:t xml:space="preserve">18 May (t−4)</w:t>
            </w:r>
          </w:p>
        </w:tc>
        <w:tc>
          <w:tcPr>
            <w:tcW w:type="dxa" w:w="1320"/>
            <w:tcBorders>
              <w:top w:val="single" w:color="BBBBBB" w:sz="1"/>
              <w:left w:val="single" w:color="BBBBBB" w:sz="1"/>
              <w:bottom w:val="single" w:color="BBBBBB" w:sz="1"/>
              <w:right w:val="single" w:color="BBBBBB" w:sz="1"/>
            </w:tcBorders>
            <w:shd w:fill="F4F4F4" w:val="clear"/>
            <w:tcMar>
              <w:top w:type="dxa" w:w="70"/>
              <w:left w:type="dxa" w:w="110"/>
              <w:bottom w:type="dxa" w:w="70"/>
              <w:right w:type="dxa" w:w="110"/>
            </w:tcMar>
          </w:tcPr>
          <w:p>
            <w:pPr>
              <w:jc w:val="left"/>
            </w:pPr>
            <w:r>
              <w:rPr>
                <w:b w:val="false"/>
                <w:bCs w:val="false"/>
                <w:color w:val="222222"/>
                <w:sz w:val="15"/>
                <w:szCs w:val="15"/>
              </w:rPr>
              <w:t xml:space="preserve">Trade 1</w:t>
            </w:r>
          </w:p>
        </w:tc>
        <w:tc>
          <w:tcPr>
            <w:tcW w:type="dxa" w:w="1340"/>
            <w:tcBorders>
              <w:top w:val="single" w:color="BBBBBB" w:sz="1"/>
              <w:left w:val="single" w:color="BBBBBB" w:sz="1"/>
              <w:bottom w:val="single" w:color="BBBBBB" w:sz="1"/>
              <w:right w:val="single" w:color="BBBBBB" w:sz="1"/>
            </w:tcBorders>
            <w:shd w:fill="F4F4F4" w:val="clear"/>
            <w:tcMar>
              <w:top w:type="dxa" w:w="70"/>
              <w:left w:type="dxa" w:w="110"/>
              <w:bottom w:type="dxa" w:w="70"/>
              <w:right w:type="dxa" w:w="110"/>
            </w:tcMar>
          </w:tcPr>
          <w:p>
            <w:pPr>
              <w:jc w:val="left"/>
            </w:pPr>
            <w:r>
              <w:rPr>
                <w:b w:val="false"/>
                <w:bCs w:val="false"/>
                <w:color w:val="222222"/>
                <w:sz w:val="15"/>
                <w:szCs w:val="15"/>
              </w:rPr>
              <w:t xml:space="preserve">SHORT</w:t>
            </w:r>
          </w:p>
        </w:tc>
        <w:tc>
          <w:tcPr>
            <w:tcW w:type="dxa" w:w="1020"/>
            <w:tcBorders>
              <w:top w:val="single" w:color="BBBBBB" w:sz="1"/>
              <w:left w:val="single" w:color="BBBBBB" w:sz="1"/>
              <w:bottom w:val="single" w:color="BBBBBB" w:sz="1"/>
              <w:right w:val="single" w:color="BBBBBB" w:sz="1"/>
            </w:tcBorders>
            <w:shd w:fill="F4F4F4" w:val="clear"/>
            <w:tcMar>
              <w:top w:type="dxa" w:w="70"/>
              <w:left w:type="dxa" w:w="110"/>
              <w:bottom w:type="dxa" w:w="70"/>
              <w:right w:type="dxa" w:w="110"/>
            </w:tcMar>
          </w:tcPr>
          <w:p>
            <w:pPr>
              <w:jc w:val="left"/>
            </w:pPr>
            <w:r>
              <w:rPr>
                <w:b w:val="false"/>
                <w:bCs w:val="false"/>
                <w:color w:val="222222"/>
                <w:sz w:val="15"/>
                <w:szCs w:val="15"/>
              </w:rPr>
              <w:t xml:space="preserve">YES</w:t>
            </w:r>
          </w:p>
        </w:tc>
        <w:tc>
          <w:tcPr>
            <w:tcW w:type="dxa" w:w="1700"/>
            <w:tcBorders>
              <w:top w:val="single" w:color="BBBBBB" w:sz="1"/>
              <w:left w:val="single" w:color="BBBBBB" w:sz="1"/>
              <w:bottom w:val="single" w:color="BBBBBB" w:sz="1"/>
              <w:right w:val="single" w:color="BBBBBB" w:sz="1"/>
            </w:tcBorders>
            <w:shd w:fill="F4F4F4" w:val="clear"/>
            <w:tcMar>
              <w:top w:type="dxa" w:w="70"/>
              <w:left w:type="dxa" w:w="110"/>
              <w:bottom w:type="dxa" w:w="70"/>
              <w:right w:type="dxa" w:w="110"/>
            </w:tcMar>
          </w:tcPr>
          <w:p>
            <w:pPr>
              <w:jc w:val="left"/>
            </w:pPr>
            <w:r>
              <w:rPr>
                <w:b w:val="false"/>
                <w:bCs w:val="false"/>
                <w:color w:val="222222"/>
                <w:sz w:val="15"/>
                <w:szCs w:val="15"/>
              </w:rPr>
              <w:t xml:space="preserve">9,985 / 10,112</w:t>
            </w:r>
          </w:p>
        </w:tc>
        <w:tc>
          <w:tcPr>
            <w:tcW w:type="dxa" w:w="1400"/>
            <w:tcBorders>
              <w:top w:val="single" w:color="BBBBBB" w:sz="1"/>
              <w:left w:val="single" w:color="BBBBBB" w:sz="1"/>
              <w:bottom w:val="single" w:color="BBBBBB" w:sz="1"/>
              <w:right w:val="single" w:color="BBBBBB" w:sz="1"/>
            </w:tcBorders>
            <w:shd w:fill="F4F4F4" w:val="clear"/>
            <w:tcMar>
              <w:top w:type="dxa" w:w="70"/>
              <w:left w:type="dxa" w:w="110"/>
              <w:bottom w:type="dxa" w:w="70"/>
              <w:right w:type="dxa" w:w="110"/>
            </w:tcMar>
          </w:tcPr>
          <w:p>
            <w:pPr>
              <w:jc w:val="left"/>
            </w:pPr>
            <w:r>
              <w:rPr>
                <w:b w:val="false"/>
                <w:bCs w:val="false"/>
                <w:color w:val="222222"/>
                <w:sz w:val="15"/>
                <w:szCs w:val="15"/>
              </w:rPr>
              <w:t xml:space="preserve">−1.0R (SL)</w:t>
            </w:r>
          </w:p>
        </w:tc>
        <w:tc>
          <w:tcPr>
            <w:tcW w:type="dxa" w:w="1400"/>
            <w:tcBorders>
              <w:top w:val="single" w:color="BBBBBB" w:sz="1"/>
              <w:left w:val="single" w:color="BBBBBB" w:sz="1"/>
              <w:bottom w:val="single" w:color="BBBBBB" w:sz="1"/>
              <w:right w:val="single" w:color="BBBBBB" w:sz="1"/>
            </w:tcBorders>
            <w:shd w:fill="F4F4F4" w:val="clear"/>
            <w:tcMar>
              <w:top w:type="dxa" w:w="70"/>
              <w:left w:type="dxa" w:w="110"/>
              <w:bottom w:type="dxa" w:w="70"/>
              <w:right w:type="dxa" w:w="110"/>
            </w:tcMar>
          </w:tcPr>
          <w:p>
            <w:pPr>
              <w:jc w:val="left"/>
            </w:pPr>
            <w:r>
              <w:rPr>
                <w:b w:val="false"/>
                <w:bCs w:val="false"/>
                <w:color w:val="222222"/>
                <w:sz w:val="15"/>
                <w:szCs w:val="15"/>
              </w:rPr>
              <w:t xml:space="preserve">1</w:t>
            </w:r>
          </w:p>
        </w:tc>
      </w:tr>
      <w:tr>
        <w:trPr>
          <w:cantSplit/>
        </w:trPr>
        <w:tc>
          <w:tcPr>
            <w:tcW w:type="dxa" w:w="118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18 May (t−4)</w:t>
            </w:r>
          </w:p>
        </w:tc>
        <w:tc>
          <w:tcPr>
            <w:tcW w:type="dxa" w:w="132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Trade 2</w:t>
            </w:r>
          </w:p>
        </w:tc>
        <w:tc>
          <w:tcPr>
            <w:tcW w:type="dxa" w:w="134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SUPPRESSED</w:t>
            </w:r>
          </w:p>
        </w:tc>
        <w:tc>
          <w:tcPr>
            <w:tcW w:type="dxa" w:w="102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w:t>
            </w:r>
          </w:p>
        </w:tc>
        <w:tc>
          <w:tcPr>
            <w:tcW w:type="dxa" w:w="17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range/transition fork</w:t>
            </w:r>
          </w:p>
        </w:tc>
        <w:tc>
          <w:tcPr>
            <w:tcW w:type="dxa" w:w="14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w:t>
            </w:r>
          </w:p>
        </w:tc>
        <w:tc>
          <w:tcPr>
            <w:tcW w:type="dxa" w:w="14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w:t>
            </w:r>
          </w:p>
        </w:tc>
      </w:tr>
      <w:tr>
        <w:trPr>
          <w:cantSplit/>
        </w:trPr>
        <w:tc>
          <w:tcPr>
            <w:tcW w:type="dxa" w:w="1180"/>
            <w:tcBorders>
              <w:top w:val="single" w:color="BBBBBB" w:sz="1"/>
              <w:left w:val="single" w:color="BBBBBB" w:sz="1"/>
              <w:bottom w:val="single" w:color="BBBBBB" w:sz="1"/>
              <w:right w:val="single" w:color="BBBBBB" w:sz="1"/>
            </w:tcBorders>
            <w:shd w:fill="F4F4F4" w:val="clear"/>
            <w:tcMar>
              <w:top w:type="dxa" w:w="70"/>
              <w:left w:type="dxa" w:w="110"/>
              <w:bottom w:type="dxa" w:w="70"/>
              <w:right w:type="dxa" w:w="110"/>
            </w:tcMar>
          </w:tcPr>
          <w:p>
            <w:pPr>
              <w:jc w:val="left"/>
            </w:pPr>
            <w:r>
              <w:rPr>
                <w:b w:val="false"/>
                <w:bCs w:val="false"/>
                <w:color w:val="222222"/>
                <w:sz w:val="15"/>
                <w:szCs w:val="15"/>
              </w:rPr>
              <w:t xml:space="preserve">18 May (t−4)</w:t>
            </w:r>
          </w:p>
        </w:tc>
        <w:tc>
          <w:tcPr>
            <w:tcW w:type="dxa" w:w="1320"/>
            <w:tcBorders>
              <w:top w:val="single" w:color="BBBBBB" w:sz="1"/>
              <w:left w:val="single" w:color="BBBBBB" w:sz="1"/>
              <w:bottom w:val="single" w:color="BBBBBB" w:sz="1"/>
              <w:right w:val="single" w:color="BBBBBB" w:sz="1"/>
            </w:tcBorders>
            <w:shd w:fill="F4F4F4" w:val="clear"/>
            <w:tcMar>
              <w:top w:type="dxa" w:w="70"/>
              <w:left w:type="dxa" w:w="110"/>
              <w:bottom w:type="dxa" w:w="70"/>
              <w:right w:type="dxa" w:w="110"/>
            </w:tcMar>
          </w:tcPr>
          <w:p>
            <w:pPr>
              <w:jc w:val="left"/>
            </w:pPr>
            <w:r>
              <w:rPr>
                <w:b w:val="false"/>
                <w:bCs w:val="false"/>
                <w:color w:val="222222"/>
                <w:sz w:val="15"/>
                <w:szCs w:val="15"/>
              </w:rPr>
              <w:t xml:space="preserve">Trade 3B</w:t>
            </w:r>
          </w:p>
        </w:tc>
        <w:tc>
          <w:tcPr>
            <w:tcW w:type="dxa" w:w="1340"/>
            <w:tcBorders>
              <w:top w:val="single" w:color="BBBBBB" w:sz="1"/>
              <w:left w:val="single" w:color="BBBBBB" w:sz="1"/>
              <w:bottom w:val="single" w:color="BBBBBB" w:sz="1"/>
              <w:right w:val="single" w:color="BBBBBB" w:sz="1"/>
            </w:tcBorders>
            <w:shd w:fill="F4F4F4" w:val="clear"/>
            <w:tcMar>
              <w:top w:type="dxa" w:w="70"/>
              <w:left w:type="dxa" w:w="110"/>
              <w:bottom w:type="dxa" w:w="70"/>
              <w:right w:type="dxa" w:w="110"/>
            </w:tcMar>
          </w:tcPr>
          <w:p>
            <w:pPr>
              <w:jc w:val="left"/>
            </w:pPr>
            <w:r>
              <w:rPr>
                <w:b w:val="false"/>
                <w:bCs w:val="false"/>
                <w:color w:val="222222"/>
                <w:sz w:val="15"/>
                <w:szCs w:val="15"/>
              </w:rPr>
              <w:t xml:space="preserve">SHORT</w:t>
            </w:r>
          </w:p>
        </w:tc>
        <w:tc>
          <w:tcPr>
            <w:tcW w:type="dxa" w:w="1020"/>
            <w:tcBorders>
              <w:top w:val="single" w:color="BBBBBB" w:sz="1"/>
              <w:left w:val="single" w:color="BBBBBB" w:sz="1"/>
              <w:bottom w:val="single" w:color="BBBBBB" w:sz="1"/>
              <w:right w:val="single" w:color="BBBBBB" w:sz="1"/>
            </w:tcBorders>
            <w:shd w:fill="F4F4F4" w:val="clear"/>
            <w:tcMar>
              <w:top w:type="dxa" w:w="70"/>
              <w:left w:type="dxa" w:w="110"/>
              <w:bottom w:type="dxa" w:w="70"/>
              <w:right w:type="dxa" w:w="110"/>
            </w:tcMar>
          </w:tcPr>
          <w:p>
            <w:pPr>
              <w:jc w:val="left"/>
            </w:pPr>
            <w:r>
              <w:rPr>
                <w:b w:val="false"/>
                <w:bCs w:val="false"/>
                <w:color w:val="222222"/>
                <w:sz w:val="15"/>
                <w:szCs w:val="15"/>
              </w:rPr>
              <w:t xml:space="preserve">YES</w:t>
            </w:r>
          </w:p>
        </w:tc>
        <w:tc>
          <w:tcPr>
            <w:tcW w:type="dxa" w:w="1700"/>
            <w:tcBorders>
              <w:top w:val="single" w:color="BBBBBB" w:sz="1"/>
              <w:left w:val="single" w:color="BBBBBB" w:sz="1"/>
              <w:bottom w:val="single" w:color="BBBBBB" w:sz="1"/>
              <w:right w:val="single" w:color="BBBBBB" w:sz="1"/>
            </w:tcBorders>
            <w:shd w:fill="F4F4F4" w:val="clear"/>
            <w:tcMar>
              <w:top w:type="dxa" w:w="70"/>
              <w:left w:type="dxa" w:w="110"/>
              <w:bottom w:type="dxa" w:w="70"/>
              <w:right w:type="dxa" w:w="110"/>
            </w:tcMar>
          </w:tcPr>
          <w:p>
            <w:pPr>
              <w:jc w:val="left"/>
            </w:pPr>
            <w:r>
              <w:rPr>
                <w:b w:val="false"/>
                <w:bCs w:val="false"/>
                <w:color w:val="222222"/>
                <w:sz w:val="15"/>
                <w:szCs w:val="15"/>
              </w:rPr>
              <w:t xml:space="preserve">10,000 / 10,112</w:t>
            </w:r>
          </w:p>
        </w:tc>
        <w:tc>
          <w:tcPr>
            <w:tcW w:type="dxa" w:w="1400"/>
            <w:tcBorders>
              <w:top w:val="single" w:color="BBBBBB" w:sz="1"/>
              <w:left w:val="single" w:color="BBBBBB" w:sz="1"/>
              <w:bottom w:val="single" w:color="BBBBBB" w:sz="1"/>
              <w:right w:val="single" w:color="BBBBBB" w:sz="1"/>
            </w:tcBorders>
            <w:shd w:fill="F4F4F4" w:val="clear"/>
            <w:tcMar>
              <w:top w:type="dxa" w:w="70"/>
              <w:left w:type="dxa" w:w="110"/>
              <w:bottom w:type="dxa" w:w="70"/>
              <w:right w:type="dxa" w:w="110"/>
            </w:tcMar>
          </w:tcPr>
          <w:p>
            <w:pPr>
              <w:jc w:val="left"/>
            </w:pPr>
            <w:r>
              <w:rPr>
                <w:b w:val="false"/>
                <w:bCs w:val="false"/>
                <w:color w:val="222222"/>
                <w:sz w:val="15"/>
                <w:szCs w:val="15"/>
              </w:rPr>
              <w:t xml:space="preserve">−1.0R (SL)</w:t>
            </w:r>
          </w:p>
        </w:tc>
        <w:tc>
          <w:tcPr>
            <w:tcW w:type="dxa" w:w="1400"/>
            <w:tcBorders>
              <w:top w:val="single" w:color="BBBBBB" w:sz="1"/>
              <w:left w:val="single" w:color="BBBBBB" w:sz="1"/>
              <w:bottom w:val="single" w:color="BBBBBB" w:sz="1"/>
              <w:right w:val="single" w:color="BBBBBB" w:sz="1"/>
            </w:tcBorders>
            <w:shd w:fill="F4F4F4" w:val="clear"/>
            <w:tcMar>
              <w:top w:type="dxa" w:w="70"/>
              <w:left w:type="dxa" w:w="110"/>
              <w:bottom w:type="dxa" w:w="70"/>
              <w:right w:type="dxa" w:w="110"/>
            </w:tcMar>
          </w:tcPr>
          <w:p>
            <w:pPr>
              <w:jc w:val="left"/>
            </w:pPr>
            <w:r>
              <w:rPr>
                <w:b w:val="false"/>
                <w:bCs w:val="false"/>
                <w:color w:val="222222"/>
                <w:sz w:val="15"/>
                <w:szCs w:val="15"/>
              </w:rPr>
              <w:t xml:space="preserve">1</w:t>
            </w:r>
          </w:p>
        </w:tc>
      </w:tr>
      <w:tr>
        <w:trPr>
          <w:cantSplit/>
        </w:trPr>
        <w:tc>
          <w:tcPr>
            <w:tcW w:type="dxa" w:w="118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19 May (t−3)</w:t>
            </w:r>
          </w:p>
        </w:tc>
        <w:tc>
          <w:tcPr>
            <w:tcW w:type="dxa" w:w="132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Trade 1</w:t>
            </w:r>
          </w:p>
        </w:tc>
        <w:tc>
          <w:tcPr>
            <w:tcW w:type="dxa" w:w="134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LONG</w:t>
            </w:r>
          </w:p>
        </w:tc>
        <w:tc>
          <w:tcPr>
            <w:tcW w:type="dxa" w:w="102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YES</w:t>
            </w:r>
          </w:p>
        </w:tc>
        <w:tc>
          <w:tcPr>
            <w:tcW w:type="dxa" w:w="17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10,010 / 10,331</w:t>
            </w:r>
          </w:p>
        </w:tc>
        <w:tc>
          <w:tcPr>
            <w:tcW w:type="dxa" w:w="14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+2.5R</w:t>
            </w:r>
          </w:p>
        </w:tc>
        <w:tc>
          <w:tcPr>
            <w:tcW w:type="dxa" w:w="14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1</w:t>
            </w:r>
          </w:p>
        </w:tc>
      </w:tr>
      <w:tr>
        <w:trPr>
          <w:cantSplit/>
        </w:trPr>
        <w:tc>
          <w:tcPr>
            <w:tcW w:type="dxa" w:w="1180"/>
            <w:tcBorders>
              <w:top w:val="single" w:color="BBBBBB" w:sz="1"/>
              <w:left w:val="single" w:color="BBBBBB" w:sz="1"/>
              <w:bottom w:val="single" w:color="BBBBBB" w:sz="1"/>
              <w:right w:val="single" w:color="BBBBBB" w:sz="1"/>
            </w:tcBorders>
            <w:shd w:fill="F4F4F4" w:val="clear"/>
            <w:tcMar>
              <w:top w:type="dxa" w:w="70"/>
              <w:left w:type="dxa" w:w="110"/>
              <w:bottom w:type="dxa" w:w="70"/>
              <w:right w:type="dxa" w:w="110"/>
            </w:tcMar>
          </w:tcPr>
          <w:p>
            <w:pPr>
              <w:jc w:val="left"/>
            </w:pPr>
            <w:r>
              <w:rPr>
                <w:b w:val="false"/>
                <w:bCs w:val="false"/>
                <w:color w:val="222222"/>
                <w:sz w:val="15"/>
                <w:szCs w:val="15"/>
              </w:rPr>
              <w:t xml:space="preserve">19 May (t−3)</w:t>
            </w:r>
          </w:p>
        </w:tc>
        <w:tc>
          <w:tcPr>
            <w:tcW w:type="dxa" w:w="1320"/>
            <w:tcBorders>
              <w:top w:val="single" w:color="BBBBBB" w:sz="1"/>
              <w:left w:val="single" w:color="BBBBBB" w:sz="1"/>
              <w:bottom w:val="single" w:color="BBBBBB" w:sz="1"/>
              <w:right w:val="single" w:color="BBBBBB" w:sz="1"/>
            </w:tcBorders>
            <w:shd w:fill="F4F4F4" w:val="clear"/>
            <w:tcMar>
              <w:top w:type="dxa" w:w="70"/>
              <w:left w:type="dxa" w:w="110"/>
              <w:bottom w:type="dxa" w:w="70"/>
              <w:right w:type="dxa" w:w="110"/>
            </w:tcMar>
          </w:tcPr>
          <w:p>
            <w:pPr>
              <w:jc w:val="left"/>
            </w:pPr>
            <w:r>
              <w:rPr>
                <w:b w:val="false"/>
                <w:bCs w:val="false"/>
                <w:color w:val="222222"/>
                <w:sz w:val="15"/>
                <w:szCs w:val="15"/>
              </w:rPr>
              <w:t xml:space="preserve">Trade 2</w:t>
            </w:r>
          </w:p>
        </w:tc>
        <w:tc>
          <w:tcPr>
            <w:tcW w:type="dxa" w:w="1340"/>
            <w:tcBorders>
              <w:top w:val="single" w:color="BBBBBB" w:sz="1"/>
              <w:left w:val="single" w:color="BBBBBB" w:sz="1"/>
              <w:bottom w:val="single" w:color="BBBBBB" w:sz="1"/>
              <w:right w:val="single" w:color="BBBBBB" w:sz="1"/>
            </w:tcBorders>
            <w:shd w:fill="F4F4F4" w:val="clear"/>
            <w:tcMar>
              <w:top w:type="dxa" w:w="70"/>
              <w:left w:type="dxa" w:w="110"/>
              <w:bottom w:type="dxa" w:w="70"/>
              <w:right w:type="dxa" w:w="110"/>
            </w:tcMar>
          </w:tcPr>
          <w:p>
            <w:pPr>
              <w:jc w:val="left"/>
            </w:pPr>
            <w:r>
              <w:rPr>
                <w:b w:val="false"/>
                <w:bCs w:val="false"/>
                <w:color w:val="222222"/>
                <w:sz w:val="15"/>
                <w:szCs w:val="15"/>
              </w:rPr>
              <w:t xml:space="preserve">LONG (breakout)</w:t>
            </w:r>
          </w:p>
        </w:tc>
        <w:tc>
          <w:tcPr>
            <w:tcW w:type="dxa" w:w="1020"/>
            <w:tcBorders>
              <w:top w:val="single" w:color="BBBBBB" w:sz="1"/>
              <w:left w:val="single" w:color="BBBBBB" w:sz="1"/>
              <w:bottom w:val="single" w:color="BBBBBB" w:sz="1"/>
              <w:right w:val="single" w:color="BBBBBB" w:sz="1"/>
            </w:tcBorders>
            <w:shd w:fill="F4F4F4" w:val="clear"/>
            <w:tcMar>
              <w:top w:type="dxa" w:w="70"/>
              <w:left w:type="dxa" w:w="110"/>
              <w:bottom w:type="dxa" w:w="70"/>
              <w:right w:type="dxa" w:w="110"/>
            </w:tcMar>
          </w:tcPr>
          <w:p>
            <w:pPr>
              <w:jc w:val="left"/>
            </w:pPr>
            <w:r>
              <w:rPr>
                <w:b w:val="false"/>
                <w:bCs w:val="false"/>
                <w:color w:val="222222"/>
                <w:sz w:val="15"/>
                <w:szCs w:val="15"/>
              </w:rPr>
              <w:t xml:space="preserve">YES</w:t>
            </w:r>
          </w:p>
        </w:tc>
        <w:tc>
          <w:tcPr>
            <w:tcW w:type="dxa" w:w="1700"/>
            <w:tcBorders>
              <w:top w:val="single" w:color="BBBBBB" w:sz="1"/>
              <w:left w:val="single" w:color="BBBBBB" w:sz="1"/>
              <w:bottom w:val="single" w:color="BBBBBB" w:sz="1"/>
              <w:right w:val="single" w:color="BBBBBB" w:sz="1"/>
            </w:tcBorders>
            <w:shd w:fill="F4F4F4" w:val="clear"/>
            <w:tcMar>
              <w:top w:type="dxa" w:w="70"/>
              <w:left w:type="dxa" w:w="110"/>
              <w:bottom w:type="dxa" w:w="70"/>
              <w:right w:type="dxa" w:w="110"/>
            </w:tcMar>
          </w:tcPr>
          <w:p>
            <w:pPr>
              <w:jc w:val="left"/>
            </w:pPr>
            <w:r>
              <w:rPr>
                <w:b w:val="false"/>
                <w:bCs w:val="false"/>
                <w:color w:val="222222"/>
                <w:sz w:val="15"/>
                <w:szCs w:val="15"/>
              </w:rPr>
              <w:t xml:space="preserve">10,090 / 10,331</w:t>
            </w:r>
          </w:p>
        </w:tc>
        <w:tc>
          <w:tcPr>
            <w:tcW w:type="dxa" w:w="1400"/>
            <w:tcBorders>
              <w:top w:val="single" w:color="BBBBBB" w:sz="1"/>
              <w:left w:val="single" w:color="BBBBBB" w:sz="1"/>
              <w:bottom w:val="single" w:color="BBBBBB" w:sz="1"/>
              <w:right w:val="single" w:color="BBBBBB" w:sz="1"/>
            </w:tcBorders>
            <w:shd w:fill="F4F4F4" w:val="clear"/>
            <w:tcMar>
              <w:top w:type="dxa" w:w="70"/>
              <w:left w:type="dxa" w:w="110"/>
              <w:bottom w:type="dxa" w:w="70"/>
              <w:right w:type="dxa" w:w="110"/>
            </w:tcMar>
          </w:tcPr>
          <w:p>
            <w:pPr>
              <w:jc w:val="left"/>
            </w:pPr>
            <w:r>
              <w:rPr>
                <w:b w:val="false"/>
                <w:bCs w:val="false"/>
                <w:color w:val="222222"/>
                <w:sz w:val="15"/>
                <w:szCs w:val="15"/>
              </w:rPr>
              <w:t xml:space="preserve">+1.9R</w:t>
            </w:r>
          </w:p>
        </w:tc>
        <w:tc>
          <w:tcPr>
            <w:tcW w:type="dxa" w:w="1400"/>
            <w:tcBorders>
              <w:top w:val="single" w:color="BBBBBB" w:sz="1"/>
              <w:left w:val="single" w:color="BBBBBB" w:sz="1"/>
              <w:bottom w:val="single" w:color="BBBBBB" w:sz="1"/>
              <w:right w:val="single" w:color="BBBBBB" w:sz="1"/>
            </w:tcBorders>
            <w:shd w:fill="F4F4F4" w:val="clear"/>
            <w:tcMar>
              <w:top w:type="dxa" w:w="70"/>
              <w:left w:type="dxa" w:w="110"/>
              <w:bottom w:type="dxa" w:w="70"/>
              <w:right w:type="dxa" w:w="110"/>
            </w:tcMar>
          </w:tcPr>
          <w:p>
            <w:pPr>
              <w:jc w:val="left"/>
            </w:pPr>
            <w:r>
              <w:rPr>
                <w:b w:val="false"/>
                <w:bCs w:val="false"/>
                <w:color w:val="222222"/>
                <w:sz w:val="15"/>
                <w:szCs w:val="15"/>
              </w:rPr>
              <w:t xml:space="preserve">1</w:t>
            </w:r>
          </w:p>
        </w:tc>
      </w:tr>
      <w:tr>
        <w:trPr>
          <w:cantSplit/>
        </w:trPr>
        <w:tc>
          <w:tcPr>
            <w:tcW w:type="dxa" w:w="118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19 May (t−3)</w:t>
            </w:r>
          </w:p>
        </w:tc>
        <w:tc>
          <w:tcPr>
            <w:tcW w:type="dxa" w:w="132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Trade 3C</w:t>
            </w:r>
          </w:p>
        </w:tc>
        <w:tc>
          <w:tcPr>
            <w:tcW w:type="dxa" w:w="134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LONG</w:t>
            </w:r>
          </w:p>
        </w:tc>
        <w:tc>
          <w:tcPr>
            <w:tcW w:type="dxa" w:w="102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NO</w:t>
            </w:r>
          </w:p>
        </w:tc>
        <w:tc>
          <w:tcPr>
            <w:tcW w:type="dxa" w:w="17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break not confirmed</w:t>
            </w:r>
          </w:p>
        </w:tc>
        <w:tc>
          <w:tcPr>
            <w:tcW w:type="dxa" w:w="14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w:t>
            </w:r>
          </w:p>
        </w:tc>
        <w:tc>
          <w:tcPr>
            <w:tcW w:type="dxa" w:w="14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w:t>
            </w:r>
          </w:p>
        </w:tc>
      </w:tr>
      <w:tr>
        <w:trPr>
          <w:cantSplit/>
        </w:trPr>
        <w:tc>
          <w:tcPr>
            <w:tcW w:type="dxa" w:w="1180"/>
            <w:tcBorders>
              <w:top w:val="single" w:color="BBBBBB" w:sz="1"/>
              <w:left w:val="single" w:color="BBBBBB" w:sz="1"/>
              <w:bottom w:val="single" w:color="BBBBBB" w:sz="1"/>
              <w:right w:val="single" w:color="BBBBBB" w:sz="1"/>
            </w:tcBorders>
            <w:shd w:fill="F4F4F4" w:val="clear"/>
            <w:tcMar>
              <w:top w:type="dxa" w:w="70"/>
              <w:left w:type="dxa" w:w="110"/>
              <w:bottom w:type="dxa" w:w="70"/>
              <w:right w:type="dxa" w:w="110"/>
            </w:tcMar>
          </w:tcPr>
          <w:p>
            <w:pPr>
              <w:jc w:val="left"/>
            </w:pPr>
            <w:r>
              <w:rPr>
                <w:b w:val="false"/>
                <w:bCs w:val="false"/>
                <w:color w:val="222222"/>
                <w:sz w:val="15"/>
                <w:szCs w:val="15"/>
              </w:rPr>
              <w:t xml:space="preserve">20 May (t−2)</w:t>
            </w:r>
          </w:p>
        </w:tc>
        <w:tc>
          <w:tcPr>
            <w:tcW w:type="dxa" w:w="1320"/>
            <w:tcBorders>
              <w:top w:val="single" w:color="BBBBBB" w:sz="1"/>
              <w:left w:val="single" w:color="BBBBBB" w:sz="1"/>
              <w:bottom w:val="single" w:color="BBBBBB" w:sz="1"/>
              <w:right w:val="single" w:color="BBBBBB" w:sz="1"/>
            </w:tcBorders>
            <w:shd w:fill="F4F4F4" w:val="clear"/>
            <w:tcMar>
              <w:top w:type="dxa" w:w="70"/>
              <w:left w:type="dxa" w:w="110"/>
              <w:bottom w:type="dxa" w:w="70"/>
              <w:right w:type="dxa" w:w="110"/>
            </w:tcMar>
          </w:tcPr>
          <w:p>
            <w:pPr>
              <w:jc w:val="left"/>
            </w:pPr>
            <w:r>
              <w:rPr>
                <w:b w:val="false"/>
                <w:bCs w:val="false"/>
                <w:color w:val="222222"/>
                <w:sz w:val="15"/>
                <w:szCs w:val="15"/>
              </w:rPr>
              <w:t xml:space="preserve">Trade 1</w:t>
            </w:r>
          </w:p>
        </w:tc>
        <w:tc>
          <w:tcPr>
            <w:tcW w:type="dxa" w:w="1340"/>
            <w:tcBorders>
              <w:top w:val="single" w:color="BBBBBB" w:sz="1"/>
              <w:left w:val="single" w:color="BBBBBB" w:sz="1"/>
              <w:bottom w:val="single" w:color="BBBBBB" w:sz="1"/>
              <w:right w:val="single" w:color="BBBBBB" w:sz="1"/>
            </w:tcBorders>
            <w:shd w:fill="F4F4F4" w:val="clear"/>
            <w:tcMar>
              <w:top w:type="dxa" w:w="70"/>
              <w:left w:type="dxa" w:w="110"/>
              <w:bottom w:type="dxa" w:w="70"/>
              <w:right w:type="dxa" w:w="110"/>
            </w:tcMar>
          </w:tcPr>
          <w:p>
            <w:pPr>
              <w:jc w:val="left"/>
            </w:pPr>
            <w:r>
              <w:rPr>
                <w:b w:val="false"/>
                <w:bCs w:val="false"/>
                <w:color w:val="222222"/>
                <w:sz w:val="15"/>
                <w:szCs w:val="15"/>
              </w:rPr>
              <w:t xml:space="preserve">LONG</w:t>
            </w:r>
          </w:p>
        </w:tc>
        <w:tc>
          <w:tcPr>
            <w:tcW w:type="dxa" w:w="1020"/>
            <w:tcBorders>
              <w:top w:val="single" w:color="BBBBBB" w:sz="1"/>
              <w:left w:val="single" w:color="BBBBBB" w:sz="1"/>
              <w:bottom w:val="single" w:color="BBBBBB" w:sz="1"/>
              <w:right w:val="single" w:color="BBBBBB" w:sz="1"/>
            </w:tcBorders>
            <w:shd w:fill="F4F4F4" w:val="clear"/>
            <w:tcMar>
              <w:top w:type="dxa" w:w="70"/>
              <w:left w:type="dxa" w:w="110"/>
              <w:bottom w:type="dxa" w:w="70"/>
              <w:right w:type="dxa" w:w="110"/>
            </w:tcMar>
          </w:tcPr>
          <w:p>
            <w:pPr>
              <w:jc w:val="left"/>
            </w:pPr>
            <w:r>
              <w:rPr>
                <w:b w:val="false"/>
                <w:bCs w:val="false"/>
                <w:color w:val="222222"/>
                <w:sz w:val="15"/>
                <w:szCs w:val="15"/>
              </w:rPr>
              <w:t xml:space="preserve">YES</w:t>
            </w:r>
          </w:p>
        </w:tc>
        <w:tc>
          <w:tcPr>
            <w:tcW w:type="dxa" w:w="1700"/>
            <w:tcBorders>
              <w:top w:val="single" w:color="BBBBBB" w:sz="1"/>
              <w:left w:val="single" w:color="BBBBBB" w:sz="1"/>
              <w:bottom w:val="single" w:color="BBBBBB" w:sz="1"/>
              <w:right w:val="single" w:color="BBBBBB" w:sz="1"/>
            </w:tcBorders>
            <w:shd w:fill="F4F4F4" w:val="clear"/>
            <w:tcMar>
              <w:top w:type="dxa" w:w="70"/>
              <w:left w:type="dxa" w:w="110"/>
              <w:bottom w:type="dxa" w:w="70"/>
              <w:right w:type="dxa" w:w="110"/>
            </w:tcMar>
          </w:tcPr>
          <w:p>
            <w:pPr>
              <w:jc w:val="left"/>
            </w:pPr>
            <w:r>
              <w:rPr>
                <w:b w:val="false"/>
                <w:bCs w:val="false"/>
                <w:color w:val="222222"/>
                <w:sz w:val="15"/>
                <w:szCs w:val="15"/>
              </w:rPr>
              <w:t xml:space="preserve">10,150 / 10,443</w:t>
            </w:r>
          </w:p>
        </w:tc>
        <w:tc>
          <w:tcPr>
            <w:tcW w:type="dxa" w:w="1400"/>
            <w:tcBorders>
              <w:top w:val="single" w:color="BBBBBB" w:sz="1"/>
              <w:left w:val="single" w:color="BBBBBB" w:sz="1"/>
              <w:bottom w:val="single" w:color="BBBBBB" w:sz="1"/>
              <w:right w:val="single" w:color="BBBBBB" w:sz="1"/>
            </w:tcBorders>
            <w:shd w:fill="F4F4F4" w:val="clear"/>
            <w:tcMar>
              <w:top w:type="dxa" w:w="70"/>
              <w:left w:type="dxa" w:w="110"/>
              <w:bottom w:type="dxa" w:w="70"/>
              <w:right w:type="dxa" w:w="110"/>
            </w:tcMar>
          </w:tcPr>
          <w:p>
            <w:pPr>
              <w:jc w:val="left"/>
            </w:pPr>
            <w:r>
              <w:rPr>
                <w:b w:val="false"/>
                <w:bCs w:val="false"/>
                <w:color w:val="222222"/>
                <w:sz w:val="15"/>
                <w:szCs w:val="15"/>
              </w:rPr>
              <w:t xml:space="preserve">+2.0R</w:t>
            </w:r>
          </w:p>
        </w:tc>
        <w:tc>
          <w:tcPr>
            <w:tcW w:type="dxa" w:w="1400"/>
            <w:tcBorders>
              <w:top w:val="single" w:color="BBBBBB" w:sz="1"/>
              <w:left w:val="single" w:color="BBBBBB" w:sz="1"/>
              <w:bottom w:val="single" w:color="BBBBBB" w:sz="1"/>
              <w:right w:val="single" w:color="BBBBBB" w:sz="1"/>
            </w:tcBorders>
            <w:shd w:fill="F4F4F4" w:val="clear"/>
            <w:tcMar>
              <w:top w:type="dxa" w:w="70"/>
              <w:left w:type="dxa" w:w="110"/>
              <w:bottom w:type="dxa" w:w="70"/>
              <w:right w:type="dxa" w:w="110"/>
            </w:tcMar>
          </w:tcPr>
          <w:p>
            <w:pPr>
              <w:jc w:val="left"/>
            </w:pPr>
            <w:r>
              <w:rPr>
                <w:b w:val="false"/>
                <w:bCs w:val="false"/>
                <w:color w:val="222222"/>
                <w:sz w:val="15"/>
                <w:szCs w:val="15"/>
              </w:rPr>
              <w:t xml:space="preserve">1</w:t>
            </w:r>
          </w:p>
        </w:tc>
      </w:tr>
      <w:tr>
        <w:trPr>
          <w:cantSplit/>
        </w:trPr>
        <w:tc>
          <w:tcPr>
            <w:tcW w:type="dxa" w:w="118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20 May (t−2)</w:t>
            </w:r>
          </w:p>
        </w:tc>
        <w:tc>
          <w:tcPr>
            <w:tcW w:type="dxa" w:w="132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Trade 2</w:t>
            </w:r>
          </w:p>
        </w:tc>
        <w:tc>
          <w:tcPr>
            <w:tcW w:type="dxa" w:w="134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LONG (breakout)</w:t>
            </w:r>
          </w:p>
        </w:tc>
        <w:tc>
          <w:tcPr>
            <w:tcW w:type="dxa" w:w="102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YES</w:t>
            </w:r>
          </w:p>
        </w:tc>
        <w:tc>
          <w:tcPr>
            <w:tcW w:type="dxa" w:w="17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10,210 / 10,443</w:t>
            </w:r>
          </w:p>
        </w:tc>
        <w:tc>
          <w:tcPr>
            <w:tcW w:type="dxa" w:w="14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+1.7R</w:t>
            </w:r>
          </w:p>
        </w:tc>
        <w:tc>
          <w:tcPr>
            <w:tcW w:type="dxa" w:w="14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1</w:t>
            </w:r>
          </w:p>
        </w:tc>
      </w:tr>
      <w:tr>
        <w:trPr>
          <w:cantSplit/>
        </w:trPr>
        <w:tc>
          <w:tcPr>
            <w:tcW w:type="dxa" w:w="1180"/>
            <w:tcBorders>
              <w:top w:val="single" w:color="BBBBBB" w:sz="1"/>
              <w:left w:val="single" w:color="BBBBBB" w:sz="1"/>
              <w:bottom w:val="single" w:color="BBBBBB" w:sz="1"/>
              <w:right w:val="single" w:color="BBBBBB" w:sz="1"/>
            </w:tcBorders>
            <w:shd w:fill="F4F4F4" w:val="clear"/>
            <w:tcMar>
              <w:top w:type="dxa" w:w="70"/>
              <w:left w:type="dxa" w:w="110"/>
              <w:bottom w:type="dxa" w:w="70"/>
              <w:right w:type="dxa" w:w="110"/>
            </w:tcMar>
          </w:tcPr>
          <w:p>
            <w:pPr>
              <w:jc w:val="left"/>
            </w:pPr>
            <w:r>
              <w:rPr>
                <w:b w:val="false"/>
                <w:bCs w:val="false"/>
                <w:color w:val="222222"/>
                <w:sz w:val="15"/>
                <w:szCs w:val="15"/>
              </w:rPr>
              <w:t xml:space="preserve">20 May (t−2)</w:t>
            </w:r>
          </w:p>
        </w:tc>
        <w:tc>
          <w:tcPr>
            <w:tcW w:type="dxa" w:w="1320"/>
            <w:tcBorders>
              <w:top w:val="single" w:color="BBBBBB" w:sz="1"/>
              <w:left w:val="single" w:color="BBBBBB" w:sz="1"/>
              <w:bottom w:val="single" w:color="BBBBBB" w:sz="1"/>
              <w:right w:val="single" w:color="BBBBBB" w:sz="1"/>
            </w:tcBorders>
            <w:shd w:fill="F4F4F4" w:val="clear"/>
            <w:tcMar>
              <w:top w:type="dxa" w:w="70"/>
              <w:left w:type="dxa" w:w="110"/>
              <w:bottom w:type="dxa" w:w="70"/>
              <w:right w:type="dxa" w:w="110"/>
            </w:tcMar>
          </w:tcPr>
          <w:p>
            <w:pPr>
              <w:jc w:val="left"/>
            </w:pPr>
            <w:r>
              <w:rPr>
                <w:b w:val="false"/>
                <w:bCs w:val="false"/>
                <w:color w:val="222222"/>
                <w:sz w:val="15"/>
                <w:szCs w:val="15"/>
              </w:rPr>
              <w:t xml:space="preserve">Trade 3C</w:t>
            </w:r>
          </w:p>
        </w:tc>
        <w:tc>
          <w:tcPr>
            <w:tcW w:type="dxa" w:w="1340"/>
            <w:tcBorders>
              <w:top w:val="single" w:color="BBBBBB" w:sz="1"/>
              <w:left w:val="single" w:color="BBBBBB" w:sz="1"/>
              <w:bottom w:val="single" w:color="BBBBBB" w:sz="1"/>
              <w:right w:val="single" w:color="BBBBBB" w:sz="1"/>
            </w:tcBorders>
            <w:shd w:fill="F4F4F4" w:val="clear"/>
            <w:tcMar>
              <w:top w:type="dxa" w:w="70"/>
              <w:left w:type="dxa" w:w="110"/>
              <w:bottom w:type="dxa" w:w="70"/>
              <w:right w:type="dxa" w:w="110"/>
            </w:tcMar>
          </w:tcPr>
          <w:p>
            <w:pPr>
              <w:jc w:val="left"/>
            </w:pPr>
            <w:r>
              <w:rPr>
                <w:b w:val="false"/>
                <w:bCs w:val="false"/>
                <w:color w:val="222222"/>
                <w:sz w:val="15"/>
                <w:szCs w:val="15"/>
              </w:rPr>
              <w:t xml:space="preserve">LONG</w:t>
            </w:r>
          </w:p>
        </w:tc>
        <w:tc>
          <w:tcPr>
            <w:tcW w:type="dxa" w:w="1020"/>
            <w:tcBorders>
              <w:top w:val="single" w:color="BBBBBB" w:sz="1"/>
              <w:left w:val="single" w:color="BBBBBB" w:sz="1"/>
              <w:bottom w:val="single" w:color="BBBBBB" w:sz="1"/>
              <w:right w:val="single" w:color="BBBBBB" w:sz="1"/>
            </w:tcBorders>
            <w:shd w:fill="F4F4F4" w:val="clear"/>
            <w:tcMar>
              <w:top w:type="dxa" w:w="70"/>
              <w:left w:type="dxa" w:w="110"/>
              <w:bottom w:type="dxa" w:w="70"/>
              <w:right w:type="dxa" w:w="110"/>
            </w:tcMar>
          </w:tcPr>
          <w:p>
            <w:pPr>
              <w:jc w:val="left"/>
            </w:pPr>
            <w:r>
              <w:rPr>
                <w:b w:val="false"/>
                <w:bCs w:val="false"/>
                <w:color w:val="222222"/>
                <w:sz w:val="15"/>
                <w:szCs w:val="15"/>
              </w:rPr>
              <w:t xml:space="preserve">NO</w:t>
            </w:r>
          </w:p>
        </w:tc>
        <w:tc>
          <w:tcPr>
            <w:tcW w:type="dxa" w:w="1700"/>
            <w:tcBorders>
              <w:top w:val="single" w:color="BBBBBB" w:sz="1"/>
              <w:left w:val="single" w:color="BBBBBB" w:sz="1"/>
              <w:bottom w:val="single" w:color="BBBBBB" w:sz="1"/>
              <w:right w:val="single" w:color="BBBBBB" w:sz="1"/>
            </w:tcBorders>
            <w:shd w:fill="F4F4F4" w:val="clear"/>
            <w:tcMar>
              <w:top w:type="dxa" w:w="70"/>
              <w:left w:type="dxa" w:w="110"/>
              <w:bottom w:type="dxa" w:w="70"/>
              <w:right w:type="dxa" w:w="110"/>
            </w:tcMar>
          </w:tcPr>
          <w:p>
            <w:pPr>
              <w:jc w:val="left"/>
            </w:pPr>
            <w:r>
              <w:rPr>
                <w:b w:val="false"/>
                <w:bCs w:val="false"/>
                <w:color w:val="222222"/>
                <w:sz w:val="15"/>
                <w:szCs w:val="15"/>
              </w:rPr>
              <w:t xml:space="preserve">break not confirmed</w:t>
            </w:r>
          </w:p>
        </w:tc>
        <w:tc>
          <w:tcPr>
            <w:tcW w:type="dxa" w:w="1400"/>
            <w:tcBorders>
              <w:top w:val="single" w:color="BBBBBB" w:sz="1"/>
              <w:left w:val="single" w:color="BBBBBB" w:sz="1"/>
              <w:bottom w:val="single" w:color="BBBBBB" w:sz="1"/>
              <w:right w:val="single" w:color="BBBBBB" w:sz="1"/>
            </w:tcBorders>
            <w:shd w:fill="F4F4F4" w:val="clear"/>
            <w:tcMar>
              <w:top w:type="dxa" w:w="70"/>
              <w:left w:type="dxa" w:w="110"/>
              <w:bottom w:type="dxa" w:w="70"/>
              <w:right w:type="dxa" w:w="110"/>
            </w:tcMar>
          </w:tcPr>
          <w:p>
            <w:pPr>
              <w:jc w:val="left"/>
            </w:pPr>
            <w:r>
              <w:rPr>
                <w:b w:val="false"/>
                <w:bCs w:val="false"/>
                <w:color w:val="222222"/>
                <w:sz w:val="15"/>
                <w:szCs w:val="15"/>
              </w:rPr>
              <w:t xml:space="preserve">—</w:t>
            </w:r>
          </w:p>
        </w:tc>
        <w:tc>
          <w:tcPr>
            <w:tcW w:type="dxa" w:w="1400"/>
            <w:tcBorders>
              <w:top w:val="single" w:color="BBBBBB" w:sz="1"/>
              <w:left w:val="single" w:color="BBBBBB" w:sz="1"/>
              <w:bottom w:val="single" w:color="BBBBBB" w:sz="1"/>
              <w:right w:val="single" w:color="BBBBBB" w:sz="1"/>
            </w:tcBorders>
            <w:shd w:fill="F4F4F4" w:val="clear"/>
            <w:tcMar>
              <w:top w:type="dxa" w:w="70"/>
              <w:left w:type="dxa" w:w="110"/>
              <w:bottom w:type="dxa" w:w="70"/>
              <w:right w:type="dxa" w:w="110"/>
            </w:tcMar>
          </w:tcPr>
          <w:p>
            <w:pPr>
              <w:jc w:val="left"/>
            </w:pPr>
            <w:r>
              <w:rPr>
                <w:b w:val="false"/>
                <w:bCs w:val="false"/>
                <w:color w:val="222222"/>
                <w:sz w:val="15"/>
                <w:szCs w:val="15"/>
              </w:rPr>
              <w:t xml:space="preserve">—</w:t>
            </w:r>
          </w:p>
        </w:tc>
      </w:tr>
      <w:tr>
        <w:trPr>
          <w:cantSplit/>
        </w:trPr>
        <w:tc>
          <w:tcPr>
            <w:tcW w:type="dxa" w:w="118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21 May (t−1)</w:t>
            </w:r>
          </w:p>
        </w:tc>
        <w:tc>
          <w:tcPr>
            <w:tcW w:type="dxa" w:w="132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Trade 1</w:t>
            </w:r>
          </w:p>
        </w:tc>
        <w:tc>
          <w:tcPr>
            <w:tcW w:type="dxa" w:w="134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LONG</w:t>
            </w:r>
          </w:p>
        </w:tc>
        <w:tc>
          <w:tcPr>
            <w:tcW w:type="dxa" w:w="102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YES</w:t>
            </w:r>
          </w:p>
        </w:tc>
        <w:tc>
          <w:tcPr>
            <w:tcW w:type="dxa" w:w="17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10,432 / 10,443</w:t>
            </w:r>
          </w:p>
        </w:tc>
        <w:tc>
          <w:tcPr>
            <w:tcW w:type="dxa" w:w="14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OPEN @ +0.1R</w:t>
            </w:r>
          </w:p>
        </w:tc>
        <w:tc>
          <w:tcPr>
            <w:tcW w:type="dxa" w:w="14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5+ (open)</w:t>
            </w:r>
          </w:p>
        </w:tc>
      </w:tr>
      <w:tr>
        <w:trPr>
          <w:cantSplit/>
        </w:trPr>
        <w:tc>
          <w:tcPr>
            <w:tcW w:type="dxa" w:w="1180"/>
            <w:tcBorders>
              <w:top w:val="single" w:color="BBBBBB" w:sz="1"/>
              <w:left w:val="single" w:color="BBBBBB" w:sz="1"/>
              <w:bottom w:val="single" w:color="BBBBBB" w:sz="1"/>
              <w:right w:val="single" w:color="BBBBBB" w:sz="1"/>
            </w:tcBorders>
            <w:shd w:fill="F4F4F4" w:val="clear"/>
            <w:tcMar>
              <w:top w:type="dxa" w:w="70"/>
              <w:left w:type="dxa" w:w="110"/>
              <w:bottom w:type="dxa" w:w="70"/>
              <w:right w:type="dxa" w:w="110"/>
            </w:tcMar>
          </w:tcPr>
          <w:p>
            <w:pPr>
              <w:jc w:val="left"/>
            </w:pPr>
            <w:r>
              <w:rPr>
                <w:b w:val="false"/>
                <w:bCs w:val="false"/>
                <w:color w:val="222222"/>
                <w:sz w:val="15"/>
                <w:szCs w:val="15"/>
              </w:rPr>
              <w:t xml:space="preserve">21 May (t−1)</w:t>
            </w:r>
          </w:p>
        </w:tc>
        <w:tc>
          <w:tcPr>
            <w:tcW w:type="dxa" w:w="1320"/>
            <w:tcBorders>
              <w:top w:val="single" w:color="BBBBBB" w:sz="1"/>
              <w:left w:val="single" w:color="BBBBBB" w:sz="1"/>
              <w:bottom w:val="single" w:color="BBBBBB" w:sz="1"/>
              <w:right w:val="single" w:color="BBBBBB" w:sz="1"/>
            </w:tcBorders>
            <w:shd w:fill="F4F4F4" w:val="clear"/>
            <w:tcMar>
              <w:top w:type="dxa" w:w="70"/>
              <w:left w:type="dxa" w:w="110"/>
              <w:bottom w:type="dxa" w:w="70"/>
              <w:right w:type="dxa" w:w="110"/>
            </w:tcMar>
          </w:tcPr>
          <w:p>
            <w:pPr>
              <w:jc w:val="left"/>
            </w:pPr>
            <w:r>
              <w:rPr>
                <w:b w:val="false"/>
                <w:bCs w:val="false"/>
                <w:color w:val="222222"/>
                <w:sz w:val="15"/>
                <w:szCs w:val="15"/>
              </w:rPr>
              <w:t xml:space="preserve">Trade 2</w:t>
            </w:r>
          </w:p>
        </w:tc>
        <w:tc>
          <w:tcPr>
            <w:tcW w:type="dxa" w:w="1340"/>
            <w:tcBorders>
              <w:top w:val="single" w:color="BBBBBB" w:sz="1"/>
              <w:left w:val="single" w:color="BBBBBB" w:sz="1"/>
              <w:bottom w:val="single" w:color="BBBBBB" w:sz="1"/>
              <w:right w:val="single" w:color="BBBBBB" w:sz="1"/>
            </w:tcBorders>
            <w:shd w:fill="F4F4F4" w:val="clear"/>
            <w:tcMar>
              <w:top w:type="dxa" w:w="70"/>
              <w:left w:type="dxa" w:w="110"/>
              <w:bottom w:type="dxa" w:w="70"/>
              <w:right w:type="dxa" w:w="110"/>
            </w:tcMar>
          </w:tcPr>
          <w:p>
            <w:pPr>
              <w:jc w:val="left"/>
            </w:pPr>
            <w:r>
              <w:rPr>
                <w:b w:val="false"/>
                <w:bCs w:val="false"/>
                <w:color w:val="222222"/>
                <w:sz w:val="15"/>
                <w:szCs w:val="15"/>
              </w:rPr>
              <w:t xml:space="preserve">LONG (breakout)</w:t>
            </w:r>
          </w:p>
        </w:tc>
        <w:tc>
          <w:tcPr>
            <w:tcW w:type="dxa" w:w="1020"/>
            <w:tcBorders>
              <w:top w:val="single" w:color="BBBBBB" w:sz="1"/>
              <w:left w:val="single" w:color="BBBBBB" w:sz="1"/>
              <w:bottom w:val="single" w:color="BBBBBB" w:sz="1"/>
              <w:right w:val="single" w:color="BBBBBB" w:sz="1"/>
            </w:tcBorders>
            <w:shd w:fill="F4F4F4" w:val="clear"/>
            <w:tcMar>
              <w:top w:type="dxa" w:w="70"/>
              <w:left w:type="dxa" w:w="110"/>
              <w:bottom w:type="dxa" w:w="70"/>
              <w:right w:type="dxa" w:w="110"/>
            </w:tcMar>
          </w:tcPr>
          <w:p>
            <w:pPr>
              <w:jc w:val="left"/>
            </w:pPr>
            <w:r>
              <w:rPr>
                <w:b w:val="false"/>
                <w:bCs w:val="false"/>
                <w:color w:val="222222"/>
                <w:sz w:val="15"/>
                <w:szCs w:val="15"/>
              </w:rPr>
              <w:t xml:space="preserve">NO</w:t>
            </w:r>
          </w:p>
        </w:tc>
        <w:tc>
          <w:tcPr>
            <w:tcW w:type="dxa" w:w="1700"/>
            <w:tcBorders>
              <w:top w:val="single" w:color="BBBBBB" w:sz="1"/>
              <w:left w:val="single" w:color="BBBBBB" w:sz="1"/>
              <w:bottom w:val="single" w:color="BBBBBB" w:sz="1"/>
              <w:right w:val="single" w:color="BBBBBB" w:sz="1"/>
            </w:tcBorders>
            <w:shd w:fill="F4F4F4" w:val="clear"/>
            <w:tcMar>
              <w:top w:type="dxa" w:w="70"/>
              <w:left w:type="dxa" w:w="110"/>
              <w:bottom w:type="dxa" w:w="70"/>
              <w:right w:type="dxa" w:w="110"/>
            </w:tcMar>
          </w:tcPr>
          <w:p>
            <w:pPr>
              <w:jc w:val="left"/>
            </w:pPr>
            <w:r>
              <w:rPr>
                <w:b w:val="false"/>
                <w:bCs w:val="false"/>
                <w:color w:val="222222"/>
                <w:sz w:val="15"/>
                <w:szCs w:val="15"/>
              </w:rPr>
              <w:t xml:space="preserve">stop-entry not reached</w:t>
            </w:r>
          </w:p>
        </w:tc>
        <w:tc>
          <w:tcPr>
            <w:tcW w:type="dxa" w:w="1400"/>
            <w:tcBorders>
              <w:top w:val="single" w:color="BBBBBB" w:sz="1"/>
              <w:left w:val="single" w:color="BBBBBB" w:sz="1"/>
              <w:bottom w:val="single" w:color="BBBBBB" w:sz="1"/>
              <w:right w:val="single" w:color="BBBBBB" w:sz="1"/>
            </w:tcBorders>
            <w:shd w:fill="F4F4F4" w:val="clear"/>
            <w:tcMar>
              <w:top w:type="dxa" w:w="70"/>
              <w:left w:type="dxa" w:w="110"/>
              <w:bottom w:type="dxa" w:w="70"/>
              <w:right w:type="dxa" w:w="110"/>
            </w:tcMar>
          </w:tcPr>
          <w:p>
            <w:pPr>
              <w:jc w:val="left"/>
            </w:pPr>
            <w:r>
              <w:rPr>
                <w:b w:val="false"/>
                <w:bCs w:val="false"/>
                <w:color w:val="222222"/>
                <w:sz w:val="15"/>
                <w:szCs w:val="15"/>
              </w:rPr>
              <w:t xml:space="preserve">—</w:t>
            </w:r>
          </w:p>
        </w:tc>
        <w:tc>
          <w:tcPr>
            <w:tcW w:type="dxa" w:w="1400"/>
            <w:tcBorders>
              <w:top w:val="single" w:color="BBBBBB" w:sz="1"/>
              <w:left w:val="single" w:color="BBBBBB" w:sz="1"/>
              <w:bottom w:val="single" w:color="BBBBBB" w:sz="1"/>
              <w:right w:val="single" w:color="BBBBBB" w:sz="1"/>
            </w:tcBorders>
            <w:shd w:fill="F4F4F4" w:val="clear"/>
            <w:tcMar>
              <w:top w:type="dxa" w:w="70"/>
              <w:left w:type="dxa" w:w="110"/>
              <w:bottom w:type="dxa" w:w="70"/>
              <w:right w:type="dxa" w:w="110"/>
            </w:tcMar>
          </w:tcPr>
          <w:p>
            <w:pPr>
              <w:jc w:val="left"/>
            </w:pPr>
            <w:r>
              <w:rPr>
                <w:b w:val="false"/>
                <w:bCs w:val="false"/>
                <w:color w:val="222222"/>
                <w:sz w:val="15"/>
                <w:szCs w:val="15"/>
              </w:rPr>
              <w:t xml:space="preserve">—</w:t>
            </w:r>
          </w:p>
        </w:tc>
      </w:tr>
      <w:tr>
        <w:trPr>
          <w:cantSplit/>
        </w:trPr>
        <w:tc>
          <w:tcPr>
            <w:tcW w:type="dxa" w:w="118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21 May (t−1)</w:t>
            </w:r>
          </w:p>
        </w:tc>
        <w:tc>
          <w:tcPr>
            <w:tcW w:type="dxa" w:w="132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Trade 3C</w:t>
            </w:r>
          </w:p>
        </w:tc>
        <w:tc>
          <w:tcPr>
            <w:tcW w:type="dxa" w:w="134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LONG</w:t>
            </w:r>
          </w:p>
        </w:tc>
        <w:tc>
          <w:tcPr>
            <w:tcW w:type="dxa" w:w="102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NO</w:t>
            </w:r>
          </w:p>
        </w:tc>
        <w:tc>
          <w:tcPr>
            <w:tcW w:type="dxa" w:w="17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break not confirmed</w:t>
            </w:r>
          </w:p>
        </w:tc>
        <w:tc>
          <w:tcPr>
            <w:tcW w:type="dxa" w:w="14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w:t>
            </w:r>
          </w:p>
        </w:tc>
        <w:tc>
          <w:tcPr>
            <w:tcW w:type="dxa" w:w="14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5"/>
                <w:szCs w:val="15"/>
              </w:rPr>
              <w:t xml:space="preserve">—</w:t>
            </w:r>
          </w:p>
        </w:tc>
      </w:tr>
    </w:tbl>
    <w:p>
      <w:pPr>
        <w:spacing w:after="60"/>
      </w:pPr>
      <w:r>
        <w:t xml:space="preserve"/>
      </w:r>
    </w:p>
    <w:p>
      <w:pPr>
        <w:pStyle w:val="Heading2"/>
      </w:pPr>
      <w:r>
        <w:t xml:space="preserve">21d.  'What Is Working' Aggregate</w:t>
      </w:r>
    </w:p>
    <w:p>
      <w:pPr>
        <w:spacing w:after="120" w:line="276"/>
        <w:jc w:val="both"/>
      </w:pPr>
      <w:r>
        <w:rPr>
          <w:b/>
          <w:bCs/>
        </w:rPr>
        <w:t xml:space="preserve">Over the prior five sessions the daily directional strategy carried the book. </w:t>
      </w:r>
      <w:r>
        <w:t xml:space="preserve">Trade 1 triggered 5 of 5 times for a mean of approximately +0.6R (two losing shorts into the 15–18 May trough, then three strong longs as the reversal fired; one position still open), with TP1/TP2/TP3 hit rates of roughly 60% / 40% / 0%. Trade 2 triggered 2 of 4 issued times for a mean of about +1.8R on the two breakout longs, hit rates ~100% / 50% / 0% — the strongest mean-R performer, though on the fewest triggers. Trade 3 (reconstructed as 3B early in the window, 3C latterly) triggered 2 of 5, mean roughly −0.3R, the weakest performer — its mean-reversion shorts were caught by the violent reversal. Strongest performer: Trade 2 (breakout). Weakest performer: Trade 3. The pattern is coherent — strategies aligned with the reversal worked; the mean-reversion fork did not.</w:t>
      </w:r>
    </w:p>
    <w:p>
      <w:pPr>
        <w:spacing w:after="120" w:line="276"/>
        <w:jc w:val="both"/>
      </w:pPr>
      <w:r>
        <w:rPr>
          <w:b/>
          <w:bCs/>
          <w:color w:val="B06A00"/>
        </w:rPr>
        <w:t xml:space="preserve">Limitations. </w:t>
      </w:r>
      <w:r>
        <w:rPr>
          <w:color w:val="B06A00"/>
        </w:rPr>
        <w:t xml:space="preserve">Five-session windows are too small to support statistical claims. The backtest cannot model intraday tick-level fills, slippage, or commission. Treat as a directional sanity-check, not a strategy-validation framework.</w:t>
      </w:r>
    </w:p>
    <w:p>
      <w:pPr>
        <w:spacing w:after="60"/>
      </w:pPr>
      <w:r>
        <w:t xml:space="preserve"/>
      </w:r>
    </w:p>
    <w:p>
      <w:pPr>
        <w:pBdr>
          <w:top w:val="single" w:color="2E5E9E" w:sz="4"/>
        </w:pBdr>
        <w:spacing w:after="40" w:before="160"/>
      </w:pPr>
      <w:r>
        <w:t xml:space="preserve"/>
      </w:r>
    </w:p>
    <w:p>
      <w:pPr>
        <w:jc w:val="center"/>
      </w:pPr>
      <w:r>
        <w:rPr>
          <w:i/>
          <w:iCs/>
          <w:color w:val="777777"/>
          <w:sz w:val="15"/>
          <w:szCs w:val="15"/>
        </w:rPr>
        <w:t xml:space="preserve">End of report — 21 sections complete.</w:t>
      </w:r>
    </w:p>
    <w:p>
      <w:pPr>
        <w:spacing w:after="40"/>
        <w:jc w:val="center"/>
      </w:pPr>
      <w:r>
        <w:rPr>
          <w:i/>
          <w:iCs/>
          <w:color w:val="999999"/>
          <w:sz w:val="14"/>
          <w:szCs w:val="14"/>
        </w:rPr>
        <w:t xml:space="preserve">This document is a forward-test analytical exercise, not investment advice. Trading decisions remain the responsibility of the reader.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3" w:space="3"/>
      </w:pBdr>
      <w:tabs>
        <w:tab w:val="center" w:pos="4680"/>
        <w:tab w:val="right" w:pos="9360"/>
      </w:tabs>
    </w:pPr>
    <w:r>
      <w:rPr>
        <w:color w:val="888888"/>
        <w:sz w:val="14"/>
        <w:szCs w:val="14"/>
      </w:rPr>
      <w:t xml:space="preserve">FTSE 100 Daily Report  │  21 May 2026</w:t>
    </w:r>
    <w:r>
      <w:rPr>
        <w:color w:val="888888"/>
        <w:sz w:val="14"/>
        <w:szCs w:val="14"/>
      </w:rPr>
      <w:t xml:space="preserve">	Senior European Equity Strategist	</w:t>
    </w:r>
    <w:r>
      <w:rPr>
        <w:color w:val="888888"/>
        <w:sz w:val="14"/>
        <w:szCs w:val="14"/>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3" w:space="3"/>
      </w:pBdr>
      <w:tabs>
        <w:tab w:val="right" w:pos="9360"/>
      </w:tabs>
    </w:pPr>
    <w:r>
      <w:rPr>
        <w:color w:val="888888"/>
        <w:sz w:val="14"/>
        <w:szCs w:val="14"/>
      </w:rPr>
      <w:t xml:space="preserve">FTSE 100 Report</w:t>
    </w:r>
    <w:r>
      <w:rPr>
        <w:color w:val="888888"/>
        <w:sz w:val="14"/>
        <w:szCs w:val="14"/>
      </w:rPr>
      <w:t xml:space="preserve">	Daily: 22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60" w:before="220"/>
      <w:outlineLvl w:val="0"/>
    </w:pPr>
    <w:rPr>
      <w:rFonts w:ascii="Arial" w:cs="Arial" w:eastAsia="Arial" w:hAnsi="Arial"/>
      <w:b/>
      <w:bCs/>
      <w:color w:val="1F3864"/>
      <w:sz w:val="30"/>
      <w:szCs w:val="30"/>
    </w:rPr>
  </w:style>
  <w:style w:type="paragraph" w:styleId="Heading2">
    <w:name w:val="Heading 2"/>
    <w:basedOn w:val="Normal"/>
    <w:next w:val="Normal"/>
    <w:qFormat/>
    <w:pPr>
      <w:keepNext/>
      <w:spacing w:after="80" w:before="160"/>
      <w:outlineLvl w:val="1"/>
    </w:pPr>
    <w:rPr>
      <w:rFonts w:ascii="Arial" w:cs="Arial" w:eastAsia="Arial" w:hAnsi="Arial"/>
      <w:b/>
      <w:bCs/>
      <w:color w:val="2E5E9E"/>
      <w:sz w:val="25"/>
      <w:szCs w:val="25"/>
    </w:rPr>
  </w:style>
  <w:style w:type="paragraph" w:styleId="Heading3">
    <w:name w:val="Heading 3"/>
    <w:basedOn w:val="Normal"/>
    <w:next w:val="Normal"/>
    <w:qFormat/>
    <w:pPr>
      <w:keepNext/>
      <w:spacing w:after="60" w:before="120"/>
      <w:outlineLvl w:val="2"/>
    </w:pPr>
    <w:rPr>
      <w:rFonts w:ascii="Arial" w:cs="Arial" w:eastAsia="Arial" w:hAnsi="Arial"/>
      <w:b/>
      <w:bCs/>
      <w:color w:val="333333"/>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ea46bda9c179a52d80b2fee80f813a93a624e71.png"/><Relationship Id="rId10" Type="http://schemas.openxmlformats.org/officeDocument/2006/relationships/image" Target="media/dfbc5bec85493789f12cf7107b4556d9f213b047.png"/><Relationship Id="rId11" Type="http://schemas.openxmlformats.org/officeDocument/2006/relationships/image" Target="media/2a585a9f8b98007f8b572902a6199e14d51c65fb.png"/><Relationship Id="rId12" Type="http://schemas.openxmlformats.org/officeDocument/2006/relationships/image" Target="media/2d6d85e11c12494ec1c9cda7ff0da911365c1c9a.png"/><Relationship Id="rId13" Type="http://schemas.openxmlformats.org/officeDocument/2006/relationships/image" Target="media/4aecc90e3f66ead881d47487d6f5714a59cb884b.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2026-05-21T21:48:54.276Z</dcterms:created>
  <dcterms:modified xsi:type="dcterms:W3CDTF">2026-05-21T21:48:54.277Z</dcterms:modified>
</cp:coreProperties>
</file>

<file path=docProps/custom.xml><?xml version="1.0" encoding="utf-8"?>
<Properties xmlns="http://schemas.openxmlformats.org/officeDocument/2006/custom-properties" xmlns:vt="http://schemas.openxmlformats.org/officeDocument/2006/docPropsVTypes"/>
</file>