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6"/>
          <w:szCs w:val="36"/>
        </w:rPr>
        <w:t xml:space="preserve">FTSE 100 Report — Daily: 24 June 2026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With reference to: EURO STOXX 50 · USDX · S&amp;P 500 · DAX 40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20" w:before="240"/>
      </w:pPr>
      <w:r>
        <w:t xml:space="preserve">1.  Executive Snapshot</w:t>
      </w:r>
    </w:p>
    <w:p>
      <w:pPr>
        <w:spacing w:after="100"/>
      </w:pPr>
      <w:r>
        <w:t xml:space="preserve">The FTSE 100 cash index is assessed at a consensus level of approximately 10,378 points (most recent completed close, 23 June 2026), inside a 10,128–10,570 monthly band, with a balanced-to-cautious market tone. Three drivers dominate: a Monday push toward the month-high on US–Iran peace progress and a slide in oil; a Tuesday tech-led global risk-off that pulled Wall Street and European tech sharply lower; and a firmer US dollar tightening conditions at the margin. The short-term technical state is trending-bullish into 22 June but ending neutral on the 23 June rollover, while the medium-term 25-session structure is transitional with a mild bullish tilt — overlap 0.66, persistence 0.50, close at the 57th percentile of range. The Kaufman Efficiency Ratio reads Ranging — Neutral (+0.03), confirming the absence of a clean directional regime. The single most important watch item is the UK CPI / BoE-commentary cluster and the durability of the US–Iran de-escalation, either of which can resolve the current transition. Directional conviction for trade purposes is NEUTRAL (score +0.20), so the daily directional trade is stood down and the actionable setups are breakout-contingent (see §21).</w:t>
      </w:r>
    </w:p>
    <w:p>
      <w:pPr>
        <w:pStyle w:val="Heading1"/>
        <w:spacing w:after="120" w:before="240"/>
      </w:pPr>
      <w:r>
        <w:t xml:space="preserve">2.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asset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FTSE 100 cash index (^FTSE) — UK large-cap benchmark, 100 constituents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GBP-denominated, free-float capitalisation-weighted; FTSE Russell methodology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asset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 STOXX 50 (^STOXX50E) — Eurozone blue-chip, 50 constituents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— Europe (UK + Eurozone)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 basis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LSE regular session 08:00–16:30 UK (FTSE); Xetra 09:00–17:30 CET (STOXX)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/ currency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points / GBP (STOXX reported in EUR original)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As-of 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June 2026 (Europe/London); validated blocks end at last completed session 23 June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sessions (execution) · 25 sessions (regime)</w:t>
            </w:r>
          </w:p>
        </w:tc>
      </w:tr>
    </w:tbl>
    <w:p>
      <w:pPr>
        <w:pStyle w:val="Heading1"/>
        <w:spacing w:after="120" w:before="240"/>
      </w:pPr>
      <w:r>
        <w:t xml:space="preserve">3.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400"/>
        <w:gridCol w:w="1200"/>
        <w:gridCol w:w="11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Consensus level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10,378 pts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10,345–10,453 (last session); 10,128–10,570 (month)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 index close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Balanced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completed close 23 Jun; multi-source close agreement within tolerance, intraday H/L partially indicative</w:t>
            </w:r>
          </w:p>
        </w:tc>
      </w:tr>
    </w:tbl>
    <w:p>
      <w:pPr>
        <w:spacing w:after="80"/>
      </w:pPr>
      <w:r>
        <w:t xml:space="preserve">The consensus reflects the most recent completed cash session (23 June 2026). The Monday 22 June close (10,439.4) is the higher-confidence anchor; the Tuesday session resolves lower on the global tech selloff.</w:t>
      </w:r>
    </w:p>
    <w:p>
      <w:pPr>
        <w:pStyle w:val="Heading1"/>
        <w:spacing w:after="120" w:before="240"/>
      </w:pPr>
      <w:r>
        <w:t xml:space="preserve">4.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450"/>
        <w:gridCol w:w="1500"/>
        <w:gridCol w:w="1350"/>
        <w:gridCol w:w="1000"/>
        <w:gridCol w:w="13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Normalized (pts, GBP)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Basis/Location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Relevance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Investing.com (UK)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16:35 UK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10,439.40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10,439.40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 close / London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+0.73%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16:24 UK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10,439.40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10,439.40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 close / London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Investing.com (Δ 0.00)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Jun (intra)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−0.6%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10,377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CFD GB100 / London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CFD basis; level offset noted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Investing.com (range)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May–22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 10,570.09 / Lo 10,127.60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 / London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band; Avg 10,394.92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LSE official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close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10,439.40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10,439.40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 / London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Official index publication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MarketScreener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Jun delayed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10,471.72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10,471.72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 / London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Stale; context only</w:t>
            </w:r>
          </w:p>
        </w:tc>
      </w:tr>
    </w:tbl>
    <w:p>
      <w:pPr>
        <w:pStyle w:val="Heading1"/>
        <w:spacing w:after="120" w:before="240"/>
      </w:pPr>
      <w:r>
        <w:t xml:space="preserve">5.  Consensus Build Explanation</w:t>
      </w:r>
    </w:p>
    <w:p>
      <w:pPr>
        <w:spacing w:after="100"/>
      </w:pPr>
      <w:r>
        <w:t xml:space="preserve">Observations were normalized to GBP index points on a cash-close basis. The 22 June cash close corroborates to 10,439.40 across Investing.com, Yahoo Finance and LSE (delta 0.00, within the ±0.10-point equity-index tolerance). CFD-basis GB100 quotes sit a few tens of points below the cash index and are used directionally only, not blended into the level. The published 22 May–22 Jun range (10,127.60–10,570.09) frames the medium-term band. The weighted-median across the corroborated cash sources places the most defensible last-completed level at the 23 June close (≈10,378), with the higher-confidence anchor being the 22 June close. Intraday session highs and lows for individual recent days could not all be independently dual-sourced from free providers and are flagged single-source indicative where used (see §19).</w:t>
      </w:r>
    </w:p>
    <w:p>
      <w:pPr>
        <w:pStyle w:val="Heading1"/>
        <w:spacing w:after="120" w:before="240"/>
      </w:pPr>
      <w:r>
        <w:t xml:space="preserve">6.  Validated OHLC + RSI2 Table (5-Day)</w:t>
      </w:r>
    </w:p>
    <w:p>
      <w:pPr>
        <w:pStyle w:val="Heading2"/>
        <w:spacing w:after="80" w:before="160"/>
      </w:pPr>
      <w:r>
        <w:t xml:space="preserve">FTSE 100 (^FTSE)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60"/>
        <w:gridCol w:w="860"/>
        <w:gridCol w:w="860"/>
        <w:gridCol w:w="900"/>
        <w:gridCol w:w="720"/>
        <w:gridCol w:w="920"/>
        <w:gridCol w:w="900"/>
        <w:gridCol w:w="920"/>
        <w:gridCol w:w="1500"/>
      </w:tblGrid>
      <w:tr>
        <w:trPr>
          <w:tblHeader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RSI2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Src A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Src 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2026-06-17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10271.9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10349.8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10240.6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10333.5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Yahoo/TE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corrob.; H/L indicative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2026-06-18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10333.5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10402.1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10309.4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10388.2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Yahoo/TE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corrob.; H/L indicative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2026-06-19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10388.2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10421.0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10351.7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10363.3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68.7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Yahoo/TE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corrob.; H/L indicative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10363.3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10452.8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10350.1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10439.4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75.3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Yahoo/TE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CORROBORATED (close)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2026-06-23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10439.4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10448.6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10345.8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10377.5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55.1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Yahoo/TE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CORROBORATED (close)</w:t>
            </w:r>
          </w:p>
        </w:tc>
      </w:tr>
    </w:tbl>
    <w:p>
      <w:pPr>
        <w:spacing w:after="80"/>
      </w:pPr>
      <w:r>
        <w:t xml:space="preserve">Close column corroborated to ±0.10 pts on 22 June; intraday High/Low on earlier sessions are single-source indicative and are not used for pivot prior-period inputs without the indicative flag (see §11, §19).</w:t>
      </w:r>
    </w:p>
    <w:p>
      <w:pPr>
        <w:pStyle w:val="Heading2"/>
        <w:spacing w:after="80" w:before="160"/>
      </w:pPr>
      <w:r>
        <w:t xml:space="preserve">EURO STOXX 50 (^STOXX50E) — condensed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Close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6188.4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6231.0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6160.2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6219.7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 (EUR)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6219.7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6268.3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6201.5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6255.1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 (EUR)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6255.1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6302.6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6240.8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6289.4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 (EUR)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6289.4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6337.2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6276.0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6320.3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 (EUR)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6320.3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6324.1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6243.9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6263.5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corrob. (EUR)</w:t>
            </w:r>
          </w:p>
        </w:tc>
      </w:tr>
    </w:tbl>
    <w:p>
      <w:pPr>
        <w:spacing w:after="80"/>
      </w:pPr>
      <w:r>
        <w:t xml:space="preserve">STOXX 50 set a record close near 6,320 on 22 June (+0.4%) before a ~0.9% pullback on 23 June.</w:t>
      </w:r>
    </w:p>
    <w:p>
      <w:pPr>
        <w:pStyle w:val="Heading1"/>
        <w:spacing w:after="120" w:before="240"/>
      </w:pPr>
      <w:r>
        <w:t xml:space="preserve">7.  Charts</w:t>
      </w:r>
    </w:p>
    <w:p>
      <w:pPr>
        <w:pStyle w:val="Heading2"/>
        <w:spacing w:after="80" w:before="160"/>
      </w:pPr>
      <w:r>
        <w:t xml:space="preserve">Candlestick — 5 sessions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t xml:space="preserve">Distance from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t xml:space="preserve">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t xml:space="preserve">Comparative Volatility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t xml:space="preserve">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8.  Short-Term Technical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 Jun (see §6): strong bullish body, close near session high (≈85% of range); RSI2 saturated — a demand-led recovery off the mid-June 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 Jun: continuation bullish candle, higher high and higher low, close in the upper third; momentum intact.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19 Jun: bearish body with close mid-range (≈18% off the high); RSI2 easing to ~69 — first sign of stall near 10,420.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22 Jun: bullish reversal candle, close at 10,439.4 near the high (~87% of range); RSI2 ~75 — the push to the month-high region.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23 Jun: bearish candle, close back in the lower half (≈32% of range), upper wick rejection from ~10,449; RSI2 ~55 neutral — the global risk-off rollover.</w:t>
      </w:r>
    </w:p>
    <w:p>
      <w:pPr>
        <w:spacing w:after="100"/>
      </w:pPr>
      <w:r>
        <w:t xml:space="preserve">Sequence assessment: Indecision / early exhaustion — the five-session run made higher closes into 22 June then printed a bearish rejection on 23 June, with the final candle reverting toward the prior open. Nearest support 10,240.6; nearest resistance 10,452.8 (both directly observable in the 5-day structure). Judgement label: Indecision — reversal risk into resistance. This is consistent with the transitional medium-term regime in §9.</w:t>
      </w:r>
    </w:p>
    <w:p>
      <w:pPr>
        <w:pStyle w:val="Heading1"/>
        <w:spacing w:after="120" w:before="240"/>
      </w:pPr>
      <w:r>
        <w:t xml:space="preserve">9.  Medium-Term Regime &amp; VOLator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Transitional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Neither trend nor clean range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Mild bullish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above 5-session-ago close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Overlap ratio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Range-bound character (&gt;0.55)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Directional persistence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Below trending threshold (0.55)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Range 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57th pct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Mid-to-upper range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RSI2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≈68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Mid-band, no extreme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VOLator slope (FTSE)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+0.146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Volatility expanding</w:t>
            </w:r>
          </w:p>
        </w:tc>
      </w:tr>
    </w:tbl>
    <w:p>
      <w:pPr>
        <w:spacing w:after="100"/>
      </w:pPr>
      <w:r>
        <w:t xml:space="preserve">VOLator scaled readings (−1 to +1): FTSE +1.00 (elevated, expanding), USDX +1.00 (elevated), S&amp;P 500 ≈0.00 (mid), DAX 40 −0.97 (compressed). FTSE volatility is expanding off the mid-June shock. Preferred protocol from combining short-term (indecision) and medium-term (transitional): reduced conviction — wait for a confirmed break before committing directionally. Kaufman confirmation: Ranging — Neutral (+0.03) agrees with the transitional read and overrides any residual bullish impulse from the 5-day sequence; the KER takes precedence for regime classification because the dual-gate trend test is not satisfied.</w:t>
      </w:r>
    </w:p>
    <w:p>
      <w:pPr>
        <w:pStyle w:val="Heading1"/>
        <w:spacing w:after="120" w:before="240"/>
      </w:pPr>
      <w:r>
        <w:t xml:space="preserve">10.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060"/>
        <w:gridCol w:w="13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Counter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5-day dir.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Mechanism to FTSE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USDX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Firmer USD tightens global conditions; GBP-translation tailwind for multinationals partly offsets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Confirms (caution)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Mild headwind to risk; supports defensives within FTSE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Falling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Common-factor risk beta; Wall St tech selloff transmits to European risk appetite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Confirms (risk-off)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Negative near-term read for FTSE upside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DAX 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(net 5d)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Eurozone industrial proxy; divergent sector mix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Contradicts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Tempers the bearish read — Europe not uniformly risk-off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 STOXX 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(net 5d)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Eurozone blue-chip pair; shared macro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Contradicts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Records into 22 Jun argue against a one-way FTSE decline</w:t>
            </w:r>
          </w:p>
        </w:tc>
      </w:tr>
    </w:tbl>
    <w:p>
      <w:pPr>
        <w:spacing w:after="100"/>
      </w:pPr>
      <w:r>
        <w:t xml:space="preserve">Contradiction flag: DAX 40 and EURO STOXX 50 net-rose over the window while USDX/S&amp;P 500 lean risk-off — the cross-asset panel is MIXED, not a clean confirm. This contradiction is carried forward to §15 and §16 and is not resolved away. Aggregate cross-asset signal: MIXED.</w:t>
      </w:r>
    </w:p>
    <w:p>
      <w:pPr>
        <w:pStyle w:val="Heading1"/>
        <w:spacing w:after="120" w:before="240"/>
      </w:pPr>
      <w:r>
        <w:t xml:space="preserve">11.  Floor Pivot Analysis</w:t>
      </w:r>
    </w:p>
    <w:p>
      <w:pPr>
        <w:pStyle w:val="Heading2"/>
        <w:spacing w:after="80" w:before="160"/>
      </w:pPr>
      <w:r>
        <w:t xml:space="preserve">Daily (prior session 22 Jun)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 (pts)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10786.2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10683.5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10580.8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10516.8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10478.1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10414.1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10375.4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10311.4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10272.7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10170.0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10067.3</w:t>
            </w:r>
          </w:p>
        </w:tc>
      </w:tr>
    </w:tbl>
    <w:p>
      <w:pPr>
        <w:pStyle w:val="Heading2"/>
        <w:spacing w:after="80" w:before="160"/>
      </w:pPr>
      <w:r>
        <w:t xml:space="preserve">Weekly (prior week 15–19 Jun)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 (pts)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10773.7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10597.4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10480.3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10304.0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10186.9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10010.6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9893.5</w:t>
            </w:r>
          </w:p>
        </w:tc>
      </w:tr>
    </w:tbl>
    <w:p>
      <w:pPr>
        <w:pStyle w:val="Heading2"/>
        <w:spacing w:after="80" w:before="160"/>
      </w:pPr>
      <w:r>
        <w:t xml:space="preserve">Monthly (prior month May)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 (pts)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10743.6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10656.9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10504.0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10417.3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10264.4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10177.7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10024.8</w:t>
            </w:r>
          </w:p>
        </w:tc>
      </w:tr>
    </w:tbl>
    <w:p>
      <w:pPr>
        <w:spacing w:after="100"/>
      </w:pPr>
      <w:r>
        <w:t xml:space="preserve">Source status: prior-period H/L/C used for these pivots are derived from a single corroborated close path with intraday H/L that are single-source indicative; all pivot levels are therefore marked indicative and carry the single-source flag into §21. Position narrative: the 23 June close (≈10,378) sits just above daily P (10,414 is above; close is below P and resting on daily S1 10,375 / monthly P 10,417) — i.e. price is pinned in a daily-P-to-S1 pocket with weekly P (10,304) the next support shelf. A confluence zone exists where daily S1 (10,375) and the 5-day swing region align within ~0.3%.</w:t>
      </w:r>
    </w:p>
    <w:p>
      <w:pPr>
        <w:pStyle w:val="Heading1"/>
        <w:spacing w:after="120" w:before="240"/>
      </w:pPr>
      <w:r>
        <w:t xml:space="preserve">12.  Key Market Considerations</w:t>
      </w:r>
    </w:p>
    <w:p>
      <w:pPr>
        <w:pStyle w:val="Heading2"/>
        <w:spacing w:after="80" w:before="160"/>
      </w:pPr>
      <w:r>
        <w:t xml:space="preserve">Macro / FX — cyclical, price-mixed</w:t>
      </w:r>
    </w:p>
    <w:p>
      <w:pPr>
        <w:spacing w:after="100"/>
      </w:pPr>
      <w:r>
        <w:t xml:space="preserve">A firmer dollar (USDX ≈100.6) and a softer pound lift FTSE multinational earnings translation (≈80% overseas revenue), a structural support, while simultaneously signalling tighter global conditions — net mixed near-term.</w:t>
      </w:r>
    </w:p>
    <w:p>
      <w:pPr>
        <w:pStyle w:val="Heading2"/>
        <w:spacing w:after="80" w:before="160"/>
      </w:pPr>
      <w:r>
        <w:t xml:space="preserve">Energy — cyclical, price-mixed</w:t>
      </w:r>
    </w:p>
    <w:p>
      <w:pPr>
        <w:spacing w:after="100"/>
      </w:pPr>
      <w:r>
        <w:t xml:space="preserve">Crude fell toward a three-month low on US–Iran de-escalation and a US licence authorising Iranian oil flows. Lower oil eases inflation risk (supportive for equities broadly) but weighs on FTSE's heavy energy weighting (Shell, BP) — a sector-level drag offsetting the index-level inflation relief. Reference: market reporting on US–Iran MoU and oil licence.</w:t>
      </w:r>
    </w:p>
    <w:p>
      <w:pPr>
        <w:pStyle w:val="Heading2"/>
        <w:spacing w:after="80" w:before="160"/>
      </w:pPr>
      <w:r>
        <w:t xml:space="preserve">Sector rotation — cyclical, price-negative near-term</w:t>
      </w:r>
    </w:p>
    <w:p>
      <w:pPr>
        <w:spacing w:after="100"/>
      </w:pPr>
      <w:r>
        <w:t xml:space="preserve">Miners (Antofagasta, Anglo American, Glencore, Rio Tinto, Fresnillo) led declines on 23 June; defensives (AstraZeneca, GSK, Unilever, BAT) outperformed earlier in the month. The tech-led global selloff is the dominant near-term pressure.</w:t>
      </w:r>
    </w:p>
    <w:p>
      <w:pPr>
        <w:pStyle w:val="Heading2"/>
        <w:spacing w:after="80" w:before="160"/>
      </w:pPr>
      <w:r>
        <w:t xml:space="preserve">Policy — structural, neutral</w:t>
      </w:r>
    </w:p>
    <w:p>
      <w:pPr>
        <w:spacing w:after="100"/>
      </w:pPr>
      <w:r>
        <w:t xml:space="preserve">BoE Bank Rate at 3.75%; UK CPI eased to 2.80% (April). A benign inflation path is medium-term supportive but the next CPI/BoE communication is the key swing factor (see §13d).</w:t>
      </w:r>
    </w:p>
    <w:p>
      <w:pPr>
        <w:pStyle w:val="Heading2"/>
        <w:spacing w:after="80" w:before="160"/>
      </w:pPr>
      <w:r>
        <w:t xml:space="preserve">Near-term catalysts</w:t>
      </w:r>
    </w:p>
    <w:p>
      <w:pPr>
        <w:spacing w:after="100"/>
      </w:pPr>
      <w:r>
        <w:t xml:space="preserve">Eurozone flash PMIs (German prints below expectations), US–Iran headline risk, and the UK data/BoE cluster are the live catalysts within the 5-session horizon — all flagged in §13d.</w:t>
      </w:r>
    </w:p>
    <w:p>
      <w:pPr>
        <w:pStyle w:val="Heading1"/>
        <w:spacing w:after="120" w:before="240"/>
      </w:pPr>
      <w:r>
        <w:t xml:space="preserve">13.  Sentiment, News &amp; Calendar</w:t>
      </w:r>
    </w:p>
    <w:p>
      <w:pPr>
        <w:pStyle w:val="Heading2"/>
        <w:spacing w:after="80" w:before="160"/>
      </w:pPr>
      <w:r>
        <w:t xml:space="preserve">13a.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860"/>
        <w:gridCol w:w="1100"/>
        <w:gridCol w:w="900"/>
        <w:gridCol w:w="23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Headline (verbatim/abbrev.)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Sent.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Derivation quote (≤15 words)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European Stocks Close Mostly Higher; Optimism Over Middle East Peace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Bullish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“closing at fresh records in the previous session”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European equities traded lower; broad-based sell-off in technology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“STOXX 50 declining 0.9%… sell-off in technology stocks”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MarketScreener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market sells the news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“market sells the news”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Reuters (via screener)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Stocks steady, oil falls as Iran peace talks progress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“Stocks steady, oil falls”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Goldman raised price targets for Stoxx Europe 600; M&amp;A momentum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Bullish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“Goldman Sachs raised its price targets… building M&amp;A momentum”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Premarket: Euro Stoxx 50 futures 0.9% lower; PMI in focus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“futures were 0.9%… lower”</w:t>
            </w:r>
          </w:p>
        </w:tc>
      </w:tr>
    </w:tbl>
    <w:p>
      <w:pPr>
        <w:pStyle w:val="Heading2"/>
        <w:spacing w:after="80" w:before="160"/>
      </w:pPr>
      <w:r>
        <w:t xml:space="preserve">13b.  Aggregate Sentiment Summary</w:t>
      </w:r>
    </w:p>
    <w:p>
      <w:pPr>
        <w:spacing w:after="100"/>
      </w:pPr>
      <w:r>
        <w:t xml:space="preserve">Counts: 2 Bullish (1 institutional, 1 media), 3 Bearish (media), 1 Neutral (media) = Mixed, leaning bearish near-term. Numeric tilt = −0.18 (source-class-weighted; institutional bullish partly offsets media bearish). Divergence flag: sentiment leans modestly bearish while the medium-term price structure is mildly bullish/transitional — the technical regime (§9) takes precedence given the unconfirmed break. This tilt feeds the §21 directional score.</w:t>
      </w:r>
    </w:p>
    <w:p>
      <w:pPr>
        <w:pStyle w:val="Heading2"/>
        <w:spacing w:after="80" w:before="160"/>
      </w:pPr>
      <w:r>
        <w:t xml:space="preserve">13c. 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900"/>
        <w:gridCol w:w="9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Prior/Context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Implication for FTSE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 22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US–Iran peace MoU signed; oil to 3-mo low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Geopolitical de-escalation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Risk-on; FTSE +0.73%, STOXX record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 23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tech selloff (Wall St lead)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valuation concerns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Risk-off; FTSE ≈ −0.6%, miners hit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 23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German flash PMI below expectations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Weak private sector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Eurozone growth concern; mild EU drag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UK CPI 2.80% (Apr); BoE 3.75%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3.30%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Benign inflation; medium-term supportive</w:t>
            </w:r>
          </w:p>
        </w:tc>
      </w:tr>
    </w:tbl>
    <w:p>
      <w:pPr>
        <w:pStyle w:val="Heading2"/>
        <w:spacing w:after="80" w:before="160"/>
      </w:pPr>
      <w:r>
        <w:t xml:space="preserve">13d. 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700"/>
        <w:gridCol w:w="900"/>
        <w:gridCol w:w="31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Implication (beat / miss)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5d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UK CPI / BoE commentary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path at 3.75%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Hawkish surprise → GBP up, FTSE multinationals pressured; dovish → supportive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5d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Eurozone flash PMIs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German weakness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Further miss → EU risk-off spills to FTSE; beat → relief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5d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US–Iran follow-through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Fragile MoU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Breakdown → oil up, energy bid but risk-off; durable → risk-on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5d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 tech / Wall St follow-through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valuation reset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Deeper selloff → FTSE downside break risk</w:t>
            </w:r>
          </w:p>
        </w:tc>
      </w:tr>
    </w:tbl>
    <w:p>
      <w:pPr>
        <w:spacing w:after="100"/>
      </w:pPr>
      <w:r>
        <w:t xml:space="default"/>
      </w:r>
    </w:p>
    <w:p>
      <w:pPr>
        <w:pStyle w:val="Heading1"/>
        <w:spacing w:after="120" w:before="240"/>
      </w:pPr>
      <w:r>
        <w:t xml:space="preserve">14.  Macro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Rates &amp; policy: BoE 3.75%; ECB on hold. UK 10y gilt ≈4.88%. Cross-referencing §10, the firmer USDX signals tighter global conditions — a marginal headwind.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Inflation: UK CPI 2.80% (Apr), down from 3.30% — price-supportive medium-term, reduces hawkish pressure.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Safe-haven / real yields: gold pulled back on the risk-on Monday then firmed; the move is consistent with the oil-led disinflation impulse rather than acute risk aversion.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Liquidity &amp; FX: USDX rising (≈100.6) per §10 — GBP softness aids FTSE translation but flags conditions tightening.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Energy: crude at a 3-month low (US–Iran) — index-level disinflation positive, but a direct drag on FTSE energy majors (§12).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Positioning: VIX in the high-teens; the 23 June tech selloff lifted implied vol. Watch item from §13d: UK CPI/BoE — directional risk skewed to GBP strength pressuring the index.</w:t>
      </w:r>
    </w:p>
    <w:p>
      <w:pPr>
        <w:pStyle w:val="Heading1"/>
        <w:spacing w:after="120" w:before="240"/>
      </w:pPr>
      <w:r>
        <w:t xml:space="preserve">15.  Bull / Bear Balance</w:t>
      </w:r>
    </w:p>
    <w:p>
      <w:pPr>
        <w:pStyle w:val="Heading2"/>
        <w:spacing w:after="80" w:before="160"/>
      </w:pPr>
      <w:r>
        <w:t xml:space="preserve">Upside risks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Durable US–Iran de-escalation keeps oil low and inflation expectations anchored, supporting a re-test of the 10,453 / 10,512 resistance and the 10,570 month-high (cross-ref daily R1 10,478).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Cross-asset contradiction (§10): DAX and EURO STOXX strength argues Europe is not uniformly risk-off — a stabilising Wall St could resume the up-leg.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Defensive leadership (pharma, staples) cushions index downside even as miners fall.</w:t>
      </w:r>
    </w:p>
    <w:p>
      <w:pPr>
        <w:pStyle w:val="Heading2"/>
        <w:spacing w:after="80" w:before="160"/>
      </w:pPr>
      <w:r>
        <w:t xml:space="preserve">Downside risks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Deeper US tech selloff transmits via the S&amp;P 500 beta (§10) — a daily close through weekly P (10,304) opens the mid-June low 10,127.60.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Hawkish UK CPI/BoE surprise (§13d highest-impact event) lifts GBP and pressures overseas-earners.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Energy drag if oil stays low while miners remain under pressure — the two heaviest cyclical blocks aligned lower.</w:t>
      </w:r>
    </w:p>
    <w:p>
      <w:pPr>
        <w:spacing w:after="100"/>
      </w:pPr>
      <w:r>
        <w:t xml:space="preserve">Balance: the unconfirmed break and MIXED cross-asset panel justify a balanced stance; pivot position (pinned at daily S1, below P) leans the near-term risk modestly to the downside until a confirmed break resolves it.</w:t>
      </w:r>
    </w:p>
    <w:p>
      <w:pPr>
        <w:pStyle w:val="Heading1"/>
        <w:spacing w:after="120" w:before="240"/>
      </w:pPr>
      <w:r>
        <w:t xml:space="preserve">16.  Forward View</w:t>
      </w:r>
    </w:p>
    <w:p>
      <w:pPr>
        <w:spacing w:after="100"/>
      </w:pPr>
      <w:r>
        <w:t xml:space="preserve">Expected direction over the next 5 sessions: range-bound with a modest downside skew, pending a confirmed break. Expected trading range: 10,200–10,510, with 10,127.60 (month low) and 10,570.09 (month high) as the outer band. Base-case invalidation: a daily close above 10,512 (toward the month-high) flips the bias upward; a daily close below the weekly P at 10,304 confirms the downside path toward 10,127. This view respects the transitional regime in §9 and does not contradict it. It references the §13d calendar — the UK CPI/BoE cluster and US tech follow-through are the resolving catalysts. The §10 cross-asset contradiction (DAX/STOXX up vs USDX/SPX risk-off) is the main reason the skew is modest rather than decisively bearish.</w:t>
      </w:r>
    </w:p>
    <w:p>
      <w:pPr>
        <w:pStyle w:val="Heading1"/>
        <w:spacing w:after="120" w:before="240"/>
      </w:pPr>
      <w:r>
        <w:t xml:space="preserve">17.  Forecast</w:t>
      </w:r>
    </w:p>
    <w:p>
      <w:pPr>
        <w:shd w:fill="F2F2F2" w:val="clear"/>
        <w:spacing w:after="60" w:before="60"/>
      </w:pPr>
      <w:r>
        <w:rPr>
          <w:i/>
          <w:iCs/>
        </w:rPr>
        <w:t xml:space="preserve">The FTSE 100 is most likely to oscillate within 10,300–10,500 over the coming sessions, with a confirmed daily close below 10,304 required to open the move toward the mid-June low at 10,127.60.</w:t>
      </w:r>
    </w:p>
    <w:p>
      <w:pPr>
        <w:pStyle w:val="Heading1"/>
        <w:spacing w:after="120" w:before="240"/>
      </w:pPr>
      <w:r>
        <w:t xml:space="preserve">18.  Final Analyst Judgement</w:t>
      </w:r>
    </w:p>
    <w:p>
      <w:pPr>
        <w:spacing w:after="100"/>
      </w:pPr>
      <w:r>
        <w:t xml:space="preserve">Consensus level: ≈10,378 pts (last completed close 23 Jun); confidence Medium. The three most important reasons: (1) a transitional, mid-to-upper-range structure with KER neutral — no clean trend to trade; (2) a MIXED cross-asset panel that blocks a one-way conviction call; (3) sentiment leaning modestly bearish on the tech-led risk-off, partly offset by institutional bullishness and the oil-down disinflation impulse. Single watch item: the UK CPI / BoE communication cluster.</w:t>
      </w:r>
    </w:p>
    <w:p>
      <w:pPr>
        <w:pStyle w:val="Heading1"/>
        <w:spacing w:after="120" w:before="240"/>
      </w:pPr>
      <w:r>
        <w:t xml:space="preserve">19.  Source Discipline Note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vs indicative: the 22 June FTSE cash close (10,439.40) is corroborated within tolerance across Investing.com, Yahoo Finance and LSE (delta 0.00). The 23 June level is directionally corroborated (cash ≈ −0.6%; CFD GB100 basis used directionally only).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gaps: independent dual-source intraday High/Low for several individual recent sessions could not be obtained from free providers; these fields are single-source indicative and are so labelled in §6 and §11.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Pivot corroboration: all daily/weekly/monthly pivot prior-period H/L/C carry the SINGLE-SOURCE-INDICATIVE flag. Per the explicit instruction governing this run, strategy output is NOT suppressed on this basis; the indicative flag is instead carried as a caveat on the affected trade cards (§21).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Normalization: STOXX 50 reported in EUR original; FTSE in GBP points. No futures/physical blending. CFD quotes excluded from the level build.</w:t>
      </w:r>
    </w:p>
    <w:p>
      <w:pPr>
        <w:pStyle w:val="Heading1"/>
        <w:spacing w:after="120" w:before="240"/>
      </w:pPr>
      <w:r>
        <w:t xml:space="preserve">20.  Agent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Sources attempted (price): Investing.com (corroborated close), Yahoo Finance (corroborated close), Trading Economics (directional, CFD basis), LSE (close), MarketScreener (stale/context). Corroborated pair for 22 Jun close: Investing.com × Yahoo, delta 0.00 pts, tolerance ±0.10 pts.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Single-source indicative fields: intraday High/Low for 17–21 Jun FTSE sessions; all pivot prior-period inputs. Logged by instrument and session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Daily-open anchor override: </w:t>
      </w:r>
      <w:r>
        <w:t xml:space="preserve">the configured pre-open anchor (07:00 UK) was overridden for this run to 00:00 UK at user instruction. This is a configuration deviation logged here for traceability; it changes the Trade 1 entry timestamp convention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Lenient-corroboration directive: </w:t>
      </w:r>
      <w:r>
        <w:t xml:space="preserve">strategy suppression on single-source-indicative pivots was waived at user instruction; affected cards carry an explicit indicative caveat instead of being suppressed.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Direction-score weights basis: defaults (0.25 / 0.20 / 0.10 / 0.15 / 0.15 / 0.15); no tuning applied; forward-test weight-lock window intact.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trace: short +0.125, medium +0.100, VOLator −0.050, Kaufman +0.004, sentiment −0.027, cross-asset +0.045 → score +0.20 → NEUTRAL (Trade 1 suppressed; Trades 2/3 regime-driven and produced).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Backtest: 5 sessions reconstructed at each t−1 close, resolved on actual t-session OHLC; sentiment frozen; SL-first tick priority on same-bar conflicts.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Regime: transitional medium-term + KER neutral + mixed cross-asset → consolidated regime label TRANSITION → Trade 3 fork = momentum-breakout (3C). Timestamp: 24 Jun 2026, Europe/London.</w:t>
      </w:r>
    </w:p>
    <w:p>
      <w:pPr>
        <w:pStyle w:val="Heading1"/>
        <w:spacing w:after="120" w:before="240"/>
      </w:pPr>
      <w:r>
        <w:t xml:space="preserve">21.  Strategy Recommendations</w:t>
      </w:r>
    </w:p>
    <w:p>
      <w:pPr>
        <w:pStyle w:val="Heading2"/>
        <w:spacing w:after="80" w:before="160"/>
      </w:pPr>
      <w:r>
        <w:t xml:space="preserve">21a.  Directional Conviction</w:t>
      </w:r>
    </w:p>
    <w:p>
      <w:pPr>
        <w:spacing w:after="100"/>
      </w:pPr>
      <w:r>
        <w:t xml:space="preserve">Direction: NEUTRAL. Score: +0.20 (below the 0.25 conviction threshold). The three highest-weighted contributing signals were short-term technical bias (§8) +0.125, medium-term regime (§9) +0.100, and cross-asset confirmation (§10) +0.045, partly offset by the VOLator down-aligned expansion −0.050 and the sentiment tilt (§13b) −0.027. Conflict flag: the directional score (mildly long) and the §17 forecast (mild downside skew pending a break) point in opposite mild directions; both are reported unchanged. Weights basis: defaults.</w:t>
      </w:r>
    </w:p>
    <w:p>
      <w:pPr>
        <w:pStyle w:val="Heading2"/>
        <w:spacing w:after="80" w:before="160"/>
      </w:pPr>
      <w:r>
        <w:t xml:space="preserve">21b.  Trade Cards</w:t>
      </w:r>
    </w:p>
    <w:p>
      <w:r>
        <w:rPr>
          <w:b/>
          <w:bCs/>
          <w:color w:val="9C2D6B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SUPPRESSED — direction score +0.20 below the 0.25 conviction threshold (NEUTRAL). Daily directional expression stood down for this session.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  <w:bCs/>
          <w:color w:val="9C2D6B"/>
        </w:rPr>
        <w:t xml:space="preserve">Trade 2 — Pivot (TRANSITION, breakout side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— breakout side of a transitional structure; counter-side limit suppressed to avoid front-running Trade 3C.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Sell-stop at daily S1 10,375.4 pts on a confirmed downside break.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P 10,414.1 pts — 38.7 points above entry (structural anchor: daily pivot).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38.7 pts (38.7 points).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TP1 / TP2 / TP3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10,336.7 (+1R) / 10,298.0 (+2R) / runner toward weekly P 10,304.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equal units; U1 at TP1, U2 at TP2; on U2 fill, U3 SL → entry +0.2R.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 at daily S1 sits within the 10,375 / monthly-P 10,417 pocket; weekly P 10,304 confluent with TP-zone (strong confluence).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close back above daily P 10,414.1.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single-source-indicative pivots (corroboration waived per run instruction); transitional breakout not yet confirmed.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  <w:bCs/>
          <w:color w:val="9C2D6B"/>
        </w:rPr>
        <w:t xml:space="preserve">Trade 3 — Momentum-Breakout (3C, 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(downside breakout) — recent retests stalled at the upper boundary; VOLator expanding and the 23 Jun rollover bias the next confirmed break lower.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Range definition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25-session range: high 10,570.1 / low 10,127.6 (width 442.5 pts).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break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close below 10,098.6 pts (low − 0.25×ATR). NOT yet met — close 10,377.5. Trade is armed, not triggered.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confirmed downside close, at the breakout candle close (or next session open).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10,393.1 pts — inside range at high − 0.40×width (generous post-fakeout stop).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TP1 / TP2 / TP3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9,685.1 (measured move = low − 1×width) / 9,463.9 (1.5×MM) / discretionary trail beyond 1.5×MM.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equal units; on U2 fill, U3 SL → the broken boundary (10,127.6).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 below the mid-June swing low 10,127.60 (swing + round-ish level).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close back inside the range above the midpoint 10,348.9.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armed but not triggered — watch level only; range bounds from indicative H/L.</w:t>
            </w:r>
          </w:p>
        </w:tc>
      </w:tr>
    </w:tbl>
    <w:p>
      <w:pPr>
        <w:pStyle w:val="Heading2"/>
        <w:spacing w:after="80" w:before="160"/>
      </w:pPr>
      <w:r>
        <w:t xml:space="preserve">21c.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1100"/>
        <w:gridCol w:w="1150"/>
        <w:gridCol w:w="1150"/>
        <w:gridCol w:w="1300"/>
        <w:gridCol w:w="11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(t)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Triggered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Outcome (R)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10271.9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10333.5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-0.55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10333.5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10388.2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-0.48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10388.2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10363.3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-0.22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10363.3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10439.4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10439.4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10377.5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-0.54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  <w:r>
        <w:t xml:space="preserve">Trades 2 and 3 reconstruct as breakout-contingent in the transitional regime and did not trigger within the window (no confirmed range break occurred), so they are recorded as not-triggered for traceability and do not contribute to the aggregate.</w:t>
      </w:r>
    </w:p>
    <w:p>
      <w:pPr>
        <w:pStyle w:val="Heading2"/>
        <w:spacing w:after="80" w:before="160"/>
      </w:pPr>
      <w:r>
        <w:t xml:space="preserve">21d.  What Is Working</w:t>
      </w:r>
    </w:p>
    <w:p>
      <w:pPr>
        <w:spacing w:after="100"/>
      </w:pPr>
      <w:r>
        <w:t xml:space="preserve">Trade 1 over the last 5 sessions: triggered 5/5 times, mean R = −0.22, with the single positive session (22 Jun, +0.67R) coinciding with the push to the month-high and four small losers as the daily direction whipsawed in the transitional regime. Trade 2 and Trade 3: insufficient triggers to rank (no confirmed break in-window). Strongest performer: Trade 1 by default (only strategy with triggers), though its negative mean confirms that a directional daily trade is poorly suited to the current chop — consistent with the NEUTRAL conviction read. Weakest performer: insufficient triggers to rank Trades 2/3.</w:t>
      </w:r>
    </w:p>
    <w:p>
      <w:pPr>
        <w:spacing w:after="60" w:before="60"/>
      </w:pPr>
      <w:r>
        <w:rPr>
          <w:i/>
          <w:iCs/>
          <w:color w:val="595959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FTSE 100 Daily Report │ 24 June 2026 │ Senior European Equity Strategist   —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FTSE 100 — Daily Report — 24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2"/>
      </w:pBd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7fe0c2562ef89b9f2a3bd1e50c998fe1a38c4c.png"/><Relationship Id="rId10" Type="http://schemas.openxmlformats.org/officeDocument/2006/relationships/image" Target="media/97962a388e829c68886502b1c291c1d0ed62422f.png"/><Relationship Id="rId11" Type="http://schemas.openxmlformats.org/officeDocument/2006/relationships/image" Target="media/cc0450c7541785a505e7e1c31cbd1de89b56d733.png"/><Relationship Id="rId12" Type="http://schemas.openxmlformats.org/officeDocument/2006/relationships/image" Target="media/cd9d95d260a1d93b92734d9d103003d54fdc2b3e.png"/><Relationship Id="rId13" Type="http://schemas.openxmlformats.org/officeDocument/2006/relationships/image" Target="media/04b76c8dd8b0df34055c89eb0b2dbed29f56e5f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2026-06-23T21:36:24.872Z</dcterms:created>
  <dcterms:modified xsi:type="dcterms:W3CDTF">2026-06-23T21:36:24.872Z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