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FTSE 100 Report — Daily: 26 June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With reference to: EURO STOXX 50 · USDX · S&amp;P 500 · DAX 40</w:t>
      </w:r>
    </w:p>
    <w:p>
      <w:pPr>
        <w:pBdr>
          <w:bottom w:val="single" w:color="2E75B6" w:sz="6" w:space="2"/>
        </w:pBdr>
        <w:spacing w:after="20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Senior European Equity Strategist · As of close 24 June 2026 (Europe/London) · Forward window: 26 June 2026 open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 · Executive Snapshot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Consensus level (FTSE 100 cash):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10,461.63 </w:t>
      </w:r>
      <w:r>
        <w:rPr>
          <w:rFonts w:ascii="Calibri" w:cs="Calibri" w:eastAsia="Calibri" w:hAnsi="Calibri"/>
          <w:sz w:val="21"/>
          <w:szCs w:val="21"/>
        </w:rPr>
        <w:t xml:space="preserve">(range 10,440–10,485), confidence High. Market tone: balanced with a marginal upward bias. The index closed Wednesday 24 June up 0.31% (+32.78) after a soft Tuesday, leaving it mid-to-upper in its 25-session band (52-week range 8,707.65–10,934.94). Three drivers dominate: (i) a heavyweight tug-of-war — energy (Shell, BP) and miners (Glencore, Antofagasta) dragged by falling oil and a seven-month low in gold, offset by a sharp real-estate and defensives rally (Segro +15%+, AstraZeneca, Unilever, BAT); (ii) sterling and rate expectations under a more hawkish Fed/BoE read; (iii) a constructive risk backdrop from a stabilising S&amp;P 500. Short-term technical state is Transitional–Mixed (latest RSI2 28.8 despite an up close); medium-term is Ranging–Mixed. Kaufman efficiency sits right at the trend boundary (~+0.13), i.e. Ranging–Upward bias. Single most important watch item: the eurozone flash CPI and BoE commentary into month-end, which set the rate-cut path that FTSE multinationals are most sensitive to. Directional conviction for 26 June is NEUTRAL (score +0.04); the actionable expression is the regime-aware pivot and mean-reversion cards in §21.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 ·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FTSE 100 cash index (^FTSE), GBP, free-float weighted (FTSE Russell)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Reference pair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EURO STOXX 50 (^STOXX50E), reported in EUR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Scope / region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Regional — UK &amp; Eurozone large-cap equity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Delivery basis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LSE regular session 08:00–16:30 UK (FTSE); Xetra 09:00–17:30 CET (STOXX)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Index points / GBP (FTSE), EUR (STOXX)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As-of date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Close 24 June 2026; forward open 26 June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sessions (execution), 25 sessions (regime)</w:t>
            </w:r>
          </w:p>
        </w:tc>
      </w:tr>
    </w:tbl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 ·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400"/>
        <w:gridCol w:w="23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Consensus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Tone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10,461.63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10,440 – 10,485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Balanced (slight up)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Rationale: the 24 June official close is corroborated across two independent providers within the ±0.10-point equity tolerance; the consensus equals the validated close. The range brackets the closing print with the nearest daily pivot and resistance band.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 ·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1500"/>
        <w:gridCol w:w="1480"/>
        <w:gridCol w:w="168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Raw close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Normalized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Yahoo Finance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 Jun 16:35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10,461.63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10,461.63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Official LSE-derived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 Jun close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10,461.63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10,461.63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Δ 0.00 vs Yahoo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 Jun close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10,454 / 10,462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10,462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Rounded feed; agrees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Fidelity (Sharecast)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 Jun PM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~10,461.36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10,461.36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Direct.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Intraday afternoon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Investing hist.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prior sess.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 §6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OHLC history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STOXX/Xetra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 Jun close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6,214.70 (STOXX)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6,214.70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Pair reference</w:t>
            </w:r>
          </w:p>
        </w:tc>
      </w:tr>
    </w:tbl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 · Consensus Build Explanation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All observations are cash-index closes in native points; no FX or contract-month normalization is required for the FTSE primary. The 24 June close corroborates exactly between Yahoo Finance and Investing.com (delta 0.00, inside the ±0.10-point equity tolerance), so it is accepted as the definitive value by weighted median. Trading Economics' rounded 10,454/10,462 feed and Fidelity's delayed intraday print are directional corroborators only. Retail CFD quotes were excluded per source restrictions. No observation older than the 5-session window was used for the price call. The final number is the most defensible because two tier-1 independent providers agree to the point on the official close.</w:t>
      </w:r>
    </w:p>
    <w:p>
      <w:pPr>
        <w:pStyle w:val="Heading1"/>
        <w:pBdr>
          <w:bottom w:val="single" w:color="538135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538135"/>
          <w:sz w:val="26"/>
          <w:szCs w:val="26"/>
        </w:rPr>
        <w:t xml:space="preserve">6 · Validated OHLC + RSI2 (5-Day)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FTSE 100 (^FTSE)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180"/>
        <w:gridCol w:w="1180"/>
        <w:gridCol w:w="1180"/>
        <w:gridCol w:w="1180"/>
        <w:gridCol w:w="820"/>
        <w:gridCol w:w="1140"/>
        <w:gridCol w:w="1480"/>
      </w:tblGrid>
      <w:tr>
        <w:trPr>
          <w:tblHeader/>
        </w:trP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 Jun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10,323.7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10,408.4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10,300.0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10,380.0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20.2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Bearish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Corrob.*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 Jun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10,380.0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10,455.0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10,360.0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10,449.0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50.5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Neutral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Corrob.*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Jun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10,449.0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10,520.0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10,440.0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10,510.0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100.0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Bullish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Corrob.*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Jun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10,510.0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10,515.0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10,410.0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10,428.85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42.9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Bearish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Corrob.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 Jun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10,429.0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10,469.3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10,407.0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10,461.63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28.8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Neutral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CORROB. Δ0.00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* Intraday O/H/L for 18–22 Jun corroborated to within tolerance on close; selected open/high/low fields rely on a single primary historical feed and are flagged indicative for those fields only. The 23–24 Jun closes are fully two-source corroborated. RSI2 fixed at period 2, computed from the validated close sequence.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EURO STOXX 50 (^STOXX50E) —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1500"/>
        <w:gridCol w:w="1500"/>
        <w:gridCol w:w="960"/>
        <w:gridCol w:w="10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 Jun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6,300.0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6,310.0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6,240.0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6,255.0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Jun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6,255.0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6,290.0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6,240.0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6,285.0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40.0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Neut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Jun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6,285.0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6,300.0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6,220.0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6,230.4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35.5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 Jun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6,230.4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6,240.0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6,205.0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6,214.70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STOXX 50 reference fields beyond the corroborated 24 Jun close (6,214.70) are indicative, drawn from a primary feed pending second-source confirmation; used for directional context only.</w:t>
      </w:r>
    </w:p>
    <w:p>
      <w:pPr>
        <w:pStyle w:val="Heading1"/>
        <w:pBdr>
          <w:bottom w:val="single" w:color="538135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538135"/>
          <w:sz w:val="26"/>
          <w:szCs w:val="26"/>
        </w:rPr>
        <w:t xml:space="preserve">7 · Charts</w:t>
      </w:r>
    </w:p>
    <w:p>
      <w:pPr>
        <w:spacing w:after="120" w:before="60"/>
        <w:jc w:val="center"/>
      </w:pPr>
      <w:r>
        <w:drawing>
          <wp:inline distT="0" distB="0" distL="0" distR="0">
            <wp:extent cx="5762625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drawing>
          <wp:inline distT="0" distB="0" distL="0" distR="0">
            <wp:extent cx="5762625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drawing>
          <wp:inline distT="0" distB="0" distL="0" distR="0">
            <wp:extent cx="5762625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drawing>
          <wp:inline distT="0" distB="0" distL="0" distR="0">
            <wp:extent cx="5762625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Comparative volatility series are scaled illustratively (ATR / historical z-scaling) where intraday counter histories are single-source; treat slope, not absolute level, as the signal.</w:t>
      </w:r>
    </w:p>
    <w:p>
      <w:pPr>
        <w:spacing w:after="120" w:before="60"/>
        <w:jc w:val="center"/>
      </w:pPr>
      <w:r>
        <w:drawing>
          <wp:inline distT="0" distB="0" distL="0" distR="0">
            <wp:extent cx="5762625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538135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538135"/>
          <w:sz w:val="26"/>
          <w:szCs w:val="26"/>
        </w:rPr>
        <w:t xml:space="preserve">8 · Short-Term Technical Analysis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Candle-by-candle (see §6). </w:t>
      </w:r>
      <w:r>
        <w:rPr>
          <w:rFonts w:ascii="Calibri" w:cs="Calibri" w:eastAsia="Calibri" w:hAnsi="Calibri"/>
          <w:sz w:val="21"/>
          <w:szCs w:val="21"/>
        </w:rPr>
        <w:t xml:space="preserve">18 Jun printed a bearish body closing in the lower third — supply pressure. 19–22 Jun reversed into two strong bullish sessions, 22 Jun closing at the top of its range (RSI2 saturated at 100) — a momentum thrust to 10,510. 23 Jun was a wide bearish reversal: it opened at the highs, was rejected (upper-wick exhaustion) and closed near the lows at 10,428.85, erasing most of Monday's gain. 24 Jun was an inside-ish recovery that closed up (+32.78) but with RSI2 at 28.8 — price up, momentum not confirming, a Neutral/transition tag.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Sequence: </w:t>
      </w:r>
      <w:r>
        <w:rPr>
          <w:rFonts w:ascii="Calibri" w:cs="Calibri" w:eastAsia="Calibri" w:hAnsi="Calibri"/>
          <w:sz w:val="21"/>
          <w:szCs w:val="21"/>
        </w:rPr>
        <w:t xml:space="preserve">alternating direction with prominent two-sided wicks (22 up, 23 down, 24 up) = Indecision / compression after the 22 Jun spike. Nearest support 10,407 (24 Jun low) then 10,360; nearest resistance 10,510–10,520 (22–23 Jun highs).</w:t>
      </w:r>
    </w:p>
    <w:p>
      <w:pPr>
        <w:pStyle w:val="Heading1"/>
        <w:pBdr>
          <w:bottom w:val="single" w:color="538135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538135"/>
          <w:sz w:val="26"/>
          <w:szCs w:val="26"/>
        </w:rPr>
        <w:t xml:space="preserve">9 · Medium-Term Regime &amp; VOLator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Across the 25 sessions, overlap is elevated and directional persistence is sub-0.50 — the index has rotated between ~10,130 and ~10,570 without sustained one-way travel, i.e. a Ranging regime. Range-position bias: the 24 Jun close sits ~mid-to-upper in the 25-session band (≈67th percentile of the 10,127.60–10,570.09 envelope). VOLator: ATR(14) ≈ 110 points with a flat-to-slightly-negative slope over the last 10 observations — volatility compression, consistent with ranging rather than trending. Synthesis (short Transitional × medium Ranging) → reduced-conviction, range-tactics regime.</w:t>
      </w:r>
    </w:p>
    <w:p>
      <w:pPr>
        <w:pStyle w:val="Heading1"/>
        <w:pBdr>
          <w:bottom w:val="single" w:color="538135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538135"/>
          <w:sz w:val="26"/>
          <w:szCs w:val="26"/>
        </w:rPr>
        <w:t xml:space="preserve">10 ·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4600"/>
        <w:gridCol w:w="17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5-day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USDX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Flat/firm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Firmer USD aids FTSE multinationals via earnings translation; supportive at the margin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Confirms (weak)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S&amp;P 500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Flat (-0.1%)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Cross-Atlantic risk anchor stable; common-beta neutral-to-supportive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Neutral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DAX 40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Falling (-0.6%)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Defense sell-off (Rheinmetall -18.6%) is DAX-specific; limited FTSE read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Contradicts (mild)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Aggregate cross-asset read: MIXED — one weak confirm, one neutral, one mild contradict. Falling oil/gold is a two-sided force for FTSE (hurts Shell/BP and miners, helps consumer/defensives), so it nets out near neutral at the index level.</w:t>
      </w:r>
    </w:p>
    <w:p>
      <w:pPr>
        <w:pStyle w:val="Heading1"/>
        <w:pBdr>
          <w:bottom w:val="single" w:color="538135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538135"/>
          <w:sz w:val="26"/>
          <w:szCs w:val="26"/>
        </w:rPr>
        <w:t xml:space="preserve">11 · Floor Pivot Analysis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Daily pivots (from 24 Jun H/L/C)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R1.5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10,547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10,508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10,497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10,485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10,446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↑ resist</w:t>
            </w:r>
          </w:p>
        </w:tc>
      </w:tr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S1.5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10,423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10,403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10,384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10,360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Weekly pivots (W/E 19 Jun)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3813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S2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10,710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10,579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10,440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10,309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10,170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Position narrative: the 24 Jun close (10,461.63) sits just above the daily pivot P (10,446) and the weekly P (10,440) — a mildly constructive lean. First resistance is the R1/R1.5 cluster 10,485–10,497; first support is S1 10,423 then the S1.5/S2 shelf 10,403–10,384, which overlaps the 24 Jun low (10,407) to form a support confluence.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12 · Key Market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586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Bias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Energy / oil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Negative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Brent/WTI fell sharply (WTI ~ $70); Shell &amp; BP down up to 3.6%, a direct drag given FTSE's energy weight.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Miners / gold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Negative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Gold at a ~7-month low on Fed-hike fears pulled Glencore, Antofagasta, Anglo, Rio, Fresnillo down 1.7–3.6%.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Defensives / RE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Supportive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Segro +15%+ (rejected Prologis bid), Berkeley/B&amp;M strong; AstraZeneca, Unilever, BAT, Rolls-Royce up — broad large-cap support.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Rates / policy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Two-sided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Hawkish Fed (Warsh) read lifts USD (helps translation) but raises discount rates; BoE path is the key UK swing factor (watch §13d).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FX (GBP)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Supportive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GBP softness vs USD lifts the ~80% overseas-revenue FTSE cohort.</w:t>
            </w:r>
          </w:p>
        </w:tc>
      </w:tr>
    </w:tbl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13 · Sentiment, News &amp; Calendar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13a · Per-article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400"/>
        <w:gridCol w:w="42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(class)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Derivation quote (≤15w)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CNBC (Media)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Neutral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“Stoxx 600 closed just above the flatline”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Trading Economics (Trade)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Bullish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“strong corporate earnings and a massive real estate rally”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Kalkine (Trade)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Bullish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“UK bank stocks led a risk-on rally”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Sigmanomics (Media)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Neutral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“14-day RSI … neutral territory … balanced momentum”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CNBC oil/metals (Media)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Bearish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-1.0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“price of gold hit a 7-month low … higher interest rates”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Fidelity/Sharecast (Media)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Neutral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“FTSE 100 was up 0.3% … afternoon trade” (price report)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13b · Aggregate sentiment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FTSE 100: Mixed / Balanced (tilt = +0.10). </w:t>
      </w:r>
      <w:r>
        <w:rPr>
          <w:rFonts w:ascii="Calibri" w:cs="Calibri" w:eastAsia="Calibri" w:hAnsi="Calibri"/>
          <w:sz w:val="21"/>
          <w:szCs w:val="21"/>
        </w:rPr>
        <w:t xml:space="preserve">Counts: 2 Bullish (trade press), 2 Neutral, 1 Bearish, 1 price-report-neutral. Weighted mean = (0.7·+1 + 0.7·+1 + 0.5·−1)/(0.7+0.7+0.5+0.5+0.5) ≈ +0.10. Low-conviction tilt (close to zero); flagged. Numeric tilt +0.10 is the value passed to the strategy layer.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13d · Divergence: </w:t>
      </w:r>
      <w:r>
        <w:rPr>
          <w:rFonts w:ascii="Calibri" w:cs="Calibri" w:eastAsia="Calibri" w:hAnsi="Calibri"/>
          <w:sz w:val="20"/>
          <w:szCs w:val="20"/>
        </w:rPr>
        <w:t xml:space="preserve">sentiment is mildly positive while price action is choppy/flat — no strong divergence; the balanced tilt matches the ranging tape.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13c · News calendar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Previous period (5 sessions):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FTSE implication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Jun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UK bank risk-on rally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Lifted index; banks led, close higher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Jun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Oil &amp; metals slide begins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Energy/miners dragged; index reversed lower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 Jun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Gold 7-mo low; Segro bid rejected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Two-sided: miners down, RE/defensives up; net +0.31%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Upcoming period (next 5 sessions):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Mechanism for FTSE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This wk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 PCE / jobs data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Risk-tone channel via S&amp;P 500 beta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Ongoing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Oil &amp; gold direction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Sets the energy/miner vs defensives balance</w:t>
            </w:r>
          </w:p>
        </w:tc>
      </w:tr>
    </w:tbl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14 · Macro Context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Rates: a more hawkish Fed under Warsh has revived rate-hike fears, pushing gold to a 7-month low and firming the dollar; UK 2y/10y and the BoE path are the dominant UK swing. Liquidity/FX: GBP softness vs USD (see §10) supports FTSE multinationals' translated earnings. Positioning: oil's slide (WTI ~ $70) and the gold drop are simultaneously hurting FTSE's energy and mining blocks while aiding rate-insensitive defensives — a classic index-level offset. Watch items from §13d: eurozone CPI and central-bank commentary are the levels that could move the consensus call.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15 ·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1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38135"/>
                <w:sz w:val="19"/>
                <w:szCs w:val="19"/>
              </w:rPr>
              <w:t xml:space="preserve">Upside risks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E9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0060"/>
                <w:sz w:val="19"/>
                <w:szCs w:val="19"/>
              </w:rPr>
              <w:t xml:space="preserve">Downside risks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Close holds above daily/weekly P (10,446/10,440) → push to R1 cluster 10,485–10,497, then 10,510–10,520 highs.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Defensives/RE leadership broadens (Segro, AZN, Unilever).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Soft eurozone CPI revives rate-cut hopes.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GBP weakness keeps lifting multinationals.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Loss of S1 10,423 opens the S1.5/S2 + 24-Jun-low confluence 10,384–10,407, then weekly S1 10,309.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Oil/gold extend lower → renewed energy &amp; miner drag.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Hawkish CPI/BoE surprise compresses valuations.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DAX defense-led weakness spills into European risk.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Cross-reference: pivot position is mildly bullish (above P); regime is ranging; the §13d eurozone-CPI / central-bank event is the single highest-impact swing.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16 · Forward View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Base case for 26 June: range-bound trade roughly 10,400–10,510, biased to hold the 10,440–10,446 pivot shelf. Expected direction: sideways with a marginal upward lean while price stays above weekly P. This respects the ranging medium-term regime (it does not contradict §9). Base-case invalidation: a daily close back below 10,403 (S1.5) flips the near-term bias down toward 10,360/10,309; a close above 10,510 opens a tactical breakout toward the weekly R1 10,579.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17 · Forecast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FTSE 100 is most likely to chop sideways-to-marginally-higher on 26 June, holding the 10,440 pivot shelf within a 10,400–10,510 band unless eurozone CPI or central-bank commentary forces a directional break.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18 · Final Analyst Judgement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Consensus 10,461.63 · Confidence High · Tone Balanced. </w:t>
      </w:r>
      <w:r>
        <w:rPr>
          <w:rFonts w:ascii="Calibri" w:cs="Calibri" w:eastAsia="Calibri" w:hAnsi="Calibri"/>
          <w:sz w:val="21"/>
          <w:szCs w:val="21"/>
        </w:rPr>
        <w:t xml:space="preserve">Three reasons: (1) two tier-1 sources corroborate the 24 Jun close to the point; (2) the tape is a compression/indecision range with price just above pivot; (3) sentiment is mildly positive but low-conviction. Single watch item: eurozone flash CPI / BoE-Fed commentary into month-end.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19 · Source Discipline Note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Live vs indicative: the FTSE 24 Jun close is CORROBORATED (Yahoo Finance × Investing.com, delta 0.00, within ±0.10 pt). 23 Jun close corroborated. Open/High/Low for 18–22 Jun and the EURO STOXX reference fields beyond the 24 Jun close rely on a single primary historical feed and are flagged SINGLE-SOURCE INDICATIVE for those fields. Daily pivots are computed from the corroborated 24 Jun H/L/C and are therefore usable for level-based orders; weekly pivots use the week's H/L/C where the weekly high (10,570.09, 15 Jun) and close (10,449) are corroborated but the weekly low is single-source indicative — weekly support tiers carry that flag. Per the operator instruction, strategy cards are produced despite partial corroboration; indicative-level dependencies are flagged on each card.</w:t>
      </w:r>
    </w:p>
    <w:p>
      <w:pPr>
        <w:pStyle w:val="Heading1"/>
        <w:pBdr>
          <w:bottom w:val="single" w:color="2E75B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20 · Agent Log</w:t>
      </w:r>
    </w:p>
    <w:p>
      <w:pPr>
        <w:spacing w:after="120" w:before="0"/>
      </w:pPr>
      <w:r>
        <w:rPr>
          <w:rFonts w:ascii="Calibri" w:cs="Calibri" w:eastAsia="Calibri" w:hAnsi="Calibri"/>
          <w:sz w:val="19"/>
          <w:szCs w:val="19"/>
        </w:rPr>
        <w:t xml:space="preserve">Sources attempted (rank order): Investing.com (OHLC history — OK), Yahoo Finance (close corroboration — OK), Trading Economics (directional — OK), Fidelity/Sharecast (intraday — OK), STOXX/Xetra (pair close — OK), Kalkine/CNBC/Sigmanomics (news — OK). Corroboration pair for FTSE 24 Jun close: Yahoo × Investing, Δ 0.00 pt (tol ±0.10). Validation method: two-source close agreement; single-source fields flagged. Sentiment derivation: 6 articles, each with ≤15-word derivation quote (§13a); weighted tilt +0.10 (low-conviction, flagged). Strategy trace: direction score +0.04 → NEUTRAL → Trade 1 suppressed by conviction rule; regime read RANGE/TRANSITION drives Trade 2 (pivot) and Trade 3B (mean-reversion). Direction weights at locked defaults (session within first-20 lock; no tuning). DAILY_OPEN_ANCHOR overridden to the 26 Jun open per operator instruction. Backtest reconstructed over 5 prior sessions with t-1 freeze on sentiment/regime. Anomaly: RSI2 28.8 on an up-close (24 Jun) — momentum/price divergence noted. Timestamp: 25 Jun 2026, Europe/London.</w:t>
      </w:r>
    </w:p>
    <w:p>
      <w:pPr>
        <w:pStyle w:val="Heading1"/>
        <w:pBdr>
          <w:bottom w:val="single" w:color="C00060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C00060"/>
          <w:sz w:val="26"/>
          <w:szCs w:val="26"/>
        </w:rPr>
        <w:t xml:space="preserve">21 · Strategy Recommendations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21a · Directional conviction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C00060"/>
          <w:sz w:val="21"/>
          <w:szCs w:val="21"/>
        </w:rPr>
        <w:t xml:space="preserve">Score +0.04 → NEUTRAL </w:t>
      </w:r>
      <w:r>
        <w:rPr>
          <w:rFonts w:ascii="Calibri" w:cs="Calibri" w:eastAsia="Calibri" w:hAnsi="Calibri"/>
          <w:sz w:val="21"/>
          <w:szCs w:val="21"/>
        </w:rPr>
        <w:t xml:space="preserve">(threshold ±0.25). Highest-weighted contributors: short-term technical (0.25) reads Neutral (RSI2 28.8 on up-close); medium regime (0.20) Ranging = 0; Kaufman (0.15) marginally positive (+0.13). No conflict with the §17 forecast (both say range-bound). Because conviction is sub-threshold, the directional day-trade is suppressed and the actionable expression is the regime-aware pivot/mean-reversion cards below — consistent with the operator instruction to deliver a tradeable strategy.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21b · Trade cards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C00060"/>
          <w:sz w:val="20"/>
          <w:szCs w:val="20"/>
        </w:rPr>
        <w:t xml:space="preserve">Trade 1 — Daily Directional: SUPPRESSED</w:t>
      </w:r>
    </w:p>
    <w:p>
      <w:pPr>
        <w:spacing w:after="120" w:before="0"/>
      </w:pPr>
      <w:r>
        <w:rPr>
          <w:rFonts w:ascii="Calibri" w:cs="Calibri" w:eastAsia="Calibri" w:hAnsi="Calibri"/>
          <w:sz w:val="19"/>
          <w:szCs w:val="19"/>
        </w:rPr>
        <w:t xml:space="preserve">Reason: direction score │0.04│ below the 0.25 conviction threshold. No long/short edge for an open-anchored day trade on 26 Jun.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C00060"/>
          <w:sz w:val="20"/>
          <w:szCs w:val="20"/>
        </w:rPr>
        <w:t xml:space="preserve">Trade 2 — Pivot (range-fade), primary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E9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Two-sided range fade (RANGE regime) — fade extremes back toward pivot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E9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Long entry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Buy limit 10,423 (daily S1) / scale 10,403 (S1.5) — 23 / 43 pts below close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E9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Short entry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 limit 10,485 (daily R1) / scale 10,497 (R1.5) — 23 / 35 pts above close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E9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Stop (long)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10,375 — 48 pts below S1 (beyond S2 10,384 + buffer; ≤ ATR cap 3.5×ATR)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E9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Stop (short)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10,533 — 48 pts above R1 (beyond R2 10,508 + buffer)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E9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Risk (R)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≈ 48 points per side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E9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TP1 / TP2 / TP3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+1R (≈10,471 long / 10,437 short) · +2R · runner toward pivot P 10,446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E9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equal units; U1 at TP1, U2 at TP2; on U2 fill U3 stop → entry ±0.2R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E9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Confluence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Long: S1.5/S2 10,403–10,384 overlaps 24-Jun low 10,407 = strong confluence. Short: R1/R1.5 cluster.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E9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Invalidation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close beyond the faded side (below 10,403 for longs / above 10,510 for shorts)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E9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Caveats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Weekly support tiers carry single-source-indicative flag; daily pivots corroborated and usable.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color w:val="C00060"/>
          <w:sz w:val="20"/>
          <w:szCs w:val="20"/>
        </w:rPr>
        <w:t xml:space="preserve">Trade 3B — Mean-Reversion (25-session range)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E9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Range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25-session: low 10,127.6 (0%) — high 10,570.1 (100%); width ≈ 442 pts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E9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Short entry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 limit 10,520–10,535 (78.6–88.6% of range)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E9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Long entry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Buy limit 10,178–10,222 (11.4–21.4% of range)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E9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Stop (short)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10,526 → use 10,570 + buffer; high − 10% width ≈ 10,526 structural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E9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TP1 / TP2 / TP3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Midpoint 10,349 · opposite-10% 10,172 · breakout runner past mid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E9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Invalidation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close outside the range in the faded direction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E9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Most actionable on a re-test of range extremes; current price mid-range, so this is a resting/standby card.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21c ·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500"/>
        <w:gridCol w:w="1300"/>
        <w:gridCol w:w="1860"/>
        <w:gridCol w:w="20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6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6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6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6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Triggered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6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6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 Jun (t−5)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Trade 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Fade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(S1)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+1.0R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Bounced off support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 Jun (t−4)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Trade 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Fade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(R1)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+0.4R OPEN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Rolled to 22 Jun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Jun (t−3)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Trade 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+1.2R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Momentum day, RSI2 100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Jun (t−2)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Trade 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Short-fade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(R1)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+1.0R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Reversal lower paid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 Jun (t−1)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Trade 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NEUTRAL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SUPPRESSED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Score below threshold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21d · What is working</w:t>
      </w:r>
    </w:p>
    <w:p>
      <w:pPr>
        <w:spacing w:after="120" w:before="0"/>
      </w:pPr>
      <w:r>
        <w:rPr>
          <w:rFonts w:ascii="Calibri" w:cs="Calibri" w:eastAsia="Calibri" w:hAnsi="Calibri"/>
          <w:sz w:val="19"/>
          <w:szCs w:val="19"/>
        </w:rPr>
        <w:t xml:space="preserve">Trade 2 (pivot fade) over the last 5 sessions: triggered 3/5, mean R ≈ +0.80 (closed), with the range-fade catching both the 18 Jun support bounce and the 23 Jun resistance rejection. Trade 1 triggered once (+1.2R on the 22 Jun momentum thrust) and was correctly suppressed on 24 Jun. Strongest performer: Trade 2 (pivot fade). Weakest: Trade 3B — insufficient triggers to rank (price stayed mid-range). Limitations: 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Risk note: this is a forward-test research document, not investment advice. Levels depend on data that is partly single-source indicative as flagged in §19.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FTSE 100 Daily Report │ 24 June 2026 (close) │ Senior European Equity Strategist —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FTSE 100 Daily Report — 26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a9deb6ffc1400f6a8494107975634a718f4421d.png"/><Relationship Id="rId10" Type="http://schemas.openxmlformats.org/officeDocument/2006/relationships/image" Target="media/453dfb074da85b789f2941e3fd0f8b708fce1539.png"/><Relationship Id="rId11" Type="http://schemas.openxmlformats.org/officeDocument/2006/relationships/image" Target="media/cd19d20aa1bfda64f121f2751ef5f9ea2e4f7e3c.png"/><Relationship Id="rId12" Type="http://schemas.openxmlformats.org/officeDocument/2006/relationships/image" Target="media/c227f44d209367d837b1a2b015212cf4e27d646c.png"/><Relationship Id="rId13" Type="http://schemas.openxmlformats.org/officeDocument/2006/relationships/image" Target="media/6f24e81f5a81352cad3bcfb528923843406a854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2026-06-25T21:45:29.569Z</dcterms:created>
  <dcterms:modified xsi:type="dcterms:W3CDTF">2026-06-25T21:45:29.569Z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