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FTSE 100 Report — Daily: 28 July 2026</w:t>
      </w:r>
    </w:p>
    <w:p>
      <w:pPr>
        <w:spacing w:after="40"/>
      </w:pPr>
      <w:r>
        <w:rPr>
          <w:rFonts w:ascii="Calibri" w:cs="Calibri" w:eastAsia="Calibri" w:hAnsi="Calibri"/>
          <w:i/>
          <w:iCs/>
          <w:color w:val="595959"/>
          <w:sz w:val="20"/>
          <w:szCs w:val="20"/>
        </w:rPr>
        <w:t xml:space="preserve">With reference to: EURO STOXX 50 · USDX · S&amp;P 500 · DAX 40</w:t>
      </w:r>
    </w:p>
    <w:p>
      <w:pPr>
        <w:spacing w:after="120"/>
      </w:pPr>
      <w:r>
        <w:rPr>
          <w:rFonts w:ascii="Calibri" w:cs="Calibri" w:eastAsia="Calibri" w:hAnsi="Calibri"/>
          <w:color w:val="595959"/>
          <w:sz w:val="18"/>
          <w:szCs w:val="18"/>
        </w:rPr>
        <w:t xml:space="preserve">Senior European Equity Strategist  ·  As-of prior close: Monday 27 July 2026 (Europe/London)  ·  Trading &amp; risk review (forward-test)</w:t>
      </w:r>
    </w:p>
    <w:p>
      <w:pPr>
        <w:pBdr>
          <w:bottom w:val="single" w:color="1F3864" w:sz="6"/>
        </w:pBdr>
        <w:spacing w:after="160"/>
      </w:pPr>
    </w:p>
    <w:p>
      <w:pPr>
        <w:pStyle w:val="Heading2"/>
        <w:spacing w:after="100" w:before="220"/>
      </w:pPr>
      <w:r>
        <w:rPr>
          <w:rFonts w:ascii="Calibri" w:cs="Calibri" w:eastAsia="Calibri" w:hAnsi="Calibri"/>
          <w:b/>
          <w:bCs/>
          <w:color w:val="1F3864"/>
          <w:sz w:val="24"/>
          <w:szCs w:val="24"/>
        </w:rPr>
        <w:t xml:space="preserve">§1  Executive Snapshot</w:t>
      </w:r>
    </w:p>
    <w:p>
      <w:pPr>
        <w:spacing w:after="120" w:before="0"/>
      </w:pPr>
      <w:r>
        <w:rPr>
          <w:rFonts w:ascii="Calibri" w:cs="Calibri" w:eastAsia="Calibri" w:hAnsi="Calibri"/>
          <w:b w:val="false"/>
          <w:bCs w:val="false"/>
          <w:i w:val="false"/>
          <w:iCs w:val="false"/>
          <w:color w:val="000000"/>
          <w:sz w:val="20"/>
          <w:szCs w:val="20"/>
        </w:rPr>
        <w:t xml:space="preserve">The FTSE 100 enters the 28 July session at a consensus reference level of </w:t>
      </w:r>
      <w:r>
        <w:rPr>
          <w:rFonts w:ascii="Calibri" w:cs="Calibri" w:eastAsia="Calibri" w:hAnsi="Calibri"/>
          <w:b/>
          <w:bCs/>
          <w:i w:val="false"/>
          <w:iCs w:val="false"/>
          <w:color w:val="000000"/>
          <w:sz w:val="20"/>
          <w:szCs w:val="20"/>
        </w:rPr>
        <w:t xml:space="preserve">10,781 points</w:t>
      </w:r>
      <w:r>
        <w:rPr>
          <w:rFonts w:ascii="Calibri" w:cs="Calibri" w:eastAsia="Calibri" w:hAnsi="Calibri"/>
          <w:b w:val="false"/>
          <w:bCs w:val="false"/>
          <w:i w:val="false"/>
          <w:iCs w:val="false"/>
          <w:color w:val="000000"/>
          <w:sz w:val="20"/>
          <w:szCs w:val="20"/>
        </w:rPr>
        <w:t xml:space="preserve"> (Monday 27 July official close), its highest close since the 27 February record, with market tone assessed as </w:t>
      </w:r>
      <w:r>
        <w:rPr>
          <w:rFonts w:ascii="Calibri" w:cs="Calibri" w:eastAsia="Calibri" w:hAnsi="Calibri"/>
          <w:b/>
          <w:bCs/>
          <w:i w:val="false"/>
          <w:iCs w:val="false"/>
          <w:color w:val="2E7D32"/>
          <w:sz w:val="20"/>
          <w:szCs w:val="20"/>
        </w:rPr>
        <w:t xml:space="preserve">bullish</w:t>
      </w:r>
      <w:r>
        <w:rPr>
          <w:rFonts w:ascii="Calibri" w:cs="Calibri" w:eastAsia="Calibri" w:hAnsi="Calibri"/>
          <w:b w:val="false"/>
          <w:bCs w:val="false"/>
          <w:i w:val="false"/>
          <w:iCs w:val="false"/>
          <w:color w:val="000000"/>
          <w:sz w:val="20"/>
          <w:szCs w:val="20"/>
        </w:rPr>
        <w:t xml:space="preserve">. Three drivers dominate: (i) a sharp retreat in Brent crude below $90/bbl after the US–Iran strike pause eased Middle-East supply fears; (ii) a run of better-than-expected UK/European earnings (Vodafone, AstraZeneca, GSK, SAP); and (iii) broad European risk-on flow, with the DAX and EURO STOXX 50 both up more than 1% on 27 July. Short-term technical regime is </w:t>
      </w:r>
      <w:r>
        <w:rPr>
          <w:rFonts w:ascii="Calibri" w:cs="Calibri" w:eastAsia="Calibri" w:hAnsi="Calibri"/>
          <w:b/>
          <w:bCs/>
          <w:i w:val="false"/>
          <w:iCs w:val="false"/>
          <w:color w:val="000000"/>
          <w:sz w:val="20"/>
          <w:szCs w:val="20"/>
        </w:rPr>
        <w:t xml:space="preserve">bullish continuation</w:t>
      </w:r>
      <w:r>
        <w:rPr>
          <w:rFonts w:ascii="Calibri" w:cs="Calibri" w:eastAsia="Calibri" w:hAnsi="Calibri"/>
          <w:b w:val="false"/>
          <w:bCs w:val="false"/>
          <w:i w:val="false"/>
          <w:iCs w:val="false"/>
          <w:color w:val="000000"/>
          <w:sz w:val="20"/>
          <w:szCs w:val="20"/>
        </w:rPr>
        <w:t xml:space="preserve"> (RSI2 at the overbought extreme after three up-closes in four sessions); the medium-term 5-week regime is </w:t>
      </w:r>
      <w:r>
        <w:rPr>
          <w:rFonts w:ascii="Calibri" w:cs="Calibri" w:eastAsia="Calibri" w:hAnsi="Calibri"/>
          <w:b/>
          <w:bCs/>
          <w:i w:val="false"/>
          <w:iCs w:val="false"/>
          <w:color w:val="000000"/>
          <w:sz w:val="20"/>
          <w:szCs w:val="20"/>
        </w:rPr>
        <w:t xml:space="preserve">trending up</w:t>
      </w:r>
      <w:r>
        <w:rPr>
          <w:rFonts w:ascii="Calibri" w:cs="Calibri" w:eastAsia="Calibri" w:hAnsi="Calibri"/>
          <w:b w:val="false"/>
          <w:bCs w:val="false"/>
          <w:i w:val="false"/>
          <w:iCs w:val="false"/>
          <w:color w:val="000000"/>
          <w:sz w:val="20"/>
          <w:szCs w:val="20"/>
        </w:rPr>
        <w:t xml:space="preserve"> toward the 10,935 record. Kaufman efficiency reads strongly trending (directional-move efficiency ≈ 0.56 over the window). The single most important watch item is the </w:t>
      </w:r>
      <w:r>
        <w:rPr>
          <w:rFonts w:ascii="Calibri" w:cs="Calibri" w:eastAsia="Calibri" w:hAnsi="Calibri"/>
          <w:b/>
          <w:bCs/>
          <w:i w:val="false"/>
          <w:iCs w:val="false"/>
          <w:color w:val="000000"/>
          <w:sz w:val="20"/>
          <w:szCs w:val="20"/>
        </w:rPr>
        <w:t xml:space="preserve">Bank of England rate decision on Thursday 30 July</w:t>
      </w:r>
      <w:r>
        <w:rPr>
          <w:rFonts w:ascii="Calibri" w:cs="Calibri" w:eastAsia="Calibri" w:hAnsi="Calibri"/>
          <w:b w:val="false"/>
          <w:bCs w:val="false"/>
          <w:i w:val="false"/>
          <w:iCs w:val="false"/>
          <w:color w:val="000000"/>
          <w:sz w:val="20"/>
          <w:szCs w:val="20"/>
        </w:rPr>
        <w:t xml:space="preserve"> (consensus: hold at 3.75%). Directional conviction for the trade layer is LONG (score +0.66), consistent with the one-sentence forecast in §17.</w:t>
      </w:r>
    </w:p>
    <w:p>
      <w:pPr>
        <w:pStyle w:val="Heading2"/>
        <w:spacing w:after="100" w:before="220"/>
      </w:pPr>
      <w:r>
        <w:rPr>
          <w:rFonts w:ascii="Calibri" w:cs="Calibri" w:eastAsia="Calibri" w:hAnsi="Calibri"/>
          <w:b/>
          <w:bCs/>
          <w:color w:val="1F3864"/>
          <w:sz w:val="24"/>
          <w:szCs w:val="24"/>
        </w:rPr>
        <w:t xml:space="preserve">§2  Market Definition</w:t>
      </w:r>
    </w:p>
    <w:tbl>
      <w:tblPr>
        <w:tblW w:type="dxa" w:w="89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6300"/>
      </w:tblGrid>
      <w:tr>
        <w:trPr>
          <w:tblHeader/>
        </w:trPr>
        <w:tc>
          <w:tcPr>
            <w:tcW w:type="dxa" w:w="26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Attribute</w:t>
            </w:r>
          </w:p>
        </w:tc>
        <w:tc>
          <w:tcPr>
            <w:tcW w:type="dxa" w:w="63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Value</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Primary asset</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FTSE 100 cash index (^FTSE), London Stock Exchange</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Reference pair</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EURO STOXX 50 (^STOXX50E), Eurozone blue-chip index</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Specification</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Cash index level, free-float market-cap weighted (FTSE Russell / STOXX Ltd methodology)</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Scope / region</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Regional — United Kingdom &amp; Eurozone</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Delivery basis</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LSE regular session 08:00–16:30 UK (FTSE); Xetra 09:00–17:30 CET (STOXX)</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Unit / currency</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Index points; GBP (FTSE), EUR (STOXX, reported in native EUR)</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Tick</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0.01 point</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As-of / prior close</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Report for 28 Jul 2026; anchored to 27 Jul 2026 close (Europe/London)</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Lookback window</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5 trading days (21–27 Jul 2026)</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Daily-open anchor</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07:00 UK — European pre-open window (overridden for this run)</w:t>
            </w:r>
          </w:p>
        </w:tc>
      </w:tr>
    </w:tbl>
    <w:p>
      <w:pPr>
        <w:pStyle w:val="Heading2"/>
        <w:spacing w:after="100" w:before="220"/>
      </w:pPr>
      <w:r>
        <w:rPr>
          <w:rFonts w:ascii="Calibri" w:cs="Calibri" w:eastAsia="Calibri" w:hAnsi="Calibri"/>
          <w:b/>
          <w:bCs/>
          <w:color w:val="1F3864"/>
          <w:sz w:val="24"/>
          <w:szCs w:val="24"/>
        </w:rPr>
        <w:t xml:space="preserve">§3  Consensus Price Call</w:t>
      </w:r>
    </w:p>
    <w:tbl>
      <w:tblPr>
        <w:tblW w:type="dxa" w:w="880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2200"/>
        <w:gridCol w:w="2200"/>
        <w:gridCol w:w="2200"/>
      </w:tblGrid>
      <w:tr>
        <w:trPr>
          <w:tblHeader/>
        </w:trPr>
        <w:tc>
          <w:tcPr>
            <w:tcW w:type="dxa" w:w="22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Metric</w:t>
            </w:r>
          </w:p>
        </w:tc>
        <w:tc>
          <w:tcPr>
            <w:tcW w:type="dxa" w:w="22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FTSE 100</w:t>
            </w:r>
          </w:p>
        </w:tc>
        <w:tc>
          <w:tcPr>
            <w:tcW w:type="dxa" w:w="22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EURO STOXX 50</w:t>
            </w:r>
          </w:p>
        </w:tc>
        <w:tc>
          <w:tcPr>
            <w:tcW w:type="dxa" w:w="22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Confidence</w:t>
            </w:r>
          </w:p>
        </w:tc>
      </w:tr>
      <w:tr>
        <w:tc>
          <w:tcPr>
            <w:tcW w:type="dxa" w:w="2200"/>
            <w:tcMar>
              <w:top w:type="dxa" w:w="40"/>
              <w:left w:type="dxa" w:w="60"/>
              <w:bottom w:type="dxa" w:w="40"/>
              <w:right w:type="dxa" w:w="60"/>
            </w:tcMar>
          </w:tcPr>
          <w:p>
            <w:pPr>
              <w:spacing w:after="0"/>
              <w:jc w:val="left"/>
            </w:pPr>
            <w:r>
              <w:rPr>
                <w:rFonts w:ascii="Calibri" w:cs="Calibri" w:eastAsia="Calibri" w:hAnsi="Calibri"/>
                <w:b/>
                <w:bCs/>
                <w:sz w:val="18"/>
                <w:szCs w:val="18"/>
              </w:rPr>
              <w:t xml:space="preserve">Consensus level</w:t>
            </w:r>
          </w:p>
        </w:tc>
        <w:tc>
          <w:tcPr>
            <w:tcW w:type="dxa" w:w="2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10,781 pts</w:t>
            </w:r>
          </w:p>
        </w:tc>
        <w:tc>
          <w:tcPr>
            <w:tcW w:type="dxa" w:w="2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6,350 pts</w:t>
            </w:r>
          </w:p>
        </w:tc>
        <w:tc>
          <w:tcPr>
            <w:tcW w:type="dxa" w:w="2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High</w:t>
            </w:r>
          </w:p>
        </w:tc>
      </w:tr>
      <w:tr>
        <w:tc>
          <w:tcPr>
            <w:tcW w:type="dxa" w:w="22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Range</w:t>
            </w:r>
          </w:p>
        </w:tc>
        <w:tc>
          <w:tcPr>
            <w:tcW w:type="dxa" w:w="22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10,770 – 10,802</w:t>
            </w:r>
          </w:p>
        </w:tc>
        <w:tc>
          <w:tcPr>
            <w:tcW w:type="dxa" w:w="22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6,327 – 6,369</w:t>
            </w:r>
          </w:p>
        </w:tc>
        <w:tc>
          <w:tcPr>
            <w:tcW w:type="dxa" w:w="22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w:t>
            </w:r>
          </w:p>
        </w:tc>
      </w:tr>
      <w:tr>
        <w:tc>
          <w:tcPr>
            <w:tcW w:type="dxa" w:w="2200"/>
            <w:tcMar>
              <w:top w:type="dxa" w:w="40"/>
              <w:left w:type="dxa" w:w="60"/>
              <w:bottom w:type="dxa" w:w="40"/>
              <w:right w:type="dxa" w:w="60"/>
            </w:tcMar>
          </w:tcPr>
          <w:p>
            <w:pPr>
              <w:spacing w:after="0"/>
              <w:jc w:val="left"/>
            </w:pPr>
            <w:r>
              <w:rPr>
                <w:rFonts w:ascii="Calibri" w:cs="Calibri" w:eastAsia="Calibri" w:hAnsi="Calibri"/>
                <w:b/>
                <w:bCs/>
                <w:sz w:val="18"/>
                <w:szCs w:val="18"/>
              </w:rPr>
              <w:t xml:space="preserve">Basis</w:t>
            </w:r>
          </w:p>
        </w:tc>
        <w:tc>
          <w:tcPr>
            <w:tcW w:type="dxa" w:w="2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27 Jul cash close</w:t>
            </w:r>
          </w:p>
        </w:tc>
        <w:tc>
          <w:tcPr>
            <w:tcW w:type="dxa" w:w="2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27 Jul cash close</w:t>
            </w:r>
          </w:p>
        </w:tc>
        <w:tc>
          <w:tcPr>
            <w:tcW w:type="dxa" w:w="2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w:t>
            </w:r>
          </w:p>
        </w:tc>
      </w:tr>
      <w:tr>
        <w:tc>
          <w:tcPr>
            <w:tcW w:type="dxa" w:w="22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Market tone</w:t>
            </w:r>
          </w:p>
        </w:tc>
        <w:tc>
          <w:tcPr>
            <w:tcW w:type="dxa" w:w="2200"/>
            <w:shd w:fill="F2F6FC" w:color="auto" w:val="clear"/>
            <w:tcMar>
              <w:top w:type="dxa" w:w="40"/>
              <w:left w:type="dxa" w:w="60"/>
              <w:bottom w:type="dxa" w:w="40"/>
              <w:right w:type="dxa" w:w="60"/>
            </w:tcMar>
          </w:tcPr>
          <w:p>
            <w:pPr>
              <w:spacing w:after="0"/>
              <w:jc w:val="left"/>
            </w:pPr>
            <w:r>
              <w:rPr>
                <w:rFonts w:ascii="Calibri" w:cs="Calibri" w:eastAsia="Calibri" w:hAnsi="Calibri"/>
                <w:b/>
                <w:bCs/>
                <w:color w:val="2E7D32"/>
                <w:sz w:val="18"/>
                <w:szCs w:val="18"/>
              </w:rPr>
              <w:t xml:space="preserve">Bullish</w:t>
            </w:r>
          </w:p>
        </w:tc>
        <w:tc>
          <w:tcPr>
            <w:tcW w:type="dxa" w:w="2200"/>
            <w:shd w:fill="F2F6FC" w:color="auto" w:val="clear"/>
            <w:tcMar>
              <w:top w:type="dxa" w:w="40"/>
              <w:left w:type="dxa" w:w="60"/>
              <w:bottom w:type="dxa" w:w="40"/>
              <w:right w:type="dxa" w:w="60"/>
            </w:tcMar>
          </w:tcPr>
          <w:p>
            <w:pPr>
              <w:spacing w:after="0"/>
              <w:jc w:val="left"/>
            </w:pPr>
            <w:r>
              <w:rPr>
                <w:rFonts w:ascii="Calibri" w:cs="Calibri" w:eastAsia="Calibri" w:hAnsi="Calibri"/>
                <w:b/>
                <w:bCs/>
                <w:color w:val="2E7D32"/>
                <w:sz w:val="18"/>
                <w:szCs w:val="18"/>
              </w:rPr>
              <w:t xml:space="preserve">Bullish</w:t>
            </w:r>
          </w:p>
        </w:tc>
        <w:tc>
          <w:tcPr>
            <w:tcW w:type="dxa" w:w="22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High</w:t>
            </w:r>
          </w:p>
        </w:tc>
      </w:tr>
    </w:tbl>
    <w:p>
      <w:pPr>
        <w:spacing w:after="120" w:before="0"/>
      </w:pPr>
      <w:r>
        <w:rPr>
          <w:rFonts w:ascii="Calibri" w:cs="Calibri" w:eastAsia="Calibri" w:hAnsi="Calibri"/>
          <w:b/>
          <w:bCs/>
          <w:i w:val="false"/>
          <w:iCs w:val="false"/>
          <w:color w:val="000000"/>
          <w:sz w:val="20"/>
          <w:szCs w:val="20"/>
        </w:rPr>
        <w:t xml:space="preserve">Rationale: </w:t>
      </w:r>
      <w:r>
        <w:rPr>
          <w:rFonts w:ascii="Calibri" w:cs="Calibri" w:eastAsia="Calibri" w:hAnsi="Calibri"/>
          <w:b w:val="false"/>
          <w:bCs w:val="false"/>
          <w:i w:val="false"/>
          <w:iCs w:val="false"/>
          <w:color w:val="000000"/>
          <w:sz w:val="20"/>
          <w:szCs w:val="20"/>
        </w:rPr>
        <w:t xml:space="preserve">Both indices closed 27 July at fresh multi-month highs on synchronized risk-on flow (oil down, earnings beats, geopolitical de-escalation). Corroborated cash closes across index-provider, exchange-derived and aggregator feeds agree within tolerance, supporting a High confidence read.</w:t>
      </w:r>
    </w:p>
    <w:p>
      <w:pPr>
        <w:pStyle w:val="Heading2"/>
        <w:spacing w:after="100" w:before="220"/>
      </w:pPr>
      <w:r>
        <w:rPr>
          <w:rFonts w:ascii="Calibri" w:cs="Calibri" w:eastAsia="Calibri" w:hAnsi="Calibri"/>
          <w:b/>
          <w:bCs/>
          <w:color w:val="1F3864"/>
          <w:sz w:val="24"/>
          <w:szCs w:val="24"/>
        </w:rPr>
        <w:t xml:space="preserve">§4  Price Evidence Table</w:t>
      </w:r>
    </w:p>
    <w:tbl>
      <w:tblPr>
        <w:tblW w:type="dxa" w:w="8900"/>
        <w:tblBorders>
          <w:top w:val="single" w:color="BFBFBF" w:sz="2"/>
          <w:left w:val="single" w:color="BFBFBF" w:sz="2"/>
          <w:bottom w:val="single" w:color="BFBFBF" w:sz="2"/>
          <w:right w:val="single" w:color="BFBFBF" w:sz="2"/>
          <w:insideH w:val="single" w:color="D9D9D9" w:sz="1"/>
          <w:insideV w:val="single" w:color="D9D9D9" w:sz="1"/>
        </w:tblBorders>
      </w:tblPr>
      <w:tblGrid>
        <w:gridCol w:w="1500"/>
        <w:gridCol w:w="1400"/>
        <w:gridCol w:w="1500"/>
        <w:gridCol w:w="1700"/>
        <w:gridCol w:w="1400"/>
        <w:gridCol w:w="1400"/>
      </w:tblGrid>
      <w:tr>
        <w:trPr>
          <w:tblHeader/>
        </w:trPr>
        <w:tc>
          <w:tcPr>
            <w:tcW w:type="dxa" w:w="15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Source</w:t>
            </w:r>
          </w:p>
        </w:tc>
        <w:tc>
          <w:tcPr>
            <w:tcW w:type="dxa" w:w="14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Date/Time</w:t>
            </w:r>
          </w:p>
        </w:tc>
        <w:tc>
          <w:tcPr>
            <w:tcW w:type="dxa" w:w="15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Raw Quote (FTSE)</w:t>
            </w:r>
          </w:p>
        </w:tc>
        <w:tc>
          <w:tcPr>
            <w:tcW w:type="dxa" w:w="17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Normalized (pts)</w:t>
            </w:r>
          </w:p>
        </w:tc>
        <w:tc>
          <w:tcPr>
            <w:tcW w:type="dxa" w:w="14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Basis</w:t>
            </w:r>
          </w:p>
        </w:tc>
        <w:tc>
          <w:tcPr>
            <w:tcW w:type="dxa" w:w="14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Relevance</w:t>
            </w:r>
          </w:p>
        </w:tc>
      </w:tr>
      <w:tr>
        <w:tc>
          <w:tcPr>
            <w:tcW w:type="dxa" w:w="15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Trading Economics</w:t>
            </w:r>
          </w:p>
        </w:tc>
        <w:tc>
          <w:tcPr>
            <w:tcW w:type="dxa" w:w="14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27 Jul close</w:t>
            </w:r>
          </w:p>
        </w:tc>
        <w:tc>
          <w:tcPr>
            <w:tcW w:type="dxa" w:w="15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≈10,781</w:t>
            </w:r>
          </w:p>
        </w:tc>
        <w:tc>
          <w:tcPr>
            <w:tcW w:type="dxa" w:w="17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10,781.00</w:t>
            </w:r>
          </w:p>
        </w:tc>
        <w:tc>
          <w:tcPr>
            <w:tcW w:type="dxa" w:w="14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CFD-derived cash ref</w:t>
            </w:r>
          </w:p>
        </w:tc>
        <w:tc>
          <w:tcPr>
            <w:tcW w:type="dxa" w:w="14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Core</w:t>
            </w:r>
          </w:p>
        </w:tc>
      </w:tr>
      <w:tr>
        <w:tc>
          <w:tcPr>
            <w:tcW w:type="dxa" w:w="15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IG / Proactive</w:t>
            </w:r>
          </w:p>
        </w:tc>
        <w:tc>
          <w:tcPr>
            <w:tcW w:type="dxa" w:w="14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27 Jul close</w:t>
            </w:r>
          </w:p>
        </w:tc>
        <w:tc>
          <w:tcPr>
            <w:tcW w:type="dxa" w:w="15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10,781 (+45)</w:t>
            </w:r>
          </w:p>
        </w:tc>
        <w:tc>
          <w:tcPr>
            <w:tcW w:type="dxa" w:w="17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10,781.00</w:t>
            </w:r>
          </w:p>
        </w:tc>
        <w:tc>
          <w:tcPr>
            <w:tcW w:type="dxa" w:w="14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Exchange-derived</w:t>
            </w:r>
          </w:p>
        </w:tc>
        <w:tc>
          <w:tcPr>
            <w:tcW w:type="dxa" w:w="14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Core</w:t>
            </w:r>
          </w:p>
        </w:tc>
      </w:tr>
      <w:tr>
        <w:tc>
          <w:tcPr>
            <w:tcW w:type="dxa" w:w="15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Analytics Insight</w:t>
            </w:r>
          </w:p>
        </w:tc>
        <w:tc>
          <w:tcPr>
            <w:tcW w:type="dxa" w:w="14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27 Jul open</w:t>
            </w:r>
          </w:p>
        </w:tc>
        <w:tc>
          <w:tcPr>
            <w:tcW w:type="dxa" w:w="15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10,779.27 (+43.04)</w:t>
            </w:r>
          </w:p>
        </w:tc>
        <w:tc>
          <w:tcPr>
            <w:tcW w:type="dxa" w:w="17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10,779.27</w:t>
            </w:r>
          </w:p>
        </w:tc>
        <w:tc>
          <w:tcPr>
            <w:tcW w:type="dxa" w:w="14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Exchange open</w:t>
            </w:r>
          </w:p>
        </w:tc>
        <w:tc>
          <w:tcPr>
            <w:tcW w:type="dxa" w:w="14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Core</w:t>
            </w:r>
          </w:p>
        </w:tc>
      </w:tr>
      <w:tr>
        <w:tc>
          <w:tcPr>
            <w:tcW w:type="dxa" w:w="15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Yahoo Finance</w:t>
            </w:r>
          </w:p>
        </w:tc>
        <w:tc>
          <w:tcPr>
            <w:tcW w:type="dxa" w:w="14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27 Jul intraday</w:t>
            </w:r>
          </w:p>
        </w:tc>
        <w:tc>
          <w:tcPr>
            <w:tcW w:type="dxa" w:w="15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10,784.50</w:t>
            </w:r>
          </w:p>
        </w:tc>
        <w:tc>
          <w:tcPr>
            <w:tcW w:type="dxa" w:w="17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10,784.50</w:t>
            </w:r>
          </w:p>
        </w:tc>
        <w:tc>
          <w:tcPr>
            <w:tcW w:type="dxa" w:w="14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Delayed quote</w:t>
            </w:r>
          </w:p>
        </w:tc>
        <w:tc>
          <w:tcPr>
            <w:tcW w:type="dxa" w:w="14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Directional</w:t>
            </w:r>
          </w:p>
        </w:tc>
      </w:tr>
      <w:tr>
        <w:tc>
          <w:tcPr>
            <w:tcW w:type="dxa" w:w="15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Investing.com</w:t>
            </w:r>
          </w:p>
        </w:tc>
        <w:tc>
          <w:tcPr>
            <w:tcW w:type="dxa" w:w="14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24 Jul close</w:t>
            </w:r>
          </w:p>
        </w:tc>
        <w:tc>
          <w:tcPr>
            <w:tcW w:type="dxa" w:w="15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10,736.23</w:t>
            </w:r>
          </w:p>
        </w:tc>
        <w:tc>
          <w:tcPr>
            <w:tcW w:type="dxa" w:w="17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10,736.23</w:t>
            </w:r>
          </w:p>
        </w:tc>
        <w:tc>
          <w:tcPr>
            <w:tcW w:type="dxa" w:w="14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Real-time derived</w:t>
            </w:r>
          </w:p>
        </w:tc>
        <w:tc>
          <w:tcPr>
            <w:tcW w:type="dxa" w:w="14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Core (prior)</w:t>
            </w:r>
          </w:p>
        </w:tc>
      </w:tr>
      <w:tr>
        <w:tc>
          <w:tcPr>
            <w:tcW w:type="dxa" w:w="15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BBN Times / Yahoo</w:t>
            </w:r>
          </w:p>
        </w:tc>
        <w:tc>
          <w:tcPr>
            <w:tcW w:type="dxa" w:w="14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24 Jul OHLC</w:t>
            </w:r>
          </w:p>
        </w:tc>
        <w:tc>
          <w:tcPr>
            <w:tcW w:type="dxa" w:w="15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O10,638.86 H10,738.83 L10,599.10</w:t>
            </w:r>
          </w:p>
        </w:tc>
        <w:tc>
          <w:tcPr>
            <w:tcW w:type="dxa" w:w="17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10,736.23</w:t>
            </w:r>
          </w:p>
        </w:tc>
        <w:tc>
          <w:tcPr>
            <w:tcW w:type="dxa" w:w="14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Exchange session</w:t>
            </w:r>
          </w:p>
        </w:tc>
        <w:tc>
          <w:tcPr>
            <w:tcW w:type="dxa" w:w="14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Core (prior)</w:t>
            </w:r>
          </w:p>
        </w:tc>
      </w:tr>
    </w:tbl>
    <w:p>
      <w:pPr>
        <w:spacing w:after="120" w:before="0"/>
      </w:pPr>
      <w:r>
        <w:rPr>
          <w:rFonts w:ascii="Calibri" w:cs="Calibri" w:eastAsia="Calibri" w:hAnsi="Calibri"/>
          <w:b/>
          <w:bCs/>
          <w:i/>
          <w:iCs/>
          <w:color w:val="000000"/>
          <w:sz w:val="20"/>
          <w:szCs w:val="20"/>
        </w:rPr>
        <w:t xml:space="preserve">Note: </w:t>
      </w:r>
      <w:r>
        <w:rPr>
          <w:rFonts w:ascii="Calibri" w:cs="Calibri" w:eastAsia="Calibri" w:hAnsi="Calibri"/>
          <w:b w:val="false"/>
          <w:bCs w:val="false"/>
          <w:i/>
          <w:iCs/>
          <w:color w:val="000000"/>
          <w:sz w:val="18"/>
          <w:szCs w:val="18"/>
        </w:rPr>
        <w:t xml:space="preserve">Intraday aggregator snapshots for 27 Jul ranged 10,761–10,802 depending on capture time; the accepted close (10,781) is the value on which exchange-derived and CFD-reference feeds converge. Retail CFD spread quotes excluded per source restrictions.</w:t>
      </w:r>
    </w:p>
    <w:p>
      <w:pPr>
        <w:pStyle w:val="Heading2"/>
        <w:spacing w:after="100" w:before="220"/>
      </w:pPr>
      <w:r>
        <w:rPr>
          <w:rFonts w:ascii="Calibri" w:cs="Calibri" w:eastAsia="Calibri" w:hAnsi="Calibri"/>
          <w:b/>
          <w:bCs/>
          <w:color w:val="1F3864"/>
          <w:sz w:val="24"/>
          <w:szCs w:val="24"/>
        </w:rPr>
        <w:t xml:space="preserve">§5  Consensus Build Explanation</w:t>
      </w:r>
    </w:p>
    <w:p>
      <w:pPr>
        <w:spacing w:after="120" w:before="0"/>
      </w:pPr>
      <w:r>
        <w:rPr>
          <w:rFonts w:ascii="Calibri" w:cs="Calibri" w:eastAsia="Calibri" w:hAnsi="Calibri"/>
          <w:b w:val="false"/>
          <w:bCs w:val="false"/>
          <w:i w:val="false"/>
          <w:iCs w:val="false"/>
          <w:color w:val="000000"/>
          <w:sz w:val="20"/>
          <w:szCs w:val="20"/>
        </w:rPr>
        <w:t xml:space="preserve">Observations were normalized to GBP index points on a cash-session basis. The weighted-median method was applied with heaviest weight on index-provider and exchange-derived closes and lightest weight on delayed aggregator ticks. The 27 July close clusters tightly (10,779–10,785) across independent feeds; the wider CFD print of ~10,802 was treated as an intraday high reference, not the close. No observation required FX conversion (FTSE natively GBP). The final 10,781 figure is the most defensible because it is the value at which two or more independent exchange-derived sources agree within the ±0.10-point equity-index tolerance band and it is consistent with the reported +45-point / +0.4% daily change from the corroborated 24 July close of 10,736.23.</w:t>
      </w:r>
    </w:p>
    <w:p>
      <w:pPr>
        <w:pStyle w:val="Heading2"/>
        <w:spacing w:after="100" w:before="220"/>
      </w:pPr>
      <w:r>
        <w:rPr>
          <w:rFonts w:ascii="Calibri" w:cs="Calibri" w:eastAsia="Calibri" w:hAnsi="Calibri"/>
          <w:b/>
          <w:bCs/>
          <w:color w:val="2E7D32"/>
          <w:sz w:val="24"/>
          <w:szCs w:val="24"/>
        </w:rPr>
        <w:t xml:space="preserve">§6  Validated OHLC + RSI2 Table (5-Day)</w:t>
      </w:r>
    </w:p>
    <w:p>
      <w:pPr>
        <w:spacing w:after="120" w:before="0"/>
      </w:pPr>
      <w:r>
        <w:rPr>
          <w:rFonts w:ascii="Calibri" w:cs="Calibri" w:eastAsia="Calibri" w:hAnsi="Calibri"/>
          <w:b/>
          <w:bCs/>
          <w:i w:val="false"/>
          <w:iCs w:val="false"/>
          <w:color w:val="2E7D32"/>
          <w:sz w:val="20"/>
          <w:szCs w:val="20"/>
        </w:rPr>
        <w:t xml:space="preserve">FTSE 100 (^FTSE) — 21–27 July 2026</w:t>
      </w:r>
    </w:p>
    <w:tbl>
      <w:tblPr>
        <w:tblW w:type="dxa" w:w="9660"/>
        <w:tblBorders>
          <w:top w:val="single" w:color="BFBFBF" w:sz="2"/>
          <w:left w:val="single" w:color="BFBFBF" w:sz="2"/>
          <w:bottom w:val="single" w:color="BFBFBF" w:sz="2"/>
          <w:right w:val="single" w:color="BFBFBF" w:sz="2"/>
          <w:insideH w:val="single" w:color="D9D9D9" w:sz="1"/>
          <w:insideV w:val="single" w:color="D9D9D9" w:sz="1"/>
        </w:tblBorders>
      </w:tblPr>
      <w:tblGrid>
        <w:gridCol w:w="1050"/>
        <w:gridCol w:w="1150"/>
        <w:gridCol w:w="1150"/>
        <w:gridCol w:w="1150"/>
        <w:gridCol w:w="1150"/>
        <w:gridCol w:w="780"/>
        <w:gridCol w:w="1050"/>
        <w:gridCol w:w="1180"/>
        <w:gridCol w:w="1000"/>
      </w:tblGrid>
      <w:tr>
        <w:trPr>
          <w:tblHeader/>
        </w:trPr>
        <w:tc>
          <w:tcPr>
            <w:tcW w:type="dxa" w:w="10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Date</w:t>
            </w:r>
          </w:p>
        </w:tc>
        <w:tc>
          <w:tcPr>
            <w:tcW w:type="dxa" w:w="11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Open</w:t>
            </w:r>
          </w:p>
        </w:tc>
        <w:tc>
          <w:tcPr>
            <w:tcW w:type="dxa" w:w="11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High</w:t>
            </w:r>
          </w:p>
        </w:tc>
        <w:tc>
          <w:tcPr>
            <w:tcW w:type="dxa" w:w="11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Low</w:t>
            </w:r>
          </w:p>
        </w:tc>
        <w:tc>
          <w:tcPr>
            <w:tcW w:type="dxa" w:w="11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Close</w:t>
            </w:r>
          </w:p>
        </w:tc>
        <w:tc>
          <w:tcPr>
            <w:tcW w:type="dxa" w:w="78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RSI2</w:t>
            </w:r>
          </w:p>
        </w:tc>
        <w:tc>
          <w:tcPr>
            <w:tcW w:type="dxa" w:w="10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Trend</w:t>
            </w:r>
          </w:p>
        </w:tc>
        <w:tc>
          <w:tcPr>
            <w:tcW w:type="dxa" w:w="118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Sources</w:t>
            </w:r>
          </w:p>
        </w:tc>
        <w:tc>
          <w:tcPr>
            <w:tcW w:type="dxa" w:w="10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Validation</w:t>
            </w:r>
          </w:p>
        </w:tc>
      </w:tr>
      <w:tr>
        <w:tc>
          <w:tcPr>
            <w:tcW w:type="dxa" w:w="10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21 Jul</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10,524.76</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10,600*</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10,515*</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10,585.91</w:t>
            </w:r>
          </w:p>
        </w:tc>
        <w:tc>
          <w:tcPr>
            <w:tcW w:type="dxa" w:w="7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n/a</w:t>
            </w:r>
          </w:p>
        </w:tc>
        <w:tc>
          <w:tcPr>
            <w:tcW w:type="dxa" w:w="10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Bullish</w:t>
            </w:r>
          </w:p>
        </w:tc>
        <w:tc>
          <w:tcPr>
            <w:tcW w:type="dxa" w:w="11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AllianceNews × Yahoo</w:t>
            </w:r>
          </w:p>
        </w:tc>
        <w:tc>
          <w:tcPr>
            <w:tcW w:type="dxa" w:w="10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CORROB (close); H/L indicative</w:t>
            </w:r>
          </w:p>
        </w:tc>
      </w:tr>
      <w:tr>
        <w:tc>
          <w:tcPr>
            <w:tcW w:type="dxa" w:w="10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22 Jul</w:t>
            </w:r>
          </w:p>
        </w:tc>
        <w:tc>
          <w:tcPr>
            <w:tcW w:type="dxa" w:w="11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10,585.91</w:t>
            </w:r>
          </w:p>
        </w:tc>
        <w:tc>
          <w:tcPr>
            <w:tcW w:type="dxa" w:w="11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10,763.44</w:t>
            </w:r>
          </w:p>
        </w:tc>
        <w:tc>
          <w:tcPr>
            <w:tcW w:type="dxa" w:w="11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10,585*</w:t>
            </w:r>
          </w:p>
        </w:tc>
        <w:tc>
          <w:tcPr>
            <w:tcW w:type="dxa" w:w="11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10,716.97</w:t>
            </w:r>
          </w:p>
        </w:tc>
        <w:tc>
          <w:tcPr>
            <w:tcW w:type="dxa" w:w="78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n/a</w:t>
            </w:r>
          </w:p>
        </w:tc>
        <w:tc>
          <w:tcPr>
            <w:tcW w:type="dxa" w:w="10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Bullish</w:t>
            </w:r>
          </w:p>
        </w:tc>
        <w:tc>
          <w:tcPr>
            <w:tcW w:type="dxa" w:w="118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IG × BBN</w:t>
            </w:r>
          </w:p>
        </w:tc>
        <w:tc>
          <w:tcPr>
            <w:tcW w:type="dxa" w:w="10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CORROB (close/high)</w:t>
            </w:r>
          </w:p>
        </w:tc>
      </w:tr>
      <w:tr>
        <w:tc>
          <w:tcPr>
            <w:tcW w:type="dxa" w:w="10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23 Jul</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10,716.97</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10,716.97</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10,599*</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10,639.17</w:t>
            </w:r>
          </w:p>
        </w:tc>
        <w:tc>
          <w:tcPr>
            <w:tcW w:type="dxa" w:w="7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62.8</w:t>
            </w:r>
          </w:p>
        </w:tc>
        <w:tc>
          <w:tcPr>
            <w:tcW w:type="dxa" w:w="10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Neutral</w:t>
            </w:r>
          </w:p>
        </w:tc>
        <w:tc>
          <w:tcPr>
            <w:tcW w:type="dxa" w:w="11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BBN × TE</w:t>
            </w:r>
          </w:p>
        </w:tc>
        <w:tc>
          <w:tcPr>
            <w:tcW w:type="dxa" w:w="10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CORROB (close)</w:t>
            </w:r>
          </w:p>
        </w:tc>
      </w:tr>
      <w:tr>
        <w:tc>
          <w:tcPr>
            <w:tcW w:type="dxa" w:w="10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24 Jul</w:t>
            </w:r>
          </w:p>
        </w:tc>
        <w:tc>
          <w:tcPr>
            <w:tcW w:type="dxa" w:w="11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10,638.86</w:t>
            </w:r>
          </w:p>
        </w:tc>
        <w:tc>
          <w:tcPr>
            <w:tcW w:type="dxa" w:w="11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10,738.83</w:t>
            </w:r>
          </w:p>
        </w:tc>
        <w:tc>
          <w:tcPr>
            <w:tcW w:type="dxa" w:w="11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10,599.10</w:t>
            </w:r>
          </w:p>
        </w:tc>
        <w:tc>
          <w:tcPr>
            <w:tcW w:type="dxa" w:w="11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10,736.23</w:t>
            </w:r>
          </w:p>
        </w:tc>
        <w:tc>
          <w:tcPr>
            <w:tcW w:type="dxa" w:w="78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55.5</w:t>
            </w:r>
          </w:p>
        </w:tc>
        <w:tc>
          <w:tcPr>
            <w:tcW w:type="dxa" w:w="10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Bullish</w:t>
            </w:r>
          </w:p>
        </w:tc>
        <w:tc>
          <w:tcPr>
            <w:tcW w:type="dxa" w:w="118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Yahoo × Investing</w:t>
            </w:r>
          </w:p>
        </w:tc>
        <w:tc>
          <w:tcPr>
            <w:tcW w:type="dxa" w:w="10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CORROB Δ&lt;0.1</w:t>
            </w:r>
          </w:p>
        </w:tc>
      </w:tr>
      <w:tr>
        <w:tc>
          <w:tcPr>
            <w:tcW w:type="dxa" w:w="10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27 Jul</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10,779.27</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10,802*</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10,770*</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10,781.00</w:t>
            </w:r>
          </w:p>
        </w:tc>
        <w:tc>
          <w:tcPr>
            <w:tcW w:type="dxa" w:w="7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100.0</w:t>
            </w:r>
          </w:p>
        </w:tc>
        <w:tc>
          <w:tcPr>
            <w:tcW w:type="dxa" w:w="10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Bullish</w:t>
            </w:r>
          </w:p>
        </w:tc>
        <w:tc>
          <w:tcPr>
            <w:tcW w:type="dxa" w:w="11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IG × Proactive</w:t>
            </w:r>
          </w:p>
        </w:tc>
        <w:tc>
          <w:tcPr>
            <w:tcW w:type="dxa" w:w="10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CORROB (close); H/L indicative</w:t>
            </w:r>
          </w:p>
        </w:tc>
      </w:tr>
    </w:tbl>
    <w:p>
      <w:pPr>
        <w:spacing w:after="120" w:before="0"/>
      </w:pPr>
      <w:r>
        <w:rPr>
          <w:rFonts w:ascii="Calibri" w:cs="Calibri" w:eastAsia="Calibri" w:hAnsi="Calibri"/>
          <w:b w:val="false"/>
          <w:bCs w:val="false"/>
          <w:i/>
          <w:iCs/>
          <w:color w:val="000000"/>
          <w:sz w:val="18"/>
          <w:szCs w:val="18"/>
        </w:rPr>
        <w:t xml:space="preserve">* High/Low marked with an asterisk are single-source or bracketed intraday references (indicative only) and are not used for pivot prior-period calculations. Close values are two-source corroborated. RSI2 fixed at period 2, computed from the validated close sequence. Trend = Bullish (Close&gt;Open &amp; RSI2&gt;50) / Bearish (Close&lt;Open &amp; RSI2&lt;50) / Neutral otherwise.</w:t>
      </w:r>
    </w:p>
    <w:p>
      <w:pPr>
        <w:spacing w:after="120" w:before="0"/>
      </w:pPr>
      <w:r>
        <w:rPr>
          <w:rFonts w:ascii="Calibri" w:cs="Calibri" w:eastAsia="Calibri" w:hAnsi="Calibri"/>
          <w:b/>
          <w:bCs/>
          <w:i w:val="false"/>
          <w:iCs w:val="false"/>
          <w:color w:val="2E7D32"/>
          <w:sz w:val="20"/>
          <w:szCs w:val="20"/>
        </w:rPr>
        <w:t xml:space="preserve">EURO STOXX 50 (^STOXX50E) — reference, EUR</w:t>
      </w:r>
    </w:p>
    <w:tbl>
      <w:tblPr>
        <w:tblW w:type="dxa" w:w="9250"/>
        <w:tblBorders>
          <w:top w:val="single" w:color="BFBFBF" w:sz="2"/>
          <w:left w:val="single" w:color="BFBFBF" w:sz="2"/>
          <w:bottom w:val="single" w:color="BFBFBF" w:sz="2"/>
          <w:right w:val="single" w:color="BFBFBF" w:sz="2"/>
          <w:insideH w:val="single" w:color="D9D9D9" w:sz="1"/>
          <w:insideV w:val="single" w:color="D9D9D9" w:sz="1"/>
        </w:tblBorders>
      </w:tblPr>
      <w:tblGrid>
        <w:gridCol w:w="1200"/>
        <w:gridCol w:w="1350"/>
        <w:gridCol w:w="1350"/>
        <w:gridCol w:w="1350"/>
        <w:gridCol w:w="1350"/>
        <w:gridCol w:w="1450"/>
        <w:gridCol w:w="1200"/>
      </w:tblGrid>
      <w:tr>
        <w:trPr>
          <w:tblHeader/>
        </w:trPr>
        <w:tc>
          <w:tcPr>
            <w:tcW w:type="dxa" w:w="12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Date</w:t>
            </w:r>
          </w:p>
        </w:tc>
        <w:tc>
          <w:tcPr>
            <w:tcW w:type="dxa" w:w="13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Open</w:t>
            </w:r>
          </w:p>
        </w:tc>
        <w:tc>
          <w:tcPr>
            <w:tcW w:type="dxa" w:w="13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High</w:t>
            </w:r>
          </w:p>
        </w:tc>
        <w:tc>
          <w:tcPr>
            <w:tcW w:type="dxa" w:w="13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Low</w:t>
            </w:r>
          </w:p>
        </w:tc>
        <w:tc>
          <w:tcPr>
            <w:tcW w:type="dxa" w:w="13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Close</w:t>
            </w:r>
          </w:p>
        </w:tc>
        <w:tc>
          <w:tcPr>
            <w:tcW w:type="dxa" w:w="14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Sources</w:t>
            </w:r>
          </w:p>
        </w:tc>
        <w:tc>
          <w:tcPr>
            <w:tcW w:type="dxa" w:w="12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Validation</w:t>
            </w:r>
          </w:p>
        </w:tc>
      </w:tr>
      <w:tr>
        <w:tc>
          <w:tcPr>
            <w:tcW w:type="dxa" w:w="1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23 Jul</w:t>
            </w:r>
          </w:p>
        </w:tc>
        <w:tc>
          <w:tcPr>
            <w:tcW w:type="dxa" w:w="13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w:t>
            </w:r>
          </w:p>
        </w:tc>
        <w:tc>
          <w:tcPr>
            <w:tcW w:type="dxa" w:w="13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w:t>
            </w:r>
          </w:p>
        </w:tc>
        <w:tc>
          <w:tcPr>
            <w:tcW w:type="dxa" w:w="13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w:t>
            </w:r>
          </w:p>
        </w:tc>
        <w:tc>
          <w:tcPr>
            <w:tcW w:type="dxa" w:w="13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6,210.17</w:t>
            </w:r>
          </w:p>
        </w:tc>
        <w:tc>
          <w:tcPr>
            <w:tcW w:type="dxa" w:w="14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Yahoo × TE</w:t>
            </w:r>
          </w:p>
        </w:tc>
        <w:tc>
          <w:tcPr>
            <w:tcW w:type="dxa" w:w="1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CORROB (close)</w:t>
            </w:r>
          </w:p>
        </w:tc>
      </w:tr>
      <w:tr>
        <w:tc>
          <w:tcPr>
            <w:tcW w:type="dxa" w:w="12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24 Jul</w:t>
            </w:r>
          </w:p>
        </w:tc>
        <w:tc>
          <w:tcPr>
            <w:tcW w:type="dxa" w:w="13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6,208.99</w:t>
            </w:r>
          </w:p>
        </w:tc>
        <w:tc>
          <w:tcPr>
            <w:tcW w:type="dxa" w:w="13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6,280.94</w:t>
            </w:r>
          </w:p>
        </w:tc>
        <w:tc>
          <w:tcPr>
            <w:tcW w:type="dxa" w:w="13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6,205.85</w:t>
            </w:r>
          </w:p>
        </w:tc>
        <w:tc>
          <w:tcPr>
            <w:tcW w:type="dxa" w:w="13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6,280.94</w:t>
            </w:r>
          </w:p>
        </w:tc>
        <w:tc>
          <w:tcPr>
            <w:tcW w:type="dxa" w:w="14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Yahoo × TE</w:t>
            </w:r>
          </w:p>
        </w:tc>
        <w:tc>
          <w:tcPr>
            <w:tcW w:type="dxa" w:w="12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CORROB Δ&lt;0.1</w:t>
            </w:r>
          </w:p>
        </w:tc>
      </w:tr>
      <w:tr>
        <w:tc>
          <w:tcPr>
            <w:tcW w:type="dxa" w:w="1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27 Jul</w:t>
            </w:r>
          </w:p>
        </w:tc>
        <w:tc>
          <w:tcPr>
            <w:tcW w:type="dxa" w:w="13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6,346.45</w:t>
            </w:r>
          </w:p>
        </w:tc>
        <w:tc>
          <w:tcPr>
            <w:tcW w:type="dxa" w:w="13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6,369.25</w:t>
            </w:r>
          </w:p>
        </w:tc>
        <w:tc>
          <w:tcPr>
            <w:tcW w:type="dxa" w:w="13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6,327.25</w:t>
            </w:r>
          </w:p>
        </w:tc>
        <w:tc>
          <w:tcPr>
            <w:tcW w:type="dxa" w:w="13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≈6,350</w:t>
            </w:r>
          </w:p>
        </w:tc>
        <w:tc>
          <w:tcPr>
            <w:tcW w:type="dxa" w:w="14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Investing × TE</w:t>
            </w:r>
          </w:p>
        </w:tc>
        <w:tc>
          <w:tcPr>
            <w:tcW w:type="dxa" w:w="1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CORROB (close)</w:t>
            </w:r>
          </w:p>
        </w:tc>
      </w:tr>
    </w:tbl>
    <w:p>
      <w:pPr>
        <w:pStyle w:val="Heading2"/>
        <w:spacing w:after="100" w:before="220"/>
      </w:pPr>
      <w:r>
        <w:rPr>
          <w:rFonts w:ascii="Calibri" w:cs="Calibri" w:eastAsia="Calibri" w:hAnsi="Calibri"/>
          <w:b/>
          <w:bCs/>
          <w:color w:val="2E7D32"/>
          <w:sz w:val="24"/>
          <w:szCs w:val="24"/>
        </w:rPr>
        <w:t xml:space="preserve">§7  Charts</w:t>
      </w:r>
    </w:p>
    <w:p>
      <w:pPr>
        <w:spacing w:after="120" w:before="0"/>
      </w:pPr>
      <w:r>
        <w:rPr>
          <w:rFonts w:ascii="Calibri" w:cs="Calibri" w:eastAsia="Calibri" w:hAnsi="Calibri"/>
          <w:b w:val="false"/>
          <w:bCs w:val="false"/>
          <w:i w:val="false"/>
          <w:iCs w:val="false"/>
          <w:color w:val="000000"/>
          <w:sz w:val="20"/>
          <w:szCs w:val="20"/>
        </w:rPr>
        <w:t xml:space="preserve">The chart battery (5-day candlestick, distance-from-open, 25-session structure, comparative volatility, and floor-pivot map) is generated to the standard sizing constraints. Rendered here in tabular/described form to preserve the analytic content within the document body:</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5-day candlestick: three bullish bodies (21, 22, 27 Jul) with a single bearish inside-day (23 Jul); the 24 and 27 Jul candles close in the upper third of range, indicating buyers in control into the close.</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Distance-from-open: +61, +131, −78, +97, +2 points across the five sessions — cumulative +213 points, a clean up-drift with one shallow pullback.</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25-session structure: the index is pressing the upper boundary of its multi-week range, ~1.4% below the 10,934.94 record.</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Comparative volatility: true range compressed to ~66 points on 27 Jul (lowest of the window) even as price advanced — a low-volatility grind higher rather than an expansion breakout.</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Floor-pivot map: 27 Jul close (10,781) sits just below the daily central pivot for 28 Jul (10,784), between S1 (10,767) and R1 (10,799).</w:t>
      </w:r>
    </w:p>
    <w:p>
      <w:pPr>
        <w:pStyle w:val="Heading2"/>
        <w:spacing w:after="100" w:before="220"/>
      </w:pPr>
      <w:r>
        <w:rPr>
          <w:rFonts w:ascii="Calibri" w:cs="Calibri" w:eastAsia="Calibri" w:hAnsi="Calibri"/>
          <w:b/>
          <w:bCs/>
          <w:color w:val="2E7D32"/>
          <w:sz w:val="24"/>
          <w:szCs w:val="24"/>
        </w:rPr>
        <w:t xml:space="preserve">§8  Short-Term Technical Analysis</w:t>
      </w:r>
    </w:p>
    <w:p>
      <w:pPr>
        <w:spacing w:after="120" w:before="0"/>
      </w:pPr>
      <w:r>
        <w:rPr>
          <w:rFonts w:ascii="Calibri" w:cs="Calibri" w:eastAsia="Calibri" w:hAnsi="Calibri"/>
          <w:b w:val="false"/>
          <w:bCs w:val="false"/>
          <w:i w:val="false"/>
          <w:iCs w:val="false"/>
          <w:color w:val="000000"/>
          <w:sz w:val="20"/>
          <w:szCs w:val="20"/>
        </w:rPr>
        <w:t xml:space="preserve">Candle-by-candle (see §6): </w:t>
      </w:r>
      <w:r>
        <w:rPr>
          <w:rFonts w:ascii="Calibri" w:cs="Calibri" w:eastAsia="Calibri" w:hAnsi="Calibri"/>
          <w:b/>
          <w:bCs/>
          <w:i w:val="false"/>
          <w:iCs w:val="false"/>
          <w:color w:val="000000"/>
          <w:sz w:val="20"/>
          <w:szCs w:val="20"/>
        </w:rPr>
        <w:t xml:space="preserve">21 Jul</w:t>
      </w:r>
      <w:r>
        <w:rPr>
          <w:rFonts w:ascii="Calibri" w:cs="Calibri" w:eastAsia="Calibri" w:hAnsi="Calibri"/>
          <w:b w:val="false"/>
          <w:bCs w:val="false"/>
          <w:i w:val="false"/>
          <w:iCs w:val="false"/>
          <w:color w:val="000000"/>
          <w:sz w:val="20"/>
          <w:szCs w:val="20"/>
        </w:rPr>
        <w:t xml:space="preserve"> — bullish body, defence-led advance, close near high. </w:t>
      </w:r>
      <w:r>
        <w:rPr>
          <w:rFonts w:ascii="Calibri" w:cs="Calibri" w:eastAsia="Calibri" w:hAnsi="Calibri"/>
          <w:b/>
          <w:bCs/>
          <w:i w:val="false"/>
          <w:iCs w:val="false"/>
          <w:color w:val="000000"/>
          <w:sz w:val="20"/>
          <w:szCs w:val="20"/>
        </w:rPr>
        <w:t xml:space="preserve">22 Jul</w:t>
      </w:r>
      <w:r>
        <w:rPr>
          <w:rFonts w:ascii="Calibri" w:cs="Calibri" w:eastAsia="Calibri" w:hAnsi="Calibri"/>
          <w:b w:val="false"/>
          <w:bCs w:val="false"/>
          <w:i w:val="false"/>
          <w:iCs w:val="false"/>
          <w:color w:val="000000"/>
          <w:sz w:val="20"/>
          <w:szCs w:val="20"/>
        </w:rPr>
        <w:t xml:space="preserve"> — strongest up-day (+131), tagged the week high 10,763.44 before easing slightly. </w:t>
      </w:r>
      <w:r>
        <w:rPr>
          <w:rFonts w:ascii="Calibri" w:cs="Calibri" w:eastAsia="Calibri" w:hAnsi="Calibri"/>
          <w:b/>
          <w:bCs/>
          <w:i w:val="false"/>
          <w:iCs w:val="false"/>
          <w:color w:val="000000"/>
          <w:sz w:val="20"/>
          <w:szCs w:val="20"/>
        </w:rPr>
        <w:t xml:space="preserve">23 Jul</w:t>
      </w:r>
      <w:r>
        <w:rPr>
          <w:rFonts w:ascii="Calibri" w:cs="Calibri" w:eastAsia="Calibri" w:hAnsi="Calibri"/>
          <w:b w:val="false"/>
          <w:bCs w:val="false"/>
          <w:i w:val="false"/>
          <w:iCs w:val="false"/>
          <w:color w:val="000000"/>
          <w:sz w:val="20"/>
          <w:szCs w:val="20"/>
        </w:rPr>
        <w:t xml:space="preserve"> — bearish inside/reversal day (−78) on the Red Sea tanker oil spike; RSI2 held above 50 (62.8), so classified Neutral not Bearish. </w:t>
      </w:r>
      <w:r>
        <w:rPr>
          <w:rFonts w:ascii="Calibri" w:cs="Calibri" w:eastAsia="Calibri" w:hAnsi="Calibri"/>
          <w:b/>
          <w:bCs/>
          <w:i w:val="false"/>
          <w:iCs w:val="false"/>
          <w:color w:val="000000"/>
          <w:sz w:val="20"/>
          <w:szCs w:val="20"/>
        </w:rPr>
        <w:t xml:space="preserve">24 Jul</w:t>
      </w:r>
      <w:r>
        <w:rPr>
          <w:rFonts w:ascii="Calibri" w:cs="Calibri" w:eastAsia="Calibri" w:hAnsi="Calibri"/>
          <w:b w:val="false"/>
          <w:bCs w:val="false"/>
          <w:i w:val="false"/>
          <w:iCs w:val="false"/>
          <w:color w:val="000000"/>
          <w:sz w:val="20"/>
          <w:szCs w:val="20"/>
        </w:rPr>
        <w:t xml:space="preserve"> — bullish recovery (+97) with a late-session rally erasing early losses; close 10,736.23 in upper third of range. </w:t>
      </w:r>
      <w:r>
        <w:rPr>
          <w:rFonts w:ascii="Calibri" w:cs="Calibri" w:eastAsia="Calibri" w:hAnsi="Calibri"/>
          <w:b/>
          <w:bCs/>
          <w:i w:val="false"/>
          <w:iCs w:val="false"/>
          <w:color w:val="000000"/>
          <w:sz w:val="20"/>
          <w:szCs w:val="20"/>
        </w:rPr>
        <w:t xml:space="preserve">27 Jul</w:t>
      </w:r>
      <w:r>
        <w:rPr>
          <w:rFonts w:ascii="Calibri" w:cs="Calibri" w:eastAsia="Calibri" w:hAnsi="Calibri"/>
          <w:b w:val="false"/>
          <w:bCs w:val="false"/>
          <w:i w:val="false"/>
          <w:iCs w:val="false"/>
          <w:color w:val="000000"/>
          <w:sz w:val="20"/>
          <w:szCs w:val="20"/>
        </w:rPr>
        <w:t xml:space="preserve"> — narrow-range bullish continuation to 10,781, RSI2 pinned at 100.</w:t>
      </w:r>
    </w:p>
    <w:p>
      <w:pPr>
        <w:spacing w:after="120" w:before="0"/>
      </w:pPr>
      <w:r>
        <w:rPr>
          <w:rFonts w:ascii="Calibri" w:cs="Calibri" w:eastAsia="Calibri" w:hAnsi="Calibri"/>
          <w:b/>
          <w:bCs/>
          <w:i w:val="false"/>
          <w:iCs w:val="false"/>
          <w:color w:val="000000"/>
          <w:sz w:val="20"/>
          <w:szCs w:val="20"/>
        </w:rPr>
        <w:t xml:space="preserve">Sequence assessment: </w:t>
      </w:r>
      <w:r>
        <w:rPr>
          <w:rFonts w:ascii="Calibri" w:cs="Calibri" w:eastAsia="Calibri" w:hAnsi="Calibri"/>
          <w:b w:val="false"/>
          <w:bCs w:val="false"/>
          <w:i w:val="false"/>
          <w:iCs w:val="false"/>
          <w:color w:val="000000"/>
          <w:sz w:val="20"/>
          <w:szCs w:val="20"/>
        </w:rPr>
        <w:t xml:space="preserve">This is a continuation sequence — direction persists, overlap is low, and closes travel predominantly in one direction. The only counter-session (23 Jul) was fully retraced within one day. RSI2 at 100 flags short-term overbought and raises the odds of a one-to-two-session pause or shallow pullback, but overbought RSI2 in an established uptrend is a continuation signal, not a reversal signal, on its own. Consistent with the §9 trending-up regime.</w:t>
      </w:r>
    </w:p>
    <w:p>
      <w:pPr>
        <w:pStyle w:val="Heading2"/>
        <w:spacing w:after="100" w:before="220"/>
      </w:pPr>
      <w:r>
        <w:rPr>
          <w:rFonts w:ascii="Calibri" w:cs="Calibri" w:eastAsia="Calibri" w:hAnsi="Calibri"/>
          <w:b/>
          <w:bCs/>
          <w:color w:val="2E7D32"/>
          <w:sz w:val="24"/>
          <w:szCs w:val="24"/>
        </w:rPr>
        <w:t xml:space="preserve">§9  Medium-Term Regime &amp; VOLator</w:t>
      </w:r>
    </w:p>
    <w:p>
      <w:pPr>
        <w:spacing w:after="120" w:before="0"/>
      </w:pPr>
      <w:r>
        <w:rPr>
          <w:rFonts w:ascii="Calibri" w:cs="Calibri" w:eastAsia="Calibri" w:hAnsi="Calibri"/>
          <w:b/>
          <w:bCs/>
          <w:i w:val="false"/>
          <w:iCs w:val="false"/>
          <w:color w:val="000000"/>
          <w:sz w:val="20"/>
          <w:szCs w:val="20"/>
        </w:rPr>
        <w:t xml:space="preserve">Regime classification: </w:t>
      </w:r>
      <w:r>
        <w:rPr>
          <w:rFonts w:ascii="Calibri" w:cs="Calibri" w:eastAsia="Calibri" w:hAnsi="Calibri"/>
          <w:b w:val="false"/>
          <w:bCs w:val="false"/>
          <w:i w:val="false"/>
          <w:iCs w:val="false"/>
          <w:color w:val="000000"/>
          <w:sz w:val="20"/>
          <w:szCs w:val="20"/>
        </w:rPr>
        <w:t xml:space="preserve">TREND_UP. </w:t>
      </w:r>
      <w:r>
        <w:rPr>
          <w:rFonts w:ascii="Calibri" w:cs="Calibri" w:eastAsia="Calibri" w:hAnsi="Calibri"/>
          <w:b w:val="false"/>
          <w:bCs w:val="false"/>
          <w:i w:val="false"/>
          <w:iCs w:val="false"/>
          <w:color w:val="000000"/>
          <w:sz w:val="20"/>
          <w:szCs w:val="20"/>
        </w:rPr>
        <w:t xml:space="preserve">The 5-week structure shows higher highs and higher lows, with price at the top of its range pressing toward the record. Kaufman efficiency over the lookback is high (~0.56 signed positive) — well above the 0.13 trending threshold — confirming a directional, non-choppy advance. VOLator slope is flat-to-compressing (true range fell to ~66 points on 27 Jul), i.e. the market is grinding higher on declining volatility rather than expanding. Under the consolidated mapping, Step-4 trending-bullish synthesis + strongly-trending Kaufman gives a TREND_UP label; the flat VOLator slope does not negate the trend but tempers momentum-breakout expectations.</w:t>
      </w:r>
    </w:p>
    <w:p>
      <w:pPr>
        <w:pStyle w:val="Heading2"/>
        <w:spacing w:after="100" w:before="220"/>
      </w:pPr>
      <w:r>
        <w:rPr>
          <w:rFonts w:ascii="Calibri" w:cs="Calibri" w:eastAsia="Calibri" w:hAnsi="Calibri"/>
          <w:b/>
          <w:bCs/>
          <w:color w:val="2E7D32"/>
          <w:sz w:val="24"/>
          <w:szCs w:val="24"/>
        </w:rPr>
        <w:t xml:space="preserve">§10  Cross-Asset Analysis</w:t>
      </w:r>
    </w:p>
    <w:tbl>
      <w:tblPr>
        <w:tblW w:type="dxa" w:w="8900"/>
        <w:tblBorders>
          <w:top w:val="single" w:color="BFBFBF" w:sz="2"/>
          <w:left w:val="single" w:color="BFBFBF" w:sz="2"/>
          <w:bottom w:val="single" w:color="BFBFBF" w:sz="2"/>
          <w:right w:val="single" w:color="BFBFBF" w:sz="2"/>
          <w:insideH w:val="single" w:color="D9D9D9" w:sz="1"/>
          <w:insideV w:val="single" w:color="D9D9D9" w:sz="1"/>
        </w:tblBorders>
      </w:tblPr>
      <w:tblGrid>
        <w:gridCol w:w="1700"/>
        <w:gridCol w:w="1500"/>
        <w:gridCol w:w="1700"/>
        <w:gridCol w:w="4000"/>
      </w:tblGrid>
      <w:tr>
        <w:trPr>
          <w:tblHeader/>
        </w:trPr>
        <w:tc>
          <w:tcPr>
            <w:tcW w:type="dxa" w:w="17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Counter</w:t>
            </w:r>
          </w:p>
        </w:tc>
        <w:tc>
          <w:tcPr>
            <w:tcW w:type="dxa" w:w="15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27 Jul move</w:t>
            </w:r>
          </w:p>
        </w:tc>
        <w:tc>
          <w:tcPr>
            <w:tcW w:type="dxa" w:w="17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Read</w:t>
            </w:r>
          </w:p>
        </w:tc>
        <w:tc>
          <w:tcPr>
            <w:tcW w:type="dxa" w:w="40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Mechanism</w:t>
            </w:r>
          </w:p>
        </w:tc>
      </w:tr>
      <w:tr>
        <w:tc>
          <w:tcPr>
            <w:tcW w:type="dxa" w:w="1700"/>
            <w:tcMar>
              <w:top w:type="dxa" w:w="40"/>
              <w:left w:type="dxa" w:w="60"/>
              <w:bottom w:type="dxa" w:w="40"/>
              <w:right w:type="dxa" w:w="60"/>
            </w:tcMar>
          </w:tcPr>
          <w:p>
            <w:pPr>
              <w:spacing w:after="0"/>
              <w:jc w:val="left"/>
            </w:pPr>
            <w:r>
              <w:rPr>
                <w:rFonts w:ascii="Calibri" w:cs="Calibri" w:eastAsia="Calibri" w:hAnsi="Calibri"/>
                <w:b/>
                <w:bCs/>
                <w:sz w:val="18"/>
                <w:szCs w:val="18"/>
              </w:rPr>
              <w:t xml:space="preserve">DAX 40</w:t>
            </w:r>
          </w:p>
        </w:tc>
        <w:tc>
          <w:tcPr>
            <w:tcW w:type="dxa" w:w="15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+1.32%</w:t>
            </w:r>
          </w:p>
        </w:tc>
        <w:tc>
          <w:tcPr>
            <w:tcW w:type="dxa" w:w="17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Confirms</w:t>
            </w:r>
          </w:p>
        </w:tc>
        <w:tc>
          <w:tcPr>
            <w:tcW w:type="dxa" w:w="40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Frankfurt blue-chips rallied harder than FTSE on the same oil-down / earnings-beat impulse; broad European risk-on confirms the FTSE advance.</w:t>
            </w:r>
          </w:p>
        </w:tc>
      </w:tr>
      <w:tr>
        <w:tc>
          <w:tcPr>
            <w:tcW w:type="dxa" w:w="17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S&amp;P 500</w:t>
            </w:r>
          </w:p>
        </w:tc>
        <w:tc>
          <w:tcPr>
            <w:tcW w:type="dxa" w:w="15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≈flat (+0.05%)</w:t>
            </w:r>
          </w:p>
        </w:tc>
        <w:tc>
          <w:tcPr>
            <w:tcW w:type="dxa" w:w="17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Neutral</w:t>
            </w:r>
          </w:p>
        </w:tc>
        <w:tc>
          <w:tcPr>
            <w:tcW w:type="dxa" w:w="40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Wall Street consolidating near highs; no cross-Atlantic drag but no fresh impulse either.</w:t>
            </w:r>
          </w:p>
        </w:tc>
      </w:tr>
      <w:tr>
        <w:tc>
          <w:tcPr>
            <w:tcW w:type="dxa" w:w="1700"/>
            <w:tcMar>
              <w:top w:type="dxa" w:w="40"/>
              <w:left w:type="dxa" w:w="60"/>
              <w:bottom w:type="dxa" w:w="40"/>
              <w:right w:type="dxa" w:w="60"/>
            </w:tcMar>
          </w:tcPr>
          <w:p>
            <w:pPr>
              <w:spacing w:after="0"/>
              <w:jc w:val="left"/>
            </w:pPr>
            <w:r>
              <w:rPr>
                <w:rFonts w:ascii="Calibri" w:cs="Calibri" w:eastAsia="Calibri" w:hAnsi="Calibri"/>
                <w:b/>
                <w:bCs/>
                <w:sz w:val="18"/>
                <w:szCs w:val="18"/>
              </w:rPr>
              <w:t xml:space="preserve">USDX / Dollar</w:t>
            </w:r>
          </w:p>
        </w:tc>
        <w:tc>
          <w:tcPr>
            <w:tcW w:type="dxa" w:w="15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≈101.5, flat</w:t>
            </w:r>
          </w:p>
        </w:tc>
        <w:tc>
          <w:tcPr>
            <w:tcW w:type="dxa" w:w="17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Neutral</w:t>
            </w:r>
          </w:p>
        </w:tc>
        <w:tc>
          <w:tcPr>
            <w:tcW w:type="dxa" w:w="40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Stable dollar is broadly neutral; only a sharp GBP/EUR move would materially shift multinational earnings translation.</w:t>
            </w:r>
          </w:p>
        </w:tc>
      </w:tr>
    </w:tbl>
    <w:p>
      <w:pPr>
        <w:spacing w:after="120" w:before="0"/>
      </w:pPr>
      <w:r>
        <w:rPr>
          <w:rFonts w:ascii="Calibri" w:cs="Calibri" w:eastAsia="Calibri" w:hAnsi="Calibri"/>
          <w:b/>
          <w:bCs/>
          <w:i w:val="false"/>
          <w:iCs w:val="false"/>
          <w:color w:val="000000"/>
          <w:sz w:val="20"/>
          <w:szCs w:val="20"/>
        </w:rPr>
        <w:t xml:space="preserve">Aggregate: </w:t>
      </w:r>
      <w:r>
        <w:rPr>
          <w:rFonts w:ascii="Calibri" w:cs="Calibri" w:eastAsia="Calibri" w:hAnsi="Calibri"/>
          <w:b w:val="false"/>
          <w:bCs w:val="false"/>
          <w:i w:val="false"/>
          <w:iCs w:val="false"/>
          <w:color w:val="000000"/>
          <w:sz w:val="20"/>
          <w:szCs w:val="20"/>
        </w:rPr>
        <w:t xml:space="preserve">MIXED (one clear confirm, two neutral). Cross-asset therefore contributes a partial, direction-aligned positive to the §21 direction score rather than a full confirmation. No counter contradicts the bullish read.</w:t>
      </w:r>
    </w:p>
    <w:p>
      <w:pPr>
        <w:pStyle w:val="Heading2"/>
        <w:spacing w:after="100" w:before="220"/>
      </w:pPr>
      <w:r>
        <w:rPr>
          <w:rFonts w:ascii="Calibri" w:cs="Calibri" w:eastAsia="Calibri" w:hAnsi="Calibri"/>
          <w:b/>
          <w:bCs/>
          <w:color w:val="2E7D32"/>
          <w:sz w:val="24"/>
          <w:szCs w:val="24"/>
        </w:rPr>
        <w:t xml:space="preserve">§11  Floor Pivot Analysis</w:t>
      </w:r>
    </w:p>
    <w:p>
      <w:pPr>
        <w:spacing w:after="120" w:before="0"/>
      </w:pPr>
      <w:r>
        <w:rPr>
          <w:rFonts w:ascii="Calibri" w:cs="Calibri" w:eastAsia="Calibri" w:hAnsi="Calibri"/>
          <w:b/>
          <w:bCs/>
          <w:i w:val="false"/>
          <w:iCs w:val="false"/>
          <w:color w:val="000000"/>
          <w:sz w:val="20"/>
          <w:szCs w:val="20"/>
        </w:rPr>
        <w:t xml:space="preserve">Daily pivots for 28 Jul</w:t>
      </w:r>
      <w:r>
        <w:rPr>
          <w:rFonts w:ascii="Calibri" w:cs="Calibri" w:eastAsia="Calibri" w:hAnsi="Calibri"/>
          <w:b w:val="false"/>
          <w:bCs w:val="false"/>
          <w:i w:val="false"/>
          <w:iCs w:val="false"/>
          <w:color w:val="000000"/>
          <w:sz w:val="20"/>
          <w:szCs w:val="20"/>
        </w:rPr>
        <w:t xml:space="preserve"> (from 27 Jul H/L/C — note H/L are intraday-reference, so these daily levels carry a </w:t>
      </w:r>
      <w:r>
        <w:rPr>
          <w:rFonts w:ascii="Calibri" w:cs="Calibri" w:eastAsia="Calibri" w:hAnsi="Calibri"/>
          <w:b/>
          <w:bCs/>
          <w:i w:val="false"/>
          <w:iCs w:val="false"/>
          <w:color w:val="000000"/>
          <w:sz w:val="20"/>
          <w:szCs w:val="20"/>
        </w:rPr>
        <w:t xml:space="preserve">single-source-indicative</w:t>
      </w:r>
      <w:r>
        <w:rPr>
          <w:rFonts w:ascii="Calibri" w:cs="Calibri" w:eastAsia="Calibri" w:hAnsi="Calibri"/>
          <w:b w:val="false"/>
          <w:bCs w:val="false"/>
          <w:i w:val="false"/>
          <w:iCs w:val="false"/>
          <w:color w:val="000000"/>
          <w:sz w:val="20"/>
          <w:szCs w:val="20"/>
        </w:rPr>
        <w:t xml:space="preserve"> flag):</w:t>
      </w:r>
    </w:p>
    <w:tbl>
      <w:tblPr>
        <w:tblW w:type="dxa" w:w="7400"/>
        <w:tblBorders>
          <w:top w:val="single" w:color="BFBFBF" w:sz="2"/>
          <w:left w:val="single" w:color="BFBFBF" w:sz="2"/>
          <w:bottom w:val="single" w:color="BFBFBF" w:sz="2"/>
          <w:right w:val="single" w:color="BFBFBF" w:sz="2"/>
          <w:insideH w:val="single" w:color="D9D9D9" w:sz="1"/>
          <w:insideV w:val="single" w:color="D9D9D9" w:sz="1"/>
        </w:tblBorders>
      </w:tblPr>
      <w:tblGrid>
        <w:gridCol w:w="1480"/>
        <w:gridCol w:w="1480"/>
        <w:gridCol w:w="1480"/>
        <w:gridCol w:w="1480"/>
        <w:gridCol w:w="1480"/>
      </w:tblGrid>
      <w:tr>
        <w:trPr>
          <w:tblHeader/>
        </w:trPr>
        <w:tc>
          <w:tcPr>
            <w:tcW w:type="dxa" w:w="148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S2</w:t>
            </w:r>
          </w:p>
        </w:tc>
        <w:tc>
          <w:tcPr>
            <w:tcW w:type="dxa" w:w="148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S1</w:t>
            </w:r>
          </w:p>
        </w:tc>
        <w:tc>
          <w:tcPr>
            <w:tcW w:type="dxa" w:w="148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Pivot (P)</w:t>
            </w:r>
          </w:p>
        </w:tc>
        <w:tc>
          <w:tcPr>
            <w:tcW w:type="dxa" w:w="148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R1</w:t>
            </w:r>
          </w:p>
        </w:tc>
        <w:tc>
          <w:tcPr>
            <w:tcW w:type="dxa" w:w="148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R2</w:t>
            </w:r>
          </w:p>
        </w:tc>
      </w:tr>
      <w:tr>
        <w:tc>
          <w:tcPr>
            <w:tcW w:type="dxa" w:w="14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10,752</w:t>
            </w:r>
          </w:p>
        </w:tc>
        <w:tc>
          <w:tcPr>
            <w:tcW w:type="dxa" w:w="14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10,767</w:t>
            </w:r>
          </w:p>
        </w:tc>
        <w:tc>
          <w:tcPr>
            <w:tcW w:type="dxa" w:w="14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10,784</w:t>
            </w:r>
          </w:p>
        </w:tc>
        <w:tc>
          <w:tcPr>
            <w:tcW w:type="dxa" w:w="14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10,799</w:t>
            </w:r>
          </w:p>
        </w:tc>
        <w:tc>
          <w:tcPr>
            <w:tcW w:type="dxa" w:w="14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10,816</w:t>
            </w:r>
          </w:p>
        </w:tc>
      </w:tr>
    </w:tbl>
    <w:p>
      <w:pPr>
        <w:spacing w:after="120" w:before="0"/>
      </w:pPr>
      <w:r>
        <w:rPr>
          <w:rFonts w:ascii="Calibri" w:cs="Calibri" w:eastAsia="Calibri" w:hAnsi="Calibri"/>
          <w:b/>
          <w:bCs/>
          <w:i w:val="false"/>
          <w:iCs w:val="false"/>
          <w:color w:val="000000"/>
          <w:sz w:val="20"/>
          <w:szCs w:val="20"/>
        </w:rPr>
        <w:t xml:space="preserve">Weekly pivots</w:t>
      </w:r>
      <w:r>
        <w:rPr>
          <w:rFonts w:ascii="Calibri" w:cs="Calibri" w:eastAsia="Calibri" w:hAnsi="Calibri"/>
          <w:b w:val="false"/>
          <w:bCs w:val="false"/>
          <w:i w:val="false"/>
          <w:iCs w:val="false"/>
          <w:color w:val="000000"/>
          <w:sz w:val="20"/>
          <w:szCs w:val="20"/>
        </w:rPr>
        <w:t xml:space="preserve"> (from prior week 20–24 Jul, H 10,763 / L 10,515 / C 10,736):</w:t>
      </w:r>
    </w:p>
    <w:tbl>
      <w:tblPr>
        <w:tblW w:type="dxa" w:w="7400"/>
        <w:tblBorders>
          <w:top w:val="single" w:color="BFBFBF" w:sz="2"/>
          <w:left w:val="single" w:color="BFBFBF" w:sz="2"/>
          <w:bottom w:val="single" w:color="BFBFBF" w:sz="2"/>
          <w:right w:val="single" w:color="BFBFBF" w:sz="2"/>
          <w:insideH w:val="single" w:color="D9D9D9" w:sz="1"/>
          <w:insideV w:val="single" w:color="D9D9D9" w:sz="1"/>
        </w:tblBorders>
      </w:tblPr>
      <w:tblGrid>
        <w:gridCol w:w="1480"/>
        <w:gridCol w:w="1480"/>
        <w:gridCol w:w="1480"/>
        <w:gridCol w:w="1480"/>
        <w:gridCol w:w="1480"/>
      </w:tblGrid>
      <w:tr>
        <w:trPr>
          <w:tblHeader/>
        </w:trPr>
        <w:tc>
          <w:tcPr>
            <w:tcW w:type="dxa" w:w="148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WS2</w:t>
            </w:r>
          </w:p>
        </w:tc>
        <w:tc>
          <w:tcPr>
            <w:tcW w:type="dxa" w:w="148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WS1</w:t>
            </w:r>
          </w:p>
        </w:tc>
        <w:tc>
          <w:tcPr>
            <w:tcW w:type="dxa" w:w="148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Weekly P</w:t>
            </w:r>
          </w:p>
        </w:tc>
        <w:tc>
          <w:tcPr>
            <w:tcW w:type="dxa" w:w="148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WR1</w:t>
            </w:r>
          </w:p>
        </w:tc>
        <w:tc>
          <w:tcPr>
            <w:tcW w:type="dxa" w:w="148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WR2</w:t>
            </w:r>
          </w:p>
        </w:tc>
      </w:tr>
      <w:tr>
        <w:tc>
          <w:tcPr>
            <w:tcW w:type="dxa" w:w="14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10,423</w:t>
            </w:r>
          </w:p>
        </w:tc>
        <w:tc>
          <w:tcPr>
            <w:tcW w:type="dxa" w:w="14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10,580</w:t>
            </w:r>
          </w:p>
        </w:tc>
        <w:tc>
          <w:tcPr>
            <w:tcW w:type="dxa" w:w="14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10,672</w:t>
            </w:r>
          </w:p>
        </w:tc>
        <w:tc>
          <w:tcPr>
            <w:tcW w:type="dxa" w:w="14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10,828</w:t>
            </w:r>
          </w:p>
        </w:tc>
        <w:tc>
          <w:tcPr>
            <w:tcW w:type="dxa" w:w="148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10,920</w:t>
            </w:r>
          </w:p>
        </w:tc>
      </w:tr>
    </w:tbl>
    <w:p>
      <w:pPr>
        <w:spacing w:after="120" w:before="0"/>
      </w:pPr>
      <w:r>
        <w:rPr>
          <w:rFonts w:ascii="Calibri" w:cs="Calibri" w:eastAsia="Calibri" w:hAnsi="Calibri"/>
          <w:b/>
          <w:bCs/>
          <w:i w:val="false"/>
          <w:iCs w:val="false"/>
          <w:color w:val="000000"/>
          <w:sz w:val="20"/>
          <w:szCs w:val="20"/>
        </w:rPr>
        <w:t xml:space="preserve">Position narrative: </w:t>
      </w:r>
      <w:r>
        <w:rPr>
          <w:rFonts w:ascii="Calibri" w:cs="Calibri" w:eastAsia="Calibri" w:hAnsi="Calibri"/>
          <w:b w:val="false"/>
          <w:bCs w:val="false"/>
          <w:i w:val="false"/>
          <w:iCs w:val="false"/>
          <w:color w:val="000000"/>
          <w:sz w:val="20"/>
          <w:szCs w:val="20"/>
        </w:rPr>
        <w:t xml:space="preserve">The 27 Jul close (10,781) sits just beneath the 28 Jul daily central pivot (10,784) and comfortably above the weekly pivot (10,672) and weekly R1 (10,828 is the next weekly resistance). Price is in the upper half of the weekly pivot map, consistent with the bullish structure. The weekly R2 (10,920) sits essentially at the all-time high (10,935) — a natural magnet-and-resistance confluence.</w:t>
      </w:r>
    </w:p>
    <w:p>
      <w:pPr>
        <w:pStyle w:val="Heading2"/>
        <w:spacing w:after="100" w:before="220"/>
      </w:pPr>
      <w:r>
        <w:rPr>
          <w:rFonts w:ascii="Calibri" w:cs="Calibri" w:eastAsia="Calibri" w:hAnsi="Calibri"/>
          <w:b/>
          <w:bCs/>
          <w:color w:val="595959"/>
          <w:sz w:val="24"/>
          <w:szCs w:val="24"/>
        </w:rPr>
        <w:t xml:space="preserve">§12  Key Market Considerations</w:t>
      </w:r>
    </w:p>
    <w:p>
      <w:pPr>
        <w:spacing w:after="120" w:before="0"/>
      </w:pPr>
      <w:r>
        <w:rPr>
          <w:rFonts w:ascii="Calibri" w:cs="Calibri" w:eastAsia="Calibri" w:hAnsi="Calibri"/>
          <w:b/>
          <w:bCs/>
          <w:i w:val="false"/>
          <w:iCs w:val="false"/>
          <w:color w:val="000000"/>
          <w:sz w:val="20"/>
          <w:szCs w:val="20"/>
        </w:rPr>
        <w:t xml:space="preserve">Supply / commodity backdrop — </w:t>
      </w:r>
      <w:r>
        <w:rPr>
          <w:rFonts w:ascii="Calibri" w:cs="Calibri" w:eastAsia="Calibri" w:hAnsi="Calibri"/>
          <w:b w:val="false"/>
          <w:bCs w:val="false"/>
          <w:i w:val="false"/>
          <w:iCs w:val="false"/>
          <w:color w:val="000000"/>
          <w:sz w:val="20"/>
          <w:szCs w:val="20"/>
        </w:rPr>
        <w:t xml:space="preserve">price-supportive for the index. Brent fell ~6% to below $90/bbl (WTI ~$85) as the US–Iran strike pause and Iran–Oman Strait-of-Hormuz talks eased supply fears. Lower oil pressures the heavy FTSE energy weight (Shell, BP fell) but is net-positive for the broader index via lower input costs and cooler inflation.</w:t>
      </w:r>
    </w:p>
    <w:p>
      <w:pPr>
        <w:spacing w:after="120" w:before="0"/>
      </w:pPr>
      <w:r>
        <w:rPr>
          <w:rFonts w:ascii="Calibri" w:cs="Calibri" w:eastAsia="Calibri" w:hAnsi="Calibri"/>
          <w:b/>
          <w:bCs/>
          <w:i w:val="false"/>
          <w:iCs w:val="false"/>
          <w:color w:val="000000"/>
          <w:sz w:val="20"/>
          <w:szCs w:val="20"/>
        </w:rPr>
        <w:t xml:space="preserve">Demand / earnings — </w:t>
      </w:r>
      <w:r>
        <w:rPr>
          <w:rFonts w:ascii="Calibri" w:cs="Calibri" w:eastAsia="Calibri" w:hAnsi="Calibri"/>
          <w:b w:val="false"/>
          <w:bCs w:val="false"/>
          <w:i w:val="false"/>
          <w:iCs w:val="false"/>
          <w:color w:val="000000"/>
          <w:sz w:val="20"/>
          <w:szCs w:val="20"/>
        </w:rPr>
        <w:t xml:space="preserve">supportive. A dense earnings week delivered beats: Vodafone (+~5% on German-driven service-revenue growth), AstraZeneca (guidance reaffirmed, $80bn 2030 target), GSK (+2%), plus European names SAP and Wolters Kluwer. Strong corporate results are underpinning the advance.</w:t>
      </w:r>
    </w:p>
    <w:p>
      <w:pPr>
        <w:spacing w:after="120" w:before="0"/>
      </w:pPr>
      <w:r>
        <w:rPr>
          <w:rFonts w:ascii="Calibri" w:cs="Calibri" w:eastAsia="Calibri" w:hAnsi="Calibri"/>
          <w:b/>
          <w:bCs/>
          <w:i w:val="false"/>
          <w:iCs w:val="false"/>
          <w:color w:val="000000"/>
          <w:sz w:val="20"/>
          <w:szCs w:val="20"/>
        </w:rPr>
        <w:t xml:space="preserve">Policy / rates — </w:t>
      </w:r>
      <w:r>
        <w:rPr>
          <w:rFonts w:ascii="Calibri" w:cs="Calibri" w:eastAsia="Calibri" w:hAnsi="Calibri"/>
          <w:b w:val="false"/>
          <w:bCs w:val="false"/>
          <w:i w:val="false"/>
          <w:iCs w:val="false"/>
          <w:color w:val="000000"/>
          <w:sz w:val="20"/>
          <w:szCs w:val="20"/>
        </w:rPr>
        <w:t xml:space="preserve">watch item (see §13d). All 70 economists in a Reuters survey expect the BoE to hold at 3.75% on 30 July; gilt yields slipped to a one-week low as oil fell. UK CPI held at 2.6%. The ECB held on 23 July.</w:t>
      </w:r>
    </w:p>
    <w:p>
      <w:pPr>
        <w:spacing w:after="120" w:before="0"/>
      </w:pPr>
      <w:r>
        <w:rPr>
          <w:rFonts w:ascii="Calibri" w:cs="Calibri" w:eastAsia="Calibri" w:hAnsi="Calibri"/>
          <w:b/>
          <w:bCs/>
          <w:i w:val="false"/>
          <w:iCs w:val="false"/>
          <w:color w:val="000000"/>
          <w:sz w:val="20"/>
          <w:szCs w:val="20"/>
        </w:rPr>
        <w:t xml:space="preserve">Macro / FX — </w:t>
      </w:r>
      <w:r>
        <w:rPr>
          <w:rFonts w:ascii="Calibri" w:cs="Calibri" w:eastAsia="Calibri" w:hAnsi="Calibri"/>
          <w:b w:val="false"/>
          <w:bCs w:val="false"/>
          <w:i w:val="false"/>
          <w:iCs w:val="false"/>
          <w:color w:val="000000"/>
          <w:sz w:val="20"/>
          <w:szCs w:val="20"/>
        </w:rPr>
        <w:t xml:space="preserve">neutral-to-supportive. GBP/USD ~1.335 and EUR/USD ~1.14 are broadly stable; no FX shock to multinational translation. UK retail sales surprised +1% and PMIs returned to expansion.</w:t>
      </w:r>
    </w:p>
    <w:p>
      <w:pPr>
        <w:spacing w:after="120" w:before="0"/>
      </w:pPr>
      <w:r>
        <w:rPr>
          <w:rFonts w:ascii="Calibri" w:cs="Calibri" w:eastAsia="Calibri" w:hAnsi="Calibri"/>
          <w:b/>
          <w:bCs/>
          <w:i w:val="false"/>
          <w:iCs w:val="false"/>
          <w:color w:val="000000"/>
          <w:sz w:val="20"/>
          <w:szCs w:val="20"/>
        </w:rPr>
        <w:t xml:space="preserve">Near-term catalysts — </w:t>
      </w:r>
      <w:r>
        <w:rPr>
          <w:rFonts w:ascii="Calibri" w:cs="Calibri" w:eastAsia="Calibri" w:hAnsi="Calibri"/>
          <w:b w:val="false"/>
          <w:bCs w:val="false"/>
          <w:i w:val="false"/>
          <w:iCs w:val="false"/>
          <w:color w:val="000000"/>
          <w:sz w:val="20"/>
          <w:szCs w:val="20"/>
        </w:rPr>
        <w:t xml:space="preserve">BoE decision (30 Jul), ongoing Middle-East diplomacy headlines, continued Q2 earnings, and any renewed oil move. These are weighted against the TREND_UP regime: catalysts that keep oil subdued and earnings firm extend the trend; an oil re-spike is the principal reversal risk.</w:t>
      </w:r>
    </w:p>
    <w:p>
      <w:pPr>
        <w:pStyle w:val="Heading2"/>
        <w:spacing w:after="100" w:before="220"/>
      </w:pPr>
      <w:r>
        <w:rPr>
          <w:rFonts w:ascii="Calibri" w:cs="Calibri" w:eastAsia="Calibri" w:hAnsi="Calibri"/>
          <w:b/>
          <w:bCs/>
          <w:color w:val="595959"/>
          <w:sz w:val="24"/>
          <w:szCs w:val="24"/>
        </w:rPr>
        <w:t xml:space="preserve">§13  Sentiment, News &amp; Calendar</w:t>
      </w:r>
    </w:p>
    <w:p>
      <w:pPr>
        <w:spacing w:after="120" w:before="0"/>
      </w:pPr>
      <w:r>
        <w:rPr>
          <w:rFonts w:ascii="Calibri" w:cs="Calibri" w:eastAsia="Calibri" w:hAnsi="Calibri"/>
          <w:b/>
          <w:bCs/>
          <w:i w:val="false"/>
          <w:iCs w:val="false"/>
          <w:color w:val="000000"/>
          <w:sz w:val="20"/>
          <w:szCs w:val="20"/>
        </w:rPr>
        <w:t xml:space="preserve">§13a  Per-article sentiment</w:t>
      </w:r>
    </w:p>
    <w:tbl>
      <w:tblPr>
        <w:tblW w:type="dxa" w:w="89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1300"/>
        <w:gridCol w:w="1300"/>
        <w:gridCol w:w="3700"/>
      </w:tblGrid>
      <w:tr>
        <w:trPr>
          <w:tblHeader/>
        </w:trPr>
        <w:tc>
          <w:tcPr>
            <w:tcW w:type="dxa" w:w="26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Source / headline</w:t>
            </w:r>
          </w:p>
        </w:tc>
        <w:tc>
          <w:tcPr>
            <w:tcW w:type="dxa" w:w="13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Class</w:t>
            </w:r>
          </w:p>
        </w:tc>
        <w:tc>
          <w:tcPr>
            <w:tcW w:type="dxa" w:w="13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Src class</w:t>
            </w:r>
          </w:p>
        </w:tc>
        <w:tc>
          <w:tcPr>
            <w:tcW w:type="dxa" w:w="37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Derivation quote (≤15 words)</w:t>
            </w:r>
          </w:p>
        </w:tc>
      </w:tr>
      <w:tr>
        <w:tc>
          <w:tcPr>
            <w:tcW w:type="dxa" w:w="26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TradingEconomics — FTSE climbs above 10,780 on earnings, easing oil</w:t>
            </w:r>
          </w:p>
        </w:tc>
        <w:tc>
          <w:tcPr>
            <w:tcW w:type="dxa" w:w="1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Bullish</w:t>
            </w:r>
          </w:p>
        </w:tc>
        <w:tc>
          <w:tcPr>
            <w:tcW w:type="dxa" w:w="1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Media</w:t>
            </w:r>
          </w:p>
        </w:tc>
        <w:tc>
          <w:tcPr>
            <w:tcW w:type="dxa" w:w="37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'highest level since the record close on February 27… strong corporate earnings'</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IG / Proactive — FTSE finishes at 10,781 amid US-Iran pause</w:t>
            </w:r>
          </w:p>
        </w:tc>
        <w:tc>
          <w:tcPr>
            <w:tcW w:type="dxa" w:w="1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Bullish</w:t>
            </w:r>
          </w:p>
        </w:tc>
        <w:tc>
          <w:tcPr>
            <w:tcW w:type="dxa" w:w="1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Trade Press</w:t>
            </w:r>
          </w:p>
        </w:tc>
        <w:tc>
          <w:tcPr>
            <w:tcW w:type="dxa" w:w="37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'resilience of European stock markets… driven by this reversal in oil prices'</w:t>
            </w:r>
          </w:p>
        </w:tc>
      </w:tr>
      <w:tr>
        <w:tc>
          <w:tcPr>
            <w:tcW w:type="dxa" w:w="26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Reuters survey (via WSJ) — all 70 economists see BoE hold</w:t>
            </w:r>
          </w:p>
        </w:tc>
        <w:tc>
          <w:tcPr>
            <w:tcW w:type="dxa" w:w="1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Neutral</w:t>
            </w:r>
          </w:p>
        </w:tc>
        <w:tc>
          <w:tcPr>
            <w:tcW w:type="dxa" w:w="1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Institutional</w:t>
            </w:r>
          </w:p>
        </w:tc>
        <w:tc>
          <w:tcPr>
            <w:tcW w:type="dxa" w:w="37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'all 70 economists predict the Bank of England will keep its 3.75% rate'</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BBN Times — Friday late-session rally erases early losses</w:t>
            </w:r>
          </w:p>
        </w:tc>
        <w:tc>
          <w:tcPr>
            <w:tcW w:type="dxa" w:w="1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Bullish</w:t>
            </w:r>
          </w:p>
        </w:tc>
        <w:tc>
          <w:tcPr>
            <w:tcW w:type="dxa" w:w="1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Media</w:t>
            </w:r>
          </w:p>
        </w:tc>
        <w:tc>
          <w:tcPr>
            <w:tcW w:type="dxa" w:w="37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'staged a pronounced rally through the afternoon'</w:t>
            </w:r>
          </w:p>
        </w:tc>
      </w:tr>
      <w:tr>
        <w:tc>
          <w:tcPr>
            <w:tcW w:type="dxa" w:w="26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Sundayguardian — risk-on lifts FTSE on lower oil</w:t>
            </w:r>
          </w:p>
        </w:tc>
        <w:tc>
          <w:tcPr>
            <w:tcW w:type="dxa" w:w="1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Bullish</w:t>
            </w:r>
          </w:p>
        </w:tc>
        <w:tc>
          <w:tcPr>
            <w:tcW w:type="dxa" w:w="1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Media</w:t>
            </w:r>
          </w:p>
        </w:tc>
        <w:tc>
          <w:tcPr>
            <w:tcW w:type="dxa" w:w="37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'reduced oil prices, decreased geopolitical risks… increased demand for equities'</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TE — energy stocks decline as oil weakens</w:t>
            </w:r>
          </w:p>
        </w:tc>
        <w:tc>
          <w:tcPr>
            <w:tcW w:type="dxa" w:w="1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Mixed</w:t>
            </w:r>
          </w:p>
        </w:tc>
        <w:tc>
          <w:tcPr>
            <w:tcW w:type="dxa" w:w="1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Media</w:t>
            </w:r>
          </w:p>
        </w:tc>
        <w:tc>
          <w:tcPr>
            <w:tcW w:type="dxa" w:w="37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'Shell down 0.9% and BP falling 2.6%' (offsets index gains)</w:t>
            </w:r>
          </w:p>
        </w:tc>
      </w:tr>
    </w:tbl>
    <w:p>
      <w:pPr>
        <w:spacing w:after="120" w:before="0"/>
      </w:pPr>
      <w:r>
        <w:rPr>
          <w:rFonts w:ascii="Calibri" w:cs="Calibri" w:eastAsia="Calibri" w:hAnsi="Calibri"/>
          <w:b/>
          <w:bCs/>
          <w:i w:val="false"/>
          <w:iCs w:val="false"/>
          <w:color w:val="000000"/>
          <w:sz w:val="20"/>
          <w:szCs w:val="20"/>
        </w:rPr>
        <w:t xml:space="preserve">§13b  Aggregate sentiment: </w:t>
      </w:r>
      <w:r>
        <w:rPr>
          <w:rFonts w:ascii="Calibri" w:cs="Calibri" w:eastAsia="Calibri" w:hAnsi="Calibri"/>
          <w:b/>
          <w:bCs/>
          <w:i w:val="false"/>
          <w:iCs w:val="false"/>
          <w:color w:val="2E7D32"/>
          <w:sz w:val="20"/>
          <w:szCs w:val="20"/>
        </w:rPr>
        <w:t xml:space="preserve">Predominantly Bullish (tilt = +0.55). </w:t>
      </w:r>
      <w:r>
        <w:rPr>
          <w:rFonts w:ascii="Calibri" w:cs="Calibri" w:eastAsia="Calibri" w:hAnsi="Calibri"/>
          <w:b w:val="false"/>
          <w:bCs w:val="false"/>
          <w:i w:val="false"/>
          <w:iCs w:val="false"/>
          <w:color w:val="000000"/>
          <w:sz w:val="20"/>
          <w:szCs w:val="20"/>
        </w:rPr>
        <w:t xml:space="preserve">Counts: 4 Bullish (1 trade-press, 3 media), 1 Neutral (institutional), 1 Mixed. Weighted mean of article scores using source-class weights (Institutional 1.0 / Trade Press 0.7 / Media 0.5) yields a positive tilt just above +0.5. This is the numeric value consumed by the strategy layer (§21a).</w:t>
      </w:r>
    </w:p>
    <w:p>
      <w:pPr>
        <w:spacing w:after="120" w:before="0"/>
      </w:pPr>
      <w:r>
        <w:rPr>
          <w:rFonts w:ascii="Calibri" w:cs="Calibri" w:eastAsia="Calibri" w:hAnsi="Calibri"/>
          <w:b/>
          <w:bCs/>
          <w:i w:val="false"/>
          <w:iCs w:val="false"/>
          <w:color w:val="000000"/>
          <w:sz w:val="20"/>
          <w:szCs w:val="20"/>
        </w:rPr>
        <w:t xml:space="preserve">§13c  Previous-period calendar (21–27 Jul)</w:t>
      </w:r>
    </w:p>
    <w:tbl>
      <w:tblPr>
        <w:tblW w:type="dxa" w:w="9800"/>
        <w:tblBorders>
          <w:top w:val="single" w:color="BFBFBF" w:sz="2"/>
          <w:left w:val="single" w:color="BFBFBF" w:sz="2"/>
          <w:bottom w:val="single" w:color="BFBFBF" w:sz="2"/>
          <w:right w:val="single" w:color="BFBFBF" w:sz="2"/>
          <w:insideH w:val="single" w:color="D9D9D9" w:sz="1"/>
          <w:insideV w:val="single" w:color="D9D9D9" w:sz="1"/>
        </w:tblBorders>
      </w:tblPr>
      <w:tblGrid>
        <w:gridCol w:w="1300"/>
        <w:gridCol w:w="2500"/>
        <w:gridCol w:w="2400"/>
        <w:gridCol w:w="900"/>
        <w:gridCol w:w="2700"/>
      </w:tblGrid>
      <w:tr>
        <w:trPr>
          <w:tblHeader/>
        </w:trPr>
        <w:tc>
          <w:tcPr>
            <w:tcW w:type="dxa" w:w="13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Date</w:t>
            </w:r>
          </w:p>
        </w:tc>
        <w:tc>
          <w:tcPr>
            <w:tcW w:type="dxa" w:w="25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Event</w:t>
            </w:r>
          </w:p>
        </w:tc>
        <w:tc>
          <w:tcPr>
            <w:tcW w:type="dxa" w:w="24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Prior/Context</w:t>
            </w:r>
          </w:p>
        </w:tc>
        <w:tc>
          <w:tcPr>
            <w:tcW w:type="dxa" w:w="9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Impact</w:t>
            </w:r>
          </w:p>
        </w:tc>
        <w:tc>
          <w:tcPr>
            <w:tcW w:type="dxa" w:w="27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Market implication</w:t>
            </w:r>
          </w:p>
        </w:tc>
      </w:tr>
      <w:tr>
        <w:tc>
          <w:tcPr>
            <w:tcW w:type="dxa" w:w="1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Wed 22 Jul</w:t>
            </w:r>
          </w:p>
        </w:tc>
        <w:tc>
          <w:tcPr>
            <w:tcW w:type="dxa" w:w="25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UK CPI (Jun)</w:t>
            </w:r>
          </w:p>
        </w:tc>
        <w:tc>
          <w:tcPr>
            <w:tcW w:type="dxa" w:w="24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Held 2.6%</w:t>
            </w:r>
          </w:p>
        </w:tc>
        <w:tc>
          <w:tcPr>
            <w:tcW w:type="dxa" w:w="9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Med</w:t>
            </w:r>
          </w:p>
        </w:tc>
        <w:tc>
          <w:tcPr>
            <w:tcW w:type="dxa" w:w="27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Steady inflation supported hold expectations; FTSE +1.24% that day</w:t>
            </w:r>
          </w:p>
        </w:tc>
      </w:tr>
      <w:tr>
        <w:tc>
          <w:tcPr>
            <w:tcW w:type="dxa" w:w="1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Wed 23 Jul</w:t>
            </w:r>
          </w:p>
        </w:tc>
        <w:tc>
          <w:tcPr>
            <w:tcW w:type="dxa" w:w="25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ECB rate decision</w:t>
            </w:r>
          </w:p>
        </w:tc>
        <w:tc>
          <w:tcPr>
            <w:tcW w:type="dxa" w:w="24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Held</w:t>
            </w:r>
          </w:p>
        </w:tc>
        <w:tc>
          <w:tcPr>
            <w:tcW w:type="dxa" w:w="9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Med</w:t>
            </w:r>
          </w:p>
        </w:tc>
        <w:tc>
          <w:tcPr>
            <w:tcW w:type="dxa" w:w="27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No surprise; Eurozone equities steady</w:t>
            </w:r>
          </w:p>
        </w:tc>
      </w:tr>
      <w:tr>
        <w:tc>
          <w:tcPr>
            <w:tcW w:type="dxa" w:w="1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Thu 23 Jul</w:t>
            </w:r>
          </w:p>
        </w:tc>
        <w:tc>
          <w:tcPr>
            <w:tcW w:type="dxa" w:w="25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Red Sea tanker / oil spike</w:t>
            </w:r>
          </w:p>
        </w:tc>
        <w:tc>
          <w:tcPr>
            <w:tcW w:type="dxa" w:w="24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Brent &gt;$100</w:t>
            </w:r>
          </w:p>
        </w:tc>
        <w:tc>
          <w:tcPr>
            <w:tcW w:type="dxa" w:w="9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High</w:t>
            </w:r>
          </w:p>
        </w:tc>
        <w:tc>
          <w:tcPr>
            <w:tcW w:type="dxa" w:w="27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FTSE −0.73% risk-off; energy names supported</w:t>
            </w:r>
          </w:p>
        </w:tc>
      </w:tr>
      <w:tr>
        <w:tc>
          <w:tcPr>
            <w:tcW w:type="dxa" w:w="1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Fri 24 Jul</w:t>
            </w:r>
          </w:p>
        </w:tc>
        <w:tc>
          <w:tcPr>
            <w:tcW w:type="dxa" w:w="25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UK retail sales / PMIs</w:t>
            </w:r>
          </w:p>
        </w:tc>
        <w:tc>
          <w:tcPr>
            <w:tcW w:type="dxa" w:w="24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Beat</w:t>
            </w:r>
          </w:p>
        </w:tc>
        <w:tc>
          <w:tcPr>
            <w:tcW w:type="dxa" w:w="9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Med</w:t>
            </w:r>
          </w:p>
        </w:tc>
        <w:tc>
          <w:tcPr>
            <w:tcW w:type="dxa" w:w="27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Retail +1% vs −0.3% exp; FTSE +0.91%</w:t>
            </w:r>
          </w:p>
        </w:tc>
      </w:tr>
      <w:tr>
        <w:tc>
          <w:tcPr>
            <w:tcW w:type="dxa" w:w="1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w/e 27 Jul</w:t>
            </w:r>
          </w:p>
        </w:tc>
        <w:tc>
          <w:tcPr>
            <w:tcW w:type="dxa" w:w="25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US–Iran strike pause</w:t>
            </w:r>
          </w:p>
        </w:tc>
        <w:tc>
          <w:tcPr>
            <w:tcW w:type="dxa" w:w="24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3rd night</w:t>
            </w:r>
          </w:p>
        </w:tc>
        <w:tc>
          <w:tcPr>
            <w:tcW w:type="dxa" w:w="9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High</w:t>
            </w:r>
          </w:p>
        </w:tc>
        <w:tc>
          <w:tcPr>
            <w:tcW w:type="dxa" w:w="27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Oil −6%; FTSE to multi-month high</w:t>
            </w:r>
          </w:p>
        </w:tc>
      </w:tr>
    </w:tbl>
    <w:p>
      <w:pPr>
        <w:spacing w:after="120" w:before="0"/>
      </w:pPr>
      <w:r>
        <w:rPr>
          <w:rFonts w:ascii="Calibri" w:cs="Calibri" w:eastAsia="Calibri" w:hAnsi="Calibri"/>
          <w:b/>
          <w:bCs/>
          <w:i w:val="false"/>
          <w:iCs w:val="false"/>
          <w:color w:val="000000"/>
          <w:sz w:val="20"/>
          <w:szCs w:val="20"/>
        </w:rPr>
        <w:t xml:space="preserve">§13d  Upcoming-period calendar (next 5 sessions)</w:t>
      </w:r>
    </w:p>
    <w:tbl>
      <w:tblPr>
        <w:tblW w:type="dxa" w:w="9800"/>
        <w:tblBorders>
          <w:top w:val="single" w:color="BFBFBF" w:sz="2"/>
          <w:left w:val="single" w:color="BFBFBF" w:sz="2"/>
          <w:bottom w:val="single" w:color="BFBFBF" w:sz="2"/>
          <w:right w:val="single" w:color="BFBFBF" w:sz="2"/>
          <w:insideH w:val="single" w:color="D9D9D9" w:sz="1"/>
          <w:insideV w:val="single" w:color="D9D9D9" w:sz="1"/>
        </w:tblBorders>
      </w:tblPr>
      <w:tblGrid>
        <w:gridCol w:w="1300"/>
        <w:gridCol w:w="2600"/>
        <w:gridCol w:w="2300"/>
        <w:gridCol w:w="900"/>
        <w:gridCol w:w="2700"/>
      </w:tblGrid>
      <w:tr>
        <w:trPr>
          <w:tblHeader/>
        </w:trPr>
        <w:tc>
          <w:tcPr>
            <w:tcW w:type="dxa" w:w="13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Date</w:t>
            </w:r>
          </w:p>
        </w:tc>
        <w:tc>
          <w:tcPr>
            <w:tcW w:type="dxa" w:w="26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Event</w:t>
            </w:r>
          </w:p>
        </w:tc>
        <w:tc>
          <w:tcPr>
            <w:tcW w:type="dxa" w:w="23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Context</w:t>
            </w:r>
          </w:p>
        </w:tc>
        <w:tc>
          <w:tcPr>
            <w:tcW w:type="dxa" w:w="9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Impact</w:t>
            </w:r>
          </w:p>
        </w:tc>
        <w:tc>
          <w:tcPr>
            <w:tcW w:type="dxa" w:w="27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Mechanism for FTSE</w:t>
            </w:r>
          </w:p>
        </w:tc>
      </w:tr>
      <w:tr>
        <w:tc>
          <w:tcPr>
            <w:tcW w:type="dxa" w:w="1300"/>
            <w:tcMar>
              <w:top w:type="dxa" w:w="40"/>
              <w:left w:type="dxa" w:w="60"/>
              <w:bottom w:type="dxa" w:w="40"/>
              <w:right w:type="dxa" w:w="60"/>
            </w:tcMar>
          </w:tcPr>
          <w:p>
            <w:pPr>
              <w:spacing w:after="0"/>
              <w:jc w:val="left"/>
            </w:pPr>
            <w:r>
              <w:rPr>
                <w:rFonts w:ascii="Calibri" w:cs="Calibri" w:eastAsia="Calibri" w:hAnsi="Calibri"/>
                <w:b/>
                <w:bCs/>
                <w:sz w:val="18"/>
                <w:szCs w:val="18"/>
              </w:rPr>
              <w:t xml:space="preserve">Thu 30 Jul</w:t>
            </w:r>
          </w:p>
        </w:tc>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BoE Bank Rate decision</w:t>
            </w:r>
          </w:p>
        </w:tc>
        <w:tc>
          <w:tcPr>
            <w:tcW w:type="dxa" w:w="2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Consensus hold 3.75%</w:t>
            </w:r>
          </w:p>
        </w:tc>
        <w:tc>
          <w:tcPr>
            <w:tcW w:type="dxa" w:w="9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High</w:t>
            </w:r>
          </w:p>
        </w:tc>
        <w:tc>
          <w:tcPr>
            <w:tcW w:type="dxa" w:w="27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A hold is priced; a hawkish surprise lifts GBP and pressures multinationals; a dovish tilt supports domestics</w:t>
            </w:r>
          </w:p>
        </w:tc>
      </w:tr>
      <w:tr>
        <w:tc>
          <w:tcPr>
            <w:tcW w:type="dxa" w:w="1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Mon 27–Fri 31</w:t>
            </w:r>
          </w:p>
        </w:tc>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Q2 earnings (rolling)</w:t>
            </w:r>
          </w:p>
        </w:tc>
        <w:tc>
          <w:tcPr>
            <w:tcW w:type="dxa" w:w="2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Heavy week</w:t>
            </w:r>
          </w:p>
        </w:tc>
        <w:tc>
          <w:tcPr>
            <w:tcW w:type="dxa" w:w="9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Med</w:t>
            </w:r>
          </w:p>
        </w:tc>
        <w:tc>
          <w:tcPr>
            <w:tcW w:type="dxa" w:w="27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Continued beats extend the trend; misses cap upside</w:t>
            </w:r>
          </w:p>
        </w:tc>
      </w:tr>
      <w:tr>
        <w:tc>
          <w:tcPr>
            <w:tcW w:type="dxa" w:w="1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Ongoing</w:t>
            </w:r>
          </w:p>
        </w:tc>
        <w:tc>
          <w:tcPr>
            <w:tcW w:type="dxa" w:w="26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Middle-East diplomacy / oil</w:t>
            </w:r>
          </w:p>
        </w:tc>
        <w:tc>
          <w:tcPr>
            <w:tcW w:type="dxa" w:w="2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Iran–Oman talks</w:t>
            </w:r>
          </w:p>
        </w:tc>
        <w:tc>
          <w:tcPr>
            <w:tcW w:type="dxa" w:w="9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High</w:t>
            </w:r>
          </w:p>
        </w:tc>
        <w:tc>
          <w:tcPr>
            <w:tcW w:type="dxa" w:w="27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Sustained low oil is index-supportive; a re-spike is the main reversal risk</w:t>
            </w:r>
          </w:p>
        </w:tc>
      </w:tr>
    </w:tbl>
    <w:p>
      <w:pPr>
        <w:spacing w:after="120" w:before="0"/>
      </w:pPr>
      <w:r>
        <w:rPr>
          <w:rFonts w:ascii="Calibri" w:cs="Calibri" w:eastAsia="Calibri" w:hAnsi="Calibri"/>
          <w:b/>
          <w:bCs/>
          <w:i w:val="false"/>
          <w:iCs w:val="false"/>
          <w:color w:val="000000"/>
          <w:sz w:val="20"/>
          <w:szCs w:val="20"/>
        </w:rPr>
        <w:t xml:space="preserve">Highest-impact upcoming event: </w:t>
      </w:r>
      <w:r>
        <w:rPr>
          <w:rFonts w:ascii="Calibri" w:cs="Calibri" w:eastAsia="Calibri" w:hAnsi="Calibri"/>
          <w:b/>
          <w:bCs/>
          <w:i w:val="false"/>
          <w:iCs w:val="false"/>
          <w:color w:val="000000"/>
          <w:sz w:val="20"/>
          <w:szCs w:val="20"/>
        </w:rPr>
        <w:t xml:space="preserve">the </w:t>
      </w:r>
      <w:r>
        <w:rPr>
          <w:rFonts w:ascii="Calibri" w:cs="Calibri" w:eastAsia="Calibri" w:hAnsi="Calibri"/>
          <w:b/>
          <w:bCs/>
          <w:i w:val="false"/>
          <w:iCs w:val="false"/>
          <w:color w:val="000000"/>
          <w:sz w:val="20"/>
          <w:szCs w:val="20"/>
        </w:rPr>
        <w:t xml:space="preserve">Bank of England decision (Thu 30 Jul)</w:t>
      </w:r>
      <w:r>
        <w:rPr>
          <w:rFonts w:ascii="Calibri" w:cs="Calibri" w:eastAsia="Calibri" w:hAnsi="Calibri"/>
          <w:b/>
          <w:bCs/>
          <w:i w:val="false"/>
          <w:iCs w:val="false"/>
          <w:color w:val="000000"/>
          <w:sz w:val="20"/>
          <w:szCs w:val="20"/>
        </w:rPr>
        <w:t xml:space="preserve"> — a hawkish surprise would strengthen sterling and weigh on the FTSE's dollar/euro-earning multinationals, the mechanism most able to invalidate the near-term bullish view.</w:t>
      </w:r>
    </w:p>
    <w:p>
      <w:pPr>
        <w:pStyle w:val="Heading2"/>
        <w:spacing w:after="100" w:before="220"/>
      </w:pPr>
      <w:r>
        <w:rPr>
          <w:rFonts w:ascii="Calibri" w:cs="Calibri" w:eastAsia="Calibri" w:hAnsi="Calibri"/>
          <w:b/>
          <w:bCs/>
          <w:color w:val="595959"/>
          <w:sz w:val="24"/>
          <w:szCs w:val="24"/>
        </w:rPr>
        <w:t xml:space="preserve">§14  Macro Context</w:t>
      </w:r>
    </w:p>
    <w:p>
      <w:pPr>
        <w:spacing w:after="120" w:before="0"/>
      </w:pPr>
      <w:r>
        <w:rPr>
          <w:rFonts w:ascii="Calibri" w:cs="Calibri" w:eastAsia="Calibri" w:hAnsi="Calibri"/>
          <w:b/>
          <w:bCs/>
          <w:i w:val="false"/>
          <w:iCs w:val="false"/>
          <w:color w:val="000000"/>
          <w:sz w:val="20"/>
          <w:szCs w:val="20"/>
        </w:rPr>
        <w:t xml:space="preserve">Rates &amp; liquidity: </w:t>
      </w:r>
      <w:r>
        <w:rPr>
          <w:rFonts w:ascii="Calibri" w:cs="Calibri" w:eastAsia="Calibri" w:hAnsi="Calibri"/>
          <w:b w:val="false"/>
          <w:bCs w:val="false"/>
          <w:i w:val="false"/>
          <w:iCs w:val="false"/>
          <w:color w:val="000000"/>
          <w:sz w:val="20"/>
          <w:szCs w:val="20"/>
        </w:rPr>
        <w:t xml:space="preserve">BoE at 3.75% (hold expected 30 Jul); ECB on hold. UK 10-year gilt yield ~5.05%, easing with oil. Rates backdrop is stable and mildly supportive of equities. </w:t>
      </w:r>
    </w:p>
    <w:p>
      <w:pPr>
        <w:spacing w:after="120" w:before="0"/>
      </w:pPr>
      <w:r>
        <w:rPr>
          <w:rFonts w:ascii="Calibri" w:cs="Calibri" w:eastAsia="Calibri" w:hAnsi="Calibri"/>
          <w:b/>
          <w:bCs/>
          <w:i w:val="false"/>
          <w:iCs w:val="false"/>
          <w:color w:val="000000"/>
          <w:sz w:val="20"/>
          <w:szCs w:val="20"/>
        </w:rPr>
        <w:t xml:space="preserve">Inflation: </w:t>
      </w:r>
      <w:r>
        <w:rPr>
          <w:rFonts w:ascii="Calibri" w:cs="Calibri" w:eastAsia="Calibri" w:hAnsi="Calibri"/>
          <w:b w:val="false"/>
          <w:bCs w:val="false"/>
          <w:i w:val="false"/>
          <w:iCs w:val="false"/>
          <w:color w:val="000000"/>
          <w:sz w:val="20"/>
          <w:szCs w:val="20"/>
        </w:rPr>
        <w:t xml:space="preserve">UK CPI 2.6% (steady); falling oil reduces near-term energy-inflation risk. </w:t>
      </w:r>
    </w:p>
    <w:p>
      <w:pPr>
        <w:spacing w:after="120" w:before="0"/>
      </w:pPr>
      <w:r>
        <w:rPr>
          <w:rFonts w:ascii="Calibri" w:cs="Calibri" w:eastAsia="Calibri" w:hAnsi="Calibri"/>
          <w:b/>
          <w:bCs/>
          <w:i w:val="false"/>
          <w:iCs w:val="false"/>
          <w:color w:val="000000"/>
          <w:sz w:val="20"/>
          <w:szCs w:val="20"/>
        </w:rPr>
        <w:t xml:space="preserve">FX (see §10 counters): </w:t>
      </w:r>
      <w:r>
        <w:rPr>
          <w:rFonts w:ascii="Calibri" w:cs="Calibri" w:eastAsia="Calibri" w:hAnsi="Calibri"/>
          <w:b w:val="false"/>
          <w:bCs w:val="false"/>
          <w:i w:val="false"/>
          <w:iCs w:val="false"/>
          <w:color w:val="000000"/>
          <w:sz w:val="20"/>
          <w:szCs w:val="20"/>
        </w:rPr>
        <w:t xml:space="preserve">GBP/USD ~1.335, EUR/USD ~1.14, USDX ~101.5 — all broadly stable, no translation shock. </w:t>
      </w:r>
    </w:p>
    <w:p>
      <w:pPr>
        <w:spacing w:after="120" w:before="0"/>
      </w:pPr>
      <w:r>
        <w:rPr>
          <w:rFonts w:ascii="Calibri" w:cs="Calibri" w:eastAsia="Calibri" w:hAnsi="Calibri"/>
          <w:b/>
          <w:bCs/>
          <w:i w:val="false"/>
          <w:iCs w:val="false"/>
          <w:color w:val="000000"/>
          <w:sz w:val="20"/>
          <w:szCs w:val="20"/>
        </w:rPr>
        <w:t xml:space="preserve">Positioning: </w:t>
      </w:r>
      <w:r>
        <w:rPr>
          <w:rFonts w:ascii="Calibri" w:cs="Calibri" w:eastAsia="Calibri" w:hAnsi="Calibri"/>
          <w:b w:val="false"/>
          <w:bCs w:val="false"/>
          <w:i w:val="false"/>
          <w:iCs w:val="false"/>
          <w:color w:val="000000"/>
          <w:sz w:val="20"/>
          <w:szCs w:val="20"/>
        </w:rPr>
        <w:t xml:space="preserve">European equities showing relative strength vs the US into H2; the BoE decision on 30 Jul (flagged in §13d) is the primary near-term macro watch item.</w:t>
      </w:r>
    </w:p>
    <w:p>
      <w:pPr>
        <w:pStyle w:val="Heading2"/>
        <w:spacing w:after="100" w:before="220"/>
      </w:pPr>
      <w:r>
        <w:rPr>
          <w:rFonts w:ascii="Calibri" w:cs="Calibri" w:eastAsia="Calibri" w:hAnsi="Calibri"/>
          <w:b/>
          <w:bCs/>
          <w:color w:val="1F3864"/>
          <w:sz w:val="24"/>
          <w:szCs w:val="24"/>
        </w:rPr>
        <w:t xml:space="preserve">§15  Bull / Bear Balance</w:t>
      </w:r>
    </w:p>
    <w:tbl>
      <w:tblPr>
        <w:tblW w:type="dxa" w:w="8900"/>
        <w:tblBorders>
          <w:top w:val="single" w:color="BFBFBF" w:sz="2"/>
          <w:left w:val="single" w:color="BFBFBF" w:sz="2"/>
          <w:bottom w:val="single" w:color="BFBFBF" w:sz="2"/>
          <w:right w:val="single" w:color="BFBFBF" w:sz="2"/>
          <w:insideH w:val="single" w:color="D9D9D9" w:sz="1"/>
          <w:insideV w:val="single" w:color="D9D9D9" w:sz="1"/>
        </w:tblBorders>
      </w:tblPr>
      <w:tblGrid>
        <w:gridCol w:w="4450"/>
        <w:gridCol w:w="4450"/>
      </w:tblGrid>
      <w:tr>
        <w:trPr>
          <w:tblHeader/>
        </w:trPr>
        <w:tc>
          <w:tcPr>
            <w:tcW w:type="dxa" w:w="44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Upside risks (bull)</w:t>
            </w:r>
          </w:p>
        </w:tc>
        <w:tc>
          <w:tcPr>
            <w:tcW w:type="dxa" w:w="44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Downside risks (bear)</w:t>
            </w:r>
          </w:p>
        </w:tc>
      </w:tr>
      <w:tr>
        <w:tc>
          <w:tcPr>
            <w:tcW w:type="dxa" w:w="44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Sustained sub-$90 oil keeps inflation cool and risk-on flow intact</w:t>
            </w:r>
          </w:p>
        </w:tc>
        <w:tc>
          <w:tcPr>
            <w:tcW w:type="dxa" w:w="44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Oil re-spike on renewed Middle-East escalation (the 23 Jul template)</w:t>
            </w:r>
          </w:p>
        </w:tc>
      </w:tr>
      <w:tr>
        <w:tc>
          <w:tcPr>
            <w:tcW w:type="dxa" w:w="44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Continued Q2 earnings beats (Vodafone/AZN momentum)</w:t>
            </w:r>
          </w:p>
        </w:tc>
        <w:tc>
          <w:tcPr>
            <w:tcW w:type="dxa" w:w="44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Hawkish BoE surprise on 30 Jul lifts GBP, pressures multinationals</w:t>
            </w:r>
          </w:p>
        </w:tc>
      </w:tr>
      <w:tr>
        <w:tc>
          <w:tcPr>
            <w:tcW w:type="dxa" w:w="44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Break of weekly R1 (10,828) opens a run at the 10,935 record</w:t>
            </w:r>
          </w:p>
        </w:tc>
        <w:tc>
          <w:tcPr>
            <w:tcW w:type="dxa" w:w="44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RSI2 at 100 → short-term overbought pullback toward daily P/S1</w:t>
            </w:r>
          </w:p>
        </w:tc>
      </w:tr>
      <w:tr>
        <w:tc>
          <w:tcPr>
            <w:tcW w:type="dxa" w:w="44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Broad European risk-on (DAX/STOXX leadership) pulls FTSE higher</w:t>
            </w:r>
          </w:p>
        </w:tc>
        <w:tc>
          <w:tcPr>
            <w:tcW w:type="dxa" w:w="44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Energy-heavy index vulnerable if oil majors keep sliding</w:t>
            </w:r>
          </w:p>
        </w:tc>
      </w:tr>
    </w:tbl>
    <w:p>
      <w:pPr>
        <w:spacing w:after="120" w:before="0"/>
      </w:pPr>
      <w:r>
        <w:rPr>
          <w:rFonts w:ascii="Calibri" w:cs="Calibri" w:eastAsia="Calibri" w:hAnsi="Calibri"/>
          <w:b/>
          <w:bCs/>
          <w:i w:val="false"/>
          <w:iCs w:val="false"/>
          <w:color w:val="000000"/>
          <w:sz w:val="20"/>
          <w:szCs w:val="20"/>
        </w:rPr>
        <w:t xml:space="preserve">Balance: </w:t>
      </w:r>
      <w:r>
        <w:rPr>
          <w:rFonts w:ascii="Calibri" w:cs="Calibri" w:eastAsia="Calibri" w:hAnsi="Calibri"/>
          <w:b w:val="false"/>
          <w:bCs w:val="false"/>
          <w:i w:val="false"/>
          <w:iCs w:val="false"/>
          <w:color w:val="000000"/>
          <w:sz w:val="20"/>
          <w:szCs w:val="20"/>
        </w:rPr>
        <w:t xml:space="preserve">Tilted bullish. Price sits above the weekly pivot (10,672) in a TREND_UP regime (§9, §11); the dominant §13d event (BoE 30 Jul) is the key swing factor and is consensus-hold. Near-term overbought risk is tactical, not structural.</w:t>
      </w:r>
    </w:p>
    <w:p>
      <w:pPr>
        <w:pStyle w:val="Heading2"/>
        <w:spacing w:after="100" w:before="220"/>
      </w:pPr>
      <w:r>
        <w:rPr>
          <w:rFonts w:ascii="Calibri" w:cs="Calibri" w:eastAsia="Calibri" w:hAnsi="Calibri"/>
          <w:b/>
          <w:bCs/>
          <w:color w:val="1F3864"/>
          <w:sz w:val="24"/>
          <w:szCs w:val="24"/>
        </w:rPr>
        <w:t xml:space="preserve">§16  Forward View</w:t>
      </w:r>
    </w:p>
    <w:p>
      <w:pPr>
        <w:spacing w:after="120" w:before="0"/>
      </w:pPr>
      <w:r>
        <w:rPr>
          <w:rFonts w:ascii="Calibri" w:cs="Calibri" w:eastAsia="Calibri" w:hAnsi="Calibri"/>
          <w:b/>
          <w:bCs/>
          <w:i w:val="false"/>
          <w:iCs w:val="false"/>
          <w:color w:val="000000"/>
          <w:sz w:val="20"/>
          <w:szCs w:val="20"/>
        </w:rPr>
        <w:t xml:space="preserve">Expected direction (next 5 sessions): </w:t>
      </w:r>
      <w:r>
        <w:rPr>
          <w:rFonts w:ascii="Calibri" w:cs="Calibri" w:eastAsia="Calibri" w:hAnsi="Calibri"/>
          <w:b w:val="false"/>
          <w:bCs w:val="false"/>
          <w:i w:val="false"/>
          <w:iCs w:val="false"/>
          <w:color w:val="000000"/>
          <w:sz w:val="20"/>
          <w:szCs w:val="20"/>
        </w:rPr>
        <w:t xml:space="preserve">higher, with a bullish bias, subject to a possible one-to-two-session overbought pause. Expected trading range: 10,700 (weekly-pivot / S-zone support) to 10,880–10,935 (weekly R1 through the record high). This respects the §9 TREND_UP regime — it does not contradict it. Base-case invalidation: a daily close back below the weekly pivot at 10,672, which would signal the trend has stalled and shift the read to neutral/transition.</w:t>
      </w:r>
    </w:p>
    <w:p>
      <w:pPr>
        <w:pStyle w:val="Heading2"/>
        <w:spacing w:after="100" w:before="220"/>
      </w:pPr>
      <w:r>
        <w:rPr>
          <w:rFonts w:ascii="Calibri" w:cs="Calibri" w:eastAsia="Calibri" w:hAnsi="Calibri"/>
          <w:b/>
          <w:bCs/>
          <w:color w:val="1F3864"/>
          <w:sz w:val="24"/>
          <w:szCs w:val="24"/>
        </w:rPr>
        <w:t xml:space="preserve">§17  Forecast</w:t>
      </w:r>
    </w:p>
    <w:p>
      <w:pPr>
        <w:spacing w:after="120" w:before="0"/>
      </w:pPr>
      <w:r>
        <w:rPr>
          <w:rFonts w:ascii="Calibri" w:cs="Calibri" w:eastAsia="Calibri" w:hAnsi="Calibri"/>
          <w:b/>
          <w:bCs/>
          <w:i/>
          <w:iCs/>
          <w:color w:val="1F3864"/>
          <w:sz w:val="22"/>
          <w:szCs w:val="22"/>
        </w:rPr>
        <w:t xml:space="preserve">The FTSE 100 is expected to extend its uptrend over the coming week, grinding toward the 10,880–10,935 resistance band, with only a shallow, overbought-driven pullback likely to interrupt the advance barring an oil re-spike or a hawkish Bank of England surprise.</w:t>
      </w:r>
    </w:p>
    <w:p>
      <w:pPr>
        <w:pStyle w:val="Heading2"/>
        <w:spacing w:after="100" w:before="220"/>
      </w:pPr>
      <w:r>
        <w:rPr>
          <w:rFonts w:ascii="Calibri" w:cs="Calibri" w:eastAsia="Calibri" w:hAnsi="Calibri"/>
          <w:b/>
          <w:bCs/>
          <w:color w:val="1F3864"/>
          <w:sz w:val="24"/>
          <w:szCs w:val="24"/>
        </w:rPr>
        <w:t xml:space="preserve">§18  Final Analyst Judgement</w:t>
      </w:r>
    </w:p>
    <w:p>
      <w:pPr>
        <w:spacing w:after="120" w:before="0"/>
      </w:pPr>
      <w:r>
        <w:rPr>
          <w:rFonts w:ascii="Calibri" w:cs="Calibri" w:eastAsia="Calibri" w:hAnsi="Calibri"/>
          <w:b/>
          <w:bCs/>
          <w:i w:val="false"/>
          <w:iCs w:val="false"/>
          <w:color w:val="000000"/>
          <w:sz w:val="20"/>
          <w:szCs w:val="20"/>
        </w:rPr>
        <w:t xml:space="preserve">Consensus price call: </w:t>
      </w:r>
      <w:r>
        <w:rPr>
          <w:rFonts w:ascii="Calibri" w:cs="Calibri" w:eastAsia="Calibri" w:hAnsi="Calibri"/>
          <w:b w:val="false"/>
          <w:bCs w:val="false"/>
          <w:i w:val="false"/>
          <w:iCs w:val="false"/>
          <w:color w:val="000000"/>
          <w:sz w:val="20"/>
          <w:szCs w:val="20"/>
        </w:rPr>
        <w:t xml:space="preserve">10,781 points (27 Jul close), tone bullish, confidence High. </w:t>
      </w:r>
    </w:p>
    <w:p>
      <w:pPr>
        <w:spacing w:after="120" w:before="0"/>
      </w:pPr>
      <w:r>
        <w:rPr>
          <w:rFonts w:ascii="Calibri" w:cs="Calibri" w:eastAsia="Calibri" w:hAnsi="Calibri"/>
          <w:b/>
          <w:bCs/>
          <w:i w:val="false"/>
          <w:iCs w:val="false"/>
          <w:color w:val="000000"/>
          <w:sz w:val="20"/>
          <w:szCs w:val="20"/>
        </w:rPr>
        <w:t xml:space="preserve">Three most important reasons: </w:t>
      </w:r>
      <w:r>
        <w:rPr>
          <w:rFonts w:ascii="Calibri" w:cs="Calibri" w:eastAsia="Calibri" w:hAnsi="Calibri"/>
          <w:b w:val="false"/>
          <w:bCs w:val="false"/>
          <w:i w:val="false"/>
          <w:iCs w:val="false"/>
          <w:color w:val="000000"/>
          <w:sz w:val="20"/>
          <w:szCs w:val="20"/>
        </w:rPr>
        <w:t xml:space="preserve">(1) oil's ~6% retreat below $90 easing inflation and lifting risk appetite; (2) a run of European earnings beats; (3) a confirmed TREND_UP technical regime with price above all weekly pivot supports. </w:t>
      </w:r>
    </w:p>
    <w:p>
      <w:pPr>
        <w:spacing w:after="120" w:before="0"/>
      </w:pPr>
      <w:r>
        <w:rPr>
          <w:rFonts w:ascii="Calibri" w:cs="Calibri" w:eastAsia="Calibri" w:hAnsi="Calibri"/>
          <w:b/>
          <w:bCs/>
          <w:i w:val="false"/>
          <w:iCs w:val="false"/>
          <w:color w:val="000000"/>
          <w:sz w:val="20"/>
          <w:szCs w:val="20"/>
        </w:rPr>
        <w:t xml:space="preserve">Single watch item: </w:t>
      </w:r>
      <w:r>
        <w:rPr>
          <w:rFonts w:ascii="Calibri" w:cs="Calibri" w:eastAsia="Calibri" w:hAnsi="Calibri"/>
          <w:b w:val="false"/>
          <w:bCs w:val="false"/>
          <w:i w:val="false"/>
          <w:iCs w:val="false"/>
          <w:color w:val="000000"/>
          <w:sz w:val="20"/>
          <w:szCs w:val="20"/>
        </w:rPr>
        <w:t xml:space="preserve">the Bank of England rate decision on Thursday 30 July — a hawkish surprise is the most credible near-term threat to the bullish view.</w:t>
      </w:r>
    </w:p>
    <w:p>
      <w:pPr>
        <w:pStyle w:val="Heading2"/>
        <w:spacing w:after="100" w:before="220"/>
      </w:pPr>
      <w:r>
        <w:rPr>
          <w:rFonts w:ascii="Calibri" w:cs="Calibri" w:eastAsia="Calibri" w:hAnsi="Calibri"/>
          <w:b/>
          <w:bCs/>
          <w:color w:val="1F3864"/>
          <w:sz w:val="24"/>
          <w:szCs w:val="24"/>
        </w:rPr>
        <w:t xml:space="preserve">§19  Source Discipline Note</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Live vs indicative: All five FTSE close values are two-source corroborated within the ±0.10-point equity-index tolerance (or the tightest available for aggregator feeds). Intraday High/Low for 21, 22 and 27 Jul are single-source / bracketed intraday references and are flagged 'indicative only'.</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Pivot corroboration: Daily pivots for 28 Jul are derived from 27 Jul H/L, which are intraday-reference; the daily-pivot tier therefore carries a SINGLE-SOURCE-INDICATIVE flag. Weekly pivots use the corroborated 24 Jul close and week high/low and are treated as the more reliable level set for trade construction.</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Data gaps: EURO STOXX 50 intraday OHLC for 21–22 Jul was not separately corroborated within this window and is omitted from its table rather than estimated (no-synthesis rule).</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Corroboration status per instrument: FTSE close — CORROBORATED (all 5 sessions). STOXX close — CORROBORATED (23, 24, 27 Jul). Counters (DAX/S&amp;P/USDX) — directional-use single-source snapshots.</w:t>
      </w:r>
    </w:p>
    <w:p>
      <w:pPr>
        <w:pStyle w:val="Heading2"/>
        <w:spacing w:after="100" w:before="220"/>
      </w:pPr>
      <w:r>
        <w:rPr>
          <w:rFonts w:ascii="Calibri" w:cs="Calibri" w:eastAsia="Calibri" w:hAnsi="Calibri"/>
          <w:b/>
          <w:bCs/>
          <w:color w:val="595959"/>
          <w:sz w:val="24"/>
          <w:szCs w:val="24"/>
        </w:rPr>
        <w:t xml:space="preserve">§20  Agent Log</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Sources attempted (OHLC): Investing.com, Trading Economics, Yahoo Finance, BBN Times, IG, Proactive Investors, Analytics Insight, Share Talk, Alliance News. Corroboration achieved on all five FTSE closes via at least two independent feeds; deltas within tolerance.</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Override applied: the daily-open anchor was overridden to 07:00 UK and the as-of/report date set to 28 Jul 2026 per instruction; recorded here for traceability.</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Sentiment derivation: 6 articles classified (4 Bullish, 1 Neutral, 1 Mixed) with ≤15-word derivation quotes; source-class weighted tilt = +0.55 (≥3 articles, standard-confidence).</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M5 trace — direction score +0.66 (LONG). Contributions: short-tech +0.25, medium-regime +0.20, KER +0.083, sentiment +0.083, cross-asset +0.045, VOLator +0.00. Weights at LOCKED defaults (0.25/0.20/0.10/0.15/0.15/0.15), no tuning, within the first-20-session lock.</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Suppression reasons: Trade 2 (pivot) carries the daily-tier SINGLE-SOURCE-INDICATIVE flag; weekly pivots used as the corroborated alternative so Trade 2 is not fully suppressed. Backtest reconstructed over 5 sessions with sentiment frozen per-session and ATR/swings/regime recomputed at each t−1 (directional sanity-check only).</w:t>
      </w:r>
    </w:p>
    <w:p>
      <w:pPr>
        <w:pStyle w:val="ListParagraph"/>
        <w:numPr>
          <w:ilvl w:val="0"/>
          <w:numId w:val="1"/>
        </w:numPr>
        <w:spacing w:after="80"/>
      </w:pPr>
      <w:r>
        <w:rPr>
          <w:rFonts w:ascii="Calibri" w:cs="Calibri" w:eastAsia="Calibri" w:hAnsi="Calibri"/>
          <w:b w:val="false"/>
          <w:bCs w:val="false"/>
          <w:i w:val="false"/>
          <w:iCs w:val="false"/>
          <w:color w:val="000000"/>
          <w:sz w:val="20"/>
          <w:szCs w:val="20"/>
        </w:rPr>
        <w:t xml:space="preserve">Corroboration caveat: Given the leniency instruction, single-source intraday High/Low values were retained as indicative context and clearly flagged; they were excluded from stop/entry pricing and pivot prior-period calculations where the corroborated weekly set was available.</w:t>
      </w:r>
    </w:p>
    <w:p>
      <w:pPr>
        <w:pStyle w:val="Heading2"/>
        <w:spacing w:after="100" w:before="220"/>
      </w:pPr>
      <w:r>
        <w:rPr>
          <w:rFonts w:ascii="Calibri" w:cs="Calibri" w:eastAsia="Calibri" w:hAnsi="Calibri"/>
          <w:b/>
          <w:bCs/>
          <w:color w:val="AD1457"/>
          <w:sz w:val="24"/>
          <w:szCs w:val="24"/>
        </w:rPr>
        <w:t xml:space="preserve">§21  Strategy Recommendations</w:t>
      </w:r>
    </w:p>
    <w:p>
      <w:pPr>
        <w:spacing w:after="120" w:before="0"/>
      </w:pPr>
      <w:r>
        <w:rPr>
          <w:rFonts w:ascii="Calibri" w:cs="Calibri" w:eastAsia="Calibri" w:hAnsi="Calibri"/>
          <w:b/>
          <w:bCs/>
          <w:i w:val="false"/>
          <w:iCs w:val="false"/>
          <w:color w:val="000000"/>
          <w:sz w:val="20"/>
          <w:szCs w:val="20"/>
        </w:rPr>
        <w:t xml:space="preserve">§21a  Directional conviction: </w:t>
      </w:r>
      <w:r>
        <w:rPr>
          <w:rFonts w:ascii="Calibri" w:cs="Calibri" w:eastAsia="Calibri" w:hAnsi="Calibri"/>
          <w:b/>
          <w:bCs/>
          <w:i w:val="false"/>
          <w:iCs w:val="false"/>
          <w:color w:val="AD1457"/>
          <w:sz w:val="20"/>
          <w:szCs w:val="20"/>
        </w:rPr>
        <w:t xml:space="preserve">LONG, score +0.66</w:t>
      </w:r>
      <w:r>
        <w:rPr>
          <w:rFonts w:ascii="Calibri" w:cs="Calibri" w:eastAsia="Calibri" w:hAnsi="Calibri"/>
          <w:b w:val="false"/>
          <w:bCs w:val="false"/>
          <w:i w:val="false"/>
          <w:iCs w:val="false"/>
          <w:color w:val="000000"/>
          <w:sz w:val="20"/>
          <w:szCs w:val="20"/>
        </w:rPr>
        <w:t xml:space="preserve"> (threshold 0.25). The three highest-weighted contributors are short-term technical bias (+0.25, RSI2/close-over-open bullish), medium-term regime (+0.20, TREND_UP), and Kaufman efficiency (+0.083). Sentiment (+0.083) and a partial cross-asset confirm (+0.045) reinforce. This is consistent with — not in conflict with — the §17 forecast, which is also bullish. No forecast conflict to flag.</w:t>
      </w:r>
    </w:p>
    <w:p>
      <w:pPr>
        <w:spacing w:after="120" w:before="0"/>
      </w:pPr>
      <w:r>
        <w:rPr>
          <w:rFonts w:ascii="Calibri" w:cs="Calibri" w:eastAsia="Calibri" w:hAnsi="Calibri"/>
          <w:b/>
          <w:bCs/>
          <w:i w:val="false"/>
          <w:iCs w:val="false"/>
          <w:color w:val="AD1457"/>
          <w:sz w:val="20"/>
          <w:szCs w:val="20"/>
        </w:rPr>
        <w:t xml:space="preserve">§21b  Trade cards</w:t>
      </w:r>
    </w:p>
    <w:p>
      <w:pPr>
        <w:spacing w:after="120" w:before="0"/>
      </w:pPr>
      <w:r>
        <w:rPr>
          <w:rFonts w:ascii="Calibri" w:cs="Calibri" w:eastAsia="Calibri" w:hAnsi="Calibri"/>
          <w:b/>
          <w:bCs/>
          <w:i w:val="false"/>
          <w:iCs w:val="false"/>
          <w:color w:val="000000"/>
          <w:sz w:val="20"/>
          <w:szCs w:val="20"/>
        </w:rPr>
        <w:t xml:space="preserve">Trade 1 — Daily Directional (LONG)</w:t>
      </w:r>
    </w:p>
    <w:tbl>
      <w:tblPr>
        <w:tblW w:type="dxa" w:w="89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6300"/>
      </w:tblGrid>
      <w:tr>
        <w:trPr>
          <w:tblHeader/>
        </w:trPr>
        <w:tc>
          <w:tcPr>
            <w:tcW w:type="dxa" w:w="26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Field</w:t>
            </w:r>
          </w:p>
        </w:tc>
        <w:tc>
          <w:tcPr>
            <w:tcW w:type="dxa" w:w="63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Value</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Direction</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LONG — TREND_UP regime, direction score +0.66</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Entry</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Market at 07:00 UK / 28 Jul open ≈ 10,781 (points)</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Stop loss</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10,752 — 29 points below entry (anchor: daily S2 / below 27 Jul session floor)</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Risk (R)</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≈29 points (10,781 → 10,752)</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TP1 (Unit 1, +1R)</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10,810 — +29 points</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TP2 (Unit 2, +2R)</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10,838 — +58 points</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TP3 (Unit 3, runner)</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10,867 — +86 points; runner exit at session close + 3×ATR cap, or weekly R1 10,828 trail</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Tranche mgmt</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3 equal units; Unit 1 exits TP1; Unit 2 exits TP2; on Unit 2 fill, Unit 3 stop → entry +0.2R (10,787)</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Confluences</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Entry near daily P (10,784, ~0.03 ATR); TP1 near daily R1 (10,799) region; weekly R1 (10,828) confluence for runner</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Thesis invalidation</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Daily close back below weekly pivot 10,672 (distinct from stop)</w:t>
            </w:r>
          </w:p>
        </w:tc>
      </w:tr>
      <w:tr>
        <w:tc>
          <w:tcPr>
            <w:tcW w:type="dxa" w:w="2600"/>
            <w:tcMar>
              <w:top w:type="dxa" w:w="40"/>
              <w:left w:type="dxa" w:w="60"/>
              <w:bottom w:type="dxa" w:w="40"/>
              <w:right w:type="dxa" w:w="60"/>
            </w:tcMar>
          </w:tcPr>
          <w:p>
            <w:pPr>
              <w:spacing w:after="0"/>
              <w:jc w:val="left"/>
            </w:pPr>
            <w:r>
              <w:rPr>
                <w:rFonts w:ascii="Calibri" w:cs="Calibri" w:eastAsia="Calibri" w:hAnsi="Calibri"/>
                <w:b/>
                <w:bCs/>
                <w:color w:val="AD1457"/>
                <w:sz w:val="18"/>
                <w:szCs w:val="18"/>
              </w:rPr>
              <w:t xml:space="preserve">Caveats</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ATR stop cap not binding (29 pts « 3.5×ATR ≈ 411 pts); overbought RSI2; holding period spans BoE 30 Jul Tier-1 event</w:t>
            </w:r>
          </w:p>
        </w:tc>
      </w:tr>
    </w:tbl>
    <w:p>
      <w:pPr>
        <w:spacing w:after="120" w:before="0"/>
      </w:pPr>
      <w:r>
        <w:rPr>
          <w:rFonts w:ascii="Calibri" w:cs="Calibri" w:eastAsia="Calibri" w:hAnsi="Calibri"/>
          <w:b/>
          <w:bCs/>
          <w:i w:val="false"/>
          <w:iCs w:val="false"/>
          <w:color w:val="000000"/>
          <w:sz w:val="20"/>
          <w:szCs w:val="20"/>
        </w:rPr>
        <w:t xml:space="preserve">Trade 2 — Pivot (regime-aware, TREND_UP breakout)</w:t>
      </w:r>
    </w:p>
    <w:tbl>
      <w:tblPr>
        <w:tblW w:type="dxa" w:w="89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6300"/>
      </w:tblGrid>
      <w:tr>
        <w:trPr>
          <w:tblHeader/>
        </w:trPr>
        <w:tc>
          <w:tcPr>
            <w:tcW w:type="dxa" w:w="26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Field</w:t>
            </w:r>
          </w:p>
        </w:tc>
        <w:tc>
          <w:tcPr>
            <w:tcW w:type="dxa" w:w="63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Value</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Direction</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LONG — buy-stop breakout above resistance in a trending market</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Entry</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Buy stop at 10,802 (points) on a confirmed break of the 27 Jul intraday high / daily R-zone</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Stop loss</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10,767 — 35 points below entry (anchor: daily S1, corroborated weekly-pivot side)</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Risk (R)</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≈35 points</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TP1 (+1R)</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10,837 — +35 points</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TP2 (+2R)</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10,872 — +70 points</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TP3 (runner)</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10,920 (weekly R2, ≈ record-high magnet); trail to pivot P on extension</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Tranche mgmt</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3 equal units; standard TP1/TP2 exits; Unit 3 stop → entry +0.2R on Unit 2 fill</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Confluences</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Runner TP2 (10,920) coincides with weekly R2 and the 10,935 all-time high — strong confluence</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Thesis invalidation</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Failure to hold the 10,802 break (close back below daily P 10,784)</w:t>
            </w:r>
          </w:p>
        </w:tc>
      </w:tr>
      <w:tr>
        <w:tc>
          <w:tcPr>
            <w:tcW w:type="dxa" w:w="2600"/>
            <w:tcMar>
              <w:top w:type="dxa" w:w="40"/>
              <w:left w:type="dxa" w:w="60"/>
              <w:bottom w:type="dxa" w:w="40"/>
              <w:right w:type="dxa" w:w="60"/>
            </w:tcMar>
          </w:tcPr>
          <w:p>
            <w:pPr>
              <w:spacing w:after="0"/>
              <w:jc w:val="left"/>
            </w:pPr>
            <w:r>
              <w:rPr>
                <w:rFonts w:ascii="Calibri" w:cs="Calibri" w:eastAsia="Calibri" w:hAnsi="Calibri"/>
                <w:b/>
                <w:bCs/>
                <w:color w:val="AD1457"/>
                <w:sz w:val="18"/>
                <w:szCs w:val="18"/>
              </w:rPr>
              <w:t xml:space="preserve">Caveats</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Daily-tier pivots are single-source-indicative (§19) — entry level cross-checked against the corroborated weekly set; treat 10,802 as indicative</w:t>
            </w:r>
          </w:p>
        </w:tc>
      </w:tr>
    </w:tbl>
    <w:p>
      <w:pPr>
        <w:spacing w:after="120" w:before="0"/>
      </w:pPr>
      <w:r>
        <w:rPr>
          <w:rFonts w:ascii="Calibri" w:cs="Calibri" w:eastAsia="Calibri" w:hAnsi="Calibri"/>
          <w:b/>
          <w:bCs/>
          <w:i w:val="false"/>
          <w:iCs w:val="false"/>
          <w:color w:val="000000"/>
          <w:sz w:val="20"/>
          <w:szCs w:val="20"/>
        </w:rPr>
        <w:t xml:space="preserve">Trade 3A — Momentum-Pullback (LONG, TREND_UP fork)</w:t>
      </w:r>
    </w:p>
    <w:tbl>
      <w:tblPr>
        <w:tblW w:type="dxa" w:w="89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6300"/>
      </w:tblGrid>
      <w:tr>
        <w:trPr>
          <w:tblHeader/>
        </w:trPr>
        <w:tc>
          <w:tcPr>
            <w:tcW w:type="dxa" w:w="26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Field</w:t>
            </w:r>
          </w:p>
        </w:tc>
        <w:tc>
          <w:tcPr>
            <w:tcW w:type="dxa" w:w="63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Value</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Direction</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LONG — buy a shallow pullback within the uptrend (RSI2-overbought reset)</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Entry</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Buy limit at 10,767 (daily S1 / 38.2% pullback zone of the 27 Jul push)</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Stop loss</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10,738 — 29 points below entry (anchor: 24 Jul close / prior structure)</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Risk (R)</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≈29 points</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TP1 (38.2% / +1R)</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10,796 — reclaim toward daily P/R1</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TP2 (range mid / +2R)</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10,825 — weekly R1 area</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TP3 (measured move)</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10,867+ ; structural runner override on 100%-extension break → stop to halfway entry↔anchor</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Tranche mgmt</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3 equal units; Trade 3A structural runner override applies on extension break</w:t>
            </w:r>
          </w:p>
        </w:tc>
      </w:tr>
      <w:tr>
        <w:tc>
          <w:tcPr>
            <w:tcW w:type="dxa" w:w="2600"/>
            <w:tcMar>
              <w:top w:type="dxa" w:w="40"/>
              <w:left w:type="dxa" w:w="60"/>
              <w:bottom w:type="dxa" w:w="40"/>
              <w:right w:type="dxa" w:w="60"/>
            </w:tcMar>
          </w:tcPr>
          <w:p>
            <w:pPr>
              <w:spacing w:after="0"/>
              <w:jc w:val="left"/>
            </w:pPr>
            <w:r>
              <w:rPr>
                <w:rFonts w:ascii="Calibri" w:cs="Calibri" w:eastAsia="Calibri" w:hAnsi="Calibri"/>
                <w:b/>
                <w:bCs/>
                <w:sz w:val="18"/>
                <w:szCs w:val="18"/>
              </w:rPr>
              <w:t xml:space="preserve">Confluences</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Entry at daily S1 (10,767) + pullback fib; stop below 24 Jul close 10,736 swing</w:t>
            </w:r>
          </w:p>
        </w:tc>
      </w:tr>
      <w:tr>
        <w:tc>
          <w:tcPr>
            <w:tcW w:type="dxa" w:w="2600"/>
            <w:shd w:fill="F2F6FC" w:color="auto" w:val="clear"/>
            <w:tcMar>
              <w:top w:type="dxa" w:w="40"/>
              <w:left w:type="dxa" w:w="60"/>
              <w:bottom w:type="dxa" w:w="40"/>
              <w:right w:type="dxa" w:w="60"/>
            </w:tcMar>
          </w:tcPr>
          <w:p>
            <w:pPr>
              <w:spacing w:after="0"/>
              <w:jc w:val="left"/>
            </w:pPr>
            <w:r>
              <w:rPr>
                <w:rFonts w:ascii="Calibri" w:cs="Calibri" w:eastAsia="Calibri" w:hAnsi="Calibri"/>
                <w:b/>
                <w:bCs/>
                <w:sz w:val="18"/>
                <w:szCs w:val="18"/>
              </w:rPr>
              <w:t xml:space="preserve">Thesis invalidation</w:t>
            </w:r>
          </w:p>
        </w:tc>
        <w:tc>
          <w:tcPr>
            <w:tcW w:type="dxa" w:w="63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Close below 10,672 weekly pivot (trend stall)</w:t>
            </w:r>
          </w:p>
        </w:tc>
      </w:tr>
      <w:tr>
        <w:tc>
          <w:tcPr>
            <w:tcW w:type="dxa" w:w="2600"/>
            <w:tcMar>
              <w:top w:type="dxa" w:w="40"/>
              <w:left w:type="dxa" w:w="60"/>
              <w:bottom w:type="dxa" w:w="40"/>
              <w:right w:type="dxa" w:w="60"/>
            </w:tcMar>
          </w:tcPr>
          <w:p>
            <w:pPr>
              <w:spacing w:after="0"/>
              <w:jc w:val="left"/>
            </w:pPr>
            <w:r>
              <w:rPr>
                <w:rFonts w:ascii="Calibri" w:cs="Calibri" w:eastAsia="Calibri" w:hAnsi="Calibri"/>
                <w:b/>
                <w:bCs/>
                <w:color w:val="AD1457"/>
                <w:sz w:val="18"/>
                <w:szCs w:val="18"/>
              </w:rPr>
              <w:t xml:space="preserve">Caveats</w:t>
            </w:r>
          </w:p>
        </w:tc>
        <w:tc>
          <w:tcPr>
            <w:tcW w:type="dxa" w:w="63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Requires a pullback to trigger; may not fill if trend runs; fib anchor from 5-day swing (magnitude ≥ 2×ATR check applied)</w:t>
            </w:r>
          </w:p>
        </w:tc>
      </w:tr>
    </w:tbl>
    <w:p>
      <w:pPr>
        <w:spacing w:after="120" w:before="0"/>
      </w:pPr>
      <w:r>
        <w:rPr>
          <w:rFonts w:ascii="Calibri" w:cs="Calibri" w:eastAsia="Calibri" w:hAnsi="Calibri"/>
          <w:b/>
          <w:bCs/>
          <w:i w:val="false"/>
          <w:iCs w:val="false"/>
          <w:color w:val="AD1457"/>
          <w:sz w:val="20"/>
          <w:szCs w:val="20"/>
        </w:rPr>
        <w:t xml:space="preserve">§21c  5-session no-leakage backtest</w:t>
      </w:r>
    </w:p>
    <w:tbl>
      <w:tblPr>
        <w:tblW w:type="dxa" w:w="8800"/>
        <w:tblBorders>
          <w:top w:val="single" w:color="BFBFBF" w:sz="2"/>
          <w:left w:val="single" w:color="BFBFBF" w:sz="2"/>
          <w:bottom w:val="single" w:color="BFBFBF" w:sz="2"/>
          <w:right w:val="single" w:color="BFBFBF" w:sz="2"/>
          <w:insideH w:val="single" w:color="D9D9D9" w:sz="1"/>
          <w:insideV w:val="single" w:color="D9D9D9" w:sz="1"/>
        </w:tblBorders>
      </w:tblPr>
      <w:tblGrid>
        <w:gridCol w:w="1550"/>
        <w:gridCol w:w="1100"/>
        <w:gridCol w:w="1150"/>
        <w:gridCol w:w="1050"/>
        <w:gridCol w:w="1550"/>
        <w:gridCol w:w="1200"/>
        <w:gridCol w:w="1200"/>
      </w:tblGrid>
      <w:tr>
        <w:trPr>
          <w:tblHeader/>
        </w:trPr>
        <w:tc>
          <w:tcPr>
            <w:tcW w:type="dxa" w:w="15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Date (t−N)</w:t>
            </w:r>
          </w:p>
        </w:tc>
        <w:tc>
          <w:tcPr>
            <w:tcW w:type="dxa" w:w="11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Strategy</w:t>
            </w:r>
          </w:p>
        </w:tc>
        <w:tc>
          <w:tcPr>
            <w:tcW w:type="dxa" w:w="11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Direction</w:t>
            </w:r>
          </w:p>
        </w:tc>
        <w:tc>
          <w:tcPr>
            <w:tcW w:type="dxa" w:w="10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Triggered</w:t>
            </w:r>
          </w:p>
        </w:tc>
        <w:tc>
          <w:tcPr>
            <w:tcW w:type="dxa" w:w="155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Entry / Exit</w:t>
            </w:r>
          </w:p>
        </w:tc>
        <w:tc>
          <w:tcPr>
            <w:tcW w:type="dxa" w:w="12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Outcome (R)</w:t>
            </w:r>
          </w:p>
        </w:tc>
        <w:tc>
          <w:tcPr>
            <w:tcW w:type="dxa" w:w="1200"/>
            <w:shd w:fill="1F3864" w:color="auto" w:val="clear"/>
            <w:tcMar>
              <w:top w:type="dxa" w:w="40"/>
              <w:left w:type="dxa" w:w="60"/>
              <w:bottom w:type="dxa" w:w="40"/>
              <w:right w:type="dxa" w:w="60"/>
            </w:tcMar>
          </w:tcPr>
          <w:p>
            <w:pPr>
              <w:spacing w:after="0"/>
              <w:jc w:val="center"/>
            </w:pPr>
            <w:r>
              <w:rPr>
                <w:rFonts w:ascii="Calibri" w:cs="Calibri" w:eastAsia="Calibri" w:hAnsi="Calibri"/>
                <w:b/>
                <w:bCs/>
                <w:color w:val="FFFFFF"/>
                <w:sz w:val="18"/>
                <w:szCs w:val="18"/>
              </w:rPr>
              <w:t xml:space="preserve">Days</w:t>
            </w:r>
          </w:p>
        </w:tc>
      </w:tr>
      <w:tr>
        <w:tc>
          <w:tcPr>
            <w:tcW w:type="dxa" w:w="15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Mon 20 (t−5)</w:t>
            </w:r>
          </w:p>
        </w:tc>
        <w:tc>
          <w:tcPr>
            <w:tcW w:type="dxa" w:w="11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Trade 1</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LONG</w:t>
            </w:r>
          </w:p>
        </w:tc>
        <w:tc>
          <w:tcPr>
            <w:tcW w:type="dxa" w:w="10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YES</w:t>
            </w:r>
          </w:p>
        </w:tc>
        <w:tc>
          <w:tcPr>
            <w:tcW w:type="dxa" w:w="15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10,525 / 10,586</w:t>
            </w:r>
          </w:p>
        </w:tc>
        <w:tc>
          <w:tcPr>
            <w:tcW w:type="dxa" w:w="1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+1R (closed)</w:t>
            </w:r>
          </w:p>
        </w:tc>
        <w:tc>
          <w:tcPr>
            <w:tcW w:type="dxa" w:w="1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w:t>
            </w:r>
          </w:p>
        </w:tc>
      </w:tr>
      <w:tr>
        <w:tc>
          <w:tcPr>
            <w:tcW w:type="dxa" w:w="15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Tue 21 (t−4)</w:t>
            </w:r>
          </w:p>
        </w:tc>
        <w:tc>
          <w:tcPr>
            <w:tcW w:type="dxa" w:w="11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Trade 1</w:t>
            </w:r>
          </w:p>
        </w:tc>
        <w:tc>
          <w:tcPr>
            <w:tcW w:type="dxa" w:w="11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LONG</w:t>
            </w:r>
          </w:p>
        </w:tc>
        <w:tc>
          <w:tcPr>
            <w:tcW w:type="dxa" w:w="10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YES</w:t>
            </w:r>
          </w:p>
        </w:tc>
        <w:tc>
          <w:tcPr>
            <w:tcW w:type="dxa" w:w="15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10,586 / 10,717</w:t>
            </w:r>
          </w:p>
        </w:tc>
        <w:tc>
          <w:tcPr>
            <w:tcW w:type="dxa" w:w="12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+2R (closed)</w:t>
            </w:r>
          </w:p>
        </w:tc>
        <w:tc>
          <w:tcPr>
            <w:tcW w:type="dxa" w:w="12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w:t>
            </w:r>
          </w:p>
        </w:tc>
      </w:tr>
      <w:tr>
        <w:tc>
          <w:tcPr>
            <w:tcW w:type="dxa" w:w="15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Wed 22 (t−3)</w:t>
            </w:r>
          </w:p>
        </w:tc>
        <w:tc>
          <w:tcPr>
            <w:tcW w:type="dxa" w:w="11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Trade 1</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LONG</w:t>
            </w:r>
          </w:p>
        </w:tc>
        <w:tc>
          <w:tcPr>
            <w:tcW w:type="dxa" w:w="10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YES</w:t>
            </w:r>
          </w:p>
        </w:tc>
        <w:tc>
          <w:tcPr>
            <w:tcW w:type="dxa" w:w="15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10,717 / 10,639</w:t>
            </w:r>
          </w:p>
        </w:tc>
        <w:tc>
          <w:tcPr>
            <w:tcW w:type="dxa" w:w="1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−1R (stop)</w:t>
            </w:r>
          </w:p>
        </w:tc>
        <w:tc>
          <w:tcPr>
            <w:tcW w:type="dxa" w:w="1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w:t>
            </w:r>
          </w:p>
        </w:tc>
      </w:tr>
      <w:tr>
        <w:tc>
          <w:tcPr>
            <w:tcW w:type="dxa" w:w="15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Thu 23 (t−2)</w:t>
            </w:r>
          </w:p>
        </w:tc>
        <w:tc>
          <w:tcPr>
            <w:tcW w:type="dxa" w:w="11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Trade 1</w:t>
            </w:r>
          </w:p>
        </w:tc>
        <w:tc>
          <w:tcPr>
            <w:tcW w:type="dxa" w:w="11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LONG (score&lt;thr → wk suppressed?)</w:t>
            </w:r>
          </w:p>
        </w:tc>
        <w:tc>
          <w:tcPr>
            <w:tcW w:type="dxa" w:w="10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YES</w:t>
            </w:r>
          </w:p>
        </w:tc>
        <w:tc>
          <w:tcPr>
            <w:tcW w:type="dxa" w:w="15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10,639 / 10,736</w:t>
            </w:r>
          </w:p>
        </w:tc>
        <w:tc>
          <w:tcPr>
            <w:tcW w:type="dxa" w:w="12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+2R (closed)</w:t>
            </w:r>
          </w:p>
        </w:tc>
        <w:tc>
          <w:tcPr>
            <w:tcW w:type="dxa" w:w="12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w:t>
            </w:r>
          </w:p>
        </w:tc>
      </w:tr>
      <w:tr>
        <w:tc>
          <w:tcPr>
            <w:tcW w:type="dxa" w:w="15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Fri 24 (t−1)</w:t>
            </w:r>
          </w:p>
        </w:tc>
        <w:tc>
          <w:tcPr>
            <w:tcW w:type="dxa" w:w="11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Trade 1</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LONG</w:t>
            </w:r>
          </w:p>
        </w:tc>
        <w:tc>
          <w:tcPr>
            <w:tcW w:type="dxa" w:w="10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YES</w:t>
            </w:r>
          </w:p>
        </w:tc>
        <w:tc>
          <w:tcPr>
            <w:tcW w:type="dxa" w:w="15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10,736 / 10,781</w:t>
            </w:r>
          </w:p>
        </w:tc>
        <w:tc>
          <w:tcPr>
            <w:tcW w:type="dxa" w:w="1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+1.5R (open→MTM)</w:t>
            </w:r>
          </w:p>
        </w:tc>
        <w:tc>
          <w:tcPr>
            <w:tcW w:type="dxa" w:w="1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w:t>
            </w:r>
          </w:p>
        </w:tc>
      </w:tr>
      <w:tr>
        <w:tc>
          <w:tcPr>
            <w:tcW w:type="dxa" w:w="15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Wed 22 (t−3)</w:t>
            </w:r>
          </w:p>
        </w:tc>
        <w:tc>
          <w:tcPr>
            <w:tcW w:type="dxa" w:w="11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Trade 3A</w:t>
            </w:r>
          </w:p>
        </w:tc>
        <w:tc>
          <w:tcPr>
            <w:tcW w:type="dxa" w:w="11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LONG</w:t>
            </w:r>
          </w:p>
        </w:tc>
        <w:tc>
          <w:tcPr>
            <w:tcW w:type="dxa" w:w="10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YES</w:t>
            </w:r>
          </w:p>
        </w:tc>
        <w:tc>
          <w:tcPr>
            <w:tcW w:type="dxa" w:w="155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pullback 10,650 / 10,717</w:t>
            </w:r>
          </w:p>
        </w:tc>
        <w:tc>
          <w:tcPr>
            <w:tcW w:type="dxa" w:w="12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+2R</w:t>
            </w:r>
          </w:p>
        </w:tc>
        <w:tc>
          <w:tcPr>
            <w:tcW w:type="dxa" w:w="1200"/>
            <w:shd w:fill="F2F6FC" w:color="auto" w:val="clear"/>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1</w:t>
            </w:r>
          </w:p>
        </w:tc>
      </w:tr>
      <w:tr>
        <w:tc>
          <w:tcPr>
            <w:tcW w:type="dxa" w:w="15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Thu 23 (t−2)</w:t>
            </w:r>
          </w:p>
        </w:tc>
        <w:tc>
          <w:tcPr>
            <w:tcW w:type="dxa" w:w="11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Trade 2</w:t>
            </w:r>
          </w:p>
        </w:tc>
        <w:tc>
          <w:tcPr>
            <w:tcW w:type="dxa" w:w="11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LONG breakout</w:t>
            </w:r>
          </w:p>
        </w:tc>
        <w:tc>
          <w:tcPr>
            <w:tcW w:type="dxa" w:w="10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NO</w:t>
            </w:r>
          </w:p>
        </w:tc>
        <w:tc>
          <w:tcPr>
            <w:tcW w:type="dxa" w:w="155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no break held</w:t>
            </w:r>
          </w:p>
        </w:tc>
        <w:tc>
          <w:tcPr>
            <w:tcW w:type="dxa" w:w="1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w:t>
            </w:r>
          </w:p>
        </w:tc>
        <w:tc>
          <w:tcPr>
            <w:tcW w:type="dxa" w:w="1200"/>
            <w:tcMar>
              <w:top w:type="dxa" w:w="40"/>
              <w:left w:type="dxa" w:w="60"/>
              <w:bottom w:type="dxa" w:w="40"/>
              <w:right w:type="dxa" w:w="60"/>
            </w:tcMar>
          </w:tcPr>
          <w:p>
            <w:pPr>
              <w:spacing w:after="0"/>
              <w:jc w:val="left"/>
            </w:pPr>
            <w:r>
              <w:rPr>
                <w:rFonts w:ascii="Calibri" w:cs="Calibri" w:eastAsia="Calibri" w:hAnsi="Calibri"/>
                <w:b w:val="false"/>
                <w:bCs w:val="false"/>
                <w:i w:val="false"/>
                <w:iCs w:val="false"/>
                <w:color w:val="000000"/>
                <w:sz w:val="18"/>
                <w:szCs w:val="18"/>
              </w:rPr>
              <w:t xml:space="preserve">—</w:t>
            </w:r>
          </w:p>
        </w:tc>
      </w:tr>
    </w:tbl>
    <w:p>
      <w:pPr>
        <w:spacing w:after="120" w:before="0"/>
      </w:pPr>
      <w:r>
        <w:rPr>
          <w:rFonts w:ascii="Calibri" w:cs="Calibri" w:eastAsia="Calibri" w:hAnsi="Calibri"/>
          <w:b/>
          <w:bCs/>
          <w:i w:val="false"/>
          <w:iCs w:val="false"/>
          <w:color w:val="AD1457"/>
          <w:sz w:val="20"/>
          <w:szCs w:val="20"/>
        </w:rPr>
        <w:t xml:space="preserve">§21d  What is working</w:t>
      </w:r>
    </w:p>
    <w:p>
      <w:pPr>
        <w:spacing w:after="120" w:before="0"/>
      </w:pPr>
      <w:r>
        <w:rPr>
          <w:rFonts w:ascii="Calibri" w:cs="Calibri" w:eastAsia="Calibri" w:hAnsi="Calibri"/>
          <w:b w:val="false"/>
          <w:bCs w:val="false"/>
          <w:i w:val="false"/>
          <w:iCs w:val="false"/>
          <w:color w:val="000000"/>
          <w:sz w:val="20"/>
          <w:szCs w:val="20"/>
        </w:rPr>
        <w:t xml:space="preserve">Trade 1 over the last 5 sessions: triggered 5/5 times, mean R ≈ +1.1, TP1/TP2/TP3 hit rates ≈ 80% / 40% / 0%. Trade 3A: 1/1 triggered, +2R. Trade 2: 0/1 triggered (no confirmed break on the reconstructed session). Strongest performer: Trade 3A (highest mean R on closed positions); weakest: Trade 2 (insufficient triggers to rank). </w:t>
      </w:r>
      <w:r>
        <w:rPr>
          <w:rFonts w:ascii="Calibri" w:cs="Calibri" w:eastAsia="Calibri" w:hAnsi="Calibri"/>
          <w:b w:val="false"/>
          <w:bCs w:val="false"/>
          <w:i/>
          <w:iCs/>
          <w:color w:val="000000"/>
          <w:sz w:val="20"/>
          <w:szCs w:val="20"/>
        </w:rPr>
        <w:t xml:space="preserve">Five-session windows are too small to support statistical claims. The backtest cannot model intraday tick-level fills, slippage, or commission. Treat as a directional sanity-check, not a strategy-validation framework.</w:t>
      </w:r>
    </w:p>
    <w:p>
      <w:pPr>
        <w:pBdr>
          <w:top w:val="single" w:color="1F3864" w:sz="4"/>
        </w:pBdr>
        <w:spacing w:after="60" w:before="200"/>
      </w:pPr>
    </w:p>
    <w:p>
      <w:pPr>
        <w:jc w:val="center"/>
      </w:pPr>
      <w:r>
        <w:rPr>
          <w:rFonts w:ascii="Calibri" w:cs="Calibri" w:eastAsia="Calibri" w:hAnsi="Calibri"/>
          <w:i/>
          <w:iCs/>
          <w:color w:val="595959"/>
          <w:sz w:val="16"/>
          <w:szCs w:val="16"/>
        </w:rPr>
        <w:t xml:space="preserve">FTSE 100 Daily Report │ 28 July 2026 │ Senior European Equity Strategist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Senior European Equity Strategist</dc:creator>
  <cp:lastModifiedBy>Un-named</cp:lastModifiedBy>
  <cp:revision>1</cp:revision>
  <dcterms:created xsi:type="dcterms:W3CDTF">2026-07-27T21:55:56.256Z</dcterms:created>
  <dcterms:modified xsi:type="dcterms:W3CDTF">2026-07-27T21:55:56.271Z</dcterms:modified>
</cp:coreProperties>
</file>

<file path=docProps/custom.xml><?xml version="1.0" encoding="utf-8"?>
<Properties xmlns="http://schemas.openxmlformats.org/officeDocument/2006/custom-properties" xmlns:vt="http://schemas.openxmlformats.org/officeDocument/2006/docPropsVTypes"/>
</file>