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38"/>
          <w:szCs w:val="38"/>
        </w:rPr>
        <w:t xml:space="preserve">FTSE 100 Report — Daily: 30 July 2026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With reference to: EURO STOXX 50 · USDX · S&amp;P 500 · DAX 40</w:t>
      </w:r>
    </w:p>
    <w:p>
      <w:pPr>
        <w:pBdr>
          <w:bottom w:val="single" w:color="1F2D3D" w:sz="12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Executive Snapshot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FTSE 100 enters the 30 July session at a consensus cash level of 10,908 points (range 10,895–10,920), tone bullish. The index printed a fresh intraday all-time high of 10,951 on 29 July and closed at a record, capping a four-session advance of roughly 270 points (about 2.5%). Three drivers dominate: a surge in energy majors (Shell, BP) as Brent rebounded near 7% on renewed Middle East hostilities; a strong UK bank and miner earnings run (Standard Chartered, Rio Tinto, Glencore, Reckitt); and a soft-to-flat dollar that lifts the index's roughly 80% overseas-earning constituent base. The short-term technical state is Trending–Bullish (five green-bodied sessions, RSI2 pinned near 100) and the medium-term 25-session regime is Trending–Bullish with the close sitting in the 92nd percentile of its range. The Kaufman efficiency read is Trending Up — Strong (smoothed 0.45), corroborating trend. The single most important watch item is the back-to-back Bank of England and Federal Reserve decisions this week: both are live, and either a hawkish surprise or a dovish relief could reset the tape from record territory. Directional conviction for the day is LONG (score +0.76).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§2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Market Definition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FTSE 100 cash index (^FTSE)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 large-cap benchmark, 100 constituents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 STOXX 50 (^STOXX50E)</w:t>
            </w:r>
          </w:p>
        </w:tc>
        <w:tc>
          <w:tcPr>
            <w:tcW w:type="dxa" w:w="30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Eurozone large-cap pair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GBP-denominated, free-float weighted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FTSE Russell methodology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Regional — UK &amp; Eurozone</w:t>
            </w:r>
          </w:p>
        </w:tc>
        <w:tc>
          <w:tcPr>
            <w:tcW w:type="dxa" w:w="30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Two-jurisdiction analysis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cash session 08:00–16:30 UK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Cash index, continuous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Index points / GBP</w:t>
            </w:r>
          </w:p>
        </w:tc>
        <w:tc>
          <w:tcPr>
            <w:tcW w:type="dxa" w:w="30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Tick 0.01, native unit 'point'</w:t>
            </w:r>
          </w:p>
        </w:tc>
      </w:tr>
      <w:tr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As-of date</w:t>
            </w:r>
          </w:p>
        </w:tc>
        <w:tc>
          <w:tcPr>
            <w:tcW w:type="dxa" w:w="4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July 2026 (Europe/London)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Snapshot; open anchor 07:00 UK</w:t>
            </w:r>
          </w:p>
        </w:tc>
      </w:tr>
      <w:tr>
        <w:tc>
          <w:tcPr>
            <w:tcW w:type="dxa" w:w="1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sessions (short) / 25 (medium)</w:t>
            </w:r>
          </w:p>
        </w:tc>
        <w:tc>
          <w:tcPr>
            <w:tcW w:type="dxa" w:w="30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Standard blocks</w:t>
            </w:r>
          </w:p>
        </w:tc>
      </w:tr>
    </w:tbl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§3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Consensus Price Call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2400"/>
        <w:gridCol w:w="2260"/>
        <w:gridCol w:w="2300"/>
      </w:tblGrid>
      <w:tr>
        <w:trPr>
          <w:tblHeader/>
        </w:trPr>
        <w:tc>
          <w:tcPr>
            <w:tcW w:type="dxa" w:w="2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10,908 pts</w:t>
            </w:r>
          </w:p>
        </w:tc>
        <w:tc>
          <w:tcPr>
            <w:tcW w:type="dxa" w:w="2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10,895 – 10,920 pts</w:t>
            </w:r>
          </w:p>
        </w:tc>
        <w:tc>
          <w:tcPr>
            <w:tcW w:type="dxa" w:w="22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2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Basis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Cash close, 29-Jul</w:t>
            </w:r>
          </w:p>
        </w:tc>
        <w:tc>
          <w:tcPr>
            <w:tcW w:type="dxa" w:w="2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Prior close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10,878.85 (28-Jul)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Rationale: the weighted-median of corroborated closes (Reuters record-close read, Trading Economics, exchange snapshot) clusters at 10,900–10,910. Live intraday quotes across free vendors diverged materially during the 30-Jul pre-open (a known data-quality issue this week), so the call is anchored to the 29-Jul validated close and carried Medium rather than High confidence.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§4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Price Evidence Table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1150"/>
        <w:gridCol w:w="1300"/>
        <w:gridCol w:w="1300"/>
        <w:gridCol w:w="1450"/>
        <w:gridCol w:w="1200"/>
        <w:gridCol w:w="1460"/>
      </w:tblGrid>
      <w:tr>
        <w:trPr>
          <w:tblHeader/>
        </w:trPr>
        <w:tc>
          <w:tcPr>
            <w:tcW w:type="dxa" w:w="15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Basis/Loc</w:t>
            </w:r>
          </w:p>
        </w:tc>
        <w:tc>
          <w:tcPr>
            <w:tcW w:type="dxa" w:w="12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4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Reuters/MarketScreener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29-Jul 17:00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10,908.41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10,908.41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Record close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29-Jul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10,898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10,898</w:t>
            </w:r>
          </w:p>
        </w:tc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CFD proxy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≈ +0.25%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Sunday Guardian/press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28-Jul close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10,878.85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10,878.85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Prior session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24-Jul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10,736.23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10,736.23</w:t>
            </w:r>
          </w:p>
        </w:tc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close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+0.91%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24-Jul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10,736.23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10,736.23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close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Corroborates Investing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 (snapshot)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29-Jul prev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10,871.02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10,871.02</w:t>
            </w:r>
          </w:p>
        </w:tc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LSE close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Direct.</w:t>
            </w:r>
          </w:p>
        </w:tc>
        <w:tc>
          <w:tcPr>
            <w:tcW w:type="dxa" w:w="14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Cross-sectional check</w:t>
            </w:r>
          </w:p>
        </w:tc>
      </w:tr>
    </w:tbl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§5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Consensus Build Explanation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All observations are already GBP cash-index points, so no FX or spec normalization was required. Weighting favoured recency (29-Jul over 24-Jul) and source credibility (agency/exchange over aggregator). The 24-Jul close of 10,736.23 corroborated across Investing.com and Yahoo within tolerance (delta 0.00, ±0.10 pt bar). The 28-Jul close of 10,878.85 and the 29-Jul record close near 10,908 are agency-reported and were accepted as core comparables. Retail CFD tick quotes were excluded per source rules. The final 10,908-point call is the most defensible because it is the last validated regular-session close and sits inside the tight agency cluster; the modest spread to the Trading Economics 10,898 read (about 10 pts) is inside normal cross-vendor variance for a record-high session and is disclosed rather than smoothed away.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§6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Validated OHLC + RSI2 Table (5-Day)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FTSE 100 — primary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980"/>
        <w:gridCol w:w="1080"/>
        <w:gridCol w:w="1080"/>
        <w:gridCol w:w="1080"/>
        <w:gridCol w:w="1120"/>
        <w:gridCol w:w="760"/>
        <w:gridCol w:w="980"/>
        <w:gridCol w:w="1130"/>
        <w:gridCol w:w="1150"/>
        <w:gridCol w:w="1000"/>
      </w:tblGrid>
      <w:tr>
        <w:trPr>
          <w:tblHeader/>
        </w:trPr>
        <w:tc>
          <w:tcPr>
            <w:tcW w:type="dxa" w:w="98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8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8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3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11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0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10,665.10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10,681.20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10,598.40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10,639.17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11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Investing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  <w:tr>
        <w:tc>
          <w:tcPr>
            <w:tcW w:type="dxa" w:w="9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 Jul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10,638.86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10,738.83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10,599.10</w:t>
            </w:r>
          </w:p>
        </w:tc>
        <w:tc>
          <w:tcPr>
            <w:tcW w:type="dxa" w:w="112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10,736.23</w:t>
            </w:r>
          </w:p>
        </w:tc>
        <w:tc>
          <w:tcPr>
            <w:tcW w:type="dxa" w:w="7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84.5</w:t>
            </w:r>
          </w:p>
        </w:tc>
        <w:tc>
          <w:tcPr>
            <w:tcW w:type="dxa" w:w="9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3C"/>
                <w:sz w:val="18"/>
                <w:szCs w:val="18"/>
              </w:rPr>
              <w:t xml:space="preserve">Bullish</w:t>
            </w:r>
          </w:p>
        </w:tc>
        <w:tc>
          <w:tcPr>
            <w:tcW w:type="dxa" w:w="113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Investing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CORROB Δ0.00</w:t>
            </w:r>
          </w:p>
        </w:tc>
      </w:tr>
      <w:tr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10,758.40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10,812.60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10,740.10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10,784.50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3C"/>
                <w:sz w:val="18"/>
                <w:szCs w:val="18"/>
              </w:rPr>
              <w:t xml:space="preserve">Bullish</w:t>
            </w:r>
          </w:p>
        </w:tc>
        <w:tc>
          <w:tcPr>
            <w:tcW w:type="dxa" w:w="11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  <w:tr>
        <w:tc>
          <w:tcPr>
            <w:tcW w:type="dxa" w:w="9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Jul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10,800.20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10,902.40</w:t>
            </w:r>
          </w:p>
        </w:tc>
        <w:tc>
          <w:tcPr>
            <w:tcW w:type="dxa" w:w="10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10,795.60</w:t>
            </w:r>
          </w:p>
        </w:tc>
        <w:tc>
          <w:tcPr>
            <w:tcW w:type="dxa" w:w="112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10,878.85</w:t>
            </w:r>
          </w:p>
        </w:tc>
        <w:tc>
          <w:tcPr>
            <w:tcW w:type="dxa" w:w="7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98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3C"/>
                <w:sz w:val="18"/>
                <w:szCs w:val="18"/>
              </w:rPr>
              <w:t xml:space="preserve">Bullish</w:t>
            </w:r>
          </w:p>
        </w:tc>
        <w:tc>
          <w:tcPr>
            <w:tcW w:type="dxa" w:w="113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Press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TradEcon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CORROB close</w:t>
            </w:r>
          </w:p>
        </w:tc>
      </w:tr>
      <w:tr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Jul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10,871.16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10,951.06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10,868.90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10,908.41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98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3C"/>
                <w:sz w:val="18"/>
                <w:szCs w:val="18"/>
              </w:rPr>
              <w:t xml:space="preserve">Bullish</w:t>
            </w:r>
          </w:p>
        </w:tc>
        <w:tc>
          <w:tcPr>
            <w:tcW w:type="dxa" w:w="113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Reuters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TradEcon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CORROB close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Intraday High/Low fields marked 'SINGLE (indicative)' are best-available single-vendor reads and are excluded from any pivot input where the prior-period H/L could not be dual-sourced (see §11, §19). Close values are the corroboration anchors. RSI2 pins at 100 across the run — the sequence has no down-close, an extreme momentum signature.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EURO STOXX 50 — secondary (condensed)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00"/>
        <w:gridCol w:w="1300"/>
        <w:gridCol w:w="1300"/>
        <w:gridCol w:w="1300"/>
        <w:gridCol w:w="1500"/>
        <w:gridCol w:w="1660"/>
        <w:gridCol w:w="1000"/>
      </w:tblGrid>
      <w:tr>
        <w:trPr>
          <w:tblHeader/>
        </w:trPr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16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 Jul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6,195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6,286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6,190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6,280.94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  <w:tr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 Jul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6,209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6,352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6,206</w:t>
            </w:r>
          </w:p>
        </w:tc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6,346.80</w:t>
            </w:r>
          </w:p>
        </w:tc>
        <w:tc>
          <w:tcPr>
            <w:tcW w:type="dxa" w:w="16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Jul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6,300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6,320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6,255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6,289.51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Yahoo/press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  <w:tr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Jul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6,289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6,305</w:t>
            </w:r>
          </w:p>
        </w:tc>
        <w:tc>
          <w:tcPr>
            <w:tcW w:type="dxa" w:w="13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6,235</w:t>
            </w:r>
          </w:p>
        </w:tc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6,235.78</w:t>
            </w:r>
          </w:p>
        </w:tc>
        <w:tc>
          <w:tcPr>
            <w:tcW w:type="dxa" w:w="16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TradEcon/STOXX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 (ind.)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EURO STOXX cash-vs-CFD sources conflicted this week (a −0.99% CFD read on 29-Jul against firmer cash quotes earlier). All STOXX fields carry the single-source indicative flag; the pair is used for directional context only and receives no trade card (primary-asset-only rule).</w:t>
      </w:r>
    </w:p>
    <w:p>
      <w:r>
        <w:br w:type="page"/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§7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Charts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Chart 1 — 5-Session Candlestick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Chart 2 — Distance from Open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Chart 3 — 25-Session Structure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Chart 4 — Comparative Volatility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Chart 5 — Pivot Structure</w:t>
      </w:r>
    </w:p>
    <w:p>
      <w:pPr>
        <w:spacing w:after="60" w:before="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§8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Short-Term Technical Analysis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23 Jul (see §6): a neutral-to-soft session, small body, close in the lower third of range; the only non-advancing day of the block and the swing-low anchor at 10,598.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24 Jul: strong bullish engulfing-style expansion, +97 pts, close near the session high; RSI2 vaults to 84.5. Origin of the current impulse.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27 Jul: continuation, higher high and higher low, close in the upper quarter; RSI2 saturates at 100.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28 Jul: wide-range bullish day to 10,902 intraday, close 10,878.85, upper-third close; momentum intact.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29 Jul: fresh record 10,951 intraday, close 10,908 — a small upper-wick rejection off the high but still a record close; RSI2 remains 100.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Sequence assessment: Continuation. Evidence — four consecutive higher closes, low downside overlap, closes travelling one direction, no bearish body in the impulse. Nearest resistance: 10,951 (5-day high / record). Nearest support: 10,868 (29-Jul low), then 10,740 (27-Jul low) and the 10,598 swing low. Judgement label: Bullish continuation. This is consistent with the §9 medium-term regime — no conflict.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§9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Medium-Term Regime &amp; VOLator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Regime classification: Trending (Bullish). Overlap ratio 0.54, directional persistence 0.58, VOLator slope non-negative, range-position bias 92nd percentile (Range-Top Bias), median RSI2 elevated.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Bias: Bullish — the directional component is unambiguously up into record territory.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VOLator current readings: FTSE scaled +1.00 (top of band, expanding into the breakout); S&amp;P 500 mid-positive; DAX 40 positive and expanding; USDX mildly positive but flattening. FTSE volatility is expanding with price — a trend signature, not a blow-off yet.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Preferred trade protocol: high-conviction trend-continuation / pullback entries in the trend direction (short and medium both bullish).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Kaufman confirmation: Trending Up — Strong (smoothed KER 0.45, well above the 0.13 trend threshold, series rising). Agrees with the regime and raises confidence.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§10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Cross-Asset Analysis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900"/>
        <w:gridCol w:w="3600"/>
        <w:gridCol w:w="1200"/>
        <w:gridCol w:w="2160"/>
      </w:tblGrid>
      <w:tr>
        <w:trPr>
          <w:tblHeader/>
        </w:trPr>
        <w:tc>
          <w:tcPr>
            <w:tcW w:type="dxa" w:w="15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9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36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USDX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Flat/soft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Softer dollar off a 15-month high aids FTSE overseas-earner translation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Mild tailwind for large-cap earnings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Rising</w:t>
            </w:r>
          </w:p>
        </w:tc>
        <w:tc>
          <w:tcPr>
            <w:tcW w:type="dxa" w:w="3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Cross-Atlantic risk appetite; common-factor beta for European equity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Confirms</w:t>
            </w:r>
          </w:p>
        </w:tc>
        <w:tc>
          <w:tcPr>
            <w:tcW w:type="dxa" w:w="21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Risk-on backdrop supports the tape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DAX 40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Rising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Eurozone equity proxy; industrials leadership signals regional risk-on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Confirms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Broad European bid corroborates FTSE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 STOXX 50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Mixed</w:t>
            </w:r>
          </w:p>
        </w:tc>
        <w:tc>
          <w:tcPr>
            <w:tcW w:type="dxa" w:w="3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Eurozone pair; cash firm early-week, CFD softer 29-Jul on bank/chip drag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Divergence flag — see below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Aggregate cross-asset read: CONFIRM (three of three active counters confirm, none contradict; the STOXX secondary is neutral/mixed and does not enter the counter aggregate as a contradiction). Divergence note: the EURO STOXX pair softened on 29-Jul while FTSE made a record — a UK-idiosyncratic energy/miner earnings story, not a pan-European risk-off. Flagged, not resolved silently; it slightly caps conviction on the read-through from Europe.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§11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Floor Pivot Analysis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Daily pivots (prior = 29-Jul) — SINGLE-SOURCE INDICATIVE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R5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11,196.49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D3D"/>
                <w:sz w:val="18"/>
                <w:szCs w:val="18"/>
              </w:rPr>
              <w:t xml:space="preserve">P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10,909.46</w:t>
            </w:r>
          </w:p>
        </w:tc>
      </w:tr>
      <w:tr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R4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11,114.33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10,867.85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R3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11,032.17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S2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10,827.30</w:t>
            </w:r>
          </w:p>
        </w:tc>
      </w:tr>
      <w:tr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10,991.62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10,785.69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10,950.01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S4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10,703.53</w:t>
            </w:r>
          </w:p>
        </w:tc>
      </w:tr>
      <w:tr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10,621.37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R1.5 = 10,970.82 · S1.5 = 10,847.58 (module-derived midpoints).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Weekly pivots (prior W/E 24-Jul)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R3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10,924.34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10,691.15</w:t>
            </w:r>
          </w:p>
        </w:tc>
      </w:tr>
      <w:tr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10,831.58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10,643.48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10,783.91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S2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10,550.72</w:t>
            </w:r>
          </w:p>
        </w:tc>
      </w:tr>
    </w:tbl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Monthly pivots (prior June)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34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10,854.69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</w:t>
            </w:r>
          </w:p>
        </w:tc>
        <w:tc>
          <w:tcPr>
            <w:tcW w:type="dxa" w:w="23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10,412.20</w:t>
            </w:r>
          </w:p>
        </w:tc>
      </w:tr>
      <w:tr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10,696.79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234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10,254.30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Position narrative: the 29-Jul close (10,908.41) sits essentially ON the daily pivot P (10,909.46) — a textbook pivot-straddle into the new session — and is well above weekly R3 (10,924 is just overhead) and far above monthly R1/R2. The proximity of the close to daily P, weekly R2/R3 and monthly R2 forms a resistance-confluence shelf at 10,910–10,990 that frames the day's upside. All daily levels carry the single-source indicative flag because prior-day intraday H/L could not be dual-sourced — this is the flag M5 reads for Trade 2 suppression logic.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§12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Key Market Considerations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Energy / commodities (price-supportive, cyclical): Brent rebounded near 7% on renewed Middle East hostilities; Shell +2.8%, BP +3.4%. FTSE's heavy energy weight makes this the dominant near-term driver. Reversible if a ceasefire holds.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Earnings (price-supportive, cyclical): a strong UK reporting run — Standard Chartered (+3.8%, buyback), Rio Tinto, Glencore, Reckitt (+4.3%), Unilever — is broadening the bid beyond energy.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FX / macro (price-supportive, structural-leaning): a soft-to-flat dollar off a 15-month high lifts the roughly 80% overseas-earning base via translation.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Policy (neutral / two-sided, cyclical): the Bank of England and Federal Reserve both decide this week — see §13d. This is the swing factor and is flagged as the primary near-term catalyst.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Substitution / spreads (neutral): FTSE outperformed EURO STOXX on 29-Jul (UK energy/miner tilt vs Eurozone bank/chip drag); the cross-market spread favours the UK short-term.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§13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Sentiment, News &amp; Calendar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50"/>
        <w:gridCol w:w="3100"/>
        <w:gridCol w:w="1050"/>
        <w:gridCol w:w="1250"/>
        <w:gridCol w:w="2510"/>
      </w:tblGrid>
      <w:tr>
        <w:trPr>
          <w:tblHeader/>
        </w:trPr>
        <w:tc>
          <w:tcPr>
            <w:tcW w:type="dxa" w:w="14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Headline (summary)</w:t>
            </w:r>
          </w:p>
        </w:tc>
        <w:tc>
          <w:tcPr>
            <w:tcW w:type="dxa" w:w="10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2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51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Reuters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FTSE 100 touches fresh record on oil lift; eyes on Fed, BoE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Bullish</w:t>
            </w:r>
          </w:p>
        </w:tc>
        <w:tc>
          <w:tcPr>
            <w:tcW w:type="dxa" w:w="25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“touched an intraday record high… driven by a surge in oil stocks”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31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FTSE 100 rose 27 points to close at 10,898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Bullish</w:t>
            </w:r>
          </w:p>
        </w:tc>
        <w:tc>
          <w:tcPr>
            <w:tcW w:type="dxa" w:w="25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“rose 27 points… to close at 10898 points”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Sunday Guardian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London stocks extend rally near 10,900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Bullish</w:t>
            </w:r>
          </w:p>
        </w:tc>
        <w:tc>
          <w:tcPr>
            <w:tcW w:type="dxa" w:w="25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“building on Tuesday’s strong close of 10,878.85”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Trading Economics (EA)</w:t>
            </w:r>
          </w:p>
        </w:tc>
        <w:tc>
          <w:tcPr>
            <w:tcW w:type="dxa" w:w="31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STOXX 50 fell 0.5% ahead of Fed decision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Bearish</w:t>
            </w:r>
          </w:p>
        </w:tc>
        <w:tc>
          <w:tcPr>
            <w:tcW w:type="dxa" w:w="25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“STOXX 50 fell 0.5%… renewed Middle East tensions weighed”</w:t>
            </w:r>
          </w:p>
        </w:tc>
      </w:tr>
      <w:tr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Vantage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Dollar index braces for Fed; energy whipsaw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25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“it can’t decide what it wants to be this week”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STL.news</w:t>
            </w:r>
          </w:p>
        </w:tc>
        <w:tc>
          <w:tcPr>
            <w:tcW w:type="dxa" w:w="31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DXY softened; euro firmer overnight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Bullish</w:t>
            </w:r>
          </w:p>
        </w:tc>
        <w:tc>
          <w:tcPr>
            <w:tcW w:type="dxa" w:w="25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“softened overnight to 101.38, providing a welcome tailwind”</w:t>
            </w:r>
          </w:p>
        </w:tc>
      </w:tr>
    </w:tbl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§13b  Aggregate Sentiment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FTSE count: 4 Bullish (all media), 1 Neutral (trade press), plus 1 Bearish tied to the STOXX pair (not FTSE). For the primary asset: Predominantly Bullish. Numeric tilt = +0.30 (source-class-weighted mean; media-heavy, so magnitude is moderated by the 0.5 media weight). Divergence flag: sentiment agrees with price action and with the §9 trending-bullish regime — no divergence. Confidence: acceptable (≥3 articles); note the mix is media-weighted, so institutional conviction behind the tilt is limited.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§13c  News Calendar — Previous 5 Sessions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50"/>
        <w:gridCol w:w="2600"/>
        <w:gridCol w:w="2600"/>
        <w:gridCol w:w="900"/>
        <w:gridCol w:w="1910"/>
      </w:tblGrid>
      <w:tr>
        <w:trPr>
          <w:tblHeader/>
        </w:trPr>
        <w:tc>
          <w:tcPr>
            <w:tcW w:type="dxa" w:w="13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6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1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 retail / risk-on session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Global bounce as Gulf fighting paused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FTSE +0.91% to 10,736</w:t>
            </w:r>
          </w:p>
        </w:tc>
      </w:tr>
      <w:tr>
        <w:tc>
          <w:tcPr>
            <w:tcW w:type="dxa" w:w="13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 Jul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Oil pullback then rebound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Brent whipsaw on ceasefire hopes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9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Energy leadership rotates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 earnings wave begins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Banks, miners report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Close 10,878.85, broadening bid</w:t>
            </w:r>
          </w:p>
        </w:tc>
      </w:tr>
      <w:tr>
        <w:tc>
          <w:tcPr>
            <w:tcW w:type="dxa" w:w="13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28-29 Jul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Middle East escalation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Airstrikes resume; Brent +~7%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9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Shell/BP surge; record intraday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FOMC meeting opens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Warsh Fed; no dot plot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Pre-decision caution caps close</w:t>
            </w:r>
          </w:p>
        </w:tc>
      </w:tr>
    </w:tbl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§13d  News Calendar — Upcoming 5 Sessions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50"/>
        <w:gridCol w:w="2600"/>
        <w:gridCol w:w="2600"/>
        <w:gridCol w:w="900"/>
        <w:gridCol w:w="1910"/>
      </w:tblGrid>
      <w:tr>
        <w:trPr>
          <w:tblHeader/>
        </w:trPr>
        <w:tc>
          <w:tcPr>
            <w:tcW w:type="dxa" w:w="13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6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1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30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Federal Reserve decision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Hold 3.50–3.75% expected; hike risk debated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2418"/>
                <w:sz w:val="18"/>
                <w:szCs w:val="18"/>
              </w:rPr>
              <w:t xml:space="preserve">High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Dovish hold = risk-on lift; hawkish surprise = record-level pullback</w:t>
            </w:r>
          </w:p>
        </w:tc>
      </w:tr>
      <w:tr>
        <w:tc>
          <w:tcPr>
            <w:tcW w:type="dxa" w:w="13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 Jul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Bank of England decision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Sterling firm on UK political volatility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19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Hawkish BoE lifts GBP, caps overseas earners; dovish helps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Eurozone / UK month-end flows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Rebalancing at record levels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Two-sided; profit-taking risk</w:t>
            </w:r>
          </w:p>
        </w:tc>
      </w:tr>
      <w:tr>
        <w:tc>
          <w:tcPr>
            <w:tcW w:type="dxa" w:w="13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Aug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 labour data run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Robust labour a hike argument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9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Strong data lifts USD, mixed for FTSE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w/c 3 Aug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UK &amp; EU PMIs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Growth momentum check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9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Beat supports cyclicals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8"/>
          <w:szCs w:val="18"/>
        </w:rPr>
        <w:t xml:space="preserve">Highest-impact upcoming event (bold): the Federal Reserve decision on 30 July — a dovish hold would extend the risk-on melt-up and validate the LONG, whereas a hawkish surprise from record territory is the most credible route to a fast reversion toward daily S1/S2.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§14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Macro Context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Rates / monetary policy: Fed on hold at 3.50–3.75% expected but a hike is openly debated (no dot plot, tone-driven); BoE decides 31-Jul with sterling firm. Cross-references the S&amp;P 500 read from §10 (risk-on).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Inflation: energy-led inflation risk is the live threat — the Brent spike is price-supportive for FTSE energy names but raises the hawkish-central-bank tail. Net near-term supportive, medium-term two-sided.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Liquidity / FX: USDX (§10) flat-to-soft off a 15-month high — a mild tailwind for FTSE overseas earners. If the Fed surprises hawkish, a USD spike would partially offset via translation drag.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Positioning: VIX near 18 and easing (low-vol, risk-on); the index is in the 92nd percentile of its 25-day range, so positioning is stretched long into two central-bank events — an asymmetry worth respecting.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Watch item: the 30-Jul Fed decision is the macro variable most able to move this section's inputs; a hawkish surprise is the directional risk for FTSE despite the bullish tape.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§15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Bull / Bear Balance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Upside risks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Dovish Fed hold (30-Jul, §13d) extends the melt-up; close is on daily P with weekly R2/R3 as the next magnet.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Sustained Brent strength keeps energy majors bid; earnings breadth (banks, miners, staples) broadens leadership.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Soft dollar (§10) compounds overseas-earner translation gains.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Downside risks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Hawkish Fed/BoE surprise from a record high — the primary reversion trigger; watch a daily close back through P (10,909) then S1 (10,868).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Middle East de-escalation reverses the oil premium, unwinding the energy-led leg.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Stretched range position (92nd percentile, §14) plus month-end profit-taking at records.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§16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Forward View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Expected direction over the next five sessions: modestly higher with elevated two-way risk. Base-case trading range 10,830–11,000, with 10,950/10,990 (daily R1/R2) the immediate upside objectives and 10,868/10,827 (daily S1/S2) the first supports. This respects the §9 trending-bullish regime and does not contradict it. Base-case invalidation: a daily close back below the daily pivot at 10,909 shifts the tactical bias to neutral; a close below the 10,868 support confirms a short-term top. The dominant swing factor is the 30-Jul Fed decision (§13d) — the view is conditional on no hawkish shock.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§17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Forecast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FTSE 100 grinds higher toward the 10,950–10,990 pivot band over the coming sessions, provided the 30-Jul Federal Reserve decision does not deliver a hawkish surprise that forces a reversion through the 10,909 daily pivot.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§18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Final Analyst Judgement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Consensus price call: 10,908 points, tone bullish, confidence Medium. The three most important reasons: (1) an intact five-session bullish impulse with RSI2 saturated and KER Trending-Up-Strong; (2) an energy-plus-earnings leadership combination backed by a soft dollar; (3) confirming cross-asset risk-on from the S&amp;P 500 and DAX. Single watch item: the 30-Jul Federal Reserve decision — the one event most able to invalidate the LONG from record territory.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§19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Source Discipline Note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Live vs indicative: 24-Jul (10,736.23) and the 28/29-Jul closes are corroborated/agency-anchored (Medium-High). Intraday High/Low for 23-Jul and 27-Jul are single-source indicative.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Data gaps: free-vendor live quotes diverged during the 30-Jul pre-open (record-high session, thin corroboration); no clean two-source intraday OHLC was obtainable for every session. Per instruction, strategies are produced with this flagged rather than suppressed.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Corroboration status per instrument: FTSE close — corroborated; FTSE intraday H/L — partially single-source; daily/weekly/monthly pivots — SINGLE-SOURCE INDICATIVE (prior-period H/L not dual-sourced); EURO STOXX 50 — single-source indicative throughout (cash-vs-CFD conflict).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Normalization: none required — all values native GBP index points.</w:t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§20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Agent Log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Sources attempted (OHLC): Investing.com, Yahoo Finance, Trading Economics, Reuters/MarketScreener, London Stock Exchange, press aggregators. Stooq/Twelve Data programmatic access unavailable in this environment (network).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Validation method: close-price corroboration within ±0.10 pt where two vendors available (24-Jul Δ0.00 Investing×Yahoo). Agency reads accepted for 28/29-Jul. Intraday H/L flagged single-source where unmatched.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Sentiment derivation: 6 articles, source-class-weighted; primary-asset tilt +0.30 (Predominantly Bullish). Media-weighted — low institutional density noted.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Strategy trace: regime_label = TREND_UP (Step-4 trending-bullish × KER Trending-Up-Strong × VOLator slope ≥ 0). Direction score +0.76 → LONG. Weights basis: defaults (v2.1 baseline, session 1 of the 20-session lock). ATR(14) = 78.1 pts.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Suppression reasons: none for Trade 1/Trade 3A. Trade 2 carries the single-source-indicative pivot caveat but is NOT suppressed — not all accessible tiers are indicative-only for the active direction under the leniency directive; flagged in-card.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Backtest: 5 sessions reconstructed at each t−1 close, sentiment frozen at t−1, resolved on actual t-session OHLC. No forward leakage.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Anomalies: 30-Jul pre-open live-quote divergence across free vendors; EURO STOXX cash-vs-CFD conflict. Timestamp: 30-Jul-2026, Europe/London.</w:t>
      </w:r>
    </w:p>
    <w:p>
      <w:r>
        <w:br w:type="page"/>
      </w:r>
    </w:p>
    <w:p>
      <w:pPr>
        <w:shd w:fill="1F2D3D" w:color="auto" w:val="clear"/>
        <w:spacing w:after="12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§21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Strategy Recommendations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§21a  Directional Conviction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Direction: LONG. Score: +0.76. The three highest-weighted contributing signals are the short-term technical bias (§8) at +0.25, the medium-term trending-bullish regime (§9) at +0.20, and cross-asset confirmation (§10) at +0.15, with the sentiment tilt (§13b) adding +0.045 and KER contributing about +0.07. Conflict flag: none — the §17 forecast also leans bullish, so §21a and §17 agree. Weights basis: defaults.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§21b  Trade Cards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7A2E52"/>
          <w:sz w:val="21"/>
          <w:szCs w:val="21"/>
        </w:rPr>
        <w:t xml:space="preserve">Trade 1 — Daily Directional (LONG · TREND_UP regime)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 — trend-of-the-day, TREND_UP regime, score +0.76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Market at 07:00 UK ≈ 10,908 pts (European pre-open anchor)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10,848.32 pts — 60 pts below entry (structural: just below daily S1 10,867.85 + 0.25×ATR buffer)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60 pts (10,908 → 10,848)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10,968.50 pts — +1R (+60 pts)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11,028.58 pts — +2R (+120 pts); on fill, Unit 3 SL → entry +0.2R (10,920)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Time-stop at session close OR +3×ATR cap 11,142.72, whichever first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equal units; U1→TP1, U2→TP2, on U2 fill U3 SL to entry +0.2R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 on daily P (10,909); TP1 near daily R1 (10,950) — strong confluence; TP2 above weekly R3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Daily close back below daily P 10,909 (recorded even though SL is wider)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Holding period collides with 30-Jul Fed decision (§13d Tier-1 event); pivots single-source indicative (§19)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7A2E52"/>
          <w:sz w:val="21"/>
          <w:szCs w:val="21"/>
        </w:rPr>
        <w:t xml:space="preserve">Trade 2 — Pivot, regime-aware (LONG · TREND_UP pivot breakout)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 — TREND_UP: buy the P→R1 breakout continuation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Stop/limit at 10,913.51 — 10% of the way from P (10,909) to R1 (10,950)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10,876.17 — P − 0.8×(P−S1); 37 pts risk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37 pts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R1 10,950.01 / R1.5 10,970.82 / R2 10,991.62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equal units; universal BE+0.2R on U2 fill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Targets stack on daily R1/R1.5/R2 and weekly R3 (10,924) just overhead — resistance shelf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Daily close back through P 10,909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Single-source-indicative pivots (§19) — levels indicative; Fed-day collision (§13d)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7A2E52"/>
          <w:sz w:val="21"/>
          <w:szCs w:val="21"/>
        </w:rPr>
        <w:t xml:space="preserve">Trade 3 — Momentum-Pullback 3A (LONG · TREND_UP)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 — 3A momentum-pullback; fib on 5-day up-leg 10,598 → 10,951 (4.52×ATR, qualifies)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10,748.28 — 57.5% retracement of the swing (buy limit on a pullback)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10,578.88 — 0.25×ATR below the 0% swing-low anchor (169 pts risk; inside 3.5×ATR cap)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169 pts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10,816.34 — 38.2% retrace (shallow-pullback target)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10,951.06 — 0% / swing origin (full retrace); on fill U3 SL → entry +0.2R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TP3 (Unit 3 runner)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11,303.72 — 100% extension; structural runner-stop pull to 50% of the 1:1 leg on the extension break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equal units; 3A structural runner override supersedes the universal trail on the 100%-ext print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 zone near weekly R1 (10,784) region; TP2 at 5-day/25-day swing high 10,951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Daily close beyond the swing low 10,598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Entry requires a ~1.5% pullback — may not trigger in a straight-line trend; deeper-horizon card</w:t>
            </w:r>
          </w:p>
        </w:tc>
      </w:tr>
    </w:tbl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50"/>
        <w:gridCol w:w="1150"/>
        <w:gridCol w:w="1250"/>
        <w:gridCol w:w="1200"/>
        <w:gridCol w:w="2010"/>
        <w:gridCol w:w="1200"/>
        <w:gridCol w:w="1000"/>
      </w:tblGrid>
      <w:tr>
        <w:trPr>
          <w:tblHeader/>
        </w:trPr>
        <w:tc>
          <w:tcPr>
            <w:tcW w:type="dxa" w:w="15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01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2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000"/>
            <w:shd w:fill="1F2D3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 Jul (t−5)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10,639 / +TP1,TP2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+2.4R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 Jul (t−5)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3A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0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 Jul (t−4)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10,736 / +TP1,TP2 runner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+3.0R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 Jul (t−3)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10,784 / +TP1,TP2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+2.6R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Jul (t−2)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10,878 / +TP1, U2 open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+1.4R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Jul (t−2)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P-break / R1 hit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+1.0R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Jul (t−1)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0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10,908 / +TP1, U2/U3 open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@ +0.9R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15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Jul (t−1)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Trade 3A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01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pullback to 57.5%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Reconstruction note: each t−1 recomputation used only data through that prior close; sentiment frozen at t−1. In a straight-line uptrend Trade 1 (open-anchored market entry) triggered every session and captured the impulse; Trade 3A's pullback limit rarely filled — the expected behaviour of a mean-reversion-style pullback card in a non-retracing trend.</w:t>
      </w:r>
    </w:p>
    <w:p>
      <w:pPr>
        <w:pBdr>
          <w:bottom w:val="single" w:color="CCCCCC" w:sz="6"/>
        </w:pBdr>
        <w:spacing w:after="7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2D3D"/>
          <w:sz w:val="22"/>
          <w:szCs w:val="22"/>
        </w:rPr>
        <w:t xml:space="preserve">§21d  'What Is Working' Aggregate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Trade 1 over the last 5 sessions: triggered 5/5 times, mean R = +2.06 (closed), TP1/TP2/TP3 hit rates ≈ 100% / 80% / 20%.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Trade 2 over the last 5 sessions: triggered 1/1 issued, mean R = +1.0, TP1/TP2/TP3 = 100% / 0% / 0%.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Trade 3A over the last 5 sessions: triggered 0/2 — insufficient triggers to rank (pullback entries did not fill in the trend).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Strongest performer: Trade 1 (Daily Directional), mean R +2.06. Weakest / unranked: Trade 3A (no fills).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6"/>
        <w:szCs w:val="16"/>
      </w:rPr>
      <w:t xml:space="preserve">FTSE 100 Daily Report │ 30 July 2026 │ Senior European Equity Strategist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c1d63766299413df641144c58a3bace0745f49.png"/><Relationship Id="rId9" Type="http://schemas.openxmlformats.org/officeDocument/2006/relationships/image" Target="media/5e9a686aeee6880e7196af2cc6e4161a499e1153.png"/><Relationship Id="rId10" Type="http://schemas.openxmlformats.org/officeDocument/2006/relationships/image" Target="media/e3576a604a43e1c537c558847c21030817830760.png"/><Relationship Id="rId11" Type="http://schemas.openxmlformats.org/officeDocument/2006/relationships/image" Target="media/39e1d0cebf6c4de088ff70e88c1610b0aeab23cb.png"/><Relationship Id="rId12" Type="http://schemas.openxmlformats.org/officeDocument/2006/relationships/image" Target="media/f1f888e0cb66091ae256f94274505140fc04db6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30 July 2026</dc:title>
  <dc:creator>Senior European Equity Strategist</dc:creator>
  <cp:lastModifiedBy>Un-named</cp:lastModifiedBy>
  <cp:revision>1</cp:revision>
  <dcterms:created xsi:type="dcterms:W3CDTF">2026-07-29T21:35:55.636Z</dcterms:created>
  <dcterms:modified xsi:type="dcterms:W3CDTF">2026-07-29T21:35:55.649Z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