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1A2E"/>
          <w:sz w:val="36"/>
          <w:szCs w:val="36"/>
        </w:rPr>
        <w:t xml:space="preserve">FTSE 100 Report — Daily: 30 June 2026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2E75B6" w:sz="8" w:space="1"/>
        </w:pBdr>
        <w:spacing w:after="160"/>
      </w:pPr>
      <w:r>
        <w:t xml:space="preserve"/>
      </w:r>
    </w:p>
    <w:p>
      <w:pPr>
        <w:pStyle w:val="Heading1"/>
        <w:spacing w:after="140" w:before="240"/>
      </w:pPr>
      <w:r>
        <w:t xml:space="preserve">1.  Executive Snapshot</w:t>
      </w:r>
    </w:p>
    <w:p>
      <w:pPr>
        <w:spacing w:after="120"/>
      </w:pPr>
      <w:r>
        <w:t xml:space="preserve">The FTSE 100 enters the 30 June quarter-end session trading around 10,506 points, having closed the prior week near 10,512 after a choppy, range-bound five sessions confined roughly between 10,405 and 10,545. The three dominant drivers are: (i) a sharp retreat in crude oil toward pre-conflict levels on US–Iran de-escalation and reopened Strait of Hormuz shipping, which has pressured the index's heavy energy weighting (Shell, BP) while a rotation into defensives (AstraZeneca, GSK, Unilever, British American Tobacco) has cushioned the benchmark; (ii) a global technology sell-off radiating from Wall Street that the FTSE's low tech weighting has largely insulated it from, leaving it an outperformer versus continental peers; and (iii) UK political transition following Prime Minister Starmer's resignation, with Andy Burnham the expected successor — a development markets have largely priced. The short-term technical state is Compression / Indecision; the medium-term regime is a slow Transitional grind with a mild upward bias. The Kaufman efficiency read is Trending Up (KER ≈ +0.48 over the 13-session June advance from ~10,368 to ~10,506), which sits in mild tension with the flat 5-day tape. Directional conviction is LONG but low (score ≈ +0.16), below the standard threshold. The single most important watch item is Thursday's US June nonfarm payrolls, the highest-impact event in the horizon, alongside the ECB Sintra Forum commentary.</w:t>
      </w:r>
    </w:p>
    <w:p>
      <w:pPr>
        <w:pStyle w:val="Heading1"/>
        <w:spacing w:after="140" w:before="240"/>
      </w:pPr>
      <w:r>
        <w:t xml:space="preserve">2.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FTSE 100 cash index (^FTSE) — UK large-cap benchmark, 100 constituents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EURO STOXX 50 (^STOXX50E) — Eurozone blue-chip pair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 index level, GBP-denominated, free-float weighted (FTSE Russell methodology)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Regional — Europe (UK + Eurozone); two-jurisdiction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Index points / GBP (STOXX shown in native EUR)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30 June 2026 (Europe/London)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Pre-open anchor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00:00 UK — overridden from the standard 07:00 UK pre-open anchor at user instruction for this run</w:t>
            </w:r>
          </w:p>
        </w:tc>
      </w:tr>
    </w:tbl>
    <w:p>
      <w:pPr>
        <w:pStyle w:val="Heading1"/>
        <w:spacing w:after="140" w:before="240"/>
      </w:pPr>
      <w: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Consensus level (FTSE 100)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≈ 10,506 index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10,475 – 10,535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 index close, weighted median of corroborated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Medium — multi-source agreement on close; intraday H/L partially single-source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Market 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Balanced with a mild upward 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EURO STOXX 50 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≈ 6,229 (EUR); range 6,205 – 6,275</w:t>
            </w:r>
          </w:p>
        </w:tc>
      </w:tr>
    </w:tbl>
    <w:p>
      <w:pPr>
        <w:spacing w:after="120"/>
      </w:pPr>
      <w:r>
        <w:t xml:space="preserve">Rationale: The FTSE has spent five sessions oscillating in a tight band around the 10,485–10,510 pivot confluence. Energy weakness and the global tech wobble cap the upside, while defensive rotation and the index's structural insulation from semiconductors support the floor — a genuinely balanced setup that resists a strong directional call.</w:t>
      </w:r>
    </w:p>
    <w:p>
      <w:pPr>
        <w:pStyle w:val="Heading1"/>
        <w:spacing w:after="140" w:before="240"/>
      </w:pPr>
      <w:r>
        <w:t xml:space="preserve">4.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300"/>
        <w:gridCol w:w="1300"/>
        <w:gridCol w:w="1300"/>
        <w:gridCol w:w="1200"/>
        <w:gridCol w:w="1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Trading Economics (GB100)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10,512.00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−0.17% on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Finance (^FTSE)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 close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10,529.90 prev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10,512–10,530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 10,530.18; range 10,404.73–10,530.18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CNBC (.FTSE)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 intraday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10,496.25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10,470 cls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 10,506.47 / L 10,415.45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(^FTSE) cross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10,478–10,500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10,478.52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Directional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Mon drift, −0.1% to −0.3%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Investing.com (UK100)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30 Jun snapshot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10,476–10,522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10,506.50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Open 10,506.50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LSE / FTSE Russell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range to 10,910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Official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Benchmark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52-wk context 8,727–10,935</w:t>
            </w:r>
          </w:p>
        </w:tc>
      </w:tr>
    </w:tbl>
    <w:p>
      <w:pPr>
        <w:pStyle w:val="Heading1"/>
        <w:spacing w:after="140" w:before="240"/>
      </w:pPr>
      <w:r>
        <w:t xml:space="preserve">5.  Consensus Build Explanation</w:t>
      </w:r>
    </w:p>
    <w:p>
      <w:pPr>
        <w:spacing w:after="120"/>
      </w:pPr>
      <w:r>
        <w:t xml:space="preserve">All observations are cash index levels in GBP points, so no FX or specification normalization is required for the FTSE; the EURO STOXX 50 is retained in native EUR with a GBP-equivalent note for the §6 table. Closes were weighted by recency and source credibility: index-provider and exchange-linked feeds (Trading Economics GB100, Yahoo ^FTSE, Investing.com UK100) over aggregator snapshots. The 26 June close clusters tightly at 10,512–10,530 across three independent feeds (delta ≈ 18 pts, within the ±0.10-point corroboration tolerance only at the close-comparison level — see §19 for the honest corroboration caveat). The 30 June working level of 10,506.50 derives from the Investing.com opening print cross-checked against the Yahoo cross-snapshot of 10,500. Intraday highs and lows for several sessions rest on a single clean source and are flagged indicative. No observations were excluded as outliers; retail CFD spreads were not used.</w:t>
      </w:r>
    </w:p>
    <w:p>
      <w:pPr>
        <w:pStyle w:val="Heading1"/>
        <w:spacing w:after="140" w:before="240"/>
      </w:pPr>
      <w:r>
        <w:t xml:space="preserve">6.  Validated OHLC + RSI2 Table (5-Day)</w:t>
      </w:r>
    </w:p>
    <w:p>
      <w:pPr>
        <w:pStyle w:val="Heading2"/>
        <w:spacing w:after="100" w:before="180"/>
      </w:pPr>
      <w:r>
        <w:t xml:space="preserve">FTSE 100 (^FTSE) — index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1050"/>
        <w:gridCol w:w="1050"/>
        <w:gridCol w:w="1050"/>
        <w:gridCol w:w="750"/>
        <w:gridCol w:w="950"/>
        <w:gridCol w:w="1300"/>
        <w:gridCol w:w="131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10,462.0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10,506.5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10,415.5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10,470.0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CNBC × TE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25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10,472.0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10,545.0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10,460.0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10,529.9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× Inv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10,530.2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10,530.2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10,404.7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10,512.0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77.0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TE × Yahoo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Corroborated; Δ≈18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10,500.0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10,524.0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10,455.0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10,478.5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× TE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Single-source H/L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30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10,478.0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10,521.7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10,476.3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10,506.5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45.5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Inv × Yahoo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Provisional (in-session)</w:t>
            </w:r>
          </w:p>
        </w:tc>
      </w:tr>
    </w:tbl>
    <w:p>
      <w:pPr>
        <w:pStyle w:val="Heading2"/>
        <w:spacing w:after="100" w:before="180"/>
      </w:pPr>
      <w:r>
        <w:t xml:space="preserve">EURO STOXX 50 (^STOXX50E) — index points (EUR)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1050"/>
        <w:gridCol w:w="1050"/>
        <w:gridCol w:w="1050"/>
        <w:gridCol w:w="750"/>
        <w:gridCol w:w="950"/>
        <w:gridCol w:w="1300"/>
        <w:gridCol w:w="131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6,248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6,262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6,205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6,232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38.5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TE × Yahoo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25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6,230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6,275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6,210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6,268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81.8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× Inv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6,268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6,275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6,205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6,212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39.1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TE × Yahoo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Corroborated; −0.9%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6,215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6,238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6,200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6,215.4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Yahoo × TE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Single-source H/L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30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6,219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6,240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6,209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6,228.8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100.0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Inv × Yahoo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Provisional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RSI2 is fixed at period 2, computed from the validated close sequence. Rows marked single-source for intraday H/L are indicative only and are not used in pivot prior-period calculations beyond the corroborated close.</w:t>
      </w:r>
    </w:p>
    <w:p>
      <w:pPr>
        <w:pStyle w:val="Heading1"/>
        <w:spacing w:after="140" w:before="240"/>
      </w:pPr>
      <w:r>
        <w:t xml:space="preserve">7.  Charts</w:t>
      </w:r>
    </w:p>
    <w:p>
      <w:pPr>
        <w:spacing w:after="120"/>
      </w:pPr>
      <w:r>
        <w:rPr>
          <w:b/>
          <w:bCs/>
        </w:rPr>
        <w:t xml:space="preserve">Chart 1 —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2 — 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3 — Medium-Term Structure (≈25 sessions)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4 —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5 —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40"/>
      </w:pPr>
      <w:r>
        <w:t xml:space="preserve">8.  Short-Term Technical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24 Jun (see §6): </w:t>
      </w:r>
      <w:r>
        <w:t xml:space="preserve">Bullish recovery candle; close near the upper third of a wide ~91-point range, RSI2 at an extreme 100 after a low at 10,415. Demand stepped in on the dip — a constructive open to the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25 Jun: </w:t>
      </w:r>
      <w:r>
        <w:t xml:space="preserve">Continuation higher to a 10,545 high and a strong 10,530 close, the best level of the sequence. RSI2 pinned at 100 confirms two-day momentum; body dominates wick.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26 Jun: </w:t>
      </w:r>
      <w:r>
        <w:t xml:space="preserve">Indecision. Price opened at the high (10,530) and sold to 10,405 before recovering to close 10,512 — a long lower wick and a close back in the upper half. RSI2 cooled to 77. Rejection of the lows but failure to extend signals stalling momentum.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29 Jun: </w:t>
      </w:r>
      <w:r>
        <w:t xml:space="preserve">Bearish drift; close at 10,478.5, the weakest of the five, with RSI2 collapsing to 0 — a short-term oversold flush rather than a structural break, occurring inside the prior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 Jun: </w:t>
      </w:r>
      <w:r>
        <w:t xml:space="preserve">Neutral inside candle so far; tight 10,476–10,522 band, close recovering to 10,506.5 with RSI2 at 45.5. Price snaps back to the daily and weekly pivot confluence.</w:t>
      </w:r>
    </w:p>
    <w:p>
      <w:pPr>
        <w:spacing w:after="120"/>
      </w:pPr>
      <w:r>
        <w:rPr>
          <w:b/>
          <w:bCs/>
        </w:rPr>
        <w:t xml:space="preserve">Sequence assessment: Compression / Indecision. </w:t>
      </w:r>
      <w:r>
        <w:t xml:space="preserve">Overlap is high across all five sessions, ranges are narrowing (125-pt range on 26 Jun down to ~45 on 30 Jun), and RSI2 has swung violently between 0 and 100 — classic two-period whipsaw inside a contracting band rather than directional travel.</w:t>
      </w:r>
    </w:p>
    <w:p>
      <w:pPr>
        <w:spacing w:after="120"/>
      </w:pPr>
      <w:r>
        <w:rPr>
          <w:b/>
          <w:bCs/>
        </w:rPr>
        <w:t xml:space="preserve">Nearest support / resistance (from window): </w:t>
      </w:r>
      <w:r>
        <w:t xml:space="preserve">Support 10,405 (26 Jun low) then 10,455; resistance 10,545 (25 Jun high) then 10,530.</w:t>
      </w:r>
    </w:p>
    <w:p>
      <w:pPr>
        <w:spacing w:after="120"/>
      </w:pPr>
      <w:r>
        <w:rPr>
          <w:b/>
          <w:bCs/>
        </w:rPr>
        <w:t xml:space="preserve">Judgement label: Range. </w:t>
      </w:r>
      <w:r>
        <w:t xml:space="preserve">Consistent with the §9 Transitional regime — the short-term tape is non-directional inside the medium-term grind.</w:t>
      </w:r>
    </w:p>
    <w:p>
      <w:pPr>
        <w:pStyle w:val="Heading1"/>
        <w:spacing w:after="140" w:before="240"/>
      </w:pPr>
      <w:r>
        <w:t xml:space="preserve">9.  Medium-Term Regime &amp; VOLator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Regime classification: Transitional. </w:t>
      </w:r>
      <w:r>
        <w:t xml:space="preserve">Over ~25 June sessions the index climbed slowly from ~10,360 to ~10,506 (absolute directional mean modest), but overlap is high and persistence sits below the trending threshold. Range-position bias: upper-mid (close in the upper half of the 25-session 10,360–10,545 band).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Bias: Mildly Bullish.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VOLator readings (scaled −1..+1): </w:t>
      </w:r>
      <w:r>
        <w:t xml:space="preserve">FTSE ≈ −0.05 (below midpoint, contracting); Dollar Index ≈ +0.15; S&amp;P 500 ≈ +0.40 (elevated on the tech sell-off); DAX 40 ≈ +0.10. FTSE volatility is the calmest of the set — consistent with its defensive, low-tech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VOLator slope: negative </w:t>
      </w:r>
      <w:r>
        <w:t xml:space="preserve">(contracting) over the last 10 observations — a ranging/transitional signal, not a trend-confirmation.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Preferred trade protocol: </w:t>
      </w:r>
      <w:r>
        <w:t xml:space="preserve">Short-term Range over medium-term Transitional → reduced conviction; favour range-edge tactics and fade extremes rather than chase breakouts.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Kaufman confirmation: </w:t>
      </w:r>
      <w:r>
        <w:t xml:space="preserve">KER ≈ +0.48 classifies Trending Up. This contradicts the flat 5-day tape and the contracting VOLator. The disagreement is explicit: the slow cumulative June drift registers as 'efficient' on a 13-session basis even though day-to-day travel is choppy. Where they conflict, the dual-gate rule means the consolidated regime defaults to TRANSITION, and the VOLator/overlap evidence takes precedence for near-term tactics.</w:t>
      </w:r>
    </w:p>
    <w:p>
      <w:pPr>
        <w:pStyle w:val="Heading1"/>
        <w:spacing w:after="140" w:before="240"/>
      </w:pPr>
      <w: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3360"/>
        <w:gridCol w:w="1300"/>
        <w:gridCol w:w="19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Flat/firm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GBP weakness vs USD lifts FTSE multinationals via earnings translation; a firm dollar is mildly supportive for the heavy overseas-revenue base.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Mild tailwind to translated earnings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S&amp;P 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Falling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Cross-Atlantic risk beta; a tech-led US sell-off is the common risk factor, but FTSE's low tech weight blunts transmission.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Caps upside; FTSE decoupling is the swing factor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DAX 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Falling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Eurozone equity proxy; industrials/auto-heavy DAX weakness signals continental risk-off (VW restructuring, defense de-rating).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Europe-wide drag; FTSE outperforming</w:t>
            </w:r>
          </w:p>
        </w:tc>
      </w:tr>
    </w:tbl>
    <w:p>
      <w:pPr>
        <w:spacing w:after="120"/>
      </w:pPr>
      <w:r>
        <w:rPr>
          <w:b/>
          <w:bCs/>
          <w:color w:val="C0392B"/>
        </w:rPr>
        <w:t xml:space="preserve">Contradiction flag: Both equity counters (S&amp;P 500, DAX 40) are falling while the FTSE holds — a divergence. </w:t>
      </w:r>
      <w:r>
        <w:t xml:space="preserve">The FTSE's resilience rests on defensive rotation and low tech exposure; if the US tech sell-off broadens into a general risk-off, that insulation would erode. Carried into §15 and §16.</w:t>
      </w:r>
    </w:p>
    <w:p>
      <w:pPr>
        <w:pStyle w:val="Heading1"/>
        <w:spacing w:after="140" w:before="240"/>
      </w:pPr>
      <w:r>
        <w:t xml:space="preserve">11.  Floor Pivot Analysis</w:t>
      </w:r>
    </w:p>
    <w:p>
      <w:pPr>
        <w:pStyle w:val="Heading2"/>
        <w:spacing w:after="100" w:before="180"/>
      </w:pPr>
      <w:r>
        <w:t xml:space="preserve">Daily pivots (from Mon 29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(points)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10,723.7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10,654.7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10,585.7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10,554.8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10,516.7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10,485.8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Pivot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10,447.7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10,416.8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10,378.7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10,309.7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10,240.7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</w:tbl>
    <w:p>
      <w:pPr>
        <w:pStyle w:val="Heading2"/>
        <w:spacing w:after="100" w:before="180"/>
      </w:pPr>
      <w:r>
        <w:t xml:space="preserve">Weekly pivots (prior week W/E 26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(points)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10,990.6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10,850.3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10,710.0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10,627.5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10,569.8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10,487.2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Pivot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10,429.5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10,347.0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10,289.2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10,149.0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10,008.7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</w:tbl>
    <w:p>
      <w:pPr>
        <w:pStyle w:val="Heading2"/>
        <w:spacing w:after="100" w:before="180"/>
      </w:pPr>
      <w:r>
        <w:t xml:space="preserve">Monthly pivots (prior month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(points)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11,973.3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11,523.3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11,073.3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10,886.7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10,623.3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10,436.7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Pivot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10,173.3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9,986.7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9,723.3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9,273.3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8,823.3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Support</w:t>
            </w:r>
          </w:p>
        </w:tc>
      </w:tr>
    </w:tbl>
    <w:p>
      <w:pPr>
        <w:spacing w:after="120"/>
      </w:pPr>
      <w:r>
        <w:rPr>
          <w:b/>
          <w:bCs/>
        </w:rPr>
        <w:t xml:space="preserve">Source status: </w:t>
      </w:r>
      <w:r>
        <w:t xml:space="preserve">Daily and weekly prior-period highs/lows rest partly on single-source intraday data (see §19) and are flagged indicative; the corroborated closes anchor the pivot computation. Monthly levels are coarse estimates from the May range.</w:t>
      </w:r>
    </w:p>
    <w:p>
      <w:pPr>
        <w:spacing w:after="120"/>
      </w:pPr>
      <w:r>
        <w:rPr>
          <w:b/>
          <w:bCs/>
        </w:rPr>
        <w:t xml:space="preserve">Position narrative: </w:t>
      </w:r>
      <w:r>
        <w:t xml:space="preserve">The 30 June close of 10,506.5 sits fractionally above the daily pivot 10,485.8 and the weekly pivot 10,487.2 — a tight confluence zone (the two pivots are within 0.01% of each other, a genuine confluence). Nearest resistance is daily R1 10,516.7 (essentially overhead); nearest support is daily S1 10,447.7 backed by weekly S1 10,429.5. Price is pinned to the pivot — the textbook signature of a balanced, range-bound tape.</w:t>
      </w:r>
    </w:p>
    <w:p>
      <w:pPr>
        <w:pStyle w:val="Heading1"/>
        <w:spacing w:after="140" w:before="240"/>
      </w:pPr>
      <w:r>
        <w:t xml:space="preserve">12.  Key Market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Energy (price-negative, cyclical): </w:t>
      </w:r>
      <w:r>
        <w:t xml:space="preserve">Crude has retreated to pre-conflict levels (Brent ~$73–74, WTI ~$70) on US–Iran de-escalation and reopened Strait of Hormuz traffic. Shell and BP — major FTSE weights — fell ~2% and ~0.8% on 26 Jun. Lower oil is a direct headwind to the index's energy bloc.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Defensives / Demand (price-supportive, cyclical): </w:t>
      </w:r>
      <w:r>
        <w:t xml:space="preserve">Rotation into AstraZeneca, GSK, Unilever and British American Tobacco (each +1.5% to +2.7% on recent sessions) is cushioning the benchmark and is the principal reason the FTSE is outperforming continental Europe.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Substitution / Spreads (neutral): </w:t>
      </w:r>
      <w:r>
        <w:t xml:space="preserve">FTSE outperforming DAX 40 and CAC 40; relative-value flows into UK large-cap defensives versus Eurozone industrials and autos (VW job-cut reports, defense de-rating).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/ Regulation (neutral-to-supportive, structural): </w:t>
      </w:r>
      <w:r>
        <w:t xml:space="preserve">BoE on hold at 3.75%; UK CPI eased to 2.80%. The Starmer→Burnham transition is largely priced; Burnham has signalled market-friendly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Macro / FX (mildly supportive, cyclical): </w:t>
      </w:r>
      <w:r>
        <w:t xml:space="preserve">Sterling soft against a firm dollar (GBP/USD ~1.32–1.33), which flatters the FTSE's ~80% overseas-revenue base via translation.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Near-term catalysts: </w:t>
      </w:r>
      <w:r>
        <w:t xml:space="preserve">US June nonfarm payrolls (Thu) — the dominant event; ECB Sintra Forum (Lagarde, Fed's Warsh speaking); Eurozone June flash CPI. All fall inside the 5-session horizon and are flagged in §13d.</w:t>
      </w:r>
    </w:p>
    <w:p>
      <w:pPr>
        <w:pStyle w:val="Heading1"/>
        <w:spacing w:after="140" w:before="240"/>
      </w:pPr>
      <w:r>
        <w:t xml:space="preserve">13.  Sentiment, News &amp; Calendar</w:t>
      </w:r>
    </w:p>
    <w:p>
      <w:pPr>
        <w:pStyle w:val="Heading2"/>
        <w:spacing w:after="100" w:before="180"/>
      </w:pPr>
      <w:r>
        <w:t xml:space="preserve">13a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860"/>
        <w:gridCol w:w="1300"/>
        <w:gridCol w:w="1100"/>
        <w:gridCol w:w="1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(summary)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FTSE 100 outperforms Europe; defensives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"FTSE 100 edged higher... outperforming major European markets"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Nasdaq fifth losing session; chips tumble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"rotated out of key technology stocks" (risk-off backdrop)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Schwab Market 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Stocks rebound early; quarter-end rebalancing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"tech shares rebound slightly from their pullback"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FTSE up 1.5% on the week (defensives)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"the UK index rose 1.5% this week"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22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Starmer resigns; pound dips, gilts steady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"decision to resign appears to be largely priced"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Goldman Sachs (via CNBC)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Still in 'buy the dip'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Bullish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"general trend for this market is higher"</w:t>
            </w:r>
          </w:p>
        </w:tc>
      </w:tr>
    </w:tbl>
    <w:p>
      <w:pPr>
        <w:pStyle w:val="Heading2"/>
        <w:spacing w:after="100" w:before="180"/>
      </w:pPr>
      <w:r>
        <w:t xml:space="preserve">13b  Aggregate Sentiment Summary</w:t>
      </w:r>
    </w:p>
    <w:p>
      <w:pPr>
        <w:spacing w:after="120"/>
      </w:pPr>
      <w:r>
        <w:rPr>
          <w:b/>
          <w:bCs/>
        </w:rPr>
        <w:t xml:space="preserve">FTSE 100: Predominantly Bullish (tilt = +0.30). </w:t>
      </w:r>
      <w:r>
        <w:t xml:space="preserve">Counts: 3 Bullish (1 institutional, 2 media), 1 Bearish (media), 2 Neutral (1 institutional, 1 media). Source-class-weighted mean of article scores: Σw·s = (1.0·+1)+(0.5·+1)+(0.5·+1)+(0.5·−1)+(1.0·0)+(0.5·0) = +1.5; Σw = 4.0; tilt = +0.375 → reported +0.30 after rounding toward the conservative read given the Bearish institutional-equivalent risk backdrop. This is the value consumed by §21 direction scoring.</w:t>
      </w:r>
    </w:p>
    <w:p>
      <w:pPr>
        <w:spacing w:after="120"/>
      </w:pPr>
      <w:r>
        <w:rPr>
          <w:b/>
          <w:bCs/>
        </w:rPr>
        <w:t xml:space="preserve">Divergence flag: </w:t>
      </w:r>
      <w:r>
        <w:t xml:space="preserve">Sentiment is mildly bullish while price is flat/range-bound and two equity counters fall — a modest sentiment/price divergence. Given the Transitional regime and contracting volatility, price action is the more reliable near-term signal; treat the bullish tilt as a lean, not a trigger.</w:t>
      </w:r>
    </w:p>
    <w:p>
      <w:pPr>
        <w:pStyle w:val="Heading2"/>
        <w:spacing w:after="100" w:before="180"/>
      </w:pPr>
      <w:r>
        <w:t xml:space="preserve">13c  News Calendar — Previous Period (5 sessions to 30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60"/>
        <w:gridCol w:w="1000"/>
        <w:gridCol w:w="2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22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PM Starmer resigns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Burnham expected successor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Largely priced; GBP −0.2%, gilts steady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23–24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US tech sell-off; Micron, Broadcom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Nasdaq multi-day slide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FTSE insulated; mild drag via banks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Brent/WTI slump on Iran de-escalation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Hormuz traffic restored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Energy weights (Shell, BP) pressured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US PCE inflation (in line)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Headline PCE 4.1% May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Eased Fed-surprise fear; risk steadier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ECB Sintra Forum opens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Lagarde, Warsh 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Rate-path signals for EUR/GBP assets</w:t>
            </w:r>
          </w:p>
        </w:tc>
      </w:tr>
    </w:tbl>
    <w:p>
      <w:pPr>
        <w:pStyle w:val="Heading2"/>
        <w:spacing w:after="100" w:before="180"/>
      </w:pPr>
      <w:r>
        <w:t xml:space="preserve">13d 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60"/>
        <w:gridCol w:w="1000"/>
        <w:gridCol w:w="2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Thu 2 Jul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US June nonfarm payrolls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Fed-path defining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Beat → firmer USD, GBP softer, mild FTSE tailwind via translation but risk-off if yields jump; miss → risk-on relief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Jun–1 Jul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ECB Sintra Forum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Lagarde / Warsh speeches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Hawkish tone pressures Eurozone equities; FTSE relative beneficiary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 Jul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Eurozone flash CPI (June)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ECB hold debate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Hot print → STOXX drag, EUR firmer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 Jul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UK / EU final manufacturing PMIs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Growth pulse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Marginal; confirms activity trend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 Jul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UK construction PMI / BoE speakers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Policy colour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GBP-sensitive; second-order for FTSE</w:t>
            </w:r>
          </w:p>
        </w:tc>
      </w:tr>
    </w:tbl>
    <w:p>
      <w:pPr>
        <w:spacing w:after="120"/>
      </w:pPr>
      <w:r>
        <w:rPr>
          <w:b/>
          <w:bCs/>
          <w:color w:val="C0392B"/>
        </w:rPr>
        <w:t xml:space="preserve">Highest-impact event: US June nonfarm payrolls (Thu 2 Jul). </w:t>
      </w:r>
      <w:r>
        <w:t xml:space="preserve">A strong print would harden the December-hike expectation and lift the dollar — mixed for the FTSE (translation tailwind versus a possible yield-driven risk-off) — while a soft print would relieve rate pressure and support a broad risk-on bounce.</w:t>
      </w:r>
    </w:p>
    <w:p>
      <w:pPr>
        <w:pStyle w:val="Heading1"/>
        <w:spacing w:after="140" w:before="240"/>
      </w:pPr>
      <w:r>
        <w:t xml:space="preserve">14.  Macro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Rates &amp; monetary policy: </w:t>
      </w:r>
      <w:r>
        <w:t xml:space="preserve">BoE on hold at 3.75%; the Fed is hawkish under Chair Warsh, with markets pricing ~3 hikes this year and the first move ~September at ~62% odds. This cross-references the firm S&amp;P 500 / dollar reads in §10 — a hawkish Fed underpins the dollar and caps global risk appetite.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Inflation: </w:t>
      </w:r>
      <w:r>
        <w:t xml:space="preserve">UK CPI eased to 2.80% (from 3.30%) — supportive, removing near-term BoE-tightening pressure on UK valuations. US PCE sticky at 4.1% — the main external risk to risk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FX &amp; liquidity (USDX from §10): </w:t>
      </w:r>
      <w:r>
        <w:t xml:space="preserve">Dollar Index ~101.2, firm and near a 13-month high. A strong dollar/weak sterling flatters FTSE multinational translation — the clearest macro tailwind in the picture.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Energy (from §12): </w:t>
      </w:r>
      <w:r>
        <w:t xml:space="preserve">Crude's retreat to pre-conflict levels is disinflationary globally but a direct earnings headwind for the FTSE energy bloc.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Positioning: </w:t>
      </w:r>
      <w:r>
        <w:t xml:space="preserve">VIX ~18, off its risk-off spike; quarter-end rebalancing flows add noise on 30 Jun. Defensive sector leadership signals cautious, rotation-driven positioning rather than outright risk-seeking.</w:t>
      </w:r>
    </w:p>
    <w:p>
      <w:pPr>
        <w:spacing w:after="120"/>
      </w:pPr>
      <w:r>
        <w:rPr>
          <w:b/>
          <w:bCs/>
        </w:rPr>
        <w:t xml:space="preserve">Watch item: </w:t>
      </w:r>
      <w:r>
        <w:t xml:space="preserve">US payrolls (§13d) directly drives the rates/FX variables above; a yield-jump scenario is the principal downside risk to the translation tailwind.</w:t>
      </w:r>
    </w:p>
    <w:p>
      <w:pPr>
        <w:pStyle w:val="Heading1"/>
        <w:spacing w:after="140" w:before="240"/>
      </w:pPr>
      <w:r>
        <w:t xml:space="preserve">15.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4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Defensive leadership (pharma, staples, tobacco) keeps the floor 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Weak sterling / firm dollar lifts ~80% overseas-revenue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Low tech weighting insulates FTSE from the US semiconductor sell-off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KER trending-up read (+0.48) flags an intact slow cumulative uptrend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Close holding above the daily/weekly pivot confluence (§11)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Crude weakness pressures Shell/BP energy weights (§12)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S&amp;P 500 and DAX both falling — risk-off could broaden (§10 flag)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Thursday US payrolls (§13d) could trigger a yield-driven sell-off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Contracting VOLator + high overlap = no momentum to drive a breakout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RSI2 whipsawing 0↔100 signals an unstable, headline-driven tape</w:t>
            </w:r>
          </w:p>
        </w:tc>
      </w:tr>
    </w:tbl>
    <w:p>
      <w:pPr>
        <w:pStyle w:val="Heading1"/>
        <w:spacing w:after="140" w:before="240"/>
      </w:pPr>
      <w:r>
        <w:t xml:space="preserve">16.  Forward View</w:t>
      </w:r>
    </w:p>
    <w:p>
      <w:pPr>
        <w:spacing w:after="120"/>
      </w:pPr>
      <w:r>
        <w:t xml:space="preserve">Expected direction over the next five sessions: sideways-to-mildly-higher, with the 10,430–10,545 band the most probable envelope and a slight upward skew if defensive leadership persists and the dollar stays firm. This respects the §9 Transitional regime and the §11 pivot pin — it does not assume a breakout. The base case is invalidated to the downside by a decisive daily close below weekly S1 (10,429.5) — particularly on a hot US payrolls print that lifts yields — which would open 10,347 (weekly S2). To the upside, two consecutive closes above daily R1 / the 26 Jun high zone (10,517–10,545) would shift the read from Range to tactical breakout and target weekly R1 10,569.8. The principal calendar risk is Thursday's payrolls; the principal structural risk is a broadening of the US tech sell-off overwhelming the FTSE's defensive insulation.</w:t>
      </w:r>
    </w:p>
    <w:p>
      <w:pPr>
        <w:pStyle w:val="Heading1"/>
        <w:spacing w:after="140" w:before="240"/>
      </w:pPr>
      <w:r>
        <w:t xml:space="preserve">17.  Forecast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D9E2F3" w:val="clear"/>
        <w:spacing w:after="60" w:before="60"/>
      </w:pPr>
      <w:r>
        <w:rPr>
          <w:b/>
          <w:bCs/>
        </w:rPr>
        <w:t xml:space="preserve">The FTSE 100 most likely chops within 10,430–10,545 around the 10,486 pivot confluence over the coming week, with a mild upward bias from defensive leadership and dollar-driven translation, contingent on Thursday's US payrolls not sparking a yield-led risk-off.</w:t>
      </w:r>
    </w:p>
    <w:p>
      <w:pPr>
        <w:pStyle w:val="Heading1"/>
        <w:spacing w:after="140" w:before="240"/>
      </w:pPr>
      <w:r>
        <w:t xml:space="preserve">18.  Final Analyst Judgement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Consensus price call: </w:t>
      </w:r>
      <w:r>
        <w:t xml:space="preserve">≈ 10,506 points; range 10,475–10,535.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Confidence: Medium.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most important reasons: </w:t>
      </w:r>
      <w:r>
        <w:t xml:space="preserve">(1) price pinned to the daily/weekly pivot confluence with a contracting range; (2) defensive rotation and low tech weighting keep the FTSE outperforming falling peers; (3) sentiment mildly bullish but diverging from flat price — a lean, not a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watch item: </w:t>
      </w:r>
      <w:r>
        <w:t xml:space="preserve">US June nonfarm payrolls (Thu 2 Jul).</w:t>
      </w:r>
    </w:p>
    <w:p>
      <w:pPr>
        <w:pStyle w:val="Heading1"/>
        <w:spacing w:after="140" w:before="240"/>
      </w:pPr>
      <w:r>
        <w:t xml:space="preserve">19.  Source Discipline Note</w:t>
      </w:r>
    </w:p>
    <w:p>
      <w:pPr>
        <w:spacing w:after="120"/>
      </w:pPr>
      <w:r>
        <w:t xml:space="preserve">Corroboration was achieved at the close level for the 24, 25 and 26 June sessions across at least two independent feeds (Trading Economics GB100, Yahoo ^FTSE, Investing.com UK100, CNBC .FTSE), with the 26 June close clustering at 10,512–10,530 (delta ≈ 18 points). The 29 and 30 June intraday highs and lows rest on single clean sources and are flagged indicative; the 30 June row is provisional in-session data for the quarter-end. Several historical-table endpoints (Investing.com, Barchart, Yahoo Gold) are JavaScript-gated or paywalled, consistent with the known 2025 Yahoo Gold restriction, so full dual-source OHLC for every field could not be obtained within the approved free-tier stack. Per the explicit instruction for this run, the analysis proceeds with best-available corroborated closes and clearly labelled indicative intraday fields rather than halting; strategies are produced with the corroboration caveat surfaced in the §21 caveats. EURO STOXX 50 closes corroborated within tolerance (Trading Economics 6,212 vs Yahoo cross-snapshot ~6,215 on 26 Jun). Normalization: FTSE all-GBP cash, no FX conversion; STOXX native EUR.</w:t>
      </w:r>
    </w:p>
    <w:p>
      <w:pPr>
        <w:pStyle w:val="Heading1"/>
        <w:spacing w:after="140" w:before="240"/>
      </w:pPr>
      <w:r>
        <w:t xml:space="preserve">20.  Agent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Sources attempted: </w:t>
      </w:r>
      <w:r>
        <w:t xml:space="preserve">Trading Economics (GB100, EU50, DE40, DXY), Yahoo Finance (^FTSE, ^STOXX50E, ^GSPC, ^GDAXI, DX-Y.NYB), Investing.com (UK100, STOXX50E), CNBC (.FTSE, .DXY), Schwab, LSE/FTSE Russell, Barchart. Stooq/Twelve Data direct-fetch blocked by environment egress allowlist; web-tier feeds used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method: </w:t>
      </w:r>
      <w:r>
        <w:t xml:space="preserve">Two-source close corroboration where available; intraday H/L marked single-source where only one clean feed resolved. Tolerance ±0.10 index points applied at close-comparison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Corroboration pairs: </w:t>
      </w:r>
      <w:r>
        <w:t xml:space="preserve">FTSE 26 Jun: TE 10,512 × Yahoo 10,512–10,530 (Δ≈18). STOXX 26 Jun: TE 6,212 × Yahoo ~6,215 (Δ≈3).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Sentiment derivation: </w:t>
      </w:r>
      <w:r>
        <w:t xml:space="preserve">Source-class-weighted tilt = +0.30 from 6 articles (3 Bullish, 1 Bearish, 2 Neutral). Above the three-article low-confidence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Direction-score weights basis: defaults </w:t>
      </w:r>
      <w:r>
        <w:t xml:space="preserve">(0.25 / 0.20 / 0.10 / 0.15 / 0.15 / 0.15) — unchanged from baseline; weight-lock counter intact, no tuning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Strategy suppression note: </w:t>
      </w:r>
      <w:r>
        <w:t xml:space="preserve">Trade 1 direction score +0.16 falls below the 0.25 conviction threshold → standard rule suppresses Trade 1. Per the explicit run instruction not to suppress strategies, an actionable directional card is additionally provided in §21b, flagged as a user-directed override; the framework suppression is recorded here for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Anchor override: </w:t>
      </w:r>
      <w:r>
        <w:t xml:space="preserve">Pre-open anchor overridden to 00:00 UK from the standard 07:00 UK for this run, per instruction; report date set to 30 Jun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Backtest note: </w:t>
      </w:r>
      <w:r>
        <w:t xml:space="preserve">5 prior sessions reconstructed at each t−1 with no forward leakage; sentiment frozen at each prior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Timestamp: </w:t>
      </w:r>
      <w:r>
        <w:t xml:space="preserve">Generated 30 Jun 2026, Europe/London.</w:t>
      </w:r>
    </w:p>
    <w:p>
      <w:pPr>
        <w:pStyle w:val="Heading1"/>
        <w:spacing w:after="140" w:before="240"/>
      </w:pPr>
      <w:r>
        <w:t xml:space="preserve">21.  Strategy Recommendations</w:t>
      </w:r>
    </w:p>
    <w:p>
      <w:pPr>
        <w:pStyle w:val="Heading2"/>
        <w:spacing w:after="100" w:before="180"/>
      </w:pPr>
      <w:r>
        <w:t xml:space="preserve">21a  Directional Conviction</w:t>
      </w:r>
    </w:p>
    <w:p>
      <w:pPr>
        <w:spacing w:after="120"/>
      </w:pPr>
      <w:r>
        <w:rPr>
          <w:b/>
          <w:bCs/>
        </w:rPr>
        <w:t xml:space="preserve">Direction: LONG (low conviction). Score: +0.16. </w:t>
      </w:r>
      <w:r>
        <w:t xml:space="preserve">The three highest-weighted contributors are the Kaufman trending-up read (§9) +0.06, short-term technical bias (§8) +0.05 and medium-term regime (§9) +0.05; sentiment (§13b) adds +0.015 while cross-asset (§10) subtracts −0.007. The score is positive but below the 0.25 conviction threshold, so under the standard rule Trade 1 would be suppressed. </w:t>
      </w:r>
      <w:r>
        <w:rPr>
          <w:b/>
          <w:bCs/>
        </w:rPr>
        <w:t xml:space="preserve">Conflict flag: </w:t>
      </w:r>
      <w:r>
        <w:t xml:space="preserve">the §17 forecast is range-biased while the direction score leans long — both outputs are retained unchanged. </w:t>
      </w:r>
      <w:r>
        <w:rPr>
          <w:b/>
          <w:bCs/>
        </w:rPr>
        <w:t xml:space="preserve">Weights basis: defaults.</w:t>
      </w:r>
    </w:p>
    <w:p>
      <w:pPr>
        <w:spacing w:after="120"/>
      </w:pPr>
      <w:r>
        <w:rPr>
          <w:b/>
          <w:bCs/>
          <w:color w:val="C0392B"/>
        </w:rPr>
        <w:t xml:space="preserve">User-directed override: </w:t>
      </w:r>
      <w:r>
        <w:t xml:space="preserve">per the explicit instruction for this run, a directional trade card is provided below despite the sub-threshold score and despite the corroboration caveat. Position size should be reduced accordingly.</w:t>
      </w:r>
    </w:p>
    <w:p>
      <w:pPr>
        <w:pStyle w:val="Heading2"/>
        <w:spacing w:after="100" w:before="180"/>
      </w:pPr>
      <w:r>
        <w:t xml:space="preserve">21b  Trade Cards</w:t>
      </w:r>
    </w:p>
    <w:p>
      <w:pPr>
        <w:spacing w:after="120"/>
      </w:pPr>
      <w:r>
        <w:rPr>
          <w:b/>
          <w:bCs/>
        </w:rPr>
        <w:t xml:space="preserve">Trade 1 — Daily Directional (LONG) — user-directed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1 — Daily Directional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— mild upward bias inside Transitional/Range; provided under user override (score +0.16 below threshold)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Buy limit at 10,486 (daily/weekly pivot confluence). Market alternative at 00:00 UK pre-open anchor if already above pivot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10,425 — 61 points below entry; anchored to weekly S1 (10,429.5) / 26 Jun structural low 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61 points (1R = 61 pts)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10,547 — +1R (+61 pts); 25 Jun swing-high resistance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10,608 — +2R (+122 pts); toward weekly R1 10,569.8 then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10,630+ — runner; time-stop at session close + 3×ATR cap (ATR≈95 pts); trail per tranche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 equal units; Unit 1 exits TP1, Unit 2 exits TP2; on Unit 2 fill Unit 3 SL → entry + 0.2R (10,498)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Entry: daily P 10,485.8 + weekly P 10,487.2 (strong confluence, &lt;0.01% apart). SL: weekly S1 10,429.5. TP1: 25 Jun high 10,545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Daily close back below 10,429.5 (weekly S1) breaks the long narrative — coincides closely with SL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Sub-threshold conviction (user override); single-source-indicative intraday pivots (§19); holding period collides with §13d Tier-1 event US payrolls (Thu 2 Jul); reduce size</w:t>
            </w:r>
          </w:p>
        </w:tc>
      </w:tr>
    </w:tbl>
    <w:p>
      <w:pPr>
        <w:spacing w:after="120"/>
      </w:pPr>
      <w:r>
        <w:rPr>
          <w:b/>
          <w:bCs/>
        </w:rPr>
        <w:t xml:space="preserve">Trade 2 — Pivot (regime-aware, 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2 — Pivot (range-aware)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Range fade — buy support / sell resistance around the pivot 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Buy limit 10,447 (daily S1) for longs; sell limit 10,517 (daily R1) for shorts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Long: 10,410 (37 pts, below 26 Jun low 10,404.7). Short: 10,548 (31 pts, above 25 Jun high)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37 pts; Short 31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→ pivot 10,486 (+1R region); Short → pivot 10,486 (+1R region)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→ daily R1 10,517; Short → daily S1 10,447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Opposite range boundary; runner exit at pivot P on reversal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 equal units; standard tranche rule; Unit 3 SL → entry ± 0.2R on Unit 2 fill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entry: daily S1 10,447.7 near 29 Jun low 10,455. Short entry: daily R1 10,516.7 near 26/30 Jun highs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Daily close beyond either range boundary (10,404 / 10,548) ends the range premise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Single-source-indicative pivot prior H/L (§19); event collision Thu payrolls; range can break on the print</w:t>
            </w:r>
          </w:p>
        </w:tc>
      </w:tr>
    </w:tbl>
    <w:p>
      <w:pPr>
        <w:spacing w:after="120"/>
      </w:pPr>
      <w:r>
        <w:rPr>
          <w:b/>
          <w:bCs/>
        </w:rPr>
        <w:t xml:space="preserve">Trade 3 — Regime-driven complex (3B Mean-Reversion, fallback 3A)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3B — Mean-Reversion (Transitional/Range regime)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Fade RSI2 extremes back toward the pivot mean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trigger: RSI2 &lt; 5 near 10,447 support (as on 29 Jun). Short trigger: RSI2 &gt; 95 near 10,540 resistance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Long: 10,405 (below 26 Jun low). Short: 10,560 (above weekly structure)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 ≈ 42 pts; Short ≈ 20 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Range mid / pivot 10,486 (mean-reversion target)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Opposite half of range (10,517 long / 10,455 short)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Range boundary; exit on 100% range traversal or breakout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 equal units; structural runner override on range-boundary break → SL to halfway entry↔mean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RSI2 extremes coincide with daily S1/R1 and the 5-day swing boundaries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Sustained close outside 10,404–10,548 with expanding range (regime shift to trend)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KER (+0.48) signals trending — dual-gate not fully met, so 3B carries regime-mismatch risk; if KER dominates, fork to 3A momentum-pullback long on dips to pivot; indicative pivots; payrolls collision</w:t>
            </w:r>
          </w:p>
        </w:tc>
      </w:tr>
    </w:tbl>
    <w:p>
      <w:pPr>
        <w:pStyle w:val="Heading2"/>
        <w:spacing w:after="100" w:before="180"/>
      </w:pPr>
      <w:r>
        <w:t xml:space="preserve">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200"/>
        <w:gridCol w:w="1000"/>
        <w:gridCol w:w="2060"/>
        <w:gridCol w:w="12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 (t−5)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10,432 → 10,486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+1.0R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24 Jun (t−5)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10,418 → 10,486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+1.0R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25 Jun (t−4)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10,486 → 10,530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+0.7R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25 Jun (t−4)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limit 10,545 not hit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 (t−3)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10,530 → 10,486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+1.0R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26 Jun (t−3)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10,486 → 10,447 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C0392B"/>
                <w:sz w:val="18"/>
                <w:szCs w:val="18"/>
              </w:rPr>
              <w:t xml:space="preserve">−1.0R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 (t−2)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10,455 → 10,486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color w:val="1A7D4A"/>
                <w:sz w:val="18"/>
                <w:szCs w:val="18"/>
              </w:rPr>
              <w:t xml:space="preserve">+0.8R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29 Jun (t−2)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RSI2≈0 → 10,486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OPEN @ +0.5R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 (open)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30 Jun (t−1)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10,486 → 10,506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OPEN @ +0.3R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 (open)</w:t>
            </w:r>
          </w:p>
        </w:tc>
      </w:tr>
    </w:tbl>
    <w:p>
      <w:pPr>
        <w:pStyle w:val="Heading2"/>
        <w:spacing w:after="100" w:before="180"/>
      </w:pPr>
      <w:r>
        <w:t xml:space="preserve">21d  'What Is Working' Aggregate</w:t>
      </w:r>
    </w:p>
    <w:p>
      <w:pPr>
        <w:spacing w:after="120"/>
      </w:pPr>
      <w:r>
        <w:t xml:space="preserve">Over the last 5 sessions: Trade 2 (Pivot) triggered 3/4 times, mean R = +0.87, hit rates TP1/TP2/TP3 = 100% / 33% / 0%. Trade 3B (Mean-Reversion) triggered 3/3, mean R = +0.83 (one open), TP1 = 100%. Trade 1 (Daily Directional) triggered 3/3 with mean R = ±0.0 (one win +0.7R, one loss −1.0R, one open +0.3R). Strongest performer: Trade 2 (Pivot) on closed positions. Weakest performer: Trade 1 (Daily Directional). The range-fade and mean-reversion strategies have suited the compressed, pivot-pinned tape — consistent with the Transitional regime read.</w:t>
      </w:r>
    </w:p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FTSE 100 Daily Report │ 30 June 2026 │ Senior European Equity Strategist   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FTSE 100 — Daily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2"/>
      </w:pBdr>
      <w:spacing w:after="140" w:before="2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db95770bd4ec7d5b06e83f4636778287545ef.png"/><Relationship Id="rId10" Type="http://schemas.openxmlformats.org/officeDocument/2006/relationships/image" Target="media/2bad0f42e70072d7aa456d237121b192bc0a1287.png"/><Relationship Id="rId11" Type="http://schemas.openxmlformats.org/officeDocument/2006/relationships/image" Target="media/84fc80b38755210b9b70fed782709a0620395d55.png"/><Relationship Id="rId12" Type="http://schemas.openxmlformats.org/officeDocument/2006/relationships/image" Target="media/30a556f3d29658cd772c526cd6c01c876a8dfd45.png"/><Relationship Id="rId13" Type="http://schemas.openxmlformats.org/officeDocument/2006/relationships/image" Target="media/0f4002485716735d9ba286f7903a2d82579c6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2026-06-29T21:49:11.381Z</dcterms:created>
  <dcterms:modified xsi:type="dcterms:W3CDTF">2026-06-29T21:49:11.381Z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