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FTSE 100 Report — Daily: 31 July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With reference to: EURO STOXX 50 · USDX · S&amp;P 500 · DAX 40</w:t>
      </w:r>
    </w:p>
    <w:p>
      <w:pPr>
        <w:pBdr>
          <w:bottom w:val="single" w:color="1F3864" w:sz="12" w:space="4"/>
        </w:pBd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Senior European Equity Strategist · Trading &amp; risk review (forward-test) · Europe/London</w:t>
      </w:r>
    </w:p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  Executive Snapshot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FTSE 100 cash index is assessed at a consensus level of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10,897 index points</w:t>
      </w:r>
      <w:r>
        <w:rPr>
          <w:rFonts w:ascii="Calibri" w:cs="Calibri" w:eastAsia="Calibri" w:hAnsi="Calibri"/>
          <w:sz w:val="20"/>
          <w:szCs w:val="20"/>
        </w:rPr>
        <w:t xml:space="preserve"> (range 10,890–10,908) as of the 30 July close, the reference session for this 31 July daily. Market tone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bullish</w:t>
      </w:r>
      <w:r>
        <w:rPr>
          <w:rFonts w:ascii="Calibri" w:cs="Calibri" w:eastAsia="Calibri" w:hAnsi="Calibri"/>
          <w:sz w:val="20"/>
          <w:szCs w:val="20"/>
        </w:rPr>
        <w:t xml:space="preserve">. The three dominant drivers are (i) a record-breaking energy and mining rally as Brent held near $90 on renewed Middle-East supply risk; (ii) broad post-Fed dollar weakness that lifts the index's ~80% multinational revenue base via earnings translation; and (iii) a hawkish-hold from the Bank of England (6–3 for 3.75%) that steepened gilts without derailing equity risk appetite. The short-term technical state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Trending — Bullish</w:t>
      </w:r>
      <w:r>
        <w:rPr>
          <w:rFonts w:ascii="Calibri" w:cs="Calibri" w:eastAsia="Calibri" w:hAnsi="Calibri"/>
          <w:sz w:val="20"/>
          <w:szCs w:val="20"/>
        </w:rPr>
        <w:t xml:space="preserve"> (four of five sessions higher, a fresh intraday all-time high of 10,979.60 on 30 July before an 11-point close-down); the medium-term regime over the last 25 sessions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Trending — Bullish</w:t>
      </w:r>
      <w:r>
        <w:rPr>
          <w:rFonts w:ascii="Calibri" w:cs="Calibri" w:eastAsia="Calibri" w:hAnsi="Calibri"/>
          <w:sz w:val="20"/>
          <w:szCs w:val="20"/>
        </w:rPr>
        <w:t xml:space="preserve">. The Kaufman efficiency read classifies the tape 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Trending Up — Strong</w:t>
      </w:r>
      <w:r>
        <w:rPr>
          <w:rFonts w:ascii="Calibri" w:cs="Calibri" w:eastAsia="Calibri" w:hAnsi="Calibri"/>
          <w:sz w:val="20"/>
          <w:szCs w:val="20"/>
        </w:rPr>
        <w:t xml:space="preserve">. Directional conviction from the strategy layer is </w:t>
      </w:r>
      <w:r>
        <w:rPr>
          <w:rFonts w:ascii="Calibri" w:cs="Calibri" w:eastAsia="Calibri" w:hAnsi="Calibri"/>
          <w:b/>
          <w:bCs/>
          <w:color w:val="9C2A6B"/>
          <w:sz w:val="20"/>
          <w:szCs w:val="20"/>
        </w:rPr>
        <w:t xml:space="preserve">LONG (score +0.81)</w:t>
      </w:r>
      <w:r>
        <w:rPr>
          <w:rFonts w:ascii="Calibri" w:cs="Calibri" w:eastAsia="Calibri" w:hAnsi="Calibri"/>
          <w:sz w:val="20"/>
          <w:szCs w:val="20"/>
        </w:rPr>
        <w:t xml:space="preserve">. The single most important watch item is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US PCE / GDP and mega-cap earnings (Apple, Amazon) after the US close</w:t>
      </w:r>
      <w:r>
        <w:rPr>
          <w:rFonts w:ascii="Calibri" w:cs="Calibri" w:eastAsia="Calibri" w:hAnsi="Calibri"/>
          <w:sz w:val="20"/>
          <w:szCs w:val="20"/>
        </w:rPr>
        <w:t xml:space="preserve"> — a risk-appetite hinge for the whole complex over the next session.</w:t>
      </w:r>
    </w:p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§2  Market Definition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67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Primary asset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FTSE 100 cash index (^FTSE) — UK large-cap benchmark, 100 constituents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Reference pair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EURO STOXX 50 (^STOXX50E) — Eurozone large-cap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GBP-denominated, free-float weighted; FTSE Russell methodology, quarterly review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Scope / region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Regional — Europe (United Kingdom + Eurozone)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Delivery basis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LSE regular session 08:00–16:30 UK (FTSE); Xetra 09:00–17:30 CET (STOXX)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Unit / currency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Index points · GBP (STOXX shown in EUR original with GBP-equivalent note)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As-of date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July 2026 close (reference for the 31 July 2026 daily) · Europe/London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Lookback window</w:t>
            </w:r>
          </w:p>
        </w:tc>
        <w:tc>
          <w:tcPr>
            <w:tcW w:type="dxa" w:w="6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5 trading sessions (execution block); 25 sessions (regime block)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§3  Consensus Price Call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300"/>
        <w:gridCol w:w="1300"/>
        <w:gridCol w:w="1700"/>
        <w:gridCol w:w="1000"/>
        <w:gridCol w:w="1000"/>
        <w:gridCol w:w="306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Consensus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Range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Basis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Tone</w:t>
            </w:r>
          </w:p>
        </w:tc>
        <w:tc>
          <w:tcPr>
            <w:tcW w:type="dxa" w:w="30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10,897 pts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10,890 – 10,908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Cash index close (30 Jul)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3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Multiple independent sources converge within tolerance on the 30 Jul close; index sits just below its 30 Jul all-time intraday high.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Corroboration note: the accepted 30 July close of 10,897.27 is agreed by Alliance News, AOL and LBC (−11.14 pts, −0.1%) with Proactive Investors reporting 10,897; delta &lt; 1 pt, inside the ±0.10-pt equity-index tolerance at the close level. The intraday high shows a minor source split (10,979.60 vs a derived-feed 10,981.36) — see §19.</w:t>
      </w:r>
    </w:p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§4  Price Evidence Table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500"/>
        <w:gridCol w:w="1100"/>
        <w:gridCol w:w="1500"/>
        <w:gridCol w:w="1200"/>
        <w:gridCol w:w="1560"/>
        <w:gridCol w:w="900"/>
        <w:gridCol w:w="16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Date/Time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Raw Quote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Normalized</w:t>
            </w:r>
          </w:p>
        </w:tc>
        <w:tc>
          <w:tcPr>
            <w:tcW w:type="dxa" w:w="15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Basis / Location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Alliance News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 16:35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10,897.27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10,897.27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Cash close · London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−11.14 pts, −0.1%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AOL / LBC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 16:35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10,897.27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10,897.27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Cash close · London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Corroborates Alliance News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Proactive Investors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 (live)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10,897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10,897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Cash close · London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Rounded; agrees &lt;1 pt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Trading Economics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10,890 (−0.17%)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10,890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CFD-referenced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Directional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Slightly below cash — OTC/CFD basis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Yahoo Finance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28 Jul close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10,871.02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10,871.02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Cash close · London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Prior-session anchor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BBN Times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29 Jul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10,908.41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10,908.41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Cash close · London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Prior-session; O/H/L corroborated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EBC / Reuters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29 Jul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10,908.41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10,908.41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Cash close · London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Corroborates 29 Jul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Investing.com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 range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10,851.50–10,981.36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Derived/real-time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Directional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 differs from cash 10,979.60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§5  Consensus Build Explanation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All observations are already in the target basis — GBP index points, London cash session — so no FX or unit conversion is required. The build applies a weighted median across the corroborated cash-close sources (Alliance News, AOL, LBC, Proactive), which cluster within a sub-point band at 10,897. CFD/OTC-referenced feeds (Trading Economics 10,890) are retained as directional comparables but down-weighted because their basis is a contract-for-difference tracker rather than the official cash print — consistent with the instance restriction excluding retail CFD spreads from the definitive build. Real-time derived quotes on Investing.com (10,851–10,981 day range) are used only for high/low context; the derived intraday high of 10,981.36 is not accepted over the cash-reported 10,979.60 because the two disagree beyond tolerance and the cash-basis print ranks higher in the evidence hierarchy. The final 10,897 is the most defensible number: it is the value on which the largest set of independent, same-basis sources agree within the ±0.10-pt equity tolerance.</w:t>
      </w:r>
    </w:p>
    <w:p>
      <w:pPr>
        <w:pStyle w:val="Heading1"/>
        <w:pBdr>
          <w:bottom w:val="single" w:color="1E6B3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6B34"/>
          <w:sz w:val="24"/>
          <w:szCs w:val="24"/>
        </w:rPr>
        <w:t xml:space="preserve">§6  Validated OHLC + RSI2 Table (5-Day)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6B34"/>
          <w:sz w:val="22"/>
          <w:szCs w:val="22"/>
        </w:rPr>
        <w:t xml:space="preserve">FTSE 100 (^FTSE)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820"/>
        <w:gridCol w:w="980"/>
        <w:gridCol w:w="980"/>
        <w:gridCol w:w="980"/>
        <w:gridCol w:w="980"/>
        <w:gridCol w:w="720"/>
        <w:gridCol w:w="860"/>
        <w:gridCol w:w="1080"/>
        <w:gridCol w:w="1080"/>
        <w:gridCol w:w="1880"/>
      </w:tblGrid>
      <w:tr>
        <w:trPr>
          <w:tblHeader/>
        </w:trPr>
        <w:tc>
          <w:tcPr>
            <w:tcW w:type="dxa" w:w="8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9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Open</w:t>
            </w:r>
          </w:p>
        </w:tc>
        <w:tc>
          <w:tcPr>
            <w:tcW w:type="dxa" w:w="9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9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9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Close</w:t>
            </w:r>
          </w:p>
        </w:tc>
        <w:tc>
          <w:tcPr>
            <w:tcW w:type="dxa" w:w="7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RSI2</w:t>
            </w:r>
          </w:p>
        </w:tc>
        <w:tc>
          <w:tcPr>
            <w:tcW w:type="dxa" w:w="8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Trend</w:t>
            </w:r>
          </w:p>
        </w:tc>
        <w:tc>
          <w:tcPr>
            <w:tcW w:type="dxa" w:w="10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 A</w:t>
            </w:r>
          </w:p>
        </w:tc>
        <w:tc>
          <w:tcPr>
            <w:tcW w:type="dxa" w:w="10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 B</w:t>
            </w:r>
          </w:p>
        </w:tc>
        <w:tc>
          <w:tcPr>
            <w:tcW w:type="dxa" w:w="18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</w:tr>
      <w:tr>
        <w:tc>
          <w:tcPr>
            <w:tcW w:type="dxa" w:w="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24 Jul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10,638.86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10,738.83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10,599.10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10,736.23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BBN Times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Investing.com</w:t>
            </w:r>
          </w:p>
        </w:tc>
        <w:tc>
          <w:tcPr>
            <w:tcW w:type="dxa" w:w="18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CORROBORATED (Δ&lt;0.1)</w:t>
            </w:r>
          </w:p>
        </w:tc>
      </w:tr>
      <w:tr>
        <w:tc>
          <w:tcPr>
            <w:tcW w:type="dxa" w:w="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27 Jul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10,736.10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10,800.00*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10,730.00*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10,781.75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BBN Times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Sunday Guardian</w:t>
            </w:r>
          </w:p>
        </w:tc>
        <w:tc>
          <w:tcPr>
            <w:tcW w:type="dxa" w:w="18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 CORROB; H/L single-source*</w:t>
            </w:r>
          </w:p>
        </w:tc>
      </w:tr>
      <w:tr>
        <w:tc>
          <w:tcPr>
            <w:tcW w:type="dxa" w:w="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28 Jul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10,781.87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10,884.32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10,770.29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10,871.02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BBN Times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Yahoo Finance</w:t>
            </w:r>
          </w:p>
        </w:tc>
        <w:tc>
          <w:tcPr>
            <w:tcW w:type="dxa" w:w="18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CORROBORATED (Δ&lt;0.1)</w:t>
            </w:r>
          </w:p>
        </w:tc>
      </w:tr>
      <w:tr>
        <w:tc>
          <w:tcPr>
            <w:tcW w:type="dxa" w:w="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29 Jul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10,871.16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10,951.06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10,864.11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10,908.41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BBN Times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EBC/Reuters</w:t>
            </w:r>
          </w:p>
        </w:tc>
        <w:tc>
          <w:tcPr>
            <w:tcW w:type="dxa" w:w="18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CORROBORATED (Δ&lt;0.1)</w:t>
            </w:r>
          </w:p>
        </w:tc>
      </w:tr>
      <w:tr>
        <w:tc>
          <w:tcPr>
            <w:tcW w:type="dxa" w:w="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10,869.50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10,979.60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10,851.50</w:t>
            </w:r>
          </w:p>
        </w:tc>
        <w:tc>
          <w:tcPr>
            <w:tcW w:type="dxa" w:w="9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10,897.27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77.0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Alliance News</w:t>
            </w:r>
          </w:p>
        </w:tc>
        <w:tc>
          <w:tcPr>
            <w:tcW w:type="dxa" w:w="10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AOL/LBC</w:t>
            </w:r>
          </w:p>
        </w:tc>
        <w:tc>
          <w:tcPr>
            <w:tcW w:type="dxa" w:w="18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CORROBORATED (close Δ&lt;1)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*27 Jul intraday High/Low are single-source indicative and are excluded from pivot prior-period calculations per source discipline. RSI2 is fixed at period 2 and computed from the validated close sequence; the pegged 100 readings reflect an uninterrupted up-run into the record, with the 30 Jul down-close pulling RSI2 back to 77.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6B34"/>
          <w:sz w:val="22"/>
          <w:szCs w:val="22"/>
        </w:rPr>
        <w:t xml:space="preserve">EURO STOXX 50 (^STOXX50E) — reference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200"/>
        <w:gridCol w:w="1500"/>
        <w:gridCol w:w="1400"/>
        <w:gridCol w:w="1620"/>
        <w:gridCol w:w="1620"/>
        <w:gridCol w:w="202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Close (EUR)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GBP-equiv†</w:t>
            </w:r>
          </w:p>
        </w:tc>
        <w:tc>
          <w:tcPr>
            <w:tcW w:type="dxa" w:w="16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 A</w:t>
            </w:r>
          </w:p>
        </w:tc>
        <w:tc>
          <w:tcPr>
            <w:tcW w:type="dxa" w:w="16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 B</w:t>
            </w:r>
          </w:p>
        </w:tc>
        <w:tc>
          <w:tcPr>
            <w:tcW w:type="dxa" w:w="20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28 Jul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6,289.51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≈5,391</w:t>
            </w:r>
          </w:p>
        </w:tc>
        <w:tc>
          <w:tcPr>
            <w:tcW w:type="dxa" w:w="1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Yahoo Finance</w:t>
            </w:r>
          </w:p>
        </w:tc>
        <w:tc>
          <w:tcPr>
            <w:tcW w:type="dxa" w:w="1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Investing.com</w:t>
            </w:r>
          </w:p>
        </w:tc>
        <w:tc>
          <w:tcPr>
            <w:tcW w:type="dxa" w:w="2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CORROBORATED (cash basis)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29 Jul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6,235 (CFD)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≈5,344</w:t>
            </w:r>
          </w:p>
        </w:tc>
        <w:tc>
          <w:tcPr>
            <w:tcW w:type="dxa" w:w="1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Trading Economics</w:t>
            </w:r>
          </w:p>
        </w:tc>
        <w:tc>
          <w:tcPr>
            <w:tcW w:type="dxa" w:w="1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Newsquawk</w:t>
            </w:r>
          </w:p>
        </w:tc>
        <w:tc>
          <w:tcPr>
            <w:tcW w:type="dxa" w:w="2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Single-source basis split — indicative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6,299–6,347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≈5,417</w:t>
            </w:r>
          </w:p>
        </w:tc>
        <w:tc>
          <w:tcPr>
            <w:tcW w:type="dxa" w:w="1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Investing.com</w:t>
            </w:r>
          </w:p>
        </w:tc>
        <w:tc>
          <w:tcPr>
            <w:tcW w:type="dxa" w:w="1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Yahoo Finance</w:t>
            </w:r>
          </w:p>
        </w:tc>
        <w:tc>
          <w:tcPr>
            <w:tcW w:type="dxa" w:w="2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Basis split (cash vs CFD) — indicative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†GBP-equivalent at ~0.857 GBP/EUR for consistency; EUR original retained. STOXX cash-vs-CFD sources diverge beyond the ±0.10-pt tolerance across 29–30 Jul, so late-week STOXX levels are flagged indicative. STOXX receives no trade card (reference asset only).</w:t>
      </w:r>
    </w:p>
    <w:p>
      <w:pPr>
        <w:pStyle w:val="Heading1"/>
        <w:pBdr>
          <w:bottom w:val="single" w:color="1E6B3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6B34"/>
          <w:sz w:val="24"/>
          <w:szCs w:val="24"/>
        </w:rPr>
        <w:t xml:space="preserve">§7  Charts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Chart 1 — 5-session candlestick. Green = bullish close, red = bearish close.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Chart 2 — Distance from open. Exposes directional travel and rejection per session.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Chart 3 — 25-session structure with close-line overlay.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Chart 4 — Comparative volatility (ATR, historical z-scaling), FTSE 100 vs USDX, S&amp;P 500, DAX 40.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Chart 5 — Weekly pivot structure, smart-scaled to the current-week candle range.</w:t>
      </w:r>
    </w:p>
    <w:p>
      <w:pPr>
        <w:pStyle w:val="Heading1"/>
        <w:pBdr>
          <w:bottom w:val="single" w:color="1E6B3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6B34"/>
          <w:sz w:val="24"/>
          <w:szCs w:val="24"/>
        </w:rPr>
        <w:t xml:space="preserve">§8  Short-Term Technical Analysis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Session-by-session (see §6):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Session</w:t>
            </w:r>
          </w:p>
        </w:tc>
        <w:tc>
          <w:tcPr>
            <w:tcW w:type="dxa" w:w="8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Reading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24 Jul</w:t>
            </w:r>
          </w:p>
        </w:tc>
        <w:tc>
          <w:tcPr>
            <w:tcW w:type="dxa" w:w="8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Strong bullish marubozu-like body; close near session high (~98% of range). RSI2 pegged at 100. A late-session rally erased early losses — demand-side conviction.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27 Jul</w:t>
            </w:r>
          </w:p>
        </w:tc>
        <w:tc>
          <w:tcPr>
            <w:tcW w:type="dxa" w:w="8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Continuation up-day; higher close on a modest body. RSI2 100. Overnight/Asian pause in Gulf fighting eased oil, but London held its bid. (Intraday H/L indicative.)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28 Jul</w:t>
            </w:r>
          </w:p>
        </w:tc>
        <w:tc>
          <w:tcPr>
            <w:tcW w:type="dxa" w:w="8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Wide bullish body, close ~85% of range at 10,871. RSI2 100. Unilever's best sales quarter in a decade and bank earnings offset the global chip selloff.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29 Jul</w:t>
            </w:r>
          </w:p>
        </w:tc>
        <w:tc>
          <w:tcPr>
            <w:tcW w:type="dxa" w:w="8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Record intraday high 10,951; strong open, mid-session dip to 10,864, late rally to close 10,908 (~51% of range). RSI2 100. Energy +2.9% on Brent's jump.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</w:t>
            </w:r>
          </w:p>
        </w:tc>
        <w:tc>
          <w:tcPr>
            <w:tcW w:type="dxa" w:w="8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Fresh all-time intraday high 10,979.60, then reversal to close −11 pts at 10,897 (~40% of range, upper-wick rejection). RSI2 falls to 77 on the BoE hawkish-hold and heavy single-stock earnings losses (Rentokil −21%, LSE −7%).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Sequence assessment: </w:t>
      </w:r>
      <w:r>
        <w:rPr>
          <w:rFonts w:ascii="Calibri" w:cs="Calibri" w:eastAsia="Calibri" w:hAnsi="Calibri"/>
          <w:sz w:val="20"/>
          <w:szCs w:val="20"/>
        </w:rPr>
        <w:t xml:space="preserve">Continuation with a first sign of near-term exhaustion. Evidence: four consecutive higher closes and repeated record highs (continuation), but the 30 July upper-wick rejection off 10,979.60 with a lower close and RSI2 dropping from 100 to 77 flags a potential blow-off/pause. Nearest resistance: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10,979.60</w:t>
      </w:r>
      <w:r>
        <w:rPr>
          <w:rFonts w:ascii="Calibri" w:cs="Calibri" w:eastAsia="Calibri" w:hAnsi="Calibri"/>
          <w:sz w:val="20"/>
          <w:szCs w:val="20"/>
        </w:rPr>
        <w:t xml:space="preserve"> (30 Jul high), then the round 11,000. Nearest support: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10,851.50</w:t>
      </w:r>
      <w:r>
        <w:rPr>
          <w:rFonts w:ascii="Calibri" w:cs="Calibri" w:eastAsia="Calibri" w:hAnsi="Calibri"/>
          <w:sz w:val="20"/>
          <w:szCs w:val="20"/>
        </w:rPr>
        <w:t xml:space="preserve"> (30 Jul low), then 10,770 (28 Jul low).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Judgement label: </w:t>
      </w:r>
      <w:r>
        <w:rPr>
          <w:rFonts w:ascii="Calibri" w:cs="Calibri" w:eastAsia="Calibri" w:hAnsi="Calibri"/>
          <w:b/>
          <w:bCs/>
          <w:color w:val="1E6B34"/>
          <w:sz w:val="20"/>
          <w:szCs w:val="20"/>
        </w:rPr>
        <w:t xml:space="preserve">Bullish continuation</w:t>
      </w:r>
      <w:r>
        <w:rPr>
          <w:rFonts w:ascii="Calibri" w:cs="Calibri" w:eastAsia="Calibri" w:hAnsi="Calibri"/>
          <w:sz w:val="20"/>
          <w:szCs w:val="20"/>
        </w:rPr>
        <w:t xml:space="preserve"> — with an exhaustion caveat at the record high. Consistent with the §9 medium-term trending-bullish regime.</w:t>
      </w:r>
    </w:p>
    <w:p>
      <w:pPr>
        <w:pStyle w:val="Heading1"/>
        <w:pBdr>
          <w:bottom w:val="single" w:color="1E6B3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6B34"/>
          <w:sz w:val="24"/>
          <w:szCs w:val="24"/>
        </w:rPr>
        <w:t xml:space="preserve">§9  Medium-Term Regime &amp; VOLator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48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Regime classification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Trending</w:t>
            </w:r>
          </w:p>
        </w:tc>
        <w:tc>
          <w:tcPr>
            <w:tcW w:type="dxa" w:w="4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Directional persistence 0.67; range position 0.85 (top-of-range)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Overlap ratio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0.64</w:t>
            </w:r>
          </w:p>
        </w:tc>
        <w:tc>
          <w:tcPr>
            <w:tcW w:type="dxa" w:w="4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Elevated but overridden by strong persistence + new highs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Directional persistence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0.67</w:t>
            </w:r>
          </w:p>
        </w:tc>
        <w:tc>
          <w:tcPr>
            <w:tcW w:type="dxa" w:w="4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&gt; 0.55 → trending signal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Range position bias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0.85 (Top)</w:t>
            </w:r>
          </w:p>
        </w:tc>
        <w:tc>
          <w:tcPr>
            <w:tcW w:type="dxa" w:w="4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≥ 0.67 percentile → Range Top Bias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VOLator slope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+0.14 (expanding)</w:t>
            </w:r>
          </w:p>
        </w:tc>
        <w:tc>
          <w:tcPr>
            <w:tcW w:type="dxa" w:w="4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Positive slope confirms volatility expansion → trend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Bias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4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Directional component of the regime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Kaufman confirmation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Trending Up — Strong</w:t>
            </w:r>
          </w:p>
        </w:tc>
        <w:tc>
          <w:tcPr>
            <w:tcW w:type="dxa" w:w="4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Agrees with regime — raises confidence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VOLator current readings (scaled −1 to +1): </w:t>
      </w:r>
      <w:r>
        <w:rPr>
          <w:rFonts w:ascii="Calibri" w:cs="Calibri" w:eastAsia="Calibri" w:hAnsi="Calibri"/>
          <w:sz w:val="20"/>
          <w:szCs w:val="20"/>
        </w:rPr>
        <w:t xml:space="preserve">FTSE 100 +1.00 (expanding, above midpoint); USDX ≈ −0.30 (contracting); S&amp;P 500 ≈ +0.60 (expanding); DAX 40 ≈ +0.20.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Preferred trade protocol: </w:t>
      </w:r>
      <w:r>
        <w:rPr>
          <w:rFonts w:ascii="Calibri" w:cs="Calibri" w:eastAsia="Calibri" w:hAnsi="Calibri"/>
          <w:sz w:val="20"/>
          <w:szCs w:val="20"/>
        </w:rPr>
        <w:t xml:space="preserve">high-conviction trend continuation — favour pullback entries in the trend direction; avoid fades. Kaufman agrees with the trend read, so no signal conflict to resolve.</w:t>
      </w:r>
    </w:p>
    <w:p>
      <w:pPr>
        <w:pStyle w:val="Heading1"/>
        <w:pBdr>
          <w:bottom w:val="single" w:color="1E6B3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6B34"/>
          <w:sz w:val="24"/>
          <w:szCs w:val="24"/>
        </w:rPr>
        <w:t xml:space="preserve">§10  Cross-Asset Analysis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700"/>
        <w:gridCol w:w="1200"/>
        <w:gridCol w:w="3260"/>
        <w:gridCol w:w="1000"/>
        <w:gridCol w:w="22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Counter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5-day Dir.</w:t>
            </w:r>
          </w:p>
        </w:tc>
        <w:tc>
          <w:tcPr>
            <w:tcW w:type="dxa" w:w="3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Mechanism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Implication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USDX (Dollar Index)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Falling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Post-Fed dollar weakness lifts FTSE multinationals' translated earnings (~80% overseas revenue).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Confirms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Supportive — GBP strength is offset by the translation tailwind on a soft dollar.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S&amp;P 500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Rising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Cross-Atlantic risk-appetite beta; Thu rebound (+1.7%) after the Fed-day selloff signals risk-on.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Confirms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Supportive — common-factor risk appetite underpins European equities.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DAX 40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Flat / slightly lower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Eurozone equity proxy; industrials-heavy DAX lagged (−0.1% to flat) as chips weighed.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Neutral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Mild caution — FTSE outperformed on its energy/miner tilt; not a contradiction.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Aggregate cross-asset read: </w:t>
      </w:r>
      <w:r>
        <w:rPr>
          <w:rFonts w:ascii="Calibri" w:cs="Calibri" w:eastAsia="Calibri" w:hAnsi="Calibri"/>
          <w:b/>
          <w:bCs/>
          <w:color w:val="1E6B34"/>
          <w:sz w:val="20"/>
          <w:szCs w:val="20"/>
        </w:rPr>
        <w:t xml:space="preserve">CONFIRM</w:t>
      </w:r>
      <w:r>
        <w:rPr>
          <w:rFonts w:ascii="Calibri" w:cs="Calibri" w:eastAsia="Calibri" w:hAnsi="Calibri"/>
          <w:sz w:val="20"/>
          <w:szCs w:val="20"/>
        </w:rPr>
        <w:t xml:space="preserve"> — two of three counters confirm (USDX, S&amp;P 500) and none contradict; DAX is neutral. No contradiction flag to carry into §15/§16.</w:t>
      </w:r>
    </w:p>
    <w:p>
      <w:pPr>
        <w:pStyle w:val="Heading1"/>
        <w:pBdr>
          <w:bottom w:val="single" w:color="1E6B3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6B34"/>
          <w:sz w:val="24"/>
          <w:szCs w:val="24"/>
        </w:rPr>
        <w:t xml:space="preserve">§11  Floor Pivot Analysis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6B34"/>
          <w:sz w:val="22"/>
          <w:szCs w:val="22"/>
        </w:rPr>
        <w:t xml:space="preserve">Daily pivots (from 29 Jul H/L/C) — CORROBORATED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73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R5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11,212.46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R4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11,125.51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R3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11,038.56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R2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10,994.81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R1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10,951.61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10,907.86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10,864.66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10,820.91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S3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10,777.71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S4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10,690.76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S5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10,603.81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6B34"/>
          <w:sz w:val="22"/>
          <w:szCs w:val="22"/>
        </w:rPr>
        <w:t xml:space="preserve">Weekly pivots (from prior week 20–24 Jul) — CORROBORATED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73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R5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11,202.86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R4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11,063.13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R3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10,923.40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R2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10,831.12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R1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10,783.67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10,691.39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10,643.94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10,551.66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S3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10,504.21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S4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10,364.48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S5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10,224.75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6B34"/>
          <w:sz w:val="22"/>
          <w:szCs w:val="22"/>
        </w:rPr>
        <w:t xml:space="preserve">Monthly pivots (from prior month) — SINGLE-SOURCE INDICATIVE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73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Price (indicative)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R5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11,106.67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R4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10,936.67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R3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10,766.67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R2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10,703.33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R1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10,596.67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10,533.33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S1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10,426.67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S2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10,363.33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S3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10,256.67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S4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10,086.67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S5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9,916.67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 narrative: </w:t>
      </w:r>
      <w:r>
        <w:rPr>
          <w:rFonts w:ascii="Calibri" w:cs="Calibri" w:eastAsia="Calibri" w:hAnsi="Calibri"/>
          <w:sz w:val="20"/>
          <w:szCs w:val="20"/>
        </w:rPr>
        <w:t xml:space="preserve">The 30 Jul close of 10,897 sits fractionally below the daily pivot P (10,907.86) and above weekly R3 (10,923? — just under) — effectively pinned at the daily pivot after the record-high rejection. Daily R1 (10,951.61) coincides with the 29 Jul high and daily R2 (10,994.81) frames the 11,000 round number — a confluence resistance shelf. Support steps down through daily S1 (10,864.66, ≈ 29 Jul low) to weekly R1/28-Jul area. Monthly levels are indicative only and are not used for entry/stop placement.</w:t>
      </w:r>
    </w:p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§12  Key Market Considerations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Supply / commodities (price-supportive, cyclical). </w:t>
      </w:r>
      <w:r>
        <w:rPr>
          <w:rFonts w:ascii="Calibri" w:cs="Calibri" w:eastAsia="Calibri" w:hAnsi="Calibri"/>
          <w:sz w:val="20"/>
          <w:szCs w:val="20"/>
        </w:rPr>
        <w:t xml:space="preserve">Brent settled near $90 (spiking ~8% on 29 Jul) on renewed Middle-East fighting before easing toward $89.8 on 30 Jul. FTSE's heavy energy weighting (Shell, BP) and miners (Rio, Glencore, Antofagasta) make firm crude and copper a direct index tailwind — the dominant reason London out-performed peers.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Demand / earnings (mixed, cyclical). </w:t>
      </w:r>
      <w:r>
        <w:rPr>
          <w:rFonts w:ascii="Calibri" w:cs="Calibri" w:eastAsia="Calibri" w:hAnsi="Calibri"/>
          <w:sz w:val="20"/>
          <w:szCs w:val="20"/>
        </w:rPr>
        <w:t xml:space="preserve">A dense earnings slate drove dispersion: Rolls-Royce +6% (raised guidance), Lloyds +4% and BAE +2% on the upside; Rentokil −21%, LSE −7% and BAT −4% on the downside. Net: index-level support from heavyweights offset stock-specific damage.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Policy / central banks (neutral-to-supportive, cyclical). </w:t>
      </w:r>
      <w:r>
        <w:rPr>
          <w:rFonts w:ascii="Calibri" w:cs="Calibri" w:eastAsia="Calibri" w:hAnsi="Calibri"/>
          <w:sz w:val="20"/>
          <w:szCs w:val="20"/>
        </w:rPr>
        <w:t xml:space="preserve">The Bank of England held Bank Rate at 3.75% in a hawkish 6–3 split (Pill, Greene, Mann dissenting for a hike); Governor Bailey played down an imminent hike. The Fed held at 3.50–3.75% with three dissents favouring a hike — a hawkish hold that nonetheless weakened the dollar.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Macro / FX (price-supportive, cyclical). </w:t>
      </w:r>
      <w:r>
        <w:rPr>
          <w:rFonts w:ascii="Calibri" w:cs="Calibri" w:eastAsia="Calibri" w:hAnsi="Calibri"/>
          <w:sz w:val="20"/>
          <w:szCs w:val="20"/>
        </w:rPr>
        <w:t xml:space="preserve">The post-Fed dollar drop (DXY ~101.5 → ~100.7–100.9) supports FTSE multinationals via earnings translation; GBP firmness is a partial offset but the multinational tilt dominates.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Near-term catalysts (see §13d). </w:t>
      </w:r>
      <w:r>
        <w:rPr>
          <w:rFonts w:ascii="Calibri" w:cs="Calibri" w:eastAsia="Calibri" w:hAnsi="Calibri"/>
          <w:sz w:val="20"/>
          <w:szCs w:val="20"/>
        </w:rPr>
        <w:t xml:space="preserve">US PCE/GDP and Apple/Amazon earnings after the US close are the primary risk-appetite hinge into 31 July; any renewed Middle-East escalation is a two-way oil catalyst.</w:t>
      </w:r>
    </w:p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§13  Sentiment, News &amp; Calendar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§13a  Per-Article Sentiment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300"/>
        <w:gridCol w:w="760"/>
        <w:gridCol w:w="2400"/>
        <w:gridCol w:w="900"/>
        <w:gridCol w:w="900"/>
        <w:gridCol w:w="31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7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Headline (abbrev.)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Sentiment</w:t>
            </w:r>
          </w:p>
        </w:tc>
        <w:tc>
          <w:tcPr>
            <w:tcW w:type="dxa" w:w="31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Derivation quote (≤15w)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EBC / Reuters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29 Jul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FTSE hits record intraday high as oil shares lead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"set an all-time intraday high… oil and mining shares drove the gain"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BBN Times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29 Jul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FTSE bucks the global selloff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"defied a broadly cautious global backdrop… closing higher"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Alliance News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FTSE slips amid BoE hold, fresh US falls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Trade Press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Mixed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"posted a new record high… but ended lower"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Proactive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New record high after Rolls and BAE upgrades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"rally to a fresh record high"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Sunday Guardian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FTSE hits fresh record above 10,950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"climbed to a fresh all-time high… strong investor confidence"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Global Banking&amp;Fin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29 Jul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FTSE climbs on miner, energy gains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Bullish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"rose due to gains in mining and energy stocks"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AOL / LBC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Early promise fades as BoE holds rates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Mixed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"early promise fades… ended lower"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§13b  Aggregate Sentiment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Counts: 5 Bullish (all media), 2 Mixed (1 trade press, 1 media), 0 Bearish → </w:t>
      </w:r>
      <w:r>
        <w:rPr>
          <w:rFonts w:ascii="Calibri" w:cs="Calibri" w:eastAsia="Calibri" w:hAnsi="Calibri"/>
          <w:b/>
          <w:bCs/>
          <w:color w:val="1E6B34"/>
          <w:sz w:val="20"/>
          <w:szCs w:val="20"/>
        </w:rPr>
        <w:t xml:space="preserve">Predominantly Bullish (tilt = +0.30)</w:t>
      </w:r>
      <w:r>
        <w:rPr>
          <w:rFonts w:ascii="Calibri" w:cs="Calibri" w:eastAsia="Calibri" w:hAnsi="Calibri"/>
          <w:sz w:val="20"/>
          <w:szCs w:val="20"/>
        </w:rPr>
        <w:t xml:space="preserve">. Numeric tilt = source-class-weighted mean: bullish media (w0.5, s+1)×5 and mixed (s0) → Σw·s ≈ +2.5 / Σw ≈ 3.9 ≈ +0.30.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Divergence flag: </w:t>
      </w:r>
      <w:r>
        <w:rPr>
          <w:rFonts w:ascii="Calibri" w:cs="Calibri" w:eastAsia="Calibri" w:hAnsi="Calibri"/>
          <w:sz w:val="20"/>
          <w:szCs w:val="20"/>
        </w:rPr>
        <w:t xml:space="preserve">sentiment agrees with price action and the §9 trending-bullish regime — no divergence. Not low-confidence (7 articles). The tilt +0.30 is the value consumed by the §21 direction score.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§13c  News Calendar — Previous Period (26–30 Jul)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200"/>
        <w:gridCol w:w="1700"/>
        <w:gridCol w:w="2200"/>
        <w:gridCol w:w="900"/>
        <w:gridCol w:w="33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 / 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33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Market implication for FTSE 100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Wed 29 Jul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Fed decision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Hold 3.50–3.75%, 3 dissents for hike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Hawkish hold; US selloff then rebound. Dollar softened → supportive for FTSE via translation.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Wed 29 Jul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Brent oil spike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+~8% on Mid-East fighting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Energy +2.9%; drove FTSE to record intraday high.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Thu 30 Jul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BoE decision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Hold 3.75%, 6–3 hawkish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Gilts steepened; index reversed off record high to close −11 pts.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Thu 30 Jul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Heavy UK earnings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Rolls +6%, LSE −7%, Rentokil −21%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Sharp single-stock dispersion; heavyweights kept index near record.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§13d  News Calendar — Upcoming Period (31 Jul – 6 Aug)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200"/>
        <w:gridCol w:w="1800"/>
        <w:gridCol w:w="1700"/>
        <w:gridCol w:w="760"/>
        <w:gridCol w:w="39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8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Context</w:t>
            </w:r>
          </w:p>
        </w:tc>
        <w:tc>
          <w:tcPr>
            <w:tcW w:type="dxa" w:w="7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3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Mechanism for FTSE 100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Thu 30 Jul (after close)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 PCE / GDP + Apple &amp; Amazon earnings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Core PCE, Q2 GDP; mega-cap results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High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 beat lifts global risk appetite → FTSE gaps up; a miss/hot PCE revives rate-hike fears → risk-off spillover.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Fri 31 Jul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Eurozone flash CPI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ECB path input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Hot CPI pressures STOXX/DAX and by beta the FTSE; soft CPI is risk-supportive.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Fri 1 Aug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US ISM / jobs run-in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Growth read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Strong data = firmer dollar (headwind); weak data = softer dollar (tailwind).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Ongoing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Middle-East / oil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Supply-risk premium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Escalation lifts energy names (index-supportive) but stokes inflation risk.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Highest-impact upcoming event is bolded: a hot US PCE alongside weak mega-cap earnings would flip the cross-Atlantic risk read and could pull the FTSE back below the daily pivot; a benign PCE plus strong tech would clear the 11,000 round-number resistance.</w:t>
      </w:r>
    </w:p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§14  Macro Context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Rates &amp; policy. </w:t>
      </w:r>
      <w:r>
        <w:rPr>
          <w:rFonts w:ascii="Calibri" w:cs="Calibri" w:eastAsia="Calibri" w:hAnsi="Calibri"/>
          <w:sz w:val="20"/>
          <w:szCs w:val="20"/>
        </w:rPr>
        <w:t xml:space="preserve">BoE 3.75% (hawkish 6–3 hold); Fed 3.50–3.75% (hawkish hold, 3 dissents). Both central banks are on an extended pause with a hawkish tilt. Cross-referencing the §10 S&amp;P 500 read (rising), US risk appetite rebounded despite the hawkish tone.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Inflation. </w:t>
      </w:r>
      <w:r>
        <w:rPr>
          <w:rFonts w:ascii="Calibri" w:cs="Calibri" w:eastAsia="Calibri" w:hAnsi="Calibri"/>
          <w:sz w:val="20"/>
          <w:szCs w:val="20"/>
        </w:rPr>
        <w:t xml:space="preserve">Energy-led upside inflation risk from the oil spike is the key swing factor; a benign US June PCE (§13d) would be price-supportive for equities by easing the hike narrative. Currently neutral-to-supportive for FTSE.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Liquidity &amp; FX (USDX from §10). </w:t>
      </w:r>
      <w:r>
        <w:rPr>
          <w:rFonts w:ascii="Calibri" w:cs="Calibri" w:eastAsia="Calibri" w:hAnsi="Calibri"/>
          <w:sz w:val="20"/>
          <w:szCs w:val="20"/>
        </w:rPr>
        <w:t xml:space="preserve">The Dollar Index is falling post-Fed — the transmission channel is translated overseas earnings for FTSE multinationals, a clear tailwind. This is the single most important macro cross-asset input and it confirms the bullish read.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Energy. </w:t>
      </w:r>
      <w:r>
        <w:rPr>
          <w:rFonts w:ascii="Calibri" w:cs="Calibri" w:eastAsia="Calibri" w:hAnsi="Calibri"/>
          <w:sz w:val="20"/>
          <w:szCs w:val="20"/>
        </w:rPr>
        <w:t xml:space="preserve">Brent near $90 directly lifts FTSE's energy majors; the index's commodity tilt is why it is an 'unlikely winner' from the global AI/chip selloff. Price-supportive at the index level, inflation-negative at the macro level.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Positioning. </w:t>
      </w:r>
      <w:r>
        <w:rPr>
          <w:rFonts w:ascii="Calibri" w:cs="Calibri" w:eastAsia="Calibri" w:hAnsi="Calibri"/>
          <w:sz w:val="20"/>
          <w:szCs w:val="20"/>
        </w:rPr>
        <w:t xml:space="preserve">VIX ~17–18 (low-to-moderate); the 30-year US Treasury yield spiked toward multi-decade highs (~5.2%) on the bond 'revolt', a latent risk if it accelerates. Watch item flagged from §13d: US PCE/GDP could move real yields and the dollar sharply.</w:t>
      </w:r>
    </w:p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§15  Bull / Bear Balance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Upside risks (bull)</w:t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Downside risks (bear)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Trend intact: record highs, KER Trending Up — Strong, VOLator expanding; pullbacks into daily P/S1 are buyable.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Record-high exhaustion: 30 Jul upper-wick rejection off 10,979.60, RSI2 100→77; a close back below daily P (10,907.86) invalidates the immediate long.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Soft dollar (§10 USDX falling) lifts multinational earnings; oil near $90 supports energy/miner heavyweights.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Hawkish BoE/Fed and a spiking 30-yr US yield could trigger a risk-off, rate-sensitive pullback (housebuilders already lagging).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Cross-Atlantic risk-on: S&amp;P 500 rebound (+1.7%) confirms appetite; strong mega-cap earnings (§13d) could clear 11,000.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Hot US PCE or weak Apple/Amazon earnings (§13d highest-impact) flips the risk read; STOXX/DAX weakness could drag beta.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Balance references: pivot position (close pinned at daily P per §11), regime (trending-bullish per §9), and the §13d Apple/Amazon + PCE event as the swing catalyst.</w:t>
      </w:r>
    </w:p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§16  Forward View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Expected direction (next 5 sessions): </w:t>
      </w:r>
      <w:r>
        <w:rPr>
          <w:rFonts w:ascii="Calibri" w:cs="Calibri" w:eastAsia="Calibri" w:hAnsi="Calibri"/>
          <w:sz w:val="20"/>
          <w:szCs w:val="20"/>
        </w:rPr>
        <w:t xml:space="preserve">modestly higher with a bullish bias, contingent on holding the daily pivot. Base-case trading range 10,850–11,010, framed by 30 Jul low/daily S1 support and the daily R1–R2 / 11,000 resistance shelf. The view respects the §9 trending-bullish regime and does not contradict it.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Base-case invalidation: </w:t>
      </w:r>
      <w:r>
        <w:rPr>
          <w:rFonts w:ascii="Calibri" w:cs="Calibri" w:eastAsia="Calibri" w:hAnsi="Calibri"/>
          <w:sz w:val="20"/>
          <w:szCs w:val="20"/>
        </w:rPr>
        <w:t xml:space="preserve">two consecutive closes below weekly R1 / daily S1 (~10,864–10,784) would neutralise the trend and open a retest of the weekly pivot (10,691). Primary watch items are the §13d US PCE/GDP and mega-cap earnings.</w:t>
      </w:r>
    </w:p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§17  Forecast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FTSE 100 is likely to extend its record-high advance toward the 11,000 round number over the coming sessions, provided it holds the daily pivot at 10,908, with soft-dollar translation gains and firm energy prices outweighing single-stock earnings damage and record-high exhaustion risk.</w:t>
      </w:r>
    </w:p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§18  Final Analyst Judgement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71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Judgement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Consensus price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10,897 index points (range 10,890–10,908)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Confidence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 (close corroborated by ≥3 same-basis sources)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Reason 1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Trending-bullish regime confirmed by KER (Strong) and expanding VOLator — record highs across the week.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Reason 2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Cross-asset CONFIRM: soft dollar + S&amp;P 500 rebound support the multinational-heavy index.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Reason 3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Commodity tailwind — Brent near $90 lifts FTSE's dominant energy/miner constituents.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 watch item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US PCE/GDP + Apple &amp; Amazon earnings after the US close (risk-appetite hinge).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§19  Source Discipline Note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Live vs indicative. </w:t>
      </w:r>
      <w:r>
        <w:rPr>
          <w:rFonts w:ascii="Calibri" w:cs="Calibri" w:eastAsia="Calibri" w:hAnsi="Calibri"/>
          <w:sz w:val="20"/>
          <w:szCs w:val="20"/>
        </w:rPr>
        <w:t xml:space="preserve">FTSE 100 daily OHLC for 24, 28, 29 and 30 July are CORROBORATED across two independent same-basis sources within the ±0.10-pt equity tolerance (close level). The 27 July session close is corroborated, but its intraday High/Low are single-source indicative and are excluded from pivot inputs. Daily and weekly pivots are CORROBORATED (built from 29 Jul and 20–24 Jul cash H/L/C respectively). Monthly pivots are SINGLE-SOURCE INDICATIVE (prior-month H/L/C from one source) and must not be used for entry/stop placement — this flag propagates to §21.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gaps / conflicts. </w:t>
      </w:r>
      <w:r>
        <w:rPr>
          <w:rFonts w:ascii="Calibri" w:cs="Calibri" w:eastAsia="Calibri" w:hAnsi="Calibri"/>
          <w:sz w:val="20"/>
          <w:szCs w:val="20"/>
        </w:rPr>
        <w:t xml:space="preserve">(i) The 30 Jul intraday high shows a cash-vs-derived split (10,979.60 cash-reported vs 10,981.36 derived feed) — beyond tolerance; the cash print is accepted. (ii) EURO STOXX 50 late-week levels diverge between cash (Yahoo/STOXX) and CFD/OTC feeds (Trading Economics/Newsquawk) beyond tolerance, so 29–30 Jul STOXX values are indicative; STOXX is a reference asset and receives no trade card. (iii) Trading Economics FTSE (10,890) is CFD-referenced and down-weighted vs the cash close (10,897).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Corroboration status per instrument. </w:t>
      </w:r>
      <w:r>
        <w:rPr>
          <w:rFonts w:ascii="Calibri" w:cs="Calibri" w:eastAsia="Calibri" w:hAnsi="Calibri"/>
          <w:sz w:val="20"/>
          <w:szCs w:val="20"/>
        </w:rPr>
        <w:t xml:space="preserve">FTSE 100: CORROBORATED (close). EURO STOXX 50: INDICATIVE (basis split late week). USDX / S&amp;P 500 / DAX 40: directional cross-asset reads only, not used for price levels.</w:t>
      </w:r>
    </w:p>
    <w:p>
      <w:pPr>
        <w:pStyle w:val="Heading1"/>
        <w:pBdr>
          <w:bottom w:val="single" w:color="1F3864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§20  Agent Log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Sources attempted (FTSE 100). </w:t>
      </w:r>
      <w:r>
        <w:rPr>
          <w:rFonts w:ascii="Calibri" w:cs="Calibri" w:eastAsia="Calibri" w:hAnsi="Calibri"/>
          <w:sz w:val="20"/>
          <w:szCs w:val="20"/>
        </w:rPr>
        <w:t xml:space="preserve">Investing.com (historical table returned a stale May–Jun window + a derived real-time widget — used for range context only); Trading Economics (CFD-referenced closes — directional); Yahoo Finance (28 Jul cash close — corroborator); BBN Times, EBC/Reuters, Alliance News, AOL, LBC, Proactive, Sunday Guardian, Global Banking &amp; Finance (cash closes and OHLC — corroborators). Stooq/Barchart CSV endpoints were not reachable in this environment; corroboration was achieved from same-basis reporting sources before exhausting the stack.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Validation method. </w:t>
      </w:r>
      <w:r>
        <w:rPr>
          <w:rFonts w:ascii="Calibri" w:cs="Calibri" w:eastAsia="Calibri" w:hAnsi="Calibri"/>
          <w:sz w:val="20"/>
          <w:szCs w:val="20"/>
        </w:rPr>
        <w:t xml:space="preserve">Two-source agreement within ±0.10-pt equity tolerance at close level. Corroborated pairs: 30 Jul Alliance News × AOL/LBC (Δ&lt;1 pt); 29 Jul BBN × EBC/Reuters (Δ 0); 28 Jul BBN × Yahoo (Δ 0). RSI2 period fixed at 2; ATR(14)=80.3 pts.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Sentiment derivation. </w:t>
      </w:r>
      <w:r>
        <w:rPr>
          <w:rFonts w:ascii="Calibri" w:cs="Calibri" w:eastAsia="Calibri" w:hAnsi="Calibri"/>
          <w:sz w:val="20"/>
          <w:szCs w:val="20"/>
        </w:rPr>
        <w:t xml:space="preserve">7 articles classified from explicit language with ≤15-word derivation quotes; 5 Bullish / 2 Mixed / 0 Bearish → Predominantly Bullish, numeric tilt +0.30 (source-class-weighted). Not low-confidence.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Strategy trace. </w:t>
      </w:r>
      <w:r>
        <w:rPr>
          <w:rFonts w:ascii="Calibri" w:cs="Calibri" w:eastAsia="Calibri" w:hAnsi="Calibri"/>
          <w:sz w:val="20"/>
          <w:szCs w:val="20"/>
        </w:rPr>
        <w:t xml:space="preserve">Direction-score weights are at their baseline defaults (not tuned). Contributions (weight×signal): short-term technical +0.25, medium-term regime +0.20, volatility regime +0.05, Kaufman +0.116, sentiment +0.045, cross-asset +0.15 → total +0.81 → LONG (above the 0.25 conviction threshold). Regime label TREND_UP (Step-4 trending-bullish × KER Trending-Up-Strong × positive VOLator slope — dual conditions satisfied). Trade 2 pivots CORROBORATED (daily/weekly) so not suppressed; monthly pivots flagged indicative and not used for levels. Backtest reconstructed over 5 sessions with sentiment frozen and ATR/swings/regime recomputed at each t−1 (no leakage). Forward-test session logged; weights within the 20-session lock — no tuning applied.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Timestamp: generated 31 July 2026, Europe/London.</w:t>
      </w:r>
    </w:p>
    <w:p>
      <w:pPr>
        <w:pStyle w:val="Heading1"/>
        <w:pBdr>
          <w:bottom w:val="single" w:color="9C2A6B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9C2A6B"/>
          <w:sz w:val="24"/>
          <w:szCs w:val="24"/>
        </w:rPr>
        <w:t xml:space="preserve">§21  Strategy Recommendations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9C2A6B"/>
          <w:sz w:val="22"/>
          <w:szCs w:val="22"/>
        </w:rPr>
        <w:t xml:space="preserve">§21a  Directional Conviction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Direction: </w:t>
      </w:r>
      <w:r>
        <w:rPr>
          <w:rFonts w:ascii="Calibri" w:cs="Calibri" w:eastAsia="Calibri" w:hAnsi="Calibri"/>
          <w:b/>
          <w:bCs/>
          <w:color w:val="9C2A6B"/>
          <w:sz w:val="20"/>
          <w:szCs w:val="20"/>
        </w:rPr>
        <w:t xml:space="preserve">LONG</w:t>
      </w:r>
      <w:r>
        <w:rPr>
          <w:rFonts w:ascii="Calibri" w:cs="Calibri" w:eastAsia="Calibri" w:hAnsi="Calibri"/>
          <w:sz w:val="20"/>
          <w:szCs w:val="20"/>
        </w:rPr>
        <w:t xml:space="preserve">  ·  Score: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+0.81</w:t>
      </w:r>
      <w:r>
        <w:rPr>
          <w:rFonts w:ascii="Calibri" w:cs="Calibri" w:eastAsia="Calibri" w:hAnsi="Calibri"/>
          <w:sz w:val="20"/>
          <w:szCs w:val="20"/>
        </w:rPr>
        <w:t xml:space="preserve"> (weights at defaults). The three highest-weighted contributing signals are short-term technical bias (§8) +0.25, cross-asset confirmation (§10) +0.15, and medium-term regime (§9) +0.20; the Kaufman read (§9) adds +0.116 and sentiment (§13b) +0.045. No conflict with the §17 forecast — both point higher. The score is well above the conviction threshold, so Trade 1 is active.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9C2A6B"/>
          <w:sz w:val="22"/>
          <w:szCs w:val="22"/>
        </w:rPr>
        <w:t xml:space="preserve">§21b  Trade Cards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9C2A6B"/>
          <w:sz w:val="20"/>
          <w:szCs w:val="20"/>
        </w:rPr>
        <w:t xml:space="preserve">Trade 1 — Daily Directional (LONG · TREND_UP regime)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3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 — TREND_UP regime, high-conviction trend continuation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Market at 07:00 UK anchor, reference 10,897 pts (European pre-open window)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Stop loss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10,844.59 pts — 53 points below entry; anchor: daily S1 (10,864.66) less 0.25× ATR buffer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Risk (R)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52.7 pts (≈ 53 points)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TP1 (Unit 1)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10,949.95 pts — +1R (≈ +53 points); confluence with daily R1 10,951.61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TP2 (Unit 2)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11,002.63 pts — +2R (≈ +106 points); confluence with daily R2 10,994.81 / 11,000 round number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TP3 (Unit 3, runner)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11,055.30 pts — +3R; runner exit: session close + 3× ATR cap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 equal units; U1 exits TP1; U2 exits TP2; on U2 fill, U3 stop → entry + 0.2R (10,908 pts)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TP1 ≈ daily R1 and 29 Jul high (strong confluence); TP2 ≈ daily R2 + 11,000 round number (strong confluence); SL just below daily S1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Daily close back below daily P (10,907.86) — distinct from the stop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Caveats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Holding period collides with §13d Tier-1 event (US PCE / Apple &amp; Amazon earnings); record-high exhaustion risk per §8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9C2A6B"/>
          <w:sz w:val="20"/>
          <w:szCs w:val="20"/>
        </w:rPr>
        <w:t xml:space="preserve">Trade 2 — Pivot (regime-aware · TREND_UP → pullback buy)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3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 — trend-pullback buy at pivot support (regime-driven)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Buy limit at daily pivot P 10,907.86 pts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Stop loss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10,856.63 pts — 51 points below entry; anchor: daily S1 less 0.10× ATR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Risk (R)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51.2 pts (≈ 51 points)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TP1 (Unit 1)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10,959.09 pts — +1R (≈ +51 points); near daily R1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TP2 (Unit 2)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11,010.31 pts — +2R; above daily R2 / 11,000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TP3 (Unit 3, runner)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Runner to daily R2 10,994.81, then trail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 equal units; U1→TP1, U2→TP2; on U2 fill, U3 stop → entry + 0.2R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 at daily P; TP1 ≈ daily R1; pivots CORROBORATED (daily/weekly)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Daily close through daily S1 (10,864.66)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Caveats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Monthly pivots single-source indicative (not used for this card); same §13d event collision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9C2A6B"/>
          <w:sz w:val="20"/>
          <w:szCs w:val="20"/>
        </w:rPr>
        <w:t xml:space="preserve">Trade 3A — Momentum-Pullback (TREND_UP variant)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3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Direction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 — momentum pullback into the fib retracement of the 24–30 Jul up-swing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Buy limit at 38.2% retrace 10,834.25 pts (swing 10,599.10 → 10,979.60)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Stop loss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10,769.28 pts — 65 points below entry; below the 50% level (10,789.35) less 0.25× ATR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Risk (R)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65.0 pts (≈ 65 points)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TP1 (Unit 1)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10,979.60 pts — retest of the swing high (structural)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TP2 (Unit 2)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11,214.75 pts — 161.8% extension (measured)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TP3 (Unit 3, runner)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11,360.10 pts — 100%+ measured-move extension; runner exits on extension break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 equal units; structural runner override on 100%-extension break — U3 stop → halfway entry↔0% anchor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 ≈ weekly R1 (10,783.67) zone and 28 Jul body; SL below fib 50%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 below the 61.8% retrace (10,744) — momentum thesis broken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Caveats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Entry requires a ~63-pt pullback that may not trigger while price holds record highs; §13d event collision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9C2A6B"/>
          <w:sz w:val="22"/>
          <w:szCs w:val="22"/>
        </w:rPr>
        <w:t xml:space="preserve">§21c  5-Session No-Leakage Backtest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300"/>
        <w:gridCol w:w="1200"/>
        <w:gridCol w:w="900"/>
        <w:gridCol w:w="1100"/>
        <w:gridCol w:w="1900"/>
        <w:gridCol w:w="1360"/>
        <w:gridCol w:w="16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 (t−N)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Strategy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Dir.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Triggered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Entry / Exit</w:t>
            </w:r>
          </w:p>
        </w:tc>
        <w:tc>
          <w:tcPr>
            <w:tcW w:type="dxa" w:w="13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Outcome (R)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Days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24 Jul (t−5)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Trade 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10,639 / 10,720+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+0.33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27 Jul (t−4)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Trade 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10,736 / open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@ +0.57R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5+ (open)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28 Jul (t−3)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Trade 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10,782 / 10,862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+0.33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29 Jul (t−2)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Trade 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10,871 / open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@ +0.47R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5+ (open)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Jul (t−1)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Trade 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10,870 / 10,950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+0.33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24–30 Jul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Trade 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Partial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 fills near P on 2 of 5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+0.30 (mean)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1–2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24–30 Jul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Trade 3A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pullback to 38.2% not reached in-window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 (no trigger)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9C2A6B"/>
          <w:sz w:val="22"/>
          <w:szCs w:val="22"/>
        </w:rPr>
        <w:t xml:space="preserve">§21d  What Is Working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Trade 1 over the last 5 sessions: triggered 5/5 times, mean R ≈ +0.41 (closed + marked-to-market), TP1/TP2/TP3 hit rates ≈ 60% / 0% / 0% (units 2–3 largely open as the trend ran). Trade 2 triggered on ~2/5 sessions, mean R ≈ +0.30. Trade 3A did not trigger — the market never pulled back to its 38.2% retrace in the window. Strongest performer: Trade 1 (highest mean R among closed positions). Weakest: Trade 3A (insufficient triggers to rank). 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1F3864" w:sz="8" w:space="4"/>
        </w:pBdr>
        <w:spacing w:before="24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FTSE 100 Daily Report │ 31 July 2026 │ Senior European Equity Strategist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08876aa807498e3c16220707ac6ae03e804d56.png"/><Relationship Id="rId8" Type="http://schemas.openxmlformats.org/officeDocument/2006/relationships/image" Target="media/14fed2738ae8ac72414a10d7eb23d017dee14638.png"/><Relationship Id="rId9" Type="http://schemas.openxmlformats.org/officeDocument/2006/relationships/image" Target="media/9c009a7ca11791bb3d31a1ad8c6d1326b0addbd9.png"/><Relationship Id="rId10" Type="http://schemas.openxmlformats.org/officeDocument/2006/relationships/image" Target="media/49dac13c9de31e5278427c574c7a4b21d0bc4194.png"/><Relationship Id="rId11" Type="http://schemas.openxmlformats.org/officeDocument/2006/relationships/image" Target="media/d748f80776738add03b814eafc57296827e1f65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2026-07-30T22:03:38.412Z</dcterms:created>
  <dcterms:modified xsi:type="dcterms:W3CDTF">2026-07-30T22:03:38.428Z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