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B50"/>
          <w:sz w:val="40"/>
        </w:rPr>
        <w:t>FTSE 100 Report — Daily: 29 July 2026</w:t>
      </w:r>
    </w:p>
    <w:p>
      <w:pPr>
        <w:jc w:val="center"/>
      </w:pPr>
      <w:r>
        <w:rPr>
          <w:i/>
          <w:color w:val="555555"/>
          <w:sz w:val="22"/>
        </w:rPr>
        <w:t>With reference to: EURO STOXX 50 · USDX · S&amp;P 500 · DAX 40</w:t>
      </w:r>
    </w:p>
    <w:p>
      <w:pPr>
        <w:jc w:val="center"/>
      </w:pPr>
      <w:r>
        <w:rPr>
          <w:color w:val="555555"/>
          <w:sz w:val="18"/>
        </w:rPr>
        <w:t>Senior European Equity Strategist · Trading &amp; risk review (forward-test) · As of 29 July 2026 (Europe/London)</w:t>
      </w:r>
    </w:p>
    <w:p>
      <w:pPr>
        <w:pBdr>
          <w:bottom w:val="single" w:sz="6" w:space="1" w:color="aaaaaa"/>
        </w:pBdr>
      </w:pPr>
    </w:p>
    <w:p>
      <w:r>
        <w:rPr>
          <w:i/>
          <w:color w:val="880E4F"/>
          <w:sz w:val="16"/>
        </w:rPr>
        <w:t>DATA-INTEGRITY NOTICE  ·  Price fields use the London cash-index feed (FTSE 100, EURO STOXX 50) cross-checked across two independent providers. The 23 and 24 July 2026 closes are two-source corroborated to the exact figure. A material cross-feed conflict exists between cash-index and CFD-derivative providers (~290-point divergence on the headline level, with large gaps on the dollar index, gold and crude). Contract-for-difference and retail quotes are excluded; un-reconciled intraday High/Low fields are marked SINGLE-SOURCE — INDICATIVE ONLY and cannot anchor pivots or stops as definitive. Under an explicit instruction to proceed leniently on corroboration for this run, the strategy section is produced rather than suppressed, with every indicative-dependent level flagged.</w:t>
      </w:r>
    </w:p>
    <w:p/>
    <w:p>
      <w:pPr>
        <w:pStyle w:val="Heading1"/>
      </w:pPr>
      <w:r>
        <w:rPr>
          <w:rFonts w:ascii="Calibri" w:hAnsi="Calibri"/>
          <w:color w:val="1A2B50"/>
          <w:sz w:val="28"/>
        </w:rPr>
        <w:t>1 · Executive Snapshot</w:t>
      </w:r>
    </w:p>
    <w:p>
      <w:r>
        <w:rPr>
          <w:b w:val="0"/>
          <w:i w:val="0"/>
          <w:sz w:val="21"/>
        </w:rPr>
        <w:t>The FTSE 100 cash index enters the 29 July session at a consensus reference of 10,736.23 points, the two-source corroborated close of the last completed cash session (24 July), with a defensible near-term band of 10,700–10,760. Market tone is cautiously bullish. Three drivers dominate: (1) a sharp reversal lower in crude oil after the US paused strikes on Iran, which relieves UK inflation anxiety even as it pressures the index's heavy energy weighting; (2) a strong consumer-staples earnings pulse (Unilever's best sales quarter in a decade) offsetting a bank drag led by Barclays; and (3) an improving global-risk backdrop that has carried the index to a five-month high within roughly 200 points of its February record. The short-term technical state is Transitional–Bullish: the five-day sequence is choppy (a bearish Monday, a mid-week surge, a Thursday oil-shock dip, a Friday recovery) but closes travelled a net +136 points and finished near the top of the five-day range. The medium-term state is Transitional with an upward lean — the 25-session close sits at roughly the 93rd percentile of its range yet session overlap remains high. The Kaufman efficiency read is Trending Up — Moderate, which leans more bullish than the composite regime and is flagged as a mixed signal. The single most important watch item is the pair of central-bank meetings and inflation prints in the coming week (Bank of England and the US Federal Reserve), any hawkish surprise from which would challenge the consensus level.</w:t>
      </w:r>
    </w:p>
    <w:p>
      <w:pPr>
        <w:pStyle w:val="Heading1"/>
      </w:pPr>
      <w:r>
        <w:rPr>
          <w:rFonts w:ascii="Calibri" w:hAnsi="Calibri"/>
          <w:color w:val="1A2B50"/>
          <w:sz w:val="28"/>
        </w:rPr>
        <w:t>2 · Market Definition</w:t>
      </w:r>
    </w:p>
    <w:tbl>
      <w:tblPr>
        <w:tblStyle w:val="TableGrid"/>
        <w:tblW w:type="auto" w:w="0"/>
        <w:jc w:val="center"/>
        <w:tblLook w:firstColumn="1" w:firstRow="1" w:lastColumn="0" w:lastRow="0" w:noHBand="0" w:noVBand="1" w:val="04A0"/>
      </w:tblPr>
      <w:tblGrid>
        <w:gridCol w:w="4680"/>
        <w:gridCol w:w="4680"/>
      </w:tblGrid>
      <w:tr>
        <w:tc>
          <w:tcPr>
            <w:tcW w:type="dxa" w:w="2304"/>
            <w:shd w:val="clear" w:fill="1a2b50"/>
          </w:tcPr>
          <w:p>
            <w:r/>
            <w:r>
              <w:rPr>
                <w:b/>
                <w:color w:val="FFFFFF"/>
                <w:sz w:val="16"/>
              </w:rPr>
              <w:t>Attribute</w:t>
            </w:r>
          </w:p>
        </w:tc>
        <w:tc>
          <w:tcPr>
            <w:tcW w:type="dxa" w:w="7200"/>
            <w:shd w:val="clear" w:fill="1a2b50"/>
          </w:tcPr>
          <w:p>
            <w:r/>
            <w:r>
              <w:rPr>
                <w:b/>
                <w:color w:val="FFFFFF"/>
                <w:sz w:val="16"/>
              </w:rPr>
              <w:t>Definition</w:t>
            </w:r>
          </w:p>
        </w:tc>
      </w:tr>
      <w:tr>
        <w:tc>
          <w:tcPr>
            <w:tcW w:type="dxa" w:w="2304"/>
          </w:tcPr>
          <w:p>
            <w:r/>
            <w:r>
              <w:rPr>
                <w:sz w:val="16"/>
              </w:rPr>
              <w:t>Primary asset</w:t>
            </w:r>
          </w:p>
        </w:tc>
        <w:tc>
          <w:tcPr>
            <w:tcW w:type="dxa" w:w="7200"/>
          </w:tcPr>
          <w:p>
            <w:r/>
            <w:r>
              <w:rPr>
                <w:sz w:val="16"/>
              </w:rPr>
              <w:t>FTSE 100 cash index (^FTSE) — UK large-cap benchmark, 100 constituents</w:t>
            </w:r>
          </w:p>
        </w:tc>
      </w:tr>
      <w:tr>
        <w:tc>
          <w:tcPr>
            <w:tcW w:type="dxa" w:w="2304"/>
          </w:tcPr>
          <w:p>
            <w:r/>
            <w:r>
              <w:rPr>
                <w:sz w:val="16"/>
              </w:rPr>
              <w:t>Reference pair</w:t>
            </w:r>
          </w:p>
        </w:tc>
        <w:tc>
          <w:tcPr>
            <w:tcW w:type="dxa" w:w="7200"/>
          </w:tcPr>
          <w:p>
            <w:r/>
            <w:r>
              <w:rPr>
                <w:sz w:val="16"/>
              </w:rPr>
              <w:t>EURO STOXX 50 (^STOXX50E) — Eurozone large-cap blue-chip index</w:t>
            </w:r>
          </w:p>
        </w:tc>
      </w:tr>
      <w:tr>
        <w:tc>
          <w:tcPr>
            <w:tcW w:type="dxa" w:w="2304"/>
          </w:tcPr>
          <w:p>
            <w:r/>
            <w:r>
              <w:rPr>
                <w:sz w:val="16"/>
              </w:rPr>
              <w:t>Specification</w:t>
            </w:r>
          </w:p>
        </w:tc>
        <w:tc>
          <w:tcPr>
            <w:tcW w:type="dxa" w:w="7200"/>
          </w:tcPr>
          <w:p>
            <w:r/>
            <w:r>
              <w:rPr>
                <w:sz w:val="16"/>
              </w:rPr>
              <w:t>GBP-denominated, free-float capitalisation-weighted; FTSE Russell methodology</w:t>
            </w:r>
          </w:p>
        </w:tc>
      </w:tr>
      <w:tr>
        <w:tc>
          <w:tcPr>
            <w:tcW w:type="dxa" w:w="2304"/>
          </w:tcPr>
          <w:p>
            <w:r/>
            <w:r>
              <w:rPr>
                <w:sz w:val="16"/>
              </w:rPr>
              <w:t>Market scope</w:t>
            </w:r>
          </w:p>
        </w:tc>
        <w:tc>
          <w:tcPr>
            <w:tcW w:type="dxa" w:w="7200"/>
          </w:tcPr>
          <w:p>
            <w:r/>
            <w:r>
              <w:rPr>
                <w:sz w:val="16"/>
              </w:rPr>
              <w:t>Regional — United Kingdom &amp; Eurozone (two-jurisdiction)</w:t>
            </w:r>
          </w:p>
        </w:tc>
      </w:tr>
      <w:tr>
        <w:tc>
          <w:tcPr>
            <w:tcW w:type="dxa" w:w="2304"/>
          </w:tcPr>
          <w:p>
            <w:r/>
            <w:r>
              <w:rPr>
                <w:sz w:val="16"/>
              </w:rPr>
              <w:t>Delivery / session</w:t>
            </w:r>
          </w:p>
        </w:tc>
        <w:tc>
          <w:tcPr>
            <w:tcW w:type="dxa" w:w="7200"/>
          </w:tcPr>
          <w:p>
            <w:r/>
            <w:r>
              <w:rPr>
                <w:sz w:val="16"/>
              </w:rPr>
              <w:t>LSE regular session 08:00–16:30 UK (FTSE); Xetra 09:00–17:30 CET (EURO STOXX 50)</w:t>
            </w:r>
          </w:p>
        </w:tc>
      </w:tr>
      <w:tr>
        <w:tc>
          <w:tcPr>
            <w:tcW w:type="dxa" w:w="2304"/>
          </w:tcPr>
          <w:p>
            <w:r/>
            <w:r>
              <w:rPr>
                <w:sz w:val="16"/>
              </w:rPr>
              <w:t>Price basis</w:t>
            </w:r>
          </w:p>
        </w:tc>
        <w:tc>
          <w:tcPr>
            <w:tcW w:type="dxa" w:w="7200"/>
          </w:tcPr>
          <w:p>
            <w:r/>
            <w:r>
              <w:rPr>
                <w:sz w:val="16"/>
              </w:rPr>
              <w:t>Continuous cash-index level</w:t>
            </w:r>
          </w:p>
        </w:tc>
      </w:tr>
      <w:tr>
        <w:tc>
          <w:tcPr>
            <w:tcW w:type="dxa" w:w="2304"/>
          </w:tcPr>
          <w:p>
            <w:r/>
            <w:r>
              <w:rPr>
                <w:sz w:val="16"/>
              </w:rPr>
              <w:t>Unit / currency</w:t>
            </w:r>
          </w:p>
        </w:tc>
        <w:tc>
          <w:tcPr>
            <w:tcW w:type="dxa" w:w="7200"/>
          </w:tcPr>
          <w:p>
            <w:r/>
            <w:r>
              <w:rPr>
                <w:sz w:val="16"/>
              </w:rPr>
              <w:t>Index points · GBP (EURO STOXX 50 reported in EUR original)</w:t>
            </w:r>
          </w:p>
        </w:tc>
      </w:tr>
      <w:tr>
        <w:tc>
          <w:tcPr>
            <w:tcW w:type="dxa" w:w="2304"/>
          </w:tcPr>
          <w:p>
            <w:r/>
            <w:r>
              <w:rPr>
                <w:sz w:val="16"/>
              </w:rPr>
              <w:t>As-of date / zone</w:t>
            </w:r>
          </w:p>
        </w:tc>
        <w:tc>
          <w:tcPr>
            <w:tcW w:type="dxa" w:w="7200"/>
          </w:tcPr>
          <w:p>
            <w:r/>
            <w:r>
              <w:rPr>
                <w:sz w:val="16"/>
              </w:rPr>
              <w:t>29 July 2026 · Europe/London</w:t>
            </w:r>
          </w:p>
        </w:tc>
      </w:tr>
      <w:tr>
        <w:tc>
          <w:tcPr>
            <w:tcW w:type="dxa" w:w="2304"/>
          </w:tcPr>
          <w:p>
            <w:r/>
            <w:r>
              <w:rPr>
                <w:sz w:val="16"/>
              </w:rPr>
              <w:t>Lookback window</w:t>
            </w:r>
          </w:p>
        </w:tc>
        <w:tc>
          <w:tcPr>
            <w:tcW w:type="dxa" w:w="7200"/>
          </w:tcPr>
          <w:p>
            <w:r/>
            <w:r>
              <w:rPr>
                <w:sz w:val="16"/>
              </w:rPr>
              <w:t>5 trading days (execution block); 25 sessions (regime block)</w:t>
            </w:r>
          </w:p>
        </w:tc>
      </w:tr>
    </w:tbl>
    <w:p>
      <w:pPr>
        <w:pStyle w:val="Heading1"/>
      </w:pPr>
      <w:r>
        <w:rPr>
          <w:rFonts w:ascii="Calibri" w:hAnsi="Calibri"/>
          <w:color w:val="1A2B50"/>
          <w:sz w:val="28"/>
        </w:rPr>
        <w:t>3 · Consensus Price Call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fill="1a2b50"/>
          </w:tcPr>
          <w:p>
            <w:r/>
            <w:r>
              <w:rPr>
                <w:b/>
                <w:color w:val="FFFFFF"/>
                <w:sz w:val="16"/>
              </w:rPr>
              <w:t>Consensus level</w:t>
            </w:r>
          </w:p>
        </w:tc>
        <w:tc>
          <w:tcPr>
            <w:tcW w:type="dxa" w:w="1584"/>
            <w:shd w:val="clear" w:fill="1a2b50"/>
          </w:tcPr>
          <w:p>
            <w:r/>
            <w:r>
              <w:rPr>
                <w:b/>
                <w:color w:val="FFFFFF"/>
                <w:sz w:val="16"/>
              </w:rPr>
              <w:t>Range</w:t>
            </w:r>
          </w:p>
        </w:tc>
        <w:tc>
          <w:tcPr>
            <w:tcW w:type="dxa" w:w="2448"/>
            <w:shd w:val="clear" w:fill="1a2b50"/>
          </w:tcPr>
          <w:p>
            <w:r/>
            <w:r>
              <w:rPr>
                <w:b/>
                <w:color w:val="FFFFFF"/>
                <w:sz w:val="16"/>
              </w:rPr>
              <w:t>Basis</w:t>
            </w:r>
          </w:p>
        </w:tc>
        <w:tc>
          <w:tcPr>
            <w:tcW w:type="dxa" w:w="1152"/>
            <w:shd w:val="clear" w:fill="1a2b50"/>
          </w:tcPr>
          <w:p>
            <w:r/>
            <w:r>
              <w:rPr>
                <w:b/>
                <w:color w:val="FFFFFF"/>
                <w:sz w:val="16"/>
              </w:rPr>
              <w:t>Confidence</w:t>
            </w:r>
          </w:p>
        </w:tc>
        <w:tc>
          <w:tcPr>
            <w:tcW w:type="dxa" w:w="1296"/>
            <w:shd w:val="clear" w:fill="1a2b50"/>
          </w:tcPr>
          <w:p>
            <w:r/>
            <w:r>
              <w:rPr>
                <w:b/>
                <w:color w:val="FFFFFF"/>
                <w:sz w:val="16"/>
              </w:rPr>
              <w:t>Tone</w:t>
            </w:r>
          </w:p>
        </w:tc>
        <w:tc>
          <w:tcPr>
            <w:tcW w:type="dxa" w:w="2736"/>
            <w:shd w:val="clear" w:fill="1a2b50"/>
          </w:tcPr>
          <w:p>
            <w:r/>
            <w:r>
              <w:rPr>
                <w:b/>
                <w:color w:val="FFFFFF"/>
                <w:sz w:val="16"/>
              </w:rPr>
              <w:t>Rationale</w:t>
            </w:r>
          </w:p>
        </w:tc>
      </w:tr>
      <w:tr>
        <w:tc>
          <w:tcPr>
            <w:tcW w:type="dxa" w:w="1584"/>
          </w:tcPr>
          <w:p>
            <w:r/>
            <w:r>
              <w:rPr>
                <w:sz w:val="16"/>
              </w:rPr>
              <w:t>10,736.23 pts</w:t>
            </w:r>
          </w:p>
        </w:tc>
        <w:tc>
          <w:tcPr>
            <w:tcW w:type="dxa" w:w="1584"/>
          </w:tcPr>
          <w:p>
            <w:r/>
            <w:r>
              <w:rPr>
                <w:sz w:val="16"/>
              </w:rPr>
              <w:t>10,700 – 10,760</w:t>
            </w:r>
          </w:p>
        </w:tc>
        <w:tc>
          <w:tcPr>
            <w:tcW w:type="dxa" w:w="2448"/>
          </w:tcPr>
          <w:p>
            <w:r/>
            <w:r>
              <w:rPr>
                <w:sz w:val="16"/>
              </w:rPr>
              <w:t>Cash-index close, 24 Jul (last corroborated session)</w:t>
            </w:r>
          </w:p>
        </w:tc>
        <w:tc>
          <w:tcPr>
            <w:tcW w:type="dxa" w:w="1152"/>
          </w:tcPr>
          <w:p>
            <w:r/>
            <w:r>
              <w:rPr>
                <w:sz w:val="16"/>
              </w:rPr>
              <w:t>Medium</w:t>
            </w:r>
          </w:p>
        </w:tc>
        <w:tc>
          <w:tcPr>
            <w:tcW w:type="dxa" w:w="1296"/>
          </w:tcPr>
          <w:p>
            <w:r/>
            <w:r>
              <w:rPr>
                <w:sz w:val="16"/>
              </w:rPr>
              <w:t>Cautiously bullish</w:t>
            </w:r>
          </w:p>
        </w:tc>
        <w:tc>
          <w:tcPr>
            <w:tcW w:type="dxa" w:w="2736"/>
          </w:tcPr>
          <w:p>
            <w:r/>
            <w:r>
              <w:rPr>
                <w:sz w:val="16"/>
              </w:rPr>
              <w:t>Two independent cash-index providers agree to the exact 24-Jul close; forward reference held pending the 29-Jul open.</w:t>
            </w:r>
          </w:p>
        </w:tc>
      </w:tr>
    </w:tbl>
    <w:p>
      <w:r>
        <w:rPr>
          <w:b w:val="0"/>
          <w:i/>
          <w:color w:val="555555"/>
          <w:sz w:val="18"/>
        </w:rPr>
        <w:t>Confidence is capped at Medium rather than High because the 27–28 July sessions could not be reconciled across independent cash-index sources within the ±0.1-point tolerance, and a competing CFD feed diverges by hundreds of points. The consensus therefore anchors on the last fully corroborated session close.</w:t>
      </w:r>
    </w:p>
    <w:p>
      <w:pPr>
        <w:pStyle w:val="Heading1"/>
      </w:pPr>
      <w:r>
        <w:rPr>
          <w:rFonts w:ascii="Calibri" w:hAnsi="Calibri"/>
          <w:color w:val="1A2B50"/>
          <w:sz w:val="28"/>
        </w:rPr>
        <w:t>4 · Price Evidence Table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656"/>
            <w:shd w:val="clear" w:fill="1a2b50"/>
          </w:tcPr>
          <w:p>
            <w:r/>
            <w:r>
              <w:rPr>
                <w:b/>
                <w:color w:val="FFFFFF"/>
                <w:sz w:val="15"/>
              </w:rPr>
              <w:t>Source</w:t>
            </w:r>
          </w:p>
        </w:tc>
        <w:tc>
          <w:tcPr>
            <w:tcW w:type="dxa" w:w="1368"/>
            <w:shd w:val="clear" w:fill="1a2b50"/>
          </w:tcPr>
          <w:p>
            <w:r/>
            <w:r>
              <w:rPr>
                <w:b/>
                <w:color w:val="FFFFFF"/>
                <w:sz w:val="15"/>
              </w:rPr>
              <w:t>Date/Time</w:t>
            </w:r>
          </w:p>
        </w:tc>
        <w:tc>
          <w:tcPr>
            <w:tcW w:type="dxa" w:w="1656"/>
            <w:shd w:val="clear" w:fill="1a2b50"/>
          </w:tcPr>
          <w:p>
            <w:r/>
            <w:r>
              <w:rPr>
                <w:b/>
                <w:color w:val="FFFFFF"/>
                <w:sz w:val="15"/>
              </w:rPr>
              <w:t>Raw quote</w:t>
            </w:r>
          </w:p>
        </w:tc>
        <w:tc>
          <w:tcPr>
            <w:tcW w:type="dxa" w:w="1440"/>
            <w:shd w:val="clear" w:fill="1a2b50"/>
          </w:tcPr>
          <w:p>
            <w:r/>
            <w:r>
              <w:rPr>
                <w:b/>
                <w:color w:val="FFFFFF"/>
                <w:sz w:val="15"/>
              </w:rPr>
              <w:t>Normalized (pts, GBP)</w:t>
            </w:r>
          </w:p>
        </w:tc>
        <w:tc>
          <w:tcPr>
            <w:tcW w:type="dxa" w:w="1512"/>
            <w:shd w:val="clear" w:fill="1a2b50"/>
          </w:tcPr>
          <w:p>
            <w:r/>
            <w:r>
              <w:rPr>
                <w:b/>
                <w:color w:val="FFFFFF"/>
                <w:sz w:val="15"/>
              </w:rPr>
              <w:t>Basis / location</w:t>
            </w:r>
          </w:p>
        </w:tc>
        <w:tc>
          <w:tcPr>
            <w:tcW w:type="dxa" w:w="1080"/>
            <w:shd w:val="clear" w:fill="1a2b50"/>
          </w:tcPr>
          <w:p>
            <w:r/>
            <w:r>
              <w:rPr>
                <w:b/>
                <w:color w:val="FFFFFF"/>
                <w:sz w:val="15"/>
              </w:rPr>
              <w:t>Relevance</w:t>
            </w:r>
          </w:p>
        </w:tc>
        <w:tc>
          <w:tcPr>
            <w:tcW w:type="dxa" w:w="1944"/>
            <w:shd w:val="clear" w:fill="1a2b50"/>
          </w:tcPr>
          <w:p>
            <w:r/>
            <w:r>
              <w:rPr>
                <w:b/>
                <w:color w:val="FFFFFF"/>
                <w:sz w:val="15"/>
              </w:rPr>
              <w:t>Notes</w:t>
            </w:r>
          </w:p>
        </w:tc>
      </w:tr>
      <w:tr>
        <w:tc>
          <w:tcPr>
            <w:tcW w:type="dxa" w:w="1656"/>
          </w:tcPr>
          <w:p>
            <w:r/>
            <w:r>
              <w:rPr>
                <w:sz w:val="15"/>
              </w:rPr>
              <w:t>Investing.com</w:t>
            </w:r>
          </w:p>
        </w:tc>
        <w:tc>
          <w:tcPr>
            <w:tcW w:type="dxa" w:w="1368"/>
          </w:tcPr>
          <w:p>
            <w:r/>
            <w:r>
              <w:rPr>
                <w:sz w:val="15"/>
              </w:rPr>
              <w:t>24 Jul close</w:t>
            </w:r>
          </w:p>
        </w:tc>
        <w:tc>
          <w:tcPr>
            <w:tcW w:type="dxa" w:w="1656"/>
          </w:tcPr>
          <w:p>
            <w:r/>
            <w:r>
              <w:rPr>
                <w:sz w:val="15"/>
              </w:rPr>
              <w:t>10,736.23</w:t>
            </w:r>
          </w:p>
        </w:tc>
        <w:tc>
          <w:tcPr>
            <w:tcW w:type="dxa" w:w="1440"/>
          </w:tcPr>
          <w:p>
            <w:r/>
            <w:r>
              <w:rPr>
                <w:sz w:val="15"/>
              </w:rPr>
              <w:t>10,736.23</w:t>
            </w:r>
          </w:p>
        </w:tc>
        <w:tc>
          <w:tcPr>
            <w:tcW w:type="dxa" w:w="1512"/>
          </w:tcPr>
          <w:p>
            <w:r/>
            <w:r>
              <w:rPr>
                <w:sz w:val="15"/>
              </w:rPr>
              <w:t>Cash index, London</w:t>
            </w:r>
          </w:p>
        </w:tc>
        <w:tc>
          <w:tcPr>
            <w:tcW w:type="dxa" w:w="1080"/>
          </w:tcPr>
          <w:p>
            <w:r/>
            <w:r>
              <w:rPr>
                <w:sz w:val="15"/>
              </w:rPr>
              <w:t>Core</w:t>
            </w:r>
          </w:p>
        </w:tc>
        <w:tc>
          <w:tcPr>
            <w:tcW w:type="dxa" w:w="1944"/>
          </w:tcPr>
          <w:p>
            <w:r/>
            <w:r>
              <w:rPr>
                <w:sz w:val="15"/>
              </w:rPr>
              <w:t>Range 10,599.10–10,738.83</w:t>
            </w:r>
          </w:p>
        </w:tc>
      </w:tr>
      <w:tr>
        <w:tc>
          <w:tcPr>
            <w:tcW w:type="dxa" w:w="1656"/>
          </w:tcPr>
          <w:p>
            <w:r/>
            <w:r>
              <w:rPr>
                <w:sz w:val="15"/>
              </w:rPr>
              <w:t>Yahoo Finance (^FTSE)</w:t>
            </w:r>
          </w:p>
        </w:tc>
        <w:tc>
          <w:tcPr>
            <w:tcW w:type="dxa" w:w="1368"/>
          </w:tcPr>
          <w:p>
            <w:r/>
            <w:r>
              <w:rPr>
                <w:sz w:val="15"/>
              </w:rPr>
              <w:t>24 Jul close</w:t>
            </w:r>
          </w:p>
        </w:tc>
        <w:tc>
          <w:tcPr>
            <w:tcW w:type="dxa" w:w="1656"/>
          </w:tcPr>
          <w:p>
            <w:r/>
            <w:r>
              <w:rPr>
                <w:sz w:val="15"/>
              </w:rPr>
              <w:t>10,736.23 (+0.91%)</w:t>
            </w:r>
          </w:p>
        </w:tc>
        <w:tc>
          <w:tcPr>
            <w:tcW w:type="dxa" w:w="1440"/>
          </w:tcPr>
          <w:p>
            <w:r/>
            <w:r>
              <w:rPr>
                <w:sz w:val="15"/>
              </w:rPr>
              <w:t>10,736.23</w:t>
            </w:r>
          </w:p>
        </w:tc>
        <w:tc>
          <w:tcPr>
            <w:tcW w:type="dxa" w:w="1512"/>
          </w:tcPr>
          <w:p>
            <w:r/>
            <w:r>
              <w:rPr>
                <w:sz w:val="15"/>
              </w:rPr>
              <w:t>Cash index, London</w:t>
            </w:r>
          </w:p>
        </w:tc>
        <w:tc>
          <w:tcPr>
            <w:tcW w:type="dxa" w:w="1080"/>
          </w:tcPr>
          <w:p>
            <w:r/>
            <w:r>
              <w:rPr>
                <w:sz w:val="15"/>
              </w:rPr>
              <w:t>Core</w:t>
            </w:r>
          </w:p>
        </w:tc>
        <w:tc>
          <w:tcPr>
            <w:tcW w:type="dxa" w:w="1944"/>
          </w:tcPr>
          <w:p>
            <w:r/>
            <w:r>
              <w:rPr>
                <w:sz w:val="15"/>
              </w:rPr>
              <w:t>Exact match to Investing → corroborated</w:t>
            </w:r>
          </w:p>
        </w:tc>
      </w:tr>
      <w:tr>
        <w:tc>
          <w:tcPr>
            <w:tcW w:type="dxa" w:w="1656"/>
          </w:tcPr>
          <w:p>
            <w:r/>
            <w:r>
              <w:rPr>
                <w:sz w:val="15"/>
              </w:rPr>
              <w:t>BBN / market report</w:t>
            </w:r>
          </w:p>
        </w:tc>
        <w:tc>
          <w:tcPr>
            <w:tcW w:type="dxa" w:w="1368"/>
          </w:tcPr>
          <w:p>
            <w:r/>
            <w:r>
              <w:rPr>
                <w:sz w:val="15"/>
              </w:rPr>
              <w:t>23 Jul close</w:t>
            </w:r>
          </w:p>
        </w:tc>
        <w:tc>
          <w:tcPr>
            <w:tcW w:type="dxa" w:w="1656"/>
          </w:tcPr>
          <w:p>
            <w:r/>
            <w:r>
              <w:rPr>
                <w:sz w:val="15"/>
              </w:rPr>
              <w:t>10,639.17 (−0.73%)</w:t>
            </w:r>
          </w:p>
        </w:tc>
        <w:tc>
          <w:tcPr>
            <w:tcW w:type="dxa" w:w="1440"/>
          </w:tcPr>
          <w:p>
            <w:r/>
            <w:r>
              <w:rPr>
                <w:sz w:val="15"/>
              </w:rPr>
              <w:t>10,639.17</w:t>
            </w:r>
          </w:p>
        </w:tc>
        <w:tc>
          <w:tcPr>
            <w:tcW w:type="dxa" w:w="1512"/>
          </w:tcPr>
          <w:p>
            <w:r/>
            <w:r>
              <w:rPr>
                <w:sz w:val="15"/>
              </w:rPr>
              <w:t>Cash index, London</w:t>
            </w:r>
          </w:p>
        </w:tc>
        <w:tc>
          <w:tcPr>
            <w:tcW w:type="dxa" w:w="1080"/>
          </w:tcPr>
          <w:p>
            <w:r/>
            <w:r>
              <w:rPr>
                <w:sz w:val="15"/>
              </w:rPr>
              <w:t>Core</w:t>
            </w:r>
          </w:p>
        </w:tc>
        <w:tc>
          <w:tcPr>
            <w:tcW w:type="dxa" w:w="1944"/>
          </w:tcPr>
          <w:p>
            <w:r/>
            <w:r>
              <w:rPr>
                <w:sz w:val="15"/>
              </w:rPr>
              <w:t>Oil-shock session; corroborated vs Investing tail</w:t>
            </w:r>
          </w:p>
        </w:tc>
      </w:tr>
      <w:tr>
        <w:tc>
          <w:tcPr>
            <w:tcW w:type="dxa" w:w="1656"/>
          </w:tcPr>
          <w:p>
            <w:r/>
            <w:r>
              <w:rPr>
                <w:sz w:val="15"/>
              </w:rPr>
              <w:t>AJ Bell market data</w:t>
            </w:r>
          </w:p>
        </w:tc>
        <w:tc>
          <w:tcPr>
            <w:tcW w:type="dxa" w:w="1368"/>
          </w:tcPr>
          <w:p>
            <w:r/>
            <w:r>
              <w:rPr>
                <w:sz w:val="15"/>
              </w:rPr>
              <w:t>intraday ref</w:t>
            </w:r>
          </w:p>
        </w:tc>
        <w:tc>
          <w:tcPr>
            <w:tcW w:type="dxa" w:w="1656"/>
          </w:tcPr>
          <w:p>
            <w:r/>
            <w:r>
              <w:rPr>
                <w:sz w:val="15"/>
              </w:rPr>
              <w:t>prev close 10,736.23</w:t>
            </w:r>
          </w:p>
        </w:tc>
        <w:tc>
          <w:tcPr>
            <w:tcW w:type="dxa" w:w="1440"/>
          </w:tcPr>
          <w:p>
            <w:r/>
            <w:r>
              <w:rPr>
                <w:sz w:val="15"/>
              </w:rPr>
              <w:t>10,736.23</w:t>
            </w:r>
          </w:p>
        </w:tc>
        <w:tc>
          <w:tcPr>
            <w:tcW w:type="dxa" w:w="1512"/>
          </w:tcPr>
          <w:p>
            <w:r/>
            <w:r>
              <w:rPr>
                <w:sz w:val="15"/>
              </w:rPr>
              <w:t>Cash index, London</w:t>
            </w:r>
          </w:p>
        </w:tc>
        <w:tc>
          <w:tcPr>
            <w:tcW w:type="dxa" w:w="1080"/>
          </w:tcPr>
          <w:p>
            <w:r/>
            <w:r>
              <w:rPr>
                <w:sz w:val="15"/>
              </w:rPr>
              <w:t>Directional</w:t>
            </w:r>
          </w:p>
        </w:tc>
        <w:tc>
          <w:tcPr>
            <w:tcW w:type="dxa" w:w="1944"/>
          </w:tcPr>
          <w:p>
            <w:r/>
            <w:r>
              <w:rPr>
                <w:sz w:val="15"/>
              </w:rPr>
              <w:t>Confirms 24-Jul close as prior reference</w:t>
            </w:r>
          </w:p>
        </w:tc>
      </w:tr>
      <w:tr>
        <w:tc>
          <w:tcPr>
            <w:tcW w:type="dxa" w:w="1656"/>
            <w:shd w:val="clear" w:fill="f3e5f5"/>
          </w:tcPr>
          <w:p>
            <w:r/>
            <w:r>
              <w:rPr>
                <w:sz w:val="15"/>
              </w:rPr>
              <w:t>Trading Economics (CFD)</w:t>
            </w:r>
          </w:p>
        </w:tc>
        <w:tc>
          <w:tcPr>
            <w:tcW w:type="dxa" w:w="1368"/>
            <w:shd w:val="clear" w:fill="f3e5f5"/>
          </w:tcPr>
          <w:p>
            <w:r/>
            <w:r>
              <w:rPr>
                <w:sz w:val="15"/>
              </w:rPr>
              <w:t>24 Jul</w:t>
            </w:r>
          </w:p>
        </w:tc>
        <w:tc>
          <w:tcPr>
            <w:tcW w:type="dxa" w:w="1656"/>
            <w:shd w:val="clear" w:fill="f3e5f5"/>
          </w:tcPr>
          <w:p>
            <w:r/>
            <w:r>
              <w:rPr>
                <w:sz w:val="15"/>
              </w:rPr>
              <w:t>10,736.23 / news 10,738</w:t>
            </w:r>
          </w:p>
        </w:tc>
        <w:tc>
          <w:tcPr>
            <w:tcW w:type="dxa" w:w="1440"/>
            <w:shd w:val="clear" w:fill="f3e5f5"/>
          </w:tcPr>
          <w:p>
            <w:r/>
            <w:r>
              <w:rPr>
                <w:sz w:val="15"/>
              </w:rPr>
              <w:t>—</w:t>
            </w:r>
          </w:p>
        </w:tc>
        <w:tc>
          <w:tcPr>
            <w:tcW w:type="dxa" w:w="1512"/>
            <w:shd w:val="clear" w:fill="f3e5f5"/>
          </w:tcPr>
          <w:p>
            <w:r/>
            <w:r>
              <w:rPr>
                <w:sz w:val="15"/>
              </w:rPr>
              <w:t>CFD derivative</w:t>
            </w:r>
          </w:p>
        </w:tc>
        <w:tc>
          <w:tcPr>
            <w:tcW w:type="dxa" w:w="1080"/>
            <w:shd w:val="clear" w:fill="f3e5f5"/>
          </w:tcPr>
          <w:p>
            <w:r/>
            <w:r>
              <w:rPr>
                <w:sz w:val="15"/>
              </w:rPr>
              <w:t>Excluded</w:t>
            </w:r>
          </w:p>
        </w:tc>
        <w:tc>
          <w:tcPr>
            <w:tcW w:type="dxa" w:w="1944"/>
            <w:shd w:val="clear" w:fill="f3e5f5"/>
          </w:tcPr>
          <w:p>
            <w:r/>
            <w:r>
              <w:rPr>
                <w:sz w:val="15"/>
              </w:rPr>
              <w:t>CFD feed; retained for direction only, not level</w:t>
            </w:r>
          </w:p>
        </w:tc>
      </w:tr>
      <w:tr>
        <w:tc>
          <w:tcPr>
            <w:tcW w:type="dxa" w:w="1656"/>
            <w:shd w:val="clear" w:fill="f3e5f5"/>
          </w:tcPr>
          <w:p>
            <w:r/>
            <w:r>
              <w:rPr>
                <w:sz w:val="15"/>
              </w:rPr>
              <w:t>News aggregators (28 Jul)</w:t>
            </w:r>
          </w:p>
        </w:tc>
        <w:tc>
          <w:tcPr>
            <w:tcW w:type="dxa" w:w="1368"/>
            <w:shd w:val="clear" w:fill="f3e5f5"/>
          </w:tcPr>
          <w:p>
            <w:r/>
            <w:r>
              <w:rPr>
                <w:sz w:val="15"/>
              </w:rPr>
              <w:t>28 Jul intraday</w:t>
            </w:r>
          </w:p>
        </w:tc>
        <w:tc>
          <w:tcPr>
            <w:tcW w:type="dxa" w:w="1656"/>
            <w:shd w:val="clear" w:fill="f3e5f5"/>
          </w:tcPr>
          <w:p>
            <w:r/>
            <w:r>
              <w:rPr>
                <w:sz w:val="15"/>
              </w:rPr>
              <w:t>10,791 / 10,801 / 10,876</w:t>
            </w:r>
          </w:p>
        </w:tc>
        <w:tc>
          <w:tcPr>
            <w:tcW w:type="dxa" w:w="1440"/>
            <w:shd w:val="clear" w:fill="f3e5f5"/>
          </w:tcPr>
          <w:p>
            <w:r/>
            <w:r>
              <w:rPr>
                <w:sz w:val="15"/>
              </w:rPr>
              <w:t>—</w:t>
            </w:r>
          </w:p>
        </w:tc>
        <w:tc>
          <w:tcPr>
            <w:tcW w:type="dxa" w:w="1512"/>
            <w:shd w:val="clear" w:fill="f3e5f5"/>
          </w:tcPr>
          <w:p>
            <w:r/>
            <w:r>
              <w:rPr>
                <w:sz w:val="15"/>
              </w:rPr>
              <w:t>Mixed feeds</w:t>
            </w:r>
          </w:p>
        </w:tc>
        <w:tc>
          <w:tcPr>
            <w:tcW w:type="dxa" w:w="1080"/>
            <w:shd w:val="clear" w:fill="f3e5f5"/>
          </w:tcPr>
          <w:p>
            <w:r/>
            <w:r>
              <w:rPr>
                <w:sz w:val="15"/>
              </w:rPr>
              <w:t>Excluded</w:t>
            </w:r>
          </w:p>
        </w:tc>
        <w:tc>
          <w:tcPr>
            <w:tcW w:type="dxa" w:w="1944"/>
            <w:shd w:val="clear" w:fill="f3e5f5"/>
          </w:tcPr>
          <w:p>
            <w:r/>
            <w:r>
              <w:rPr>
                <w:sz w:val="15"/>
              </w:rPr>
              <w:t>Intraday &amp; conflicting; not used for the corroborated level</w:t>
            </w:r>
          </w:p>
        </w:tc>
      </w:tr>
    </w:tbl>
    <w:p>
      <w:pPr>
        <w:pStyle w:val="Heading1"/>
      </w:pPr>
      <w:r>
        <w:rPr>
          <w:rFonts w:ascii="Calibri" w:hAnsi="Calibri"/>
          <w:color w:val="1A2B50"/>
          <w:sz w:val="28"/>
        </w:rPr>
        <w:t>5 · Consensus Build Explanation</w:t>
      </w:r>
    </w:p>
    <w:p>
      <w:r>
        <w:rPr>
          <w:b w:val="0"/>
          <w:i w:val="0"/>
          <w:sz w:val="21"/>
        </w:rPr>
        <w:t>Observations were normalised to index points in GBP on a cash-index basis. The weighted-median method was applied, weighting by recency, source credibility, and directness to the cash basis. The two providers that agree to the exact 24-July close (Investing.com and Yahoo) form the corroborated pair and receive full weight. Contract-for-difference and retail-derivative quotes were excluded per the restriction against CFD spreads: their divergence from the cash index (hundreds of points on the headline, and materially different dollar-index, gold and crude values) is the classic signature of a different underlying series, and blending them would corrupt the level. Intraday 28-July aggregator quotes were excluded as un-reconciled. The most defensible number is therefore the last two-source-corroborated cash close, carried forward as the 29-July reference, with a tight indicative band around it.</w:t>
      </w:r>
    </w:p>
    <w:p>
      <w:pPr>
        <w:pStyle w:val="Heading1"/>
      </w:pPr>
      <w:r>
        <w:rPr>
          <w:rFonts w:ascii="Calibri" w:hAnsi="Calibri"/>
          <w:color w:val="1B5E20"/>
          <w:sz w:val="28"/>
        </w:rPr>
        <w:t>6 · Validated OHLC + RSI2 Table (5-Day)</w:t>
      </w:r>
      <w:r>
        <w:rPr>
          <w:i/>
          <w:color w:val="1B5E20"/>
          <w:sz w:val="16"/>
        </w:rPr>
        <w:t xml:space="preserve">   [technical]</w:t>
      </w:r>
    </w:p>
    <w:p>
      <w:r>
        <w:rPr>
          <w:b w:val="0"/>
          <w:i/>
          <w:color w:val="555555"/>
          <w:sz w:val="18"/>
        </w:rPr>
        <w:t>FTSE 100 — five validated cash sessions to 24 July 2026. Close is the corroborated value; intraday High/Low for 21–22 July are single-source and marked indicative.</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224"/>
            <w:shd w:val="clear" w:fill="1a2b50"/>
          </w:tcPr>
          <w:p>
            <w:r/>
            <w:r>
              <w:rPr>
                <w:b/>
                <w:color w:val="FFFFFF"/>
                <w:sz w:val="15"/>
              </w:rPr>
              <w:t>Date</w:t>
            </w:r>
          </w:p>
        </w:tc>
        <w:tc>
          <w:tcPr>
            <w:tcW w:type="dxa" w:w="1037"/>
            <w:shd w:val="clear" w:fill="1a2b50"/>
          </w:tcPr>
          <w:p>
            <w:r/>
            <w:r>
              <w:rPr>
                <w:b/>
                <w:color w:val="FFFFFF"/>
                <w:sz w:val="15"/>
              </w:rPr>
              <w:t>Open</w:t>
            </w:r>
          </w:p>
        </w:tc>
        <w:tc>
          <w:tcPr>
            <w:tcW w:type="dxa" w:w="1037"/>
            <w:shd w:val="clear" w:fill="1a2b50"/>
          </w:tcPr>
          <w:p>
            <w:r/>
            <w:r>
              <w:rPr>
                <w:b/>
                <w:color w:val="FFFFFF"/>
                <w:sz w:val="15"/>
              </w:rPr>
              <w:t>High</w:t>
            </w:r>
          </w:p>
        </w:tc>
        <w:tc>
          <w:tcPr>
            <w:tcW w:type="dxa" w:w="1037"/>
            <w:shd w:val="clear" w:fill="1a2b50"/>
          </w:tcPr>
          <w:p>
            <w:r/>
            <w:r>
              <w:rPr>
                <w:b/>
                <w:color w:val="FFFFFF"/>
                <w:sz w:val="15"/>
              </w:rPr>
              <w:t>Low</w:t>
            </w:r>
          </w:p>
        </w:tc>
        <w:tc>
          <w:tcPr>
            <w:tcW w:type="dxa" w:w="1037"/>
            <w:shd w:val="clear" w:fill="1a2b50"/>
          </w:tcPr>
          <w:p>
            <w:r/>
            <w:r>
              <w:rPr>
                <w:b/>
                <w:color w:val="FFFFFF"/>
                <w:sz w:val="15"/>
              </w:rPr>
              <w:t>Close</w:t>
            </w:r>
          </w:p>
        </w:tc>
        <w:tc>
          <w:tcPr>
            <w:tcW w:type="dxa" w:w="720"/>
            <w:shd w:val="clear" w:fill="1a2b50"/>
          </w:tcPr>
          <w:p>
            <w:r/>
            <w:r>
              <w:rPr>
                <w:b/>
                <w:color w:val="FFFFFF"/>
                <w:sz w:val="15"/>
              </w:rPr>
              <w:t>RSI2</w:t>
            </w:r>
          </w:p>
        </w:tc>
        <w:tc>
          <w:tcPr>
            <w:tcW w:type="dxa" w:w="864"/>
            <w:shd w:val="clear" w:fill="1a2b50"/>
          </w:tcPr>
          <w:p>
            <w:r/>
            <w:r>
              <w:rPr>
                <w:b/>
                <w:color w:val="FFFFFF"/>
                <w:sz w:val="15"/>
              </w:rPr>
              <w:t>Trend</w:t>
            </w:r>
          </w:p>
        </w:tc>
        <w:tc>
          <w:tcPr>
            <w:tcW w:type="dxa" w:w="893"/>
            <w:shd w:val="clear" w:fill="1a2b50"/>
          </w:tcPr>
          <w:p>
            <w:r/>
            <w:r>
              <w:rPr>
                <w:b/>
                <w:color w:val="FFFFFF"/>
                <w:sz w:val="15"/>
              </w:rPr>
              <w:t>Src A</w:t>
            </w:r>
          </w:p>
        </w:tc>
        <w:tc>
          <w:tcPr>
            <w:tcW w:type="dxa" w:w="792"/>
            <w:shd w:val="clear" w:fill="1a2b50"/>
          </w:tcPr>
          <w:p>
            <w:r/>
            <w:r>
              <w:rPr>
                <w:b/>
                <w:color w:val="FFFFFF"/>
                <w:sz w:val="15"/>
              </w:rPr>
              <w:t>Src B</w:t>
            </w:r>
          </w:p>
        </w:tc>
        <w:tc>
          <w:tcPr>
            <w:tcW w:type="dxa" w:w="1944"/>
            <w:shd w:val="clear" w:fill="1a2b50"/>
          </w:tcPr>
          <w:p>
            <w:r/>
            <w:r>
              <w:rPr>
                <w:b/>
                <w:color w:val="FFFFFF"/>
                <w:sz w:val="15"/>
              </w:rPr>
              <w:t>Validation</w:t>
            </w:r>
          </w:p>
        </w:tc>
      </w:tr>
      <w:tr>
        <w:tc>
          <w:tcPr>
            <w:tcW w:type="dxa" w:w="1224"/>
          </w:tcPr>
          <w:p>
            <w:r/>
            <w:r>
              <w:rPr>
                <w:sz w:val="15"/>
              </w:rPr>
              <w:t>Mon 20 Jul</w:t>
            </w:r>
          </w:p>
        </w:tc>
        <w:tc>
          <w:tcPr>
            <w:tcW w:type="dxa" w:w="1037"/>
          </w:tcPr>
          <w:p>
            <w:r/>
            <w:r>
              <w:rPr>
                <w:sz w:val="15"/>
              </w:rPr>
              <w:t>10,600.27</w:t>
            </w:r>
          </w:p>
        </w:tc>
        <w:tc>
          <w:tcPr>
            <w:tcW w:type="dxa" w:w="1037"/>
          </w:tcPr>
          <w:p>
            <w:r/>
            <w:r>
              <w:rPr>
                <w:sz w:val="15"/>
              </w:rPr>
              <w:t>10,600.27</w:t>
            </w:r>
          </w:p>
        </w:tc>
        <w:tc>
          <w:tcPr>
            <w:tcW w:type="dxa" w:w="1037"/>
          </w:tcPr>
          <w:p>
            <w:r/>
            <w:r>
              <w:rPr>
                <w:sz w:val="15"/>
              </w:rPr>
              <w:t>10,523.89</w:t>
            </w:r>
          </w:p>
        </w:tc>
        <w:tc>
          <w:tcPr>
            <w:tcW w:type="dxa" w:w="1037"/>
          </w:tcPr>
          <w:p>
            <w:r/>
            <w:r>
              <w:rPr>
                <w:sz w:val="15"/>
              </w:rPr>
              <w:t>10,544.60</w:t>
            </w:r>
          </w:p>
        </w:tc>
        <w:tc>
          <w:tcPr>
            <w:tcW w:type="dxa" w:w="720"/>
          </w:tcPr>
          <w:p>
            <w:r/>
            <w:r>
              <w:rPr>
                <w:sz w:val="15"/>
              </w:rPr>
              <w:t>20.5</w:t>
            </w:r>
          </w:p>
        </w:tc>
        <w:tc>
          <w:tcPr>
            <w:tcW w:type="dxa" w:w="864"/>
          </w:tcPr>
          <w:p>
            <w:r/>
            <w:r>
              <w:rPr>
                <w:sz w:val="15"/>
              </w:rPr>
              <w:t>Bearish</w:t>
            </w:r>
          </w:p>
        </w:tc>
        <w:tc>
          <w:tcPr>
            <w:tcW w:type="dxa" w:w="893"/>
          </w:tcPr>
          <w:p>
            <w:r/>
            <w:r>
              <w:rPr>
                <w:sz w:val="15"/>
              </w:rPr>
              <w:t>Investing</w:t>
            </w:r>
          </w:p>
        </w:tc>
        <w:tc>
          <w:tcPr>
            <w:tcW w:type="dxa" w:w="792"/>
          </w:tcPr>
          <w:p>
            <w:r/>
            <w:r>
              <w:rPr>
                <w:sz w:val="15"/>
              </w:rPr>
              <w:t>Yahoo</w:t>
            </w:r>
          </w:p>
        </w:tc>
        <w:tc>
          <w:tcPr>
            <w:tcW w:type="dxa" w:w="1944"/>
          </w:tcPr>
          <w:p>
            <w:r/>
            <w:r>
              <w:rPr>
                <w:sz w:val="15"/>
              </w:rPr>
              <w:t>CORROBORATED (Δ0.00 close)</w:t>
            </w:r>
          </w:p>
        </w:tc>
      </w:tr>
      <w:tr>
        <w:tc>
          <w:tcPr>
            <w:tcW w:type="dxa" w:w="1224"/>
          </w:tcPr>
          <w:p>
            <w:r/>
            <w:r>
              <w:rPr>
                <w:sz w:val="15"/>
              </w:rPr>
              <w:t>Tue 21 Jul</w:t>
            </w:r>
          </w:p>
        </w:tc>
        <w:tc>
          <w:tcPr>
            <w:tcW w:type="dxa" w:w="1037"/>
          </w:tcPr>
          <w:p>
            <w:r/>
            <w:r>
              <w:rPr>
                <w:sz w:val="15"/>
              </w:rPr>
              <w:t>10,544.60</w:t>
            </w:r>
          </w:p>
        </w:tc>
        <w:tc>
          <w:tcPr>
            <w:tcW w:type="dxa" w:w="1037"/>
          </w:tcPr>
          <w:p>
            <w:r/>
            <w:r>
              <w:rPr>
                <w:sz w:val="15"/>
              </w:rPr>
              <w:t>10,612.40*</w:t>
            </w:r>
          </w:p>
        </w:tc>
        <w:tc>
          <w:tcPr>
            <w:tcW w:type="dxa" w:w="1037"/>
          </w:tcPr>
          <w:p>
            <w:r/>
            <w:r>
              <w:rPr>
                <w:sz w:val="15"/>
              </w:rPr>
              <w:t>10,510.20*</w:t>
            </w:r>
          </w:p>
        </w:tc>
        <w:tc>
          <w:tcPr>
            <w:tcW w:type="dxa" w:w="1037"/>
          </w:tcPr>
          <w:p>
            <w:r/>
            <w:r>
              <w:rPr>
                <w:sz w:val="15"/>
              </w:rPr>
              <w:t>10,585.30</w:t>
            </w:r>
          </w:p>
        </w:tc>
        <w:tc>
          <w:tcPr>
            <w:tcW w:type="dxa" w:w="720"/>
          </w:tcPr>
          <w:p>
            <w:r/>
            <w:r>
              <w:rPr>
                <w:sz w:val="15"/>
              </w:rPr>
              <w:t>42.2</w:t>
            </w:r>
          </w:p>
        </w:tc>
        <w:tc>
          <w:tcPr>
            <w:tcW w:type="dxa" w:w="864"/>
          </w:tcPr>
          <w:p>
            <w:r/>
            <w:r>
              <w:rPr>
                <w:sz w:val="15"/>
              </w:rPr>
              <w:t>Neutral</w:t>
            </w:r>
          </w:p>
        </w:tc>
        <w:tc>
          <w:tcPr>
            <w:tcW w:type="dxa" w:w="893"/>
          </w:tcPr>
          <w:p>
            <w:r/>
            <w:r>
              <w:rPr>
                <w:sz w:val="15"/>
              </w:rPr>
              <w:t>Investing</w:t>
            </w:r>
          </w:p>
        </w:tc>
        <w:tc>
          <w:tcPr>
            <w:tcW w:type="dxa" w:w="792"/>
          </w:tcPr>
          <w:p>
            <w:r/>
            <w:r>
              <w:rPr>
                <w:sz w:val="15"/>
              </w:rPr>
              <w:t>—</w:t>
            </w:r>
          </w:p>
        </w:tc>
        <w:tc>
          <w:tcPr>
            <w:tcW w:type="dxa" w:w="1944"/>
          </w:tcPr>
          <w:p>
            <w:r/>
            <w:r>
              <w:rPr>
                <w:sz w:val="15"/>
              </w:rPr>
              <w:t>SINGLE-SOURCE (H/L indicative)</w:t>
            </w:r>
          </w:p>
        </w:tc>
      </w:tr>
      <w:tr>
        <w:tc>
          <w:tcPr>
            <w:tcW w:type="dxa" w:w="1224"/>
          </w:tcPr>
          <w:p>
            <w:r/>
            <w:r>
              <w:rPr>
                <w:sz w:val="15"/>
              </w:rPr>
              <w:t>Wed 22 Jul</w:t>
            </w:r>
          </w:p>
        </w:tc>
        <w:tc>
          <w:tcPr>
            <w:tcW w:type="dxa" w:w="1037"/>
          </w:tcPr>
          <w:p>
            <w:r/>
            <w:r>
              <w:rPr>
                <w:sz w:val="15"/>
              </w:rPr>
              <w:t>10,585.30</w:t>
            </w:r>
          </w:p>
        </w:tc>
        <w:tc>
          <w:tcPr>
            <w:tcW w:type="dxa" w:w="1037"/>
          </w:tcPr>
          <w:p>
            <w:r/>
            <w:r>
              <w:rPr>
                <w:sz w:val="15"/>
              </w:rPr>
              <w:t>10,730.10*</w:t>
            </w:r>
          </w:p>
        </w:tc>
        <w:tc>
          <w:tcPr>
            <w:tcW w:type="dxa" w:w="1037"/>
          </w:tcPr>
          <w:p>
            <w:r/>
            <w:r>
              <w:rPr>
                <w:sz w:val="15"/>
              </w:rPr>
              <w:t>10,580.00*</w:t>
            </w:r>
          </w:p>
        </w:tc>
        <w:tc>
          <w:tcPr>
            <w:tcW w:type="dxa" w:w="1037"/>
          </w:tcPr>
          <w:p>
            <w:r/>
            <w:r>
              <w:rPr>
                <w:sz w:val="15"/>
              </w:rPr>
              <w:t>10,716.97</w:t>
            </w:r>
          </w:p>
        </w:tc>
        <w:tc>
          <w:tcPr>
            <w:tcW w:type="dxa" w:w="720"/>
          </w:tcPr>
          <w:p>
            <w:r/>
            <w:r>
              <w:rPr>
                <w:sz w:val="15"/>
              </w:rPr>
              <w:t>100.0</w:t>
            </w:r>
          </w:p>
        </w:tc>
        <w:tc>
          <w:tcPr>
            <w:tcW w:type="dxa" w:w="864"/>
          </w:tcPr>
          <w:p>
            <w:r/>
            <w:r>
              <w:rPr>
                <w:sz w:val="15"/>
              </w:rPr>
              <w:t>Bullish</w:t>
            </w:r>
          </w:p>
        </w:tc>
        <w:tc>
          <w:tcPr>
            <w:tcW w:type="dxa" w:w="893"/>
          </w:tcPr>
          <w:p>
            <w:r/>
            <w:r>
              <w:rPr>
                <w:sz w:val="15"/>
              </w:rPr>
              <w:t>Investing</w:t>
            </w:r>
          </w:p>
        </w:tc>
        <w:tc>
          <w:tcPr>
            <w:tcW w:type="dxa" w:w="792"/>
          </w:tcPr>
          <w:p>
            <w:r/>
            <w:r>
              <w:rPr>
                <w:sz w:val="15"/>
              </w:rPr>
              <w:t>—</w:t>
            </w:r>
          </w:p>
        </w:tc>
        <w:tc>
          <w:tcPr>
            <w:tcW w:type="dxa" w:w="1944"/>
          </w:tcPr>
          <w:p>
            <w:r/>
            <w:r>
              <w:rPr>
                <w:sz w:val="15"/>
              </w:rPr>
              <w:t>SINGLE-SOURCE (H/L indicative)</w:t>
            </w:r>
          </w:p>
        </w:tc>
      </w:tr>
      <w:tr>
        <w:tc>
          <w:tcPr>
            <w:tcW w:type="dxa" w:w="1224"/>
          </w:tcPr>
          <w:p>
            <w:r/>
            <w:r>
              <w:rPr>
                <w:sz w:val="15"/>
              </w:rPr>
              <w:t>Thu 23 Jul</w:t>
            </w:r>
          </w:p>
        </w:tc>
        <w:tc>
          <w:tcPr>
            <w:tcW w:type="dxa" w:w="1037"/>
          </w:tcPr>
          <w:p>
            <w:r/>
            <w:r>
              <w:rPr>
                <w:sz w:val="15"/>
              </w:rPr>
              <w:t>10,716.97</w:t>
            </w:r>
          </w:p>
        </w:tc>
        <w:tc>
          <w:tcPr>
            <w:tcW w:type="dxa" w:w="1037"/>
          </w:tcPr>
          <w:p>
            <w:r/>
            <w:r>
              <w:rPr>
                <w:sz w:val="15"/>
              </w:rPr>
              <w:t>10,740.50</w:t>
            </w:r>
          </w:p>
        </w:tc>
        <w:tc>
          <w:tcPr>
            <w:tcW w:type="dxa" w:w="1037"/>
          </w:tcPr>
          <w:p>
            <w:r/>
            <w:r>
              <w:rPr>
                <w:sz w:val="15"/>
              </w:rPr>
              <w:t>10,611.30</w:t>
            </w:r>
          </w:p>
        </w:tc>
        <w:tc>
          <w:tcPr>
            <w:tcW w:type="dxa" w:w="1037"/>
          </w:tcPr>
          <w:p>
            <w:r/>
            <w:r>
              <w:rPr>
                <w:sz w:val="15"/>
              </w:rPr>
              <w:t>10,639.17</w:t>
            </w:r>
          </w:p>
        </w:tc>
        <w:tc>
          <w:tcPr>
            <w:tcW w:type="dxa" w:w="720"/>
          </w:tcPr>
          <w:p>
            <w:r/>
            <w:r>
              <w:rPr>
                <w:sz w:val="15"/>
              </w:rPr>
              <w:t>62.9</w:t>
            </w:r>
          </w:p>
        </w:tc>
        <w:tc>
          <w:tcPr>
            <w:tcW w:type="dxa" w:w="864"/>
          </w:tcPr>
          <w:p>
            <w:r/>
            <w:r>
              <w:rPr>
                <w:sz w:val="15"/>
              </w:rPr>
              <w:t>Neutral</w:t>
            </w:r>
          </w:p>
        </w:tc>
        <w:tc>
          <w:tcPr>
            <w:tcW w:type="dxa" w:w="893"/>
          </w:tcPr>
          <w:p>
            <w:r/>
            <w:r>
              <w:rPr>
                <w:sz w:val="15"/>
              </w:rPr>
              <w:t>Investing</w:t>
            </w:r>
          </w:p>
        </w:tc>
        <w:tc>
          <w:tcPr>
            <w:tcW w:type="dxa" w:w="792"/>
          </w:tcPr>
          <w:p>
            <w:r/>
            <w:r>
              <w:rPr>
                <w:sz w:val="15"/>
              </w:rPr>
              <w:t>BBN</w:t>
            </w:r>
          </w:p>
        </w:tc>
        <w:tc>
          <w:tcPr>
            <w:tcW w:type="dxa" w:w="1944"/>
          </w:tcPr>
          <w:p>
            <w:r/>
            <w:r>
              <w:rPr>
                <w:sz w:val="15"/>
              </w:rPr>
              <w:t>CORROBORATED (Δ0.00 close)</w:t>
            </w:r>
          </w:p>
        </w:tc>
      </w:tr>
      <w:tr>
        <w:tc>
          <w:tcPr>
            <w:tcW w:type="dxa" w:w="1224"/>
          </w:tcPr>
          <w:p>
            <w:r/>
            <w:r>
              <w:rPr>
                <w:sz w:val="15"/>
              </w:rPr>
              <w:t>Fri 24 Jul</w:t>
            </w:r>
          </w:p>
        </w:tc>
        <w:tc>
          <w:tcPr>
            <w:tcW w:type="dxa" w:w="1037"/>
          </w:tcPr>
          <w:p>
            <w:r/>
            <w:r>
              <w:rPr>
                <w:sz w:val="15"/>
              </w:rPr>
              <w:t>10,638.86</w:t>
            </w:r>
          </w:p>
        </w:tc>
        <w:tc>
          <w:tcPr>
            <w:tcW w:type="dxa" w:w="1037"/>
          </w:tcPr>
          <w:p>
            <w:r/>
            <w:r>
              <w:rPr>
                <w:sz w:val="15"/>
              </w:rPr>
              <w:t>10,738.83</w:t>
            </w:r>
          </w:p>
        </w:tc>
        <w:tc>
          <w:tcPr>
            <w:tcW w:type="dxa" w:w="1037"/>
          </w:tcPr>
          <w:p>
            <w:r/>
            <w:r>
              <w:rPr>
                <w:sz w:val="15"/>
              </w:rPr>
              <w:t>10,599.10</w:t>
            </w:r>
          </w:p>
        </w:tc>
        <w:tc>
          <w:tcPr>
            <w:tcW w:type="dxa" w:w="1037"/>
          </w:tcPr>
          <w:p>
            <w:r/>
            <w:r>
              <w:rPr>
                <w:sz w:val="15"/>
              </w:rPr>
              <w:t>10,736.23</w:t>
            </w:r>
          </w:p>
        </w:tc>
        <w:tc>
          <w:tcPr>
            <w:tcW w:type="dxa" w:w="720"/>
          </w:tcPr>
          <w:p>
            <w:r/>
            <w:r>
              <w:rPr>
                <w:sz w:val="15"/>
              </w:rPr>
              <w:t>55.5</w:t>
            </w:r>
          </w:p>
        </w:tc>
        <w:tc>
          <w:tcPr>
            <w:tcW w:type="dxa" w:w="864"/>
          </w:tcPr>
          <w:p>
            <w:r/>
            <w:r>
              <w:rPr>
                <w:sz w:val="15"/>
              </w:rPr>
              <w:t>Bullish</w:t>
            </w:r>
          </w:p>
        </w:tc>
        <w:tc>
          <w:tcPr>
            <w:tcW w:type="dxa" w:w="893"/>
          </w:tcPr>
          <w:p>
            <w:r/>
            <w:r>
              <w:rPr>
                <w:sz w:val="15"/>
              </w:rPr>
              <w:t>Investing</w:t>
            </w:r>
          </w:p>
        </w:tc>
        <w:tc>
          <w:tcPr>
            <w:tcW w:type="dxa" w:w="792"/>
          </w:tcPr>
          <w:p>
            <w:r/>
            <w:r>
              <w:rPr>
                <w:sz w:val="15"/>
              </w:rPr>
              <w:t>Yahoo</w:t>
            </w:r>
          </w:p>
        </w:tc>
        <w:tc>
          <w:tcPr>
            <w:tcW w:type="dxa" w:w="1944"/>
          </w:tcPr>
          <w:p>
            <w:r/>
            <w:r>
              <w:rPr>
                <w:sz w:val="15"/>
              </w:rPr>
              <w:t>CORROBORATED (Δ0.00 close)</w:t>
            </w:r>
          </w:p>
        </w:tc>
      </w:tr>
    </w:tbl>
    <w:p>
      <w:r>
        <w:rPr>
          <w:b w:val="0"/>
          <w:i/>
          <w:color w:val="880E4F"/>
          <w:sz w:val="16"/>
        </w:rPr>
        <w:t>*  Intraday High/Low marked with an asterisk are single-source and used for chart visualisation and directional context only — not for pivot prior-period inputs or stop pricing.</w:t>
      </w:r>
    </w:p>
    <w:p/>
    <w:p>
      <w:pPr>
        <w:pStyle w:val="Heading2"/>
      </w:pPr>
      <w:r>
        <w:rPr>
          <w:rFonts w:ascii="Calibri" w:hAnsi="Calibri"/>
          <w:color w:val="1A2B50"/>
          <w:sz w:val="23"/>
        </w:rPr>
        <w:t>EURO STOXX 50 — reference OHLC (condensed)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fill="1a2b50"/>
          </w:tcPr>
          <w:p>
            <w:r/>
            <w:r>
              <w:rPr>
                <w:b/>
                <w:color w:val="FFFFFF"/>
                <w:sz w:val="16"/>
              </w:rPr>
              <w:t>Date</w:t>
            </w:r>
          </w:p>
        </w:tc>
        <w:tc>
          <w:tcPr>
            <w:tcW w:type="dxa" w:w="2160"/>
            <w:shd w:val="clear" w:fill="1a2b50"/>
          </w:tcPr>
          <w:p>
            <w:r/>
            <w:r>
              <w:rPr>
                <w:b/>
                <w:color w:val="FFFFFF"/>
                <w:sz w:val="16"/>
              </w:rPr>
              <w:t>Close (EUR)</w:t>
            </w:r>
          </w:p>
        </w:tc>
        <w:tc>
          <w:tcPr>
            <w:tcW w:type="dxa" w:w="1296"/>
            <w:shd w:val="clear" w:fill="1a2b50"/>
          </w:tcPr>
          <w:p>
            <w:r/>
            <w:r>
              <w:rPr>
                <w:b/>
                <w:color w:val="FFFFFF"/>
                <w:sz w:val="16"/>
              </w:rPr>
              <w:t>Chg</w:t>
            </w:r>
          </w:p>
        </w:tc>
        <w:tc>
          <w:tcPr>
            <w:tcW w:type="dxa" w:w="3168"/>
            <w:shd w:val="clear" w:fill="1a2b50"/>
          </w:tcPr>
          <w:p>
            <w:r/>
            <w:r>
              <w:rPr>
                <w:b/>
                <w:color w:val="FFFFFF"/>
                <w:sz w:val="16"/>
              </w:rPr>
              <w:t>Validation</w:t>
            </w:r>
          </w:p>
        </w:tc>
      </w:tr>
      <w:tr>
        <w:tc>
          <w:tcPr>
            <w:tcW w:type="dxa" w:w="1872"/>
          </w:tcPr>
          <w:p>
            <w:r/>
            <w:r>
              <w:rPr>
                <w:sz w:val="16"/>
              </w:rPr>
              <w:t>24 Jul</w:t>
            </w:r>
          </w:p>
        </w:tc>
        <w:tc>
          <w:tcPr>
            <w:tcW w:type="dxa" w:w="2160"/>
          </w:tcPr>
          <w:p>
            <w:r/>
            <w:r>
              <w:rPr>
                <w:sz w:val="16"/>
              </w:rPr>
              <w:t>6,280.94</w:t>
            </w:r>
          </w:p>
        </w:tc>
        <w:tc>
          <w:tcPr>
            <w:tcW w:type="dxa" w:w="1296"/>
          </w:tcPr>
          <w:p>
            <w:r/>
            <w:r>
              <w:rPr>
                <w:sz w:val="16"/>
              </w:rPr>
              <w:t>+1.14%</w:t>
            </w:r>
          </w:p>
        </w:tc>
        <w:tc>
          <w:tcPr>
            <w:tcW w:type="dxa" w:w="3168"/>
          </w:tcPr>
          <w:p>
            <w:r/>
            <w:r>
              <w:rPr>
                <w:sz w:val="16"/>
              </w:rPr>
              <w:t>CORROBORATED (Investing × Yahoo)</w:t>
            </w:r>
          </w:p>
        </w:tc>
      </w:tr>
      <w:tr>
        <w:tc>
          <w:tcPr>
            <w:tcW w:type="dxa" w:w="1872"/>
          </w:tcPr>
          <w:p>
            <w:r/>
            <w:r>
              <w:rPr>
                <w:sz w:val="16"/>
              </w:rPr>
              <w:t>23 Jul</w:t>
            </w:r>
          </w:p>
        </w:tc>
        <w:tc>
          <w:tcPr>
            <w:tcW w:type="dxa" w:w="2160"/>
          </w:tcPr>
          <w:p>
            <w:r/>
            <w:r>
              <w:rPr>
                <w:sz w:val="16"/>
              </w:rPr>
              <w:t>6,210.17 (prev close)</w:t>
            </w:r>
          </w:p>
        </w:tc>
        <w:tc>
          <w:tcPr>
            <w:tcW w:type="dxa" w:w="1296"/>
          </w:tcPr>
          <w:p>
            <w:r/>
            <w:r>
              <w:rPr>
                <w:sz w:val="16"/>
              </w:rPr>
              <w:t>—</w:t>
            </w:r>
          </w:p>
        </w:tc>
        <w:tc>
          <w:tcPr>
            <w:tcW w:type="dxa" w:w="3168"/>
          </w:tcPr>
          <w:p>
            <w:r/>
            <w:r>
              <w:rPr>
                <w:sz w:val="16"/>
              </w:rPr>
              <w:t>Single-source ref</w:t>
            </w:r>
          </w:p>
        </w:tc>
      </w:tr>
      <w:tr>
        <w:tc>
          <w:tcPr>
            <w:tcW w:type="dxa" w:w="1872"/>
          </w:tcPr>
          <w:p>
            <w:r/>
            <w:r>
              <w:rPr>
                <w:sz w:val="16"/>
              </w:rPr>
              <w:t>Day range 24 Jul</w:t>
            </w:r>
          </w:p>
        </w:tc>
        <w:tc>
          <w:tcPr>
            <w:tcW w:type="dxa" w:w="2160"/>
          </w:tcPr>
          <w:p>
            <w:r/>
            <w:r>
              <w:rPr>
                <w:sz w:val="16"/>
              </w:rPr>
              <w:t>6,205.85 – 6,280.94</w:t>
            </w:r>
          </w:p>
        </w:tc>
        <w:tc>
          <w:tcPr>
            <w:tcW w:type="dxa" w:w="1296"/>
          </w:tcPr>
          <w:p>
            <w:r/>
            <w:r>
              <w:rPr>
                <w:sz w:val="16"/>
              </w:rPr>
              <w:t>—</w:t>
            </w:r>
          </w:p>
        </w:tc>
        <w:tc>
          <w:tcPr>
            <w:tcW w:type="dxa" w:w="3168"/>
          </w:tcPr>
          <w:p>
            <w:r/>
            <w:r>
              <w:rPr>
                <w:sz w:val="16"/>
              </w:rPr>
              <w:t>Yahoo intraday</w:t>
            </w:r>
          </w:p>
        </w:tc>
      </w:tr>
    </w:tbl>
    <w:p>
      <w:pPr>
        <w:pStyle w:val="Heading1"/>
      </w:pPr>
      <w:r>
        <w:rPr>
          <w:rFonts w:ascii="Calibri" w:hAnsi="Calibri"/>
          <w:color w:val="1B5E20"/>
          <w:sz w:val="28"/>
        </w:rPr>
        <w:t>7 · Charts</w:t>
      </w:r>
      <w:r>
        <w:rPr>
          <w:i/>
          <w:color w:val="1B5E20"/>
          <w:sz w:val="16"/>
        </w:rPr>
        <w:t xml:space="preserve">   [technical]</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c1_candle.png"/>
                    <pic:cNvPicPr/>
                  </pic:nvPicPr>
                  <pic:blipFill>
                    <a:blip r:embed="rId9"/>
                    <a:stretch>
                      <a:fillRect/>
                    </a:stretch>
                  </pic:blipFill>
                  <pic:spPr>
                    <a:xfrm>
                      <a:off x="0" y="0"/>
                      <a:ext cx="5669280" cy="3023616"/>
                    </a:xfrm>
                    <a:prstGeom prst="rect"/>
                  </pic:spPr>
                </pic:pic>
              </a:graphicData>
            </a:graphic>
          </wp:inline>
        </w:drawing>
      </w:r>
    </w:p>
    <w:p>
      <w:pPr>
        <w:jc w:val="center"/>
      </w:pPr>
      <w:r>
        <w:rPr>
          <w:b w:val="0"/>
          <w:i/>
          <w:color w:val="555555"/>
          <w:sz w:val="16"/>
        </w:rPr>
        <w:t>Five validated cash sessions. Green = close ≥ open, red = close &lt; open.</w:t>
      </w:r>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c2_open0.png"/>
                    <pic:cNvPicPr/>
                  </pic:nvPicPr>
                  <pic:blipFill>
                    <a:blip r:embed="rId10"/>
                    <a:stretch>
                      <a:fillRect/>
                    </a:stretch>
                  </pic:blipFill>
                  <pic:spPr>
                    <a:xfrm>
                      <a:off x="0" y="0"/>
                      <a:ext cx="5669280" cy="3023616"/>
                    </a:xfrm>
                    <a:prstGeom prst="rect"/>
                  </pic:spPr>
                </pic:pic>
              </a:graphicData>
            </a:graphic>
          </wp:inline>
        </w:drawing>
      </w:r>
    </w:p>
    <w:p>
      <w:pPr>
        <w:jc w:val="center"/>
      </w:pPr>
      <w:r>
        <w:rPr>
          <w:b w:val="0"/>
          <w:i/>
          <w:color w:val="555555"/>
          <w:sz w:val="16"/>
        </w:rPr>
        <w:t>Directional travel normalised to each session open; note the 22 Jul thrust and 23 Jul oil-shock dip.</w:t>
      </w:r>
    </w:p>
    <w:p>
      <w:pPr>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c3_5week.png"/>
                    <pic:cNvPicPr/>
                  </pic:nvPicPr>
                  <pic:blipFill>
                    <a:blip r:embed="rId11"/>
                    <a:stretch>
                      <a:fillRect/>
                    </a:stretch>
                  </pic:blipFill>
                  <pic:spPr>
                    <a:xfrm>
                      <a:off x="0" y="0"/>
                      <a:ext cx="5669280" cy="3023616"/>
                    </a:xfrm>
                    <a:prstGeom prst="rect"/>
                  </pic:spPr>
                </pic:pic>
              </a:graphicData>
            </a:graphic>
          </wp:inline>
        </w:drawing>
      </w:r>
    </w:p>
    <w:p>
      <w:pPr>
        <w:jc w:val="center"/>
      </w:pPr>
      <w:r>
        <w:rPr>
          <w:b w:val="0"/>
          <w:i/>
          <w:color w:val="555555"/>
          <w:sz w:val="16"/>
        </w:rPr>
        <w:t>25-session structure; early bars are indicative context, the shaded block is the validated five-day window.</w:t>
      </w:r>
    </w:p>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c4_volator.png"/>
                    <pic:cNvPicPr/>
                  </pic:nvPicPr>
                  <pic:blipFill>
                    <a:blip r:embed="rId12"/>
                    <a:stretch>
                      <a:fillRect/>
                    </a:stretch>
                  </pic:blipFill>
                  <pic:spPr>
                    <a:xfrm>
                      <a:off x="0" y="0"/>
                      <a:ext cx="5669280" cy="3149600"/>
                    </a:xfrm>
                    <a:prstGeom prst="rect"/>
                  </pic:spPr>
                </pic:pic>
              </a:graphicData>
            </a:graphic>
          </wp:inline>
        </w:drawing>
      </w:r>
    </w:p>
    <w:p>
      <w:pPr>
        <w:jc w:val="center"/>
      </w:pPr>
      <w:r>
        <w:rPr>
          <w:b w:val="0"/>
          <w:i/>
          <w:color w:val="555555"/>
          <w:sz w:val="16"/>
        </w:rPr>
        <w:t>Comparative scaled volatility, primary vs counters (ATR / historical z-scale; indicative).</w:t>
      </w:r>
    </w:p>
    <w:p>
      <w:pPr>
        <w:jc w:val="center"/>
      </w:pPr>
      <w:r>
        <w:drawing>
          <wp:inline xmlns:a="http://schemas.openxmlformats.org/drawingml/2006/main" xmlns:pic="http://schemas.openxmlformats.org/drawingml/2006/picture">
            <wp:extent cx="5669280" cy="4094480"/>
            <wp:docPr id="5" name="Picture 5"/>
            <wp:cNvGraphicFramePr>
              <a:graphicFrameLocks noChangeAspect="1"/>
            </wp:cNvGraphicFramePr>
            <a:graphic>
              <a:graphicData uri="http://schemas.openxmlformats.org/drawingml/2006/picture">
                <pic:pic>
                  <pic:nvPicPr>
                    <pic:cNvPr id="0" name="c5_pivot.png"/>
                    <pic:cNvPicPr/>
                  </pic:nvPicPr>
                  <pic:blipFill>
                    <a:blip r:embed="rId13"/>
                    <a:stretch>
                      <a:fillRect/>
                    </a:stretch>
                  </pic:blipFill>
                  <pic:spPr>
                    <a:xfrm>
                      <a:off x="0" y="0"/>
                      <a:ext cx="5669280" cy="4094480"/>
                    </a:xfrm>
                    <a:prstGeom prst="rect"/>
                  </pic:spPr>
                </pic:pic>
              </a:graphicData>
            </a:graphic>
          </wp:inline>
        </w:drawing>
      </w:r>
    </w:p>
    <w:p>
      <w:pPr>
        <w:jc w:val="center"/>
      </w:pPr>
      <w:r>
        <w:rPr>
          <w:b w:val="0"/>
          <w:i/>
          <w:color w:val="555555"/>
          <w:sz w:val="16"/>
        </w:rPr>
        <w:t>Prior and current weekly candle against selected daily and weekly pivot levels (smart-scaled).</w:t>
      </w:r>
    </w:p>
    <w:p>
      <w:pPr>
        <w:pStyle w:val="Heading1"/>
      </w:pPr>
      <w:r>
        <w:rPr>
          <w:rFonts w:ascii="Calibri" w:hAnsi="Calibri"/>
          <w:color w:val="1B5E20"/>
          <w:sz w:val="28"/>
        </w:rPr>
        <w:t>8 · Short-Term Technical Analysis</w:t>
      </w:r>
      <w:r>
        <w:rPr>
          <w:i/>
          <w:color w:val="1B5E20"/>
          <w:sz w:val="16"/>
        </w:rPr>
        <w:t xml:space="preserve">   [technical]</w:t>
      </w:r>
    </w:p>
    <w:p>
      <w:pPr>
        <w:pStyle w:val="ListBullet"/>
      </w:pPr>
      <w:r>
        <w:rPr>
          <w:b/>
          <w:sz w:val="20"/>
        </w:rPr>
        <w:t xml:space="preserve">Mon 20 Jul: </w:t>
      </w:r>
      <w:r>
        <w:rPr>
          <w:sz w:val="20"/>
        </w:rPr>
        <w:t>candle opened at the session high and closed near the low on a bearish body, RSI2 depressed at 20.5 — a clean risk-off session as Middle East tension and a domestic political transition weighed (see §6, Mon 20 Jul).</w:t>
      </w:r>
    </w:p>
    <w:p>
      <w:pPr>
        <w:pStyle w:val="ListBullet"/>
      </w:pPr>
      <w:r>
        <w:rPr>
          <w:b/>
          <w:sz w:val="20"/>
        </w:rPr>
        <w:t xml:space="preserve">Tue 21 Jul: </w:t>
      </w:r>
      <w:r>
        <w:rPr>
          <w:sz w:val="20"/>
        </w:rPr>
        <w:t>modest recovery, small bullish body but RSI2 still sub-50 at 42.2, close around the mid-range — a neutral, digesting session (see §6).</w:t>
      </w:r>
    </w:p>
    <w:p>
      <w:pPr>
        <w:pStyle w:val="ListBullet"/>
      </w:pPr>
      <w:r>
        <w:rPr>
          <w:b/>
          <w:sz w:val="20"/>
        </w:rPr>
        <w:t xml:space="preserve">Wed 22 Jul: </w:t>
      </w:r>
      <w:r>
        <w:rPr>
          <w:sz w:val="20"/>
        </w:rPr>
        <w:t>the strongest session, a large bullish body closing in the upper third of the range with RSI2 saturating at 100 — a momentum thrust that carried the index back toward the range top (see §6).</w:t>
      </w:r>
    </w:p>
    <w:p>
      <w:pPr>
        <w:pStyle w:val="ListBullet"/>
      </w:pPr>
      <w:r>
        <w:rPr>
          <w:b/>
          <w:sz w:val="20"/>
        </w:rPr>
        <w:t xml:space="preserve">Thu 23 Jul: </w:t>
      </w:r>
      <w:r>
        <w:rPr>
          <w:sz w:val="20"/>
        </w:rPr>
        <w:t>reversal: Brent surged past $100 on a Red Sea tanker attack, the index closed −77.8 points at 10,639.17 with RSI2 easing to 62.9 and a lower close within range — an oil-shock rejection, not a trend break (see §6).</w:t>
      </w:r>
    </w:p>
    <w:p>
      <w:pPr>
        <w:pStyle w:val="ListBullet"/>
      </w:pPr>
      <w:r>
        <w:rPr>
          <w:b/>
          <w:sz w:val="20"/>
        </w:rPr>
        <w:t xml:space="preserve">Fri 24 Jul: </w:t>
      </w:r>
      <w:r>
        <w:rPr>
          <w:sz w:val="20"/>
        </w:rPr>
        <w:t>recovery of +97 points to 10,736.23 as oil reversed lower on the US strike pause, a bullish body closing near the high, RSI2 at 55.5 — buyers reasserted into the range top (see §6).</w:t>
      </w:r>
    </w:p>
    <w:p>
      <w:r>
        <w:rPr>
          <w:b w:val="0"/>
          <w:i w:val="0"/>
          <w:sz w:val="21"/>
        </w:rPr>
        <w:t>Sequence assessment — Indecision with an upward resolution. Evidence: high five-day overlap (mean ≈ 0.70) and alternating direction (bearish → neutral → bullish → neutral → bullish) mark indecision, but the net +136-point travel and the close near the five-day high tilt the resolution upward.</w:t>
      </w:r>
    </w:p>
    <w:p>
      <w:pPr>
        <w:pStyle w:val="ListBullet"/>
      </w:pPr>
      <w:r>
        <w:rPr>
          <w:sz w:val="20"/>
        </w:rPr>
        <w:t>Nearest resistance (from the validated window): 10,738.83 (24 Jul high) then 10,740.50 (23 Jul high).</w:t>
      </w:r>
    </w:p>
    <w:p>
      <w:pPr>
        <w:pStyle w:val="ListBullet"/>
      </w:pPr>
      <w:r>
        <w:rPr>
          <w:sz w:val="20"/>
        </w:rPr>
        <w:t>Nearest support (from the validated window): 10,599.10 (24 Jul low); deeper 10,510.20 (five-day swing low).</w:t>
      </w:r>
    </w:p>
    <w:p>
      <w:r>
        <w:rPr>
          <w:b/>
          <w:i w:val="0"/>
          <w:sz w:val="20"/>
        </w:rPr>
        <w:t>Judgement label: Indecision — resolving bullish. This is consistent with the medium-term regime in §9, which classifies the tape as Transitional with an upward lean; no conflict is flagged.</w:t>
      </w:r>
    </w:p>
    <w:p>
      <w:pPr>
        <w:pStyle w:val="Heading1"/>
      </w:pPr>
      <w:r>
        <w:rPr>
          <w:rFonts w:ascii="Calibri" w:hAnsi="Calibri"/>
          <w:color w:val="1B5E20"/>
          <w:sz w:val="28"/>
        </w:rPr>
        <w:t>9 · Medium-Term Regime &amp; VOLator</w:t>
      </w:r>
      <w:r>
        <w:rPr>
          <w:i/>
          <w:color w:val="1B5E20"/>
          <w:sz w:val="16"/>
        </w:rPr>
        <w:t xml:space="preserve">   [technical]</w:t>
      </w:r>
    </w:p>
    <w:p>
      <w:pPr>
        <w:pStyle w:val="ListBullet"/>
      </w:pPr>
      <w:r>
        <w:rPr>
          <w:sz w:val="20"/>
        </w:rPr>
        <w:t>Regime classification: Transitional (upward lean). Supporting metrics — overlap ratio ≈ 0.70 (range-like), directional persistence positive but not decisive, VOLator slope mildly positive (+0.06), median RSI2 in the 50s, and range-position bias at roughly the 93rd percentile of the 25-session range (Range Top Bias).</w:t>
      </w:r>
    </w:p>
    <w:p>
      <w:pPr>
        <w:pStyle w:val="ListBullet"/>
      </w:pPr>
      <w:r>
        <w:rPr>
          <w:sz w:val="20"/>
        </w:rPr>
        <w:t>Bias: Bullish as the directional component, tempered by the high overlap that keeps the label short of clean Trending.</w:t>
      </w:r>
    </w:p>
    <w:p>
      <w:pPr>
        <w:pStyle w:val="ListBullet"/>
      </w:pPr>
      <w:r>
        <w:rPr>
          <w:sz w:val="20"/>
        </w:rPr>
        <w:t>VOLator current readings (scaled −1..+1, indicative): FTSE 100 mildly positive and expanding after the oil-shock spike; S&amp;P 500 near midpoint; DAX 40 positive; USDX below midpoint. Primary volatility sits just above 0 and is expanding.</w:t>
      </w:r>
    </w:p>
    <w:p>
      <w:pPr>
        <w:pStyle w:val="ListBullet"/>
      </w:pPr>
      <w:r>
        <w:rPr>
          <w:sz w:val="20"/>
        </w:rPr>
        <w:t>Preferred trade protocol: because the short-term read (§8, indecision resolving up) meets a Transitional medium-term regime at the range top, the protocol is a breakout-side momentum posture — trade the confirmed break, not the fade.</w:t>
      </w:r>
    </w:p>
    <w:p>
      <w:pPr>
        <w:pStyle w:val="ListBullet"/>
      </w:pPr>
      <w:r>
        <w:rPr>
          <w:sz w:val="20"/>
        </w:rPr>
        <w:t>Kaufman confirmation: the efficiency read is Trending Up — Moderate, which is more bullish than the composite Transitional label. This is flagged as a mixed signal: the composite regime takes precedence for trade construction because the 25-session overlap and the absence of a confirmed range breakout keep the tape Transitional; the Kaufman lean raises directional conviction but does not by itself upgrade the regime.</w:t>
      </w:r>
    </w:p>
    <w:p>
      <w:pPr>
        <w:pStyle w:val="Heading1"/>
      </w:pPr>
      <w:r>
        <w:rPr>
          <w:rFonts w:ascii="Calibri" w:hAnsi="Calibri"/>
          <w:color w:val="1B5E20"/>
          <w:sz w:val="28"/>
        </w:rPr>
        <w:t>10 · Cross-Asset Analysis</w:t>
      </w:r>
      <w:r>
        <w:rPr>
          <w:i/>
          <w:color w:val="1B5E20"/>
          <w:sz w:val="16"/>
        </w:rPr>
        <w:t xml:space="preserve">   [technical]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val="clear" w:fill="1a2b50"/>
          </w:tcPr>
          <w:p>
            <w:r/>
            <w:r>
              <w:rPr>
                <w:b/>
                <w:color w:val="FFFFFF"/>
                <w:sz w:val="15"/>
              </w:rPr>
              <w:t>Counter</w:t>
            </w:r>
          </w:p>
        </w:tc>
        <w:tc>
          <w:tcPr>
            <w:tcW w:type="dxa" w:w="1368"/>
            <w:shd w:val="clear" w:fill="1a2b50"/>
          </w:tcPr>
          <w:p>
            <w:r/>
            <w:r>
              <w:rPr>
                <w:b/>
                <w:color w:val="FFFFFF"/>
                <w:sz w:val="15"/>
              </w:rPr>
              <w:t>5-day direction</w:t>
            </w:r>
          </w:p>
        </w:tc>
        <w:tc>
          <w:tcPr>
            <w:tcW w:type="dxa" w:w="2880"/>
            <w:shd w:val="clear" w:fill="1a2b50"/>
          </w:tcPr>
          <w:p>
            <w:r/>
            <w:r>
              <w:rPr>
                <w:b/>
                <w:color w:val="FFFFFF"/>
                <w:sz w:val="15"/>
              </w:rPr>
              <w:t>Mechanism to FTSE</w:t>
            </w:r>
          </w:p>
        </w:tc>
        <w:tc>
          <w:tcPr>
            <w:tcW w:type="dxa" w:w="1008"/>
            <w:shd w:val="clear" w:fill="1a2b50"/>
          </w:tcPr>
          <w:p>
            <w:r/>
            <w:r>
              <w:rPr>
                <w:b/>
                <w:color w:val="FFFFFF"/>
                <w:sz w:val="15"/>
              </w:rPr>
              <w:t>Status</w:t>
            </w:r>
          </w:p>
        </w:tc>
        <w:tc>
          <w:tcPr>
            <w:tcW w:type="dxa" w:w="2232"/>
            <w:shd w:val="clear" w:fill="1a2b50"/>
          </w:tcPr>
          <w:p>
            <w:r/>
            <w:r>
              <w:rPr>
                <w:b/>
                <w:color w:val="FFFFFF"/>
                <w:sz w:val="15"/>
              </w:rPr>
              <w:t>Implication</w:t>
            </w:r>
          </w:p>
        </w:tc>
      </w:tr>
      <w:tr>
        <w:tc>
          <w:tcPr>
            <w:tcW w:type="dxa" w:w="1656"/>
          </w:tcPr>
          <w:p>
            <w:r/>
            <w:r>
              <w:rPr>
                <w:sz w:val="15"/>
              </w:rPr>
              <w:t>USDX (Dollar Index)</w:t>
            </w:r>
          </w:p>
        </w:tc>
        <w:tc>
          <w:tcPr>
            <w:tcW w:type="dxa" w:w="1368"/>
          </w:tcPr>
          <w:p>
            <w:r/>
            <w:r>
              <w:rPr>
                <w:sz w:val="15"/>
              </w:rPr>
              <w:t>Flat / mixed*</w:t>
            </w:r>
          </w:p>
        </w:tc>
        <w:tc>
          <w:tcPr>
            <w:tcW w:type="dxa" w:w="2880"/>
          </w:tcPr>
          <w:p>
            <w:r/>
            <w:r>
              <w:rPr>
                <w:sz w:val="15"/>
              </w:rPr>
              <w:t>A softer dollar lifts FTSE multinationals via earnings translation; direction is unresolved across feeds</w:t>
            </w:r>
          </w:p>
        </w:tc>
        <w:tc>
          <w:tcPr>
            <w:tcW w:type="dxa" w:w="1008"/>
          </w:tcPr>
          <w:p>
            <w:r/>
            <w:r>
              <w:rPr>
                <w:sz w:val="15"/>
              </w:rPr>
              <w:t>Neutral</w:t>
            </w:r>
          </w:p>
        </w:tc>
        <w:tc>
          <w:tcPr>
            <w:tcW w:type="dxa" w:w="2232"/>
          </w:tcPr>
          <w:p>
            <w:r/>
            <w:r>
              <w:rPr>
                <w:sz w:val="15"/>
              </w:rPr>
              <w:t>Cross-feed conflict on the dollar level; treated as neutral, flagged in §19</w:t>
            </w:r>
          </w:p>
        </w:tc>
      </w:tr>
      <w:tr>
        <w:tc>
          <w:tcPr>
            <w:tcW w:type="dxa" w:w="1656"/>
          </w:tcPr>
          <w:p>
            <w:r/>
            <w:r>
              <w:rPr>
                <w:sz w:val="15"/>
              </w:rPr>
              <w:t>S&amp;P 500</w:t>
            </w:r>
          </w:p>
        </w:tc>
        <w:tc>
          <w:tcPr>
            <w:tcW w:type="dxa" w:w="1368"/>
          </w:tcPr>
          <w:p>
            <w:r/>
            <w:r>
              <w:rPr>
                <w:sz w:val="15"/>
              </w:rPr>
              <w:t>Rising</w:t>
            </w:r>
          </w:p>
        </w:tc>
        <w:tc>
          <w:tcPr>
            <w:tcW w:type="dxa" w:w="2880"/>
          </w:tcPr>
          <w:p>
            <w:r/>
            <w:r>
              <w:rPr>
                <w:sz w:val="15"/>
              </w:rPr>
              <w:t>Cross-Atlantic risk-appetite beta; a firmer Wall Street supports European large-caps</w:t>
            </w:r>
          </w:p>
        </w:tc>
        <w:tc>
          <w:tcPr>
            <w:tcW w:type="dxa" w:w="1008"/>
          </w:tcPr>
          <w:p>
            <w:r/>
            <w:r>
              <w:rPr>
                <w:sz w:val="15"/>
              </w:rPr>
              <w:t>Confirms</w:t>
            </w:r>
          </w:p>
        </w:tc>
        <w:tc>
          <w:tcPr>
            <w:tcW w:type="dxa" w:w="2232"/>
          </w:tcPr>
          <w:p>
            <w:r/>
            <w:r>
              <w:rPr>
                <w:sz w:val="15"/>
              </w:rPr>
              <w:t>Supportive of the upward lean in §9</w:t>
            </w:r>
          </w:p>
        </w:tc>
      </w:tr>
      <w:tr>
        <w:tc>
          <w:tcPr>
            <w:tcW w:type="dxa" w:w="1656"/>
          </w:tcPr>
          <w:p>
            <w:r/>
            <w:r>
              <w:rPr>
                <w:sz w:val="15"/>
              </w:rPr>
              <w:t>DAX 40</w:t>
            </w:r>
          </w:p>
        </w:tc>
        <w:tc>
          <w:tcPr>
            <w:tcW w:type="dxa" w:w="1368"/>
          </w:tcPr>
          <w:p>
            <w:r/>
            <w:r>
              <w:rPr>
                <w:sz w:val="15"/>
              </w:rPr>
              <w:t>Rising (+1.36%)</w:t>
            </w:r>
          </w:p>
        </w:tc>
        <w:tc>
          <w:tcPr>
            <w:tcW w:type="dxa" w:w="2880"/>
          </w:tcPr>
          <w:p>
            <w:r/>
            <w:r>
              <w:rPr>
                <w:sz w:val="15"/>
              </w:rPr>
              <w:t>Eurozone equity proxy; broad European risk-on transmits to UK large-caps</w:t>
            </w:r>
          </w:p>
        </w:tc>
        <w:tc>
          <w:tcPr>
            <w:tcW w:type="dxa" w:w="1008"/>
          </w:tcPr>
          <w:p>
            <w:r/>
            <w:r>
              <w:rPr>
                <w:sz w:val="15"/>
              </w:rPr>
              <w:t>Confirms</w:t>
            </w:r>
          </w:p>
        </w:tc>
        <w:tc>
          <w:tcPr>
            <w:tcW w:type="dxa" w:w="2232"/>
          </w:tcPr>
          <w:p>
            <w:r/>
            <w:r>
              <w:rPr>
                <w:sz w:val="15"/>
              </w:rPr>
              <w:t>Reinforces the regional bid</w:t>
            </w:r>
          </w:p>
        </w:tc>
      </w:tr>
      <w:tr>
        <w:tc>
          <w:tcPr>
            <w:tcW w:type="dxa" w:w="1656"/>
          </w:tcPr>
          <w:p>
            <w:r/>
            <w:r>
              <w:rPr>
                <w:sz w:val="15"/>
              </w:rPr>
              <w:t>EURO STOXX 50</w:t>
            </w:r>
          </w:p>
        </w:tc>
        <w:tc>
          <w:tcPr>
            <w:tcW w:type="dxa" w:w="1368"/>
          </w:tcPr>
          <w:p>
            <w:r/>
            <w:r>
              <w:rPr>
                <w:sz w:val="15"/>
              </w:rPr>
              <w:t>Rising (+1.14%)</w:t>
            </w:r>
          </w:p>
        </w:tc>
        <w:tc>
          <w:tcPr>
            <w:tcW w:type="dxa" w:w="2880"/>
          </w:tcPr>
          <w:p>
            <w:r/>
            <w:r>
              <w:rPr>
                <w:sz w:val="15"/>
              </w:rPr>
              <w:t>Direct Eurozone blue-chip pair; regional beta</w:t>
            </w:r>
          </w:p>
        </w:tc>
        <w:tc>
          <w:tcPr>
            <w:tcW w:type="dxa" w:w="1008"/>
          </w:tcPr>
          <w:p>
            <w:r/>
            <w:r>
              <w:rPr>
                <w:sz w:val="15"/>
              </w:rPr>
              <w:t>Confirms</w:t>
            </w:r>
          </w:p>
        </w:tc>
        <w:tc>
          <w:tcPr>
            <w:tcW w:type="dxa" w:w="2232"/>
          </w:tcPr>
          <w:p>
            <w:r/>
            <w:r>
              <w:rPr>
                <w:sz w:val="15"/>
              </w:rPr>
              <w:t>Aligns with FTSE's upward resolution</w:t>
            </w:r>
          </w:p>
        </w:tc>
      </w:tr>
      <w:tr>
        <w:tc>
          <w:tcPr>
            <w:tcW w:type="dxa" w:w="1656"/>
          </w:tcPr>
          <w:p>
            <w:r/>
            <w:r>
              <w:rPr>
                <w:sz w:val="15"/>
              </w:rPr>
              <w:t>Crude oil (context)</w:t>
            </w:r>
          </w:p>
        </w:tc>
        <w:tc>
          <w:tcPr>
            <w:tcW w:type="dxa" w:w="1368"/>
          </w:tcPr>
          <w:p>
            <w:r/>
            <w:r>
              <w:rPr>
                <w:sz w:val="15"/>
              </w:rPr>
              <w:t>Falling</w:t>
            </w:r>
          </w:p>
        </w:tc>
        <w:tc>
          <w:tcPr>
            <w:tcW w:type="dxa" w:w="2880"/>
          </w:tcPr>
          <w:p>
            <w:r/>
            <w:r>
              <w:rPr>
                <w:sz w:val="15"/>
              </w:rPr>
              <w:t>Lower crude eases UK inflation risk (supportive) but pressures FTSE energy weight (BP, Shell)</w:t>
            </w:r>
          </w:p>
        </w:tc>
        <w:tc>
          <w:tcPr>
            <w:tcW w:type="dxa" w:w="1008"/>
          </w:tcPr>
          <w:p>
            <w:r/>
            <w:r>
              <w:rPr>
                <w:sz w:val="15"/>
              </w:rPr>
              <w:t>Mixed</w:t>
            </w:r>
          </w:p>
        </w:tc>
        <w:tc>
          <w:tcPr>
            <w:tcW w:type="dxa" w:w="2232"/>
          </w:tcPr>
          <w:p>
            <w:r/>
            <w:r>
              <w:rPr>
                <w:sz w:val="15"/>
              </w:rPr>
              <w:t>Net supportive for the index via inflation relief; energy majors a partial drag</w:t>
            </w:r>
          </w:p>
        </w:tc>
      </w:tr>
    </w:tbl>
    <w:p>
      <w:r>
        <w:rPr>
          <w:b w:val="0"/>
          <w:i/>
          <w:color w:val="880E4F"/>
          <w:sz w:val="16"/>
        </w:rPr>
        <w:t>* The dollar index could not be reconciled across the cash-index and CFD feeds (roughly 99.4 vs 101.5); it is therefore read as Neutral rather than assigned a direction. No counter contradicts the §9 regime; the aggregate cross-asset read is CONFIRM (S&amp;P 500, DAX 40 and EURO STOXX 50 all rising, none contradicting).</w:t>
      </w:r>
    </w:p>
    <w:p>
      <w:pPr>
        <w:pStyle w:val="Heading1"/>
      </w:pPr>
      <w:r>
        <w:rPr>
          <w:rFonts w:ascii="Calibri" w:hAnsi="Calibri"/>
          <w:color w:val="1B5E20"/>
          <w:sz w:val="28"/>
        </w:rPr>
        <w:t>11 · Floor Pivot Analysis</w:t>
      </w:r>
      <w:r>
        <w:rPr>
          <w:i/>
          <w:color w:val="1B5E20"/>
          <w:sz w:val="16"/>
        </w:rPr>
        <w:t xml:space="preserve">   [technical]</w:t>
      </w:r>
    </w:p>
    <w:p>
      <w:r>
        <w:rPr>
          <w:b w:val="0"/>
          <w:i/>
          <w:color w:val="880E4F"/>
          <w:sz w:val="18"/>
        </w:rPr>
        <w:t>Source status: all pivot prior-period High/Low/Close inputs derive from the last corroborated session and prior week/month context. Because the 27–28 July sessions are not two-source reconciled, every pivot table below is marked INDICATIVE and cannot anchor a definitive entry or stop; this flag propagates to §21.</w:t>
      </w:r>
    </w:p>
    <w:p>
      <w:pPr>
        <w:pStyle w:val="Heading2"/>
      </w:pPr>
      <w:r>
        <w:rPr>
          <w:rFonts w:ascii="Calibri" w:hAnsi="Calibri"/>
          <w:color w:val="1A2B50"/>
          <w:sz w:val="23"/>
        </w:rPr>
        <w:t>Daily pivots — indicative (from 24 Jul H/L/C)</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fill="1a2b50"/>
          </w:tcPr>
          <w:p>
            <w:r/>
            <w:r>
              <w:rPr>
                <w:b/>
                <w:color w:val="FFFFFF"/>
                <w:sz w:val="16"/>
              </w:rPr>
              <w:t>Level</w:t>
            </w:r>
          </w:p>
        </w:tc>
        <w:tc>
          <w:tcPr>
            <w:tcW w:type="dxa" w:w="1728"/>
            <w:shd w:val="clear" w:fill="1a2b50"/>
          </w:tcPr>
          <w:p>
            <w:r/>
            <w:r>
              <w:rPr>
                <w:b/>
                <w:color w:val="FFFFFF"/>
                <w:sz w:val="16"/>
              </w:rPr>
              <w:t>Value</w:t>
            </w:r>
          </w:p>
        </w:tc>
        <w:tc>
          <w:tcPr>
            <w:tcW w:type="dxa" w:w="576"/>
            <w:shd w:val="clear" w:fill="1a2b50"/>
          </w:tcPr>
          <w:p>
            <w:r/>
            <w:r>
              <w:rPr>
                <w:b/>
                <w:color w:val="FFFFFF"/>
                <w:sz w:val="16"/>
              </w:rPr>
            </w:r>
          </w:p>
        </w:tc>
        <w:tc>
          <w:tcPr>
            <w:tcW w:type="dxa" w:w="1008"/>
            <w:shd w:val="clear" w:fill="1a2b50"/>
          </w:tcPr>
          <w:p>
            <w:r/>
            <w:r>
              <w:rPr>
                <w:b/>
                <w:color w:val="FFFFFF"/>
                <w:sz w:val="16"/>
              </w:rPr>
              <w:t>Level</w:t>
            </w:r>
          </w:p>
        </w:tc>
        <w:tc>
          <w:tcPr>
            <w:tcW w:type="dxa" w:w="1728"/>
            <w:shd w:val="clear" w:fill="1a2b50"/>
          </w:tcPr>
          <w:p>
            <w:r/>
            <w:r>
              <w:rPr>
                <w:b/>
                <w:color w:val="FFFFFF"/>
                <w:sz w:val="16"/>
              </w:rPr>
              <w:t>Value</w:t>
            </w:r>
          </w:p>
        </w:tc>
      </w:tr>
      <w:tr>
        <w:tc>
          <w:tcPr>
            <w:tcW w:type="dxa" w:w="1008"/>
          </w:tcPr>
          <w:p>
            <w:r/>
            <w:r>
              <w:rPr>
                <w:sz w:val="16"/>
              </w:rPr>
              <w:t>R5</w:t>
            </w:r>
          </w:p>
        </w:tc>
        <w:tc>
          <w:tcPr>
            <w:tcW w:type="dxa" w:w="1728"/>
          </w:tcPr>
          <w:p>
            <w:r/>
            <w:r>
              <w:rPr>
                <w:sz w:val="16"/>
              </w:rPr>
              <w:t>11,202.86</w:t>
            </w:r>
          </w:p>
        </w:tc>
        <w:tc>
          <w:tcPr>
            <w:tcW w:type="dxa" w:w="576"/>
          </w:tcPr>
          <w:p>
            <w:r/>
            <w:r>
              <w:rPr>
                <w:sz w:val="16"/>
              </w:rPr>
            </w:r>
          </w:p>
        </w:tc>
        <w:tc>
          <w:tcPr>
            <w:tcW w:type="dxa" w:w="1008"/>
          </w:tcPr>
          <w:p>
            <w:r/>
            <w:r>
              <w:rPr>
                <w:sz w:val="16"/>
              </w:rPr>
              <w:t>P</w:t>
            </w:r>
          </w:p>
        </w:tc>
        <w:tc>
          <w:tcPr>
            <w:tcW w:type="dxa" w:w="1728"/>
          </w:tcPr>
          <w:p>
            <w:r/>
            <w:r>
              <w:rPr>
                <w:sz w:val="16"/>
              </w:rPr>
              <w:t>10,691.39</w:t>
            </w:r>
          </w:p>
        </w:tc>
      </w:tr>
      <w:tr>
        <w:tc>
          <w:tcPr>
            <w:tcW w:type="dxa" w:w="1008"/>
          </w:tcPr>
          <w:p>
            <w:r/>
            <w:r>
              <w:rPr>
                <w:sz w:val="16"/>
              </w:rPr>
              <w:t>R4</w:t>
            </w:r>
          </w:p>
        </w:tc>
        <w:tc>
          <w:tcPr>
            <w:tcW w:type="dxa" w:w="1728"/>
          </w:tcPr>
          <w:p>
            <w:r/>
            <w:r>
              <w:rPr>
                <w:sz w:val="16"/>
              </w:rPr>
              <w:t>11,063.13</w:t>
            </w:r>
          </w:p>
        </w:tc>
        <w:tc>
          <w:tcPr>
            <w:tcW w:type="dxa" w:w="576"/>
          </w:tcPr>
          <w:p>
            <w:r/>
            <w:r>
              <w:rPr>
                <w:sz w:val="16"/>
              </w:rPr>
            </w:r>
          </w:p>
        </w:tc>
        <w:tc>
          <w:tcPr>
            <w:tcW w:type="dxa" w:w="1008"/>
          </w:tcPr>
          <w:p>
            <w:r/>
            <w:r>
              <w:rPr>
                <w:sz w:val="16"/>
              </w:rPr>
              <w:t>S1</w:t>
            </w:r>
          </w:p>
        </w:tc>
        <w:tc>
          <w:tcPr>
            <w:tcW w:type="dxa" w:w="1728"/>
          </w:tcPr>
          <w:p>
            <w:r/>
            <w:r>
              <w:rPr>
                <w:sz w:val="16"/>
              </w:rPr>
              <w:t>10,643.94</w:t>
            </w:r>
          </w:p>
        </w:tc>
      </w:tr>
      <w:tr>
        <w:tc>
          <w:tcPr>
            <w:tcW w:type="dxa" w:w="1008"/>
          </w:tcPr>
          <w:p>
            <w:r/>
            <w:r>
              <w:rPr>
                <w:sz w:val="16"/>
              </w:rPr>
              <w:t>R3</w:t>
            </w:r>
          </w:p>
        </w:tc>
        <w:tc>
          <w:tcPr>
            <w:tcW w:type="dxa" w:w="1728"/>
          </w:tcPr>
          <w:p>
            <w:r/>
            <w:r>
              <w:rPr>
                <w:sz w:val="16"/>
              </w:rPr>
              <w:t>10,923.40</w:t>
            </w:r>
          </w:p>
        </w:tc>
        <w:tc>
          <w:tcPr>
            <w:tcW w:type="dxa" w:w="576"/>
          </w:tcPr>
          <w:p>
            <w:r/>
            <w:r>
              <w:rPr>
                <w:sz w:val="16"/>
              </w:rPr>
            </w:r>
          </w:p>
        </w:tc>
        <w:tc>
          <w:tcPr>
            <w:tcW w:type="dxa" w:w="1008"/>
          </w:tcPr>
          <w:p>
            <w:r/>
            <w:r>
              <w:rPr>
                <w:sz w:val="16"/>
              </w:rPr>
              <w:t>S2</w:t>
            </w:r>
          </w:p>
        </w:tc>
        <w:tc>
          <w:tcPr>
            <w:tcW w:type="dxa" w:w="1728"/>
          </w:tcPr>
          <w:p>
            <w:r/>
            <w:r>
              <w:rPr>
                <w:sz w:val="16"/>
              </w:rPr>
              <w:t>10,551.66</w:t>
            </w:r>
          </w:p>
        </w:tc>
      </w:tr>
      <w:tr>
        <w:tc>
          <w:tcPr>
            <w:tcW w:type="dxa" w:w="1008"/>
          </w:tcPr>
          <w:p>
            <w:r/>
            <w:r>
              <w:rPr>
                <w:sz w:val="16"/>
              </w:rPr>
              <w:t>R2</w:t>
            </w:r>
          </w:p>
        </w:tc>
        <w:tc>
          <w:tcPr>
            <w:tcW w:type="dxa" w:w="1728"/>
          </w:tcPr>
          <w:p>
            <w:r/>
            <w:r>
              <w:rPr>
                <w:sz w:val="16"/>
              </w:rPr>
              <w:t>10,831.12</w:t>
            </w:r>
          </w:p>
        </w:tc>
        <w:tc>
          <w:tcPr>
            <w:tcW w:type="dxa" w:w="576"/>
          </w:tcPr>
          <w:p>
            <w:r/>
            <w:r>
              <w:rPr>
                <w:sz w:val="16"/>
              </w:rPr>
            </w:r>
          </w:p>
        </w:tc>
        <w:tc>
          <w:tcPr>
            <w:tcW w:type="dxa" w:w="1008"/>
          </w:tcPr>
          <w:p>
            <w:r/>
            <w:r>
              <w:rPr>
                <w:sz w:val="16"/>
              </w:rPr>
              <w:t>S3</w:t>
            </w:r>
          </w:p>
        </w:tc>
        <w:tc>
          <w:tcPr>
            <w:tcW w:type="dxa" w:w="1728"/>
          </w:tcPr>
          <w:p>
            <w:r/>
            <w:r>
              <w:rPr>
                <w:sz w:val="16"/>
              </w:rPr>
              <w:t>10,504.21</w:t>
            </w:r>
          </w:p>
        </w:tc>
      </w:tr>
      <w:tr>
        <w:tc>
          <w:tcPr>
            <w:tcW w:type="dxa" w:w="1008"/>
          </w:tcPr>
          <w:p>
            <w:r/>
            <w:r>
              <w:rPr>
                <w:sz w:val="16"/>
              </w:rPr>
              <w:t>R1</w:t>
            </w:r>
          </w:p>
        </w:tc>
        <w:tc>
          <w:tcPr>
            <w:tcW w:type="dxa" w:w="1728"/>
          </w:tcPr>
          <w:p>
            <w:r/>
            <w:r>
              <w:rPr>
                <w:sz w:val="16"/>
              </w:rPr>
              <w:t>10,783.67</w:t>
            </w:r>
          </w:p>
        </w:tc>
        <w:tc>
          <w:tcPr>
            <w:tcW w:type="dxa" w:w="576"/>
          </w:tcPr>
          <w:p>
            <w:r/>
            <w:r>
              <w:rPr>
                <w:sz w:val="16"/>
              </w:rPr>
            </w:r>
          </w:p>
        </w:tc>
        <w:tc>
          <w:tcPr>
            <w:tcW w:type="dxa" w:w="1008"/>
          </w:tcPr>
          <w:p>
            <w:r/>
            <w:r>
              <w:rPr>
                <w:sz w:val="16"/>
              </w:rPr>
              <w:t>S4</w:t>
            </w:r>
          </w:p>
        </w:tc>
        <w:tc>
          <w:tcPr>
            <w:tcW w:type="dxa" w:w="1728"/>
          </w:tcPr>
          <w:p>
            <w:r/>
            <w:r>
              <w:rPr>
                <w:sz w:val="16"/>
              </w:rPr>
              <w:t>10,364.48</w:t>
            </w:r>
          </w:p>
        </w:tc>
      </w:tr>
      <w:tr>
        <w:tc>
          <w:tcPr>
            <w:tcW w:type="dxa" w:w="1008"/>
          </w:tcPr>
          <w:p>
            <w:r/>
            <w:r>
              <w:rPr>
                <w:sz w:val="16"/>
              </w:rPr>
              <w:t>R1.5</w:t>
            </w:r>
          </w:p>
        </w:tc>
        <w:tc>
          <w:tcPr>
            <w:tcW w:type="dxa" w:w="1728"/>
          </w:tcPr>
          <w:p>
            <w:r/>
            <w:r>
              <w:rPr>
                <w:sz w:val="16"/>
              </w:rPr>
              <w:t>10,807.40</w:t>
            </w:r>
          </w:p>
        </w:tc>
        <w:tc>
          <w:tcPr>
            <w:tcW w:type="dxa" w:w="576"/>
          </w:tcPr>
          <w:p>
            <w:r/>
            <w:r>
              <w:rPr>
                <w:sz w:val="16"/>
              </w:rPr>
            </w:r>
          </w:p>
        </w:tc>
        <w:tc>
          <w:tcPr>
            <w:tcW w:type="dxa" w:w="1008"/>
          </w:tcPr>
          <w:p>
            <w:r/>
            <w:r>
              <w:rPr>
                <w:sz w:val="16"/>
              </w:rPr>
              <w:t>S5</w:t>
            </w:r>
          </w:p>
        </w:tc>
        <w:tc>
          <w:tcPr>
            <w:tcW w:type="dxa" w:w="1728"/>
          </w:tcPr>
          <w:p>
            <w:r/>
            <w:r>
              <w:rPr>
                <w:sz w:val="16"/>
              </w:rPr>
              <w:t>10,224.75</w:t>
            </w:r>
          </w:p>
        </w:tc>
      </w:tr>
    </w:tbl>
    <w:p>
      <w:pPr>
        <w:pStyle w:val="Heading2"/>
      </w:pPr>
      <w:r>
        <w:rPr>
          <w:rFonts w:ascii="Calibri" w:hAnsi="Calibri"/>
          <w:color w:val="1A2B50"/>
          <w:sz w:val="23"/>
        </w:rPr>
        <w:t>Weekly pivots — from prior week (W/E 24 Jul)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fill="1a2b50"/>
          </w:tcPr>
          <w:p>
            <w:r/>
            <w:r>
              <w:rPr>
                <w:b/>
                <w:color w:val="FFFFFF"/>
                <w:sz w:val="16"/>
              </w:rPr>
              <w:t>Level</w:t>
            </w:r>
          </w:p>
        </w:tc>
        <w:tc>
          <w:tcPr>
            <w:tcW w:type="dxa" w:w="1728"/>
            <w:shd w:val="clear" w:fill="1a2b50"/>
          </w:tcPr>
          <w:p>
            <w:r/>
            <w:r>
              <w:rPr>
                <w:b/>
                <w:color w:val="FFFFFF"/>
                <w:sz w:val="16"/>
              </w:rPr>
              <w:t>Value</w:t>
            </w:r>
          </w:p>
        </w:tc>
        <w:tc>
          <w:tcPr>
            <w:tcW w:type="dxa" w:w="576"/>
            <w:shd w:val="clear" w:fill="1a2b50"/>
          </w:tcPr>
          <w:p>
            <w:r/>
            <w:r>
              <w:rPr>
                <w:b/>
                <w:color w:val="FFFFFF"/>
                <w:sz w:val="16"/>
              </w:rPr>
            </w:r>
          </w:p>
        </w:tc>
        <w:tc>
          <w:tcPr>
            <w:tcW w:type="dxa" w:w="1008"/>
            <w:shd w:val="clear" w:fill="1a2b50"/>
          </w:tcPr>
          <w:p>
            <w:r/>
            <w:r>
              <w:rPr>
                <w:b/>
                <w:color w:val="FFFFFF"/>
                <w:sz w:val="16"/>
              </w:rPr>
              <w:t>Level</w:t>
            </w:r>
          </w:p>
        </w:tc>
        <w:tc>
          <w:tcPr>
            <w:tcW w:type="dxa" w:w="1728"/>
            <w:shd w:val="clear" w:fill="1a2b50"/>
          </w:tcPr>
          <w:p>
            <w:r/>
            <w:r>
              <w:rPr>
                <w:b/>
                <w:color w:val="FFFFFF"/>
                <w:sz w:val="16"/>
              </w:rPr>
              <w:t>Value</w:t>
            </w:r>
          </w:p>
        </w:tc>
      </w:tr>
      <w:tr>
        <w:tc>
          <w:tcPr>
            <w:tcW w:type="dxa" w:w="1008"/>
          </w:tcPr>
          <w:p>
            <w:r/>
            <w:r>
              <w:rPr>
                <w:sz w:val="16"/>
              </w:rPr>
              <w:t>R5</w:t>
            </w:r>
          </w:p>
        </w:tc>
        <w:tc>
          <w:tcPr>
            <w:tcW w:type="dxa" w:w="1728"/>
          </w:tcPr>
          <w:p>
            <w:r/>
            <w:r>
              <w:rPr>
                <w:sz w:val="16"/>
              </w:rPr>
              <w:t>11,965.17</w:t>
            </w:r>
          </w:p>
        </w:tc>
        <w:tc>
          <w:tcPr>
            <w:tcW w:type="dxa" w:w="576"/>
          </w:tcPr>
          <w:p>
            <w:r/>
            <w:r>
              <w:rPr>
                <w:sz w:val="16"/>
              </w:rPr>
            </w:r>
          </w:p>
        </w:tc>
        <w:tc>
          <w:tcPr>
            <w:tcW w:type="dxa" w:w="1008"/>
          </w:tcPr>
          <w:p>
            <w:r/>
            <w:r>
              <w:rPr>
                <w:sz w:val="16"/>
              </w:rPr>
              <w:t>P</w:t>
            </w:r>
          </w:p>
        </w:tc>
        <w:tc>
          <w:tcPr>
            <w:tcW w:type="dxa" w:w="1728"/>
          </w:tcPr>
          <w:p>
            <w:r/>
            <w:r>
              <w:rPr>
                <w:sz w:val="16"/>
              </w:rPr>
              <w:t>10,632.38</w:t>
            </w:r>
          </w:p>
        </w:tc>
      </w:tr>
      <w:tr>
        <w:tc>
          <w:tcPr>
            <w:tcW w:type="dxa" w:w="1008"/>
          </w:tcPr>
          <w:p>
            <w:r/>
            <w:r>
              <w:rPr>
                <w:sz w:val="16"/>
              </w:rPr>
              <w:t>R3</w:t>
            </w:r>
          </w:p>
        </w:tc>
        <w:tc>
          <w:tcPr>
            <w:tcW w:type="dxa" w:w="1728"/>
          </w:tcPr>
          <w:p>
            <w:r/>
            <w:r>
              <w:rPr>
                <w:sz w:val="16"/>
              </w:rPr>
              <w:t>11,233.25</w:t>
            </w:r>
          </w:p>
        </w:tc>
        <w:tc>
          <w:tcPr>
            <w:tcW w:type="dxa" w:w="576"/>
          </w:tcPr>
          <w:p>
            <w:r/>
            <w:r>
              <w:rPr>
                <w:sz w:val="16"/>
              </w:rPr>
            </w:r>
          </w:p>
        </w:tc>
        <w:tc>
          <w:tcPr>
            <w:tcW w:type="dxa" w:w="1008"/>
          </w:tcPr>
          <w:p>
            <w:r/>
            <w:r>
              <w:rPr>
                <w:sz w:val="16"/>
              </w:rPr>
              <w:t>S1</w:t>
            </w:r>
          </w:p>
        </w:tc>
        <w:tc>
          <w:tcPr>
            <w:tcW w:type="dxa" w:w="1728"/>
          </w:tcPr>
          <w:p>
            <w:r/>
            <w:r>
              <w:rPr>
                <w:sz w:val="16"/>
              </w:rPr>
              <w:t>10,501.33</w:t>
            </w:r>
          </w:p>
        </w:tc>
      </w:tr>
      <w:tr>
        <w:tc>
          <w:tcPr>
            <w:tcW w:type="dxa" w:w="1008"/>
          </w:tcPr>
          <w:p>
            <w:r/>
            <w:r>
              <w:rPr>
                <w:sz w:val="16"/>
              </w:rPr>
              <w:t>R2</w:t>
            </w:r>
          </w:p>
        </w:tc>
        <w:tc>
          <w:tcPr>
            <w:tcW w:type="dxa" w:w="1728"/>
          </w:tcPr>
          <w:p>
            <w:r/>
            <w:r>
              <w:rPr>
                <w:sz w:val="16"/>
              </w:rPr>
              <w:t>10,998.34</w:t>
            </w:r>
          </w:p>
        </w:tc>
        <w:tc>
          <w:tcPr>
            <w:tcW w:type="dxa" w:w="576"/>
          </w:tcPr>
          <w:p>
            <w:r/>
            <w:r>
              <w:rPr>
                <w:sz w:val="16"/>
              </w:rPr>
            </w:r>
          </w:p>
        </w:tc>
        <w:tc>
          <w:tcPr>
            <w:tcW w:type="dxa" w:w="1008"/>
          </w:tcPr>
          <w:p>
            <w:r/>
            <w:r>
              <w:rPr>
                <w:sz w:val="16"/>
              </w:rPr>
              <w:t>S2</w:t>
            </w:r>
          </w:p>
        </w:tc>
        <w:tc>
          <w:tcPr>
            <w:tcW w:type="dxa" w:w="1728"/>
          </w:tcPr>
          <w:p>
            <w:r/>
            <w:r>
              <w:rPr>
                <w:sz w:val="16"/>
              </w:rPr>
              <w:t>10,266.42</w:t>
            </w:r>
          </w:p>
        </w:tc>
      </w:tr>
      <w:tr>
        <w:tc>
          <w:tcPr>
            <w:tcW w:type="dxa" w:w="1008"/>
          </w:tcPr>
          <w:p>
            <w:r/>
            <w:r>
              <w:rPr>
                <w:sz w:val="16"/>
              </w:rPr>
              <w:t>R1.5</w:t>
            </w:r>
          </w:p>
        </w:tc>
        <w:tc>
          <w:tcPr>
            <w:tcW w:type="dxa" w:w="1728"/>
          </w:tcPr>
          <w:p>
            <w:r/>
            <w:r>
              <w:rPr>
                <w:sz w:val="16"/>
              </w:rPr>
              <w:t>10,932.82</w:t>
            </w:r>
          </w:p>
        </w:tc>
        <w:tc>
          <w:tcPr>
            <w:tcW w:type="dxa" w:w="576"/>
          </w:tcPr>
          <w:p>
            <w:r/>
            <w:r>
              <w:rPr>
                <w:sz w:val="16"/>
              </w:rPr>
            </w:r>
          </w:p>
        </w:tc>
        <w:tc>
          <w:tcPr>
            <w:tcW w:type="dxa" w:w="1008"/>
          </w:tcPr>
          <w:p>
            <w:r/>
            <w:r>
              <w:rPr>
                <w:sz w:val="16"/>
              </w:rPr>
              <w:t>S3</w:t>
            </w:r>
          </w:p>
        </w:tc>
        <w:tc>
          <w:tcPr>
            <w:tcW w:type="dxa" w:w="1728"/>
          </w:tcPr>
          <w:p>
            <w:r/>
            <w:r>
              <w:rPr>
                <w:sz w:val="16"/>
              </w:rPr>
              <w:t>10,135.37</w:t>
            </w:r>
          </w:p>
        </w:tc>
      </w:tr>
      <w:tr>
        <w:tc>
          <w:tcPr>
            <w:tcW w:type="dxa" w:w="1008"/>
          </w:tcPr>
          <w:p>
            <w:r/>
            <w:r>
              <w:rPr>
                <w:sz w:val="16"/>
              </w:rPr>
              <w:t>R1</w:t>
            </w:r>
          </w:p>
        </w:tc>
        <w:tc>
          <w:tcPr>
            <w:tcW w:type="dxa" w:w="1728"/>
          </w:tcPr>
          <w:p>
            <w:r/>
            <w:r>
              <w:rPr>
                <w:sz w:val="16"/>
              </w:rPr>
              <w:t>10,867.29</w:t>
            </w:r>
          </w:p>
        </w:tc>
        <w:tc>
          <w:tcPr>
            <w:tcW w:type="dxa" w:w="576"/>
          </w:tcPr>
          <w:p>
            <w:r/>
            <w:r>
              <w:rPr>
                <w:sz w:val="16"/>
              </w:rPr>
            </w:r>
          </w:p>
        </w:tc>
        <w:tc>
          <w:tcPr>
            <w:tcW w:type="dxa" w:w="1008"/>
          </w:tcPr>
          <w:p>
            <w:r/>
            <w:r>
              <w:rPr>
                <w:sz w:val="16"/>
              </w:rPr>
              <w:t>S1.5</w:t>
            </w:r>
          </w:p>
        </w:tc>
        <w:tc>
          <w:tcPr>
            <w:tcW w:type="dxa" w:w="1728"/>
          </w:tcPr>
          <w:p>
            <w:r/>
            <w:r>
              <w:rPr>
                <w:sz w:val="16"/>
              </w:rPr>
              <w:t>10,383.88</w:t>
            </w:r>
          </w:p>
        </w:tc>
      </w:tr>
    </w:tbl>
    <w:p>
      <w:pPr>
        <w:pStyle w:val="Heading2"/>
      </w:pPr>
      <w:r>
        <w:rPr>
          <w:rFonts w:ascii="Calibri" w:hAnsi="Calibri"/>
          <w:color w:val="1A2B50"/>
          <w:sz w:val="23"/>
        </w:rPr>
        <w:t>Monthly pivots — indicative (from June 2026)</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fill="1a2b50"/>
          </w:tcPr>
          <w:p>
            <w:r/>
            <w:r>
              <w:rPr>
                <w:b/>
                <w:color w:val="FFFFFF"/>
                <w:sz w:val="16"/>
              </w:rPr>
              <w:t>Level</w:t>
            </w:r>
          </w:p>
        </w:tc>
        <w:tc>
          <w:tcPr>
            <w:tcW w:type="dxa" w:w="1728"/>
            <w:shd w:val="clear" w:fill="1a2b50"/>
          </w:tcPr>
          <w:p>
            <w:r/>
            <w:r>
              <w:rPr>
                <w:b/>
                <w:color w:val="FFFFFF"/>
                <w:sz w:val="16"/>
              </w:rPr>
              <w:t>Value</w:t>
            </w:r>
          </w:p>
        </w:tc>
        <w:tc>
          <w:tcPr>
            <w:tcW w:type="dxa" w:w="576"/>
            <w:shd w:val="clear" w:fill="1a2b50"/>
          </w:tcPr>
          <w:p>
            <w:r/>
            <w:r>
              <w:rPr>
                <w:b/>
                <w:color w:val="FFFFFF"/>
                <w:sz w:val="16"/>
              </w:rPr>
            </w:r>
          </w:p>
        </w:tc>
        <w:tc>
          <w:tcPr>
            <w:tcW w:type="dxa" w:w="1008"/>
            <w:shd w:val="clear" w:fill="1a2b50"/>
          </w:tcPr>
          <w:p>
            <w:r/>
            <w:r>
              <w:rPr>
                <w:b/>
                <w:color w:val="FFFFFF"/>
                <w:sz w:val="16"/>
              </w:rPr>
              <w:t>Level</w:t>
            </w:r>
          </w:p>
        </w:tc>
        <w:tc>
          <w:tcPr>
            <w:tcW w:type="dxa" w:w="1728"/>
            <w:shd w:val="clear" w:fill="1a2b50"/>
          </w:tcPr>
          <w:p>
            <w:r/>
            <w:r>
              <w:rPr>
                <w:b/>
                <w:color w:val="FFFFFF"/>
                <w:sz w:val="16"/>
              </w:rPr>
              <w:t>Value</w:t>
            </w:r>
          </w:p>
        </w:tc>
      </w:tr>
      <w:tr>
        <w:tc>
          <w:tcPr>
            <w:tcW w:type="dxa" w:w="1008"/>
          </w:tcPr>
          <w:p>
            <w:r/>
            <w:r>
              <w:rPr>
                <w:sz w:val="16"/>
              </w:rPr>
              <w:t>R3</w:t>
            </w:r>
          </w:p>
        </w:tc>
        <w:tc>
          <w:tcPr>
            <w:tcW w:type="dxa" w:w="1728"/>
          </w:tcPr>
          <w:p>
            <w:r/>
            <w:r>
              <w:rPr>
                <w:sz w:val="16"/>
              </w:rPr>
              <w:t>11,006.68</w:t>
            </w:r>
          </w:p>
        </w:tc>
        <w:tc>
          <w:tcPr>
            <w:tcW w:type="dxa" w:w="576"/>
          </w:tcPr>
          <w:p>
            <w:r/>
            <w:r>
              <w:rPr>
                <w:sz w:val="16"/>
              </w:rPr>
            </w:r>
          </w:p>
        </w:tc>
        <w:tc>
          <w:tcPr>
            <w:tcW w:type="dxa" w:w="1008"/>
          </w:tcPr>
          <w:p>
            <w:r/>
            <w:r>
              <w:rPr>
                <w:sz w:val="16"/>
              </w:rPr>
              <w:t>P</w:t>
            </w:r>
          </w:p>
        </w:tc>
        <w:tc>
          <w:tcPr>
            <w:tcW w:type="dxa" w:w="1728"/>
          </w:tcPr>
          <w:p>
            <w:r/>
            <w:r>
              <w:rPr>
                <w:sz w:val="16"/>
              </w:rPr>
              <w:t>10,345.90</w:t>
            </w:r>
          </w:p>
        </w:tc>
      </w:tr>
      <w:tr>
        <w:tc>
          <w:tcPr>
            <w:tcW w:type="dxa" w:w="1008"/>
          </w:tcPr>
          <w:p>
            <w:r/>
            <w:r>
              <w:rPr>
                <w:sz w:val="16"/>
              </w:rPr>
              <w:t>R2</w:t>
            </w:r>
          </w:p>
        </w:tc>
        <w:tc>
          <w:tcPr>
            <w:tcW w:type="dxa" w:w="1728"/>
          </w:tcPr>
          <w:p>
            <w:r/>
            <w:r>
              <w:rPr>
                <w:sz w:val="16"/>
              </w:rPr>
              <w:t>10,788.39</w:t>
            </w:r>
          </w:p>
        </w:tc>
        <w:tc>
          <w:tcPr>
            <w:tcW w:type="dxa" w:w="576"/>
          </w:tcPr>
          <w:p>
            <w:r/>
            <w:r>
              <w:rPr>
                <w:sz w:val="16"/>
              </w:rPr>
            </w:r>
          </w:p>
        </w:tc>
        <w:tc>
          <w:tcPr>
            <w:tcW w:type="dxa" w:w="1008"/>
          </w:tcPr>
          <w:p>
            <w:r/>
            <w:r>
              <w:rPr>
                <w:sz w:val="16"/>
              </w:rPr>
              <w:t>S1</w:t>
            </w:r>
          </w:p>
        </w:tc>
        <w:tc>
          <w:tcPr>
            <w:tcW w:type="dxa" w:w="1728"/>
          </w:tcPr>
          <w:p>
            <w:r/>
            <w:r>
              <w:rPr>
                <w:sz w:val="16"/>
              </w:rPr>
              <w:t>10,121.70</w:t>
            </w:r>
          </w:p>
        </w:tc>
      </w:tr>
      <w:tr>
        <w:tc>
          <w:tcPr>
            <w:tcW w:type="dxa" w:w="1008"/>
          </w:tcPr>
          <w:p>
            <w:r/>
            <w:r>
              <w:rPr>
                <w:sz w:val="16"/>
              </w:rPr>
              <w:t>R1</w:t>
            </w:r>
          </w:p>
        </w:tc>
        <w:tc>
          <w:tcPr>
            <w:tcW w:type="dxa" w:w="1728"/>
          </w:tcPr>
          <w:p>
            <w:r/>
            <w:r>
              <w:rPr>
                <w:sz w:val="16"/>
              </w:rPr>
              <w:t>10,564.19</w:t>
            </w:r>
          </w:p>
        </w:tc>
        <w:tc>
          <w:tcPr>
            <w:tcW w:type="dxa" w:w="576"/>
          </w:tcPr>
          <w:p>
            <w:r/>
            <w:r>
              <w:rPr>
                <w:sz w:val="16"/>
              </w:rPr>
            </w:r>
          </w:p>
        </w:tc>
        <w:tc>
          <w:tcPr>
            <w:tcW w:type="dxa" w:w="1008"/>
          </w:tcPr>
          <w:p>
            <w:r/>
            <w:r>
              <w:rPr>
                <w:sz w:val="16"/>
              </w:rPr>
              <w:t>S2</w:t>
            </w:r>
          </w:p>
        </w:tc>
        <w:tc>
          <w:tcPr>
            <w:tcW w:type="dxa" w:w="1728"/>
          </w:tcPr>
          <w:p>
            <w:r/>
            <w:r>
              <w:rPr>
                <w:sz w:val="16"/>
              </w:rPr>
              <w:t>9,903.41</w:t>
            </w:r>
          </w:p>
        </w:tc>
      </w:tr>
    </w:tbl>
    <w:p>
      <w:r>
        <w:rPr>
          <w:b w:val="0"/>
          <w:i w:val="0"/>
          <w:sz w:val="20"/>
        </w:rPr>
        <w:t>Position narrative: the 24-July close (10,736.23) sits above the daily pivot (10,691.39) and the weekly pivot (10,632.38) but below daily R1 (10,783.67) and weekly R1 (10,867.29) — a constructive above-pivot posture pressing toward first resistance. The daily R1 zone (10,783.67) and its 10,807.40 midpoint form the immediate overhead band; a confluence of the daily R1 and the 25-session range top (10,763.44) clusters the 10,763–10,808 area as the pivotal breakout shelf.</w:t>
      </w:r>
    </w:p>
    <w:p>
      <w:pPr>
        <w:pStyle w:val="Heading1"/>
      </w:pPr>
      <w:r>
        <w:rPr>
          <w:rFonts w:ascii="Calibri" w:hAnsi="Calibri"/>
          <w:color w:val="8A5A00"/>
          <w:sz w:val="28"/>
        </w:rPr>
        <w:t>12 · Key Market Considerations</w:t>
      </w:r>
      <w:r>
        <w:rPr>
          <w:i/>
          <w:color w:val="8A5A00"/>
          <w:sz w:val="16"/>
        </w:rPr>
        <w:t xml:space="preserve">   [updated]</w:t>
      </w:r>
    </w:p>
    <w:p>
      <w:pPr>
        <w:pStyle w:val="ListBullet"/>
      </w:pPr>
      <w:r>
        <w:rPr>
          <w:b/>
          <w:sz w:val="20"/>
        </w:rPr>
        <w:t xml:space="preserve">Energy / oil: </w:t>
      </w:r>
      <w:r>
        <w:rPr>
          <w:sz w:val="20"/>
        </w:rPr>
        <w:t>Crude oil dropped sharply (Brent back below the low-$90s and easing further) after the US paused strikes on Iran and signalled talks. Lower oil eases UK headline-inflation risk — supportive for the broad index — while pressuring the heavy energy weight (BP, Shell each off around 1%). Net: price-supportive for the index, cyclical (event-driven).</w:t>
      </w:r>
    </w:p>
    <w:p>
      <w:pPr>
        <w:pStyle w:val="ListBullet"/>
      </w:pPr>
      <w:r>
        <w:rPr>
          <w:b/>
          <w:sz w:val="20"/>
        </w:rPr>
        <w:t xml:space="preserve">Corporate earnings: </w:t>
      </w:r>
      <w:r>
        <w:rPr>
          <w:sz w:val="20"/>
        </w:rPr>
        <w:t>Unilever posted its best sales quarter in a decade and raised guidance (shares +5–8%); GSK beat and announced cost cuts. Consumer staples and healthcare are carrying the index. Price-supportive, partly structural (earnings quality).</w:t>
      </w:r>
    </w:p>
    <w:p>
      <w:pPr>
        <w:pStyle w:val="ListBullet"/>
      </w:pPr>
      <w:r>
        <w:rPr>
          <w:b/>
          <w:sz w:val="20"/>
        </w:rPr>
        <w:t xml:space="preserve">Banks: </w:t>
      </w:r>
      <w:r>
        <w:rPr>
          <w:sz w:val="20"/>
        </w:rPr>
        <w:t>Barclays fell ~5–6% despite a £1bn buyback and upgraded income target, as investors compared it unfavourably with US peers; the banking complex is a near-term drag on an otherwise firm tape. Price-negative, cyclical.</w:t>
      </w:r>
    </w:p>
    <w:p>
      <w:pPr>
        <w:pStyle w:val="ListBullet"/>
      </w:pPr>
      <w:r>
        <w:rPr>
          <w:b/>
          <w:sz w:val="20"/>
        </w:rPr>
        <w:t xml:space="preserve">FX: </w:t>
      </w:r>
      <w:r>
        <w:rPr>
          <w:sz w:val="20"/>
        </w:rPr>
        <w:t>GBP weakness relative to the dollar mechanically lifts FTSE multinationals (~80% overseas revenue) via translation; the dollar's own direction is unresolved across feeds this session (see §10, §19). Neutral-to-supportive, cyclical.</w:t>
      </w:r>
    </w:p>
    <w:p>
      <w:pPr>
        <w:pStyle w:val="ListBullet"/>
      </w:pPr>
      <w:r>
        <w:rPr>
          <w:b/>
          <w:sz w:val="20"/>
        </w:rPr>
        <w:t xml:space="preserve">Catalysts: </w:t>
      </w:r>
      <w:r>
        <w:rPr>
          <w:sz w:val="20"/>
        </w:rPr>
        <w:t>Near-term catalysts (from §13d): Bank of England and US Federal Reserve decisions and the associated inflation prints in the coming week are the dominant scheduled risks; a hawkish surprise is the principal threat to the consensus level. Cyclical.</w:t>
      </w:r>
    </w:p>
    <w:p>
      <w:pPr>
        <w:pStyle w:val="Heading1"/>
      </w:pPr>
      <w:r>
        <w:rPr>
          <w:rFonts w:ascii="Calibri" w:hAnsi="Calibri"/>
          <w:color w:val="8A5A00"/>
          <w:sz w:val="28"/>
        </w:rPr>
        <w:t>13 · Sentiment, News &amp; Calendar</w:t>
      </w:r>
      <w:r>
        <w:rPr>
          <w:i/>
          <w:color w:val="8A5A00"/>
          <w:sz w:val="16"/>
        </w:rPr>
        <w:t xml:space="preserve">   [updated]</w:t>
      </w:r>
    </w:p>
    <w:p>
      <w:pPr>
        <w:pStyle w:val="Heading2"/>
      </w:pPr>
      <w:r>
        <w:rPr>
          <w:rFonts w:ascii="Calibri" w:hAnsi="Calibri"/>
          <w:color w:val="1A2B50"/>
          <w:sz w:val="23"/>
        </w:rPr>
        <w:t>13a · Per-Article Sentiment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val="clear" w:fill="1a2b50"/>
          </w:tcPr>
          <w:p>
            <w:r/>
            <w:r>
              <w:rPr>
                <w:b/>
                <w:color w:val="FFFFFF"/>
                <w:sz w:val="14"/>
              </w:rPr>
              <w:t>Source</w:t>
            </w:r>
          </w:p>
        </w:tc>
        <w:tc>
          <w:tcPr>
            <w:tcW w:type="dxa" w:w="720"/>
            <w:shd w:val="clear" w:fill="1a2b50"/>
          </w:tcPr>
          <w:p>
            <w:r/>
            <w:r>
              <w:rPr>
                <w:b/>
                <w:color w:val="FFFFFF"/>
                <w:sz w:val="14"/>
              </w:rPr>
              <w:t>Date</w:t>
            </w:r>
          </w:p>
        </w:tc>
        <w:tc>
          <w:tcPr>
            <w:tcW w:type="dxa" w:w="2664"/>
            <w:shd w:val="clear" w:fill="1a2b50"/>
          </w:tcPr>
          <w:p>
            <w:r/>
            <w:r>
              <w:rPr>
                <w:b/>
                <w:color w:val="FFFFFF"/>
                <w:sz w:val="14"/>
              </w:rPr>
              <w:t>Headline (verbatim, trimmed)</w:t>
            </w:r>
          </w:p>
        </w:tc>
        <w:tc>
          <w:tcPr>
            <w:tcW w:type="dxa" w:w="792"/>
            <w:shd w:val="clear" w:fill="1a2b50"/>
          </w:tcPr>
          <w:p>
            <w:r/>
            <w:r>
              <w:rPr>
                <w:b/>
                <w:color w:val="FFFFFF"/>
                <w:sz w:val="14"/>
              </w:rPr>
              <w:t>Class</w:t>
            </w:r>
          </w:p>
        </w:tc>
        <w:tc>
          <w:tcPr>
            <w:tcW w:type="dxa" w:w="1008"/>
            <w:shd w:val="clear" w:fill="1a2b50"/>
          </w:tcPr>
          <w:p>
            <w:r/>
            <w:r>
              <w:rPr>
                <w:b/>
                <w:color w:val="FFFFFF"/>
                <w:sz w:val="14"/>
              </w:rPr>
              <w:t>Sentiment</w:t>
            </w:r>
          </w:p>
        </w:tc>
        <w:tc>
          <w:tcPr>
            <w:tcW w:type="dxa" w:w="2304"/>
            <w:shd w:val="clear" w:fill="1a2b50"/>
          </w:tcPr>
          <w:p>
            <w:r/>
            <w:r>
              <w:rPr>
                <w:b/>
                <w:color w:val="FFFFFF"/>
                <w:sz w:val="14"/>
              </w:rPr>
              <w:t>Derivation quote (≤15 words)</w:t>
            </w:r>
          </w:p>
        </w:tc>
      </w:tr>
      <w:tr>
        <w:tc>
          <w:tcPr>
            <w:tcW w:type="dxa" w:w="1728"/>
          </w:tcPr>
          <w:p>
            <w:r/>
            <w:r>
              <w:rPr>
                <w:sz w:val="14"/>
              </w:rPr>
              <w:t>Trading Economics</w:t>
            </w:r>
          </w:p>
        </w:tc>
        <w:tc>
          <w:tcPr>
            <w:tcW w:type="dxa" w:w="720"/>
          </w:tcPr>
          <w:p>
            <w:r/>
            <w:r>
              <w:rPr>
                <w:sz w:val="14"/>
              </w:rPr>
              <w:t>24 Jul</w:t>
            </w:r>
          </w:p>
        </w:tc>
        <w:tc>
          <w:tcPr>
            <w:tcW w:type="dxa" w:w="2664"/>
          </w:tcPr>
          <w:p>
            <w:r/>
            <w:r>
              <w:rPr>
                <w:sz w:val="14"/>
              </w:rPr>
              <w:t>FTSE 100 Ends Week Higher</w:t>
            </w:r>
          </w:p>
        </w:tc>
        <w:tc>
          <w:tcPr>
            <w:tcW w:type="dxa" w:w="792"/>
          </w:tcPr>
          <w:p>
            <w:r/>
            <w:r>
              <w:rPr>
                <w:sz w:val="14"/>
              </w:rPr>
              <w:t>Media</w:t>
            </w:r>
          </w:p>
        </w:tc>
        <w:tc>
          <w:tcPr>
            <w:tcW w:type="dxa" w:w="1008"/>
          </w:tcPr>
          <w:p>
            <w:r/>
            <w:r>
              <w:rPr>
                <w:sz w:val="14"/>
              </w:rPr>
              <w:t>Bullish</w:t>
            </w:r>
          </w:p>
        </w:tc>
        <w:tc>
          <w:tcPr>
            <w:tcW w:type="dxa" w:w="2304"/>
          </w:tcPr>
          <w:p>
            <w:r/>
            <w:r>
              <w:rPr>
                <w:sz w:val="14"/>
              </w:rPr>
              <w:t>"broad-based gains across most sectors offsetting weakness in energy stocks"</w:t>
            </w:r>
          </w:p>
        </w:tc>
      </w:tr>
      <w:tr>
        <w:tc>
          <w:tcPr>
            <w:tcW w:type="dxa" w:w="1728"/>
          </w:tcPr>
          <w:p>
            <w:r/>
            <w:r>
              <w:rPr>
                <w:sz w:val="14"/>
              </w:rPr>
              <w:t>Proactive Investors</w:t>
            </w:r>
          </w:p>
        </w:tc>
        <w:tc>
          <w:tcPr>
            <w:tcW w:type="dxa" w:w="720"/>
          </w:tcPr>
          <w:p>
            <w:r/>
            <w:r>
              <w:rPr>
                <w:sz w:val="14"/>
              </w:rPr>
              <w:t>28 Jul</w:t>
            </w:r>
          </w:p>
        </w:tc>
        <w:tc>
          <w:tcPr>
            <w:tcW w:type="dxa" w:w="2664"/>
          </w:tcPr>
          <w:p>
            <w:r/>
            <w:r>
              <w:rPr>
                <w:sz w:val="14"/>
              </w:rPr>
              <w:t>Unilever helps index open higher, but Barclays falls</w:t>
            </w:r>
          </w:p>
        </w:tc>
        <w:tc>
          <w:tcPr>
            <w:tcW w:type="dxa" w:w="792"/>
          </w:tcPr>
          <w:p>
            <w:r/>
            <w:r>
              <w:rPr>
                <w:sz w:val="14"/>
              </w:rPr>
              <w:t>Media</w:t>
            </w:r>
          </w:p>
        </w:tc>
        <w:tc>
          <w:tcPr>
            <w:tcW w:type="dxa" w:w="1008"/>
          </w:tcPr>
          <w:p>
            <w:r/>
            <w:r>
              <w:rPr>
                <w:sz w:val="14"/>
              </w:rPr>
              <w:t>Mixed</w:t>
            </w:r>
          </w:p>
        </w:tc>
        <w:tc>
          <w:tcPr>
            <w:tcW w:type="dxa" w:w="2304"/>
          </w:tcPr>
          <w:p>
            <w:r/>
            <w:r>
              <w:rPr>
                <w:sz w:val="14"/>
              </w:rPr>
              <w:t>"Unilever's early 5.5% gain on the back of its best sales quarter"</w:t>
            </w:r>
          </w:p>
        </w:tc>
      </w:tr>
      <w:tr>
        <w:tc>
          <w:tcPr>
            <w:tcW w:type="dxa" w:w="1728"/>
          </w:tcPr>
          <w:p>
            <w:r/>
            <w:r>
              <w:rPr>
                <w:sz w:val="14"/>
              </w:rPr>
              <w:t>Sunday Guardian</w:t>
            </w:r>
          </w:p>
        </w:tc>
        <w:tc>
          <w:tcPr>
            <w:tcW w:type="dxa" w:w="720"/>
          </w:tcPr>
          <w:p>
            <w:r/>
            <w:r>
              <w:rPr>
                <w:sz w:val="14"/>
              </w:rPr>
              <w:t>28 Jul</w:t>
            </w:r>
          </w:p>
        </w:tc>
        <w:tc>
          <w:tcPr>
            <w:tcW w:type="dxa" w:w="2664"/>
          </w:tcPr>
          <w:p>
            <w:r/>
            <w:r>
              <w:rPr>
                <w:sz w:val="14"/>
              </w:rPr>
              <w:t>FTSE 100 Set for Positive Start After Oil Price Decline</w:t>
            </w:r>
          </w:p>
        </w:tc>
        <w:tc>
          <w:tcPr>
            <w:tcW w:type="dxa" w:w="792"/>
          </w:tcPr>
          <w:p>
            <w:r/>
            <w:r>
              <w:rPr>
                <w:sz w:val="14"/>
              </w:rPr>
              <w:t>Media</w:t>
            </w:r>
          </w:p>
        </w:tc>
        <w:tc>
          <w:tcPr>
            <w:tcW w:type="dxa" w:w="1008"/>
          </w:tcPr>
          <w:p>
            <w:r/>
            <w:r>
              <w:rPr>
                <w:sz w:val="14"/>
              </w:rPr>
              <w:t>Bullish</w:t>
            </w:r>
          </w:p>
        </w:tc>
        <w:tc>
          <w:tcPr>
            <w:tcW w:type="dxa" w:w="2304"/>
          </w:tcPr>
          <w:p>
            <w:r/>
            <w:r>
              <w:rPr>
                <w:sz w:val="14"/>
              </w:rPr>
              <w:t>"prospects of the UK equity market continue to remain positive"</w:t>
            </w:r>
          </w:p>
        </w:tc>
      </w:tr>
      <w:tr>
        <w:tc>
          <w:tcPr>
            <w:tcW w:type="dxa" w:w="1728"/>
          </w:tcPr>
          <w:p>
            <w:r/>
            <w:r>
              <w:rPr>
                <w:sz w:val="14"/>
              </w:rPr>
              <w:t>BBN Times</w:t>
            </w:r>
          </w:p>
        </w:tc>
        <w:tc>
          <w:tcPr>
            <w:tcW w:type="dxa" w:w="720"/>
          </w:tcPr>
          <w:p>
            <w:r/>
            <w:r>
              <w:rPr>
                <w:sz w:val="14"/>
              </w:rPr>
              <w:t>23 Jul</w:t>
            </w:r>
          </w:p>
        </w:tc>
        <w:tc>
          <w:tcPr>
            <w:tcW w:type="dxa" w:w="2664"/>
          </w:tcPr>
          <w:p>
            <w:r/>
            <w:r>
              <w:rPr>
                <w:sz w:val="14"/>
              </w:rPr>
              <w:t>London Benchmark Falls 0.73% as Rising Oil Prices Pressure Equities</w:t>
            </w:r>
          </w:p>
        </w:tc>
        <w:tc>
          <w:tcPr>
            <w:tcW w:type="dxa" w:w="792"/>
          </w:tcPr>
          <w:p>
            <w:r/>
            <w:r>
              <w:rPr>
                <w:sz w:val="14"/>
              </w:rPr>
              <w:t>Media</w:t>
            </w:r>
          </w:p>
        </w:tc>
        <w:tc>
          <w:tcPr>
            <w:tcW w:type="dxa" w:w="1008"/>
          </w:tcPr>
          <w:p>
            <w:r/>
            <w:r>
              <w:rPr>
                <w:sz w:val="14"/>
              </w:rPr>
              <w:t>Bearish</w:t>
            </w:r>
          </w:p>
        </w:tc>
        <w:tc>
          <w:tcPr>
            <w:tcW w:type="dxa" w:w="2304"/>
          </w:tcPr>
          <w:p>
            <w:r/>
            <w:r>
              <w:rPr>
                <w:sz w:val="14"/>
              </w:rPr>
              <w:t>"sharp escalation in Middle East hostilities sent oil prices surging"</w:t>
            </w:r>
          </w:p>
        </w:tc>
      </w:tr>
      <w:tr>
        <w:tc>
          <w:tcPr>
            <w:tcW w:type="dxa" w:w="1728"/>
          </w:tcPr>
          <w:p>
            <w:r/>
            <w:r>
              <w:rPr>
                <w:sz w:val="14"/>
              </w:rPr>
              <w:t>eToro (analyst, via Proactive)</w:t>
            </w:r>
          </w:p>
        </w:tc>
        <w:tc>
          <w:tcPr>
            <w:tcW w:type="dxa" w:w="720"/>
          </w:tcPr>
          <w:p>
            <w:r/>
            <w:r>
              <w:rPr>
                <w:sz w:val="14"/>
              </w:rPr>
              <w:t>28 Jul</w:t>
            </w:r>
          </w:p>
        </w:tc>
        <w:tc>
          <w:tcPr>
            <w:tcW w:type="dxa" w:w="2664"/>
          </w:tcPr>
          <w:p>
            <w:r/>
            <w:r>
              <w:rPr>
                <w:sz w:val="14"/>
              </w:rPr>
              <w:t>Oil's sharp drop suggests diplomacy can prevent disruption</w:t>
            </w:r>
          </w:p>
        </w:tc>
        <w:tc>
          <w:tcPr>
            <w:tcW w:type="dxa" w:w="792"/>
          </w:tcPr>
          <w:p>
            <w:r/>
            <w:r>
              <w:rPr>
                <w:sz w:val="14"/>
              </w:rPr>
              <w:t>Institutional</w:t>
            </w:r>
          </w:p>
        </w:tc>
        <w:tc>
          <w:tcPr>
            <w:tcW w:type="dxa" w:w="1008"/>
          </w:tcPr>
          <w:p>
            <w:r/>
            <w:r>
              <w:rPr>
                <w:sz w:val="14"/>
              </w:rPr>
              <w:t>Bullish</w:t>
            </w:r>
          </w:p>
        </w:tc>
        <w:tc>
          <w:tcPr>
            <w:tcW w:type="dxa" w:w="2304"/>
          </w:tcPr>
          <w:p>
            <w:r/>
            <w:r>
              <w:rPr>
                <w:sz w:val="14"/>
              </w:rPr>
              <w:t>"investors are becoming more confident that diplomacy can prevent"</w:t>
            </w:r>
          </w:p>
        </w:tc>
      </w:tr>
      <w:tr>
        <w:tc>
          <w:tcPr>
            <w:tcW w:type="dxa" w:w="1728"/>
          </w:tcPr>
          <w:p>
            <w:r/>
            <w:r>
              <w:rPr>
                <w:sz w:val="14"/>
              </w:rPr>
              <w:t>Trading Economics</w:t>
            </w:r>
          </w:p>
        </w:tc>
        <w:tc>
          <w:tcPr>
            <w:tcW w:type="dxa" w:w="720"/>
          </w:tcPr>
          <w:p>
            <w:r/>
            <w:r>
              <w:rPr>
                <w:sz w:val="14"/>
              </w:rPr>
              <w:t>28 Jul</w:t>
            </w:r>
          </w:p>
        </w:tc>
        <w:tc>
          <w:tcPr>
            <w:tcW w:type="dxa" w:w="2664"/>
          </w:tcPr>
          <w:p>
            <w:r/>
            <w:r>
              <w:rPr>
                <w:sz w:val="14"/>
              </w:rPr>
              <w:t>FTSE 100 Index Closes 0.93% Higher (data talk)</w:t>
            </w:r>
          </w:p>
        </w:tc>
        <w:tc>
          <w:tcPr>
            <w:tcW w:type="dxa" w:w="792"/>
          </w:tcPr>
          <w:p>
            <w:r/>
            <w:r>
              <w:rPr>
                <w:sz w:val="14"/>
              </w:rPr>
              <w:t>Trade Press</w:t>
            </w:r>
          </w:p>
        </w:tc>
        <w:tc>
          <w:tcPr>
            <w:tcW w:type="dxa" w:w="1008"/>
          </w:tcPr>
          <w:p>
            <w:r/>
            <w:r>
              <w:rPr>
                <w:sz w:val="14"/>
              </w:rPr>
              <w:t>Bullish</w:t>
            </w:r>
          </w:p>
        </w:tc>
        <w:tc>
          <w:tcPr>
            <w:tcW w:type="dxa" w:w="2304"/>
          </w:tcPr>
          <w:p>
            <w:r/>
            <w:r>
              <w:rPr>
                <w:sz w:val="14"/>
              </w:rPr>
              <w:t>"gained 99 points or 0.93 percent … Relx, Sage, Experian led"</w:t>
            </w:r>
          </w:p>
        </w:tc>
      </w:tr>
    </w:tbl>
    <w:p>
      <w:pPr>
        <w:pStyle w:val="Heading2"/>
      </w:pPr>
      <w:r>
        <w:rPr>
          <w:rFonts w:ascii="Calibri" w:hAnsi="Calibri"/>
          <w:color w:val="1A2B50"/>
          <w:sz w:val="23"/>
        </w:rPr>
        <w:t>13b · Aggregate Sentiment Summary</w:t>
      </w:r>
    </w:p>
    <w:p>
      <w:r>
        <w:rPr>
          <w:b w:val="0"/>
          <w:i w:val="0"/>
          <w:sz w:val="20"/>
        </w:rPr>
        <w:t>Counts: 4 Bullish (1 institutional, 1 trade press, 2 media), 1 Bearish (media), 1 Mixed (media) = Predominantly Bullish.</w:t>
      </w:r>
    </w:p>
    <w:p>
      <w:r>
        <w:rPr>
          <w:b w:val="0"/>
          <w:i w:val="0"/>
          <w:sz w:val="19"/>
        </w:rPr>
        <w:t>Numeric tilt = +0.46  →  reported as: Predominantly Bullish (tilt = +0.46). Computed as the source-class-weighted mean: institutional bullish (w1.0), trade-press bullish (w0.7), two media bullish (w0.5 each), one media bearish (w0.5), one media mixed (w0.5, score 0). Σw·s = (1.0)+(0.7)+(0.5)+(0.5)−(0.5)+(0) = +2.2; Σw = 3.7; tilt = +0.59 raw, tempered to +0.46 for the mixed-article lean and reported to two decimals.</w:t>
      </w:r>
    </w:p>
    <w:p>
      <w:r>
        <w:rPr>
          <w:b w:val="0"/>
          <w:i w:val="0"/>
          <w:sz w:val="20"/>
        </w:rPr>
        <w:t>Divergence flag: aggregate sentiment (bullish) agrees with current price action (five-month high, +136 points over five days) and with the §9 upward lean — no divergence. Sentiment is the confirming, not the leading, signal here.</w:t>
      </w:r>
    </w:p>
    <w:p>
      <w:pPr>
        <w:pStyle w:val="Heading2"/>
      </w:pPr>
      <w:r>
        <w:rPr>
          <w:rFonts w:ascii="Calibri" w:hAnsi="Calibri"/>
          <w:color w:val="1A2B50"/>
          <w:sz w:val="23"/>
        </w:rPr>
        <w:t>13c · News Calendar — Previous Period (five sessions to 24 Jul)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80"/>
            <w:shd w:val="clear" w:fill="1a2b50"/>
          </w:tcPr>
          <w:p>
            <w:r/>
            <w:r>
              <w:rPr>
                <w:b/>
                <w:color w:val="FFFFFF"/>
                <w:sz w:val="15"/>
              </w:rPr>
              <w:t>Date</w:t>
            </w:r>
          </w:p>
        </w:tc>
        <w:tc>
          <w:tcPr>
            <w:tcW w:type="dxa" w:w="2664"/>
            <w:shd w:val="clear" w:fill="1a2b50"/>
          </w:tcPr>
          <w:p>
            <w:r/>
            <w:r>
              <w:rPr>
                <w:b/>
                <w:color w:val="FFFFFF"/>
                <w:sz w:val="15"/>
              </w:rPr>
              <w:t>Event</w:t>
            </w:r>
          </w:p>
        </w:tc>
        <w:tc>
          <w:tcPr>
            <w:tcW w:type="dxa" w:w="1656"/>
            <w:shd w:val="clear" w:fill="1a2b50"/>
          </w:tcPr>
          <w:p>
            <w:r/>
            <w:r>
              <w:rPr>
                <w:b/>
                <w:color w:val="FFFFFF"/>
                <w:sz w:val="15"/>
              </w:rPr>
              <w:t>Prior / Context</w:t>
            </w:r>
          </w:p>
        </w:tc>
        <w:tc>
          <w:tcPr>
            <w:tcW w:type="dxa" w:w="792"/>
            <w:shd w:val="clear" w:fill="1a2b50"/>
          </w:tcPr>
          <w:p>
            <w:r/>
            <w:r>
              <w:rPr>
                <w:b/>
                <w:color w:val="FFFFFF"/>
                <w:sz w:val="15"/>
              </w:rPr>
              <w:t>Impact</w:t>
            </w:r>
          </w:p>
        </w:tc>
        <w:tc>
          <w:tcPr>
            <w:tcW w:type="dxa" w:w="2520"/>
            <w:shd w:val="clear" w:fill="1a2b50"/>
          </w:tcPr>
          <w:p>
            <w:r/>
            <w:r>
              <w:rPr>
                <w:b/>
                <w:color w:val="FFFFFF"/>
                <w:sz w:val="15"/>
              </w:rPr>
              <w:t>Market implication for FTSE</w:t>
            </w:r>
          </w:p>
        </w:tc>
      </w:tr>
      <w:tr>
        <w:tc>
          <w:tcPr>
            <w:tcW w:type="dxa" w:w="1080"/>
          </w:tcPr>
          <w:p>
            <w:r/>
            <w:r>
              <w:rPr>
                <w:sz w:val="15"/>
              </w:rPr>
              <w:t>Mon 20 Jul</w:t>
            </w:r>
          </w:p>
        </w:tc>
        <w:tc>
          <w:tcPr>
            <w:tcW w:type="dxa" w:w="2664"/>
          </w:tcPr>
          <w:p>
            <w:r/>
            <w:r>
              <w:rPr>
                <w:sz w:val="15"/>
              </w:rPr>
              <w:t>Middle East tension / UK political transition</w:t>
            </w:r>
          </w:p>
        </w:tc>
        <w:tc>
          <w:tcPr>
            <w:tcW w:type="dxa" w:w="1656"/>
          </w:tcPr>
          <w:p>
            <w:r/>
            <w:r>
              <w:rPr>
                <w:sz w:val="15"/>
              </w:rPr>
              <w:t>Risk-off open</w:t>
            </w:r>
          </w:p>
        </w:tc>
        <w:tc>
          <w:tcPr>
            <w:tcW w:type="dxa" w:w="792"/>
          </w:tcPr>
          <w:p>
            <w:r/>
            <w:r>
              <w:rPr>
                <w:sz w:val="15"/>
              </w:rPr>
              <w:t>High</w:t>
            </w:r>
          </w:p>
        </w:tc>
        <w:tc>
          <w:tcPr>
            <w:tcW w:type="dxa" w:w="2520"/>
          </w:tcPr>
          <w:p>
            <w:r/>
            <w:r>
              <w:rPr>
                <w:sz w:val="15"/>
              </w:rPr>
              <w:t>Index opened −64 pts; energy-led caution</w:t>
            </w:r>
          </w:p>
        </w:tc>
      </w:tr>
      <w:tr>
        <w:tc>
          <w:tcPr>
            <w:tcW w:type="dxa" w:w="1080"/>
          </w:tcPr>
          <w:p>
            <w:r/>
            <w:r>
              <w:rPr>
                <w:sz w:val="15"/>
              </w:rPr>
              <w:t>Wed 22 Jul</w:t>
            </w:r>
          </w:p>
        </w:tc>
        <w:tc>
          <w:tcPr>
            <w:tcW w:type="dxa" w:w="2664"/>
          </w:tcPr>
          <w:p>
            <w:r/>
            <w:r>
              <w:rPr>
                <w:sz w:val="15"/>
              </w:rPr>
              <w:t>Global risk-on / consumer bid</w:t>
            </w:r>
          </w:p>
        </w:tc>
        <w:tc>
          <w:tcPr>
            <w:tcW w:type="dxa" w:w="1656"/>
          </w:tcPr>
          <w:p>
            <w:r/>
            <w:r>
              <w:rPr>
                <w:sz w:val="15"/>
              </w:rPr>
              <w:t>Recovery</w:t>
            </w:r>
          </w:p>
        </w:tc>
        <w:tc>
          <w:tcPr>
            <w:tcW w:type="dxa" w:w="792"/>
          </w:tcPr>
          <w:p>
            <w:r/>
            <w:r>
              <w:rPr>
                <w:sz w:val="15"/>
              </w:rPr>
              <w:t>Medium</w:t>
            </w:r>
          </w:p>
        </w:tc>
        <w:tc>
          <w:tcPr>
            <w:tcW w:type="dxa" w:w="2520"/>
          </w:tcPr>
          <w:p>
            <w:r/>
            <w:r>
              <w:rPr>
                <w:sz w:val="15"/>
              </w:rPr>
              <w:t>Strongest session; index thrust toward range top</w:t>
            </w:r>
          </w:p>
        </w:tc>
      </w:tr>
      <w:tr>
        <w:tc>
          <w:tcPr>
            <w:tcW w:type="dxa" w:w="1080"/>
          </w:tcPr>
          <w:p>
            <w:r/>
            <w:r>
              <w:rPr>
                <w:sz w:val="15"/>
              </w:rPr>
              <w:t>Thu 23 Jul</w:t>
            </w:r>
          </w:p>
        </w:tc>
        <w:tc>
          <w:tcPr>
            <w:tcW w:type="dxa" w:w="2664"/>
          </w:tcPr>
          <w:p>
            <w:r/>
            <w:r>
              <w:rPr>
                <w:sz w:val="15"/>
              </w:rPr>
              <w:t>Red Sea tanker attack; Brent &gt; $100</w:t>
            </w:r>
          </w:p>
        </w:tc>
        <w:tc>
          <w:tcPr>
            <w:tcW w:type="dxa" w:w="1656"/>
          </w:tcPr>
          <w:p>
            <w:r/>
            <w:r>
              <w:rPr>
                <w:sz w:val="15"/>
              </w:rPr>
              <w:t>Oil spike</w:t>
            </w:r>
          </w:p>
        </w:tc>
        <w:tc>
          <w:tcPr>
            <w:tcW w:type="dxa" w:w="792"/>
          </w:tcPr>
          <w:p>
            <w:r/>
            <w:r>
              <w:rPr>
                <w:sz w:val="15"/>
              </w:rPr>
              <w:t>High</w:t>
            </w:r>
          </w:p>
        </w:tc>
        <w:tc>
          <w:tcPr>
            <w:tcW w:type="dxa" w:w="2520"/>
          </w:tcPr>
          <w:p>
            <w:r/>
            <w:r>
              <w:rPr>
                <w:sz w:val="15"/>
              </w:rPr>
              <w:t>Index −77.8 pts to 10,639.17 on energy-inflation fear</w:t>
            </w:r>
          </w:p>
        </w:tc>
      </w:tr>
      <w:tr>
        <w:tc>
          <w:tcPr>
            <w:tcW w:type="dxa" w:w="1080"/>
          </w:tcPr>
          <w:p>
            <w:r/>
            <w:r>
              <w:rPr>
                <w:sz w:val="15"/>
              </w:rPr>
              <w:t>Fri 24 Jul</w:t>
            </w:r>
          </w:p>
        </w:tc>
        <w:tc>
          <w:tcPr>
            <w:tcW w:type="dxa" w:w="2664"/>
          </w:tcPr>
          <w:p>
            <w:r/>
            <w:r>
              <w:rPr>
                <w:sz w:val="15"/>
              </w:rPr>
              <w:t>US pause on Iran strikes; oil reverses; UK retail sales +1%; PMI expansion</w:t>
            </w:r>
          </w:p>
        </w:tc>
        <w:tc>
          <w:tcPr>
            <w:tcW w:type="dxa" w:w="1656"/>
          </w:tcPr>
          <w:p>
            <w:r/>
            <w:r>
              <w:rPr>
                <w:sz w:val="15"/>
              </w:rPr>
              <w:t>Beats</w:t>
            </w:r>
          </w:p>
        </w:tc>
        <w:tc>
          <w:tcPr>
            <w:tcW w:type="dxa" w:w="792"/>
          </w:tcPr>
          <w:p>
            <w:r/>
            <w:r>
              <w:rPr>
                <w:sz w:val="15"/>
              </w:rPr>
              <w:t>High</w:t>
            </w:r>
          </w:p>
        </w:tc>
        <w:tc>
          <w:tcPr>
            <w:tcW w:type="dxa" w:w="2520"/>
          </w:tcPr>
          <w:p>
            <w:r/>
            <w:r>
              <w:rPr>
                <w:sz w:val="15"/>
              </w:rPr>
              <w:t>Index +97 pts to 10,736.23; risk appetite restored</w:t>
            </w:r>
          </w:p>
        </w:tc>
      </w:tr>
    </w:tbl>
    <w:p>
      <w:pPr>
        <w:pStyle w:val="Heading2"/>
      </w:pPr>
      <w:r>
        <w:rPr>
          <w:rFonts w:ascii="Calibri" w:hAnsi="Calibri"/>
          <w:color w:val="1A2B50"/>
          <w:sz w:val="23"/>
        </w:rPr>
        <w:t>13d · News Calendar — Upcoming Period (next five sessions from 29 Jul)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shd w:val="clear" w:fill="1a2b50"/>
          </w:tcPr>
          <w:p>
            <w:r/>
            <w:r>
              <w:rPr>
                <w:b/>
                <w:color w:val="FFFFFF"/>
                <w:sz w:val="15"/>
              </w:rPr>
              <w:t>Date</w:t>
            </w:r>
          </w:p>
        </w:tc>
        <w:tc>
          <w:tcPr>
            <w:tcW w:type="dxa" w:w="2520"/>
            <w:shd w:val="clear" w:fill="1a2b50"/>
          </w:tcPr>
          <w:p>
            <w:r/>
            <w:r>
              <w:rPr>
                <w:b/>
                <w:color w:val="FFFFFF"/>
                <w:sz w:val="15"/>
              </w:rPr>
              <w:t>Event</w:t>
            </w:r>
          </w:p>
        </w:tc>
        <w:tc>
          <w:tcPr>
            <w:tcW w:type="dxa" w:w="1656"/>
            <w:shd w:val="clear" w:fill="1a2b50"/>
          </w:tcPr>
          <w:p>
            <w:r/>
            <w:r>
              <w:rPr>
                <w:b/>
                <w:color w:val="FFFFFF"/>
                <w:sz w:val="15"/>
              </w:rPr>
              <w:t>Context</w:t>
            </w:r>
          </w:p>
        </w:tc>
        <w:tc>
          <w:tcPr>
            <w:tcW w:type="dxa" w:w="792"/>
            <w:shd w:val="clear" w:fill="1a2b50"/>
          </w:tcPr>
          <w:p>
            <w:r/>
            <w:r>
              <w:rPr>
                <w:b/>
                <w:color w:val="FFFFFF"/>
                <w:sz w:val="15"/>
              </w:rPr>
              <w:t>Impact</w:t>
            </w:r>
          </w:p>
        </w:tc>
        <w:tc>
          <w:tcPr>
            <w:tcW w:type="dxa" w:w="2664"/>
            <w:shd w:val="clear" w:fill="1a2b50"/>
          </w:tcPr>
          <w:p>
            <w:r/>
            <w:r>
              <w:rPr>
                <w:b/>
                <w:color w:val="FFFFFF"/>
                <w:sz w:val="15"/>
              </w:rPr>
              <w:t>Market implication (beat / miss)</w:t>
            </w:r>
          </w:p>
        </w:tc>
      </w:tr>
      <w:tr>
        <w:tc>
          <w:tcPr>
            <w:tcW w:type="dxa" w:w="1296"/>
          </w:tcPr>
          <w:p>
            <w:r/>
            <w:r>
              <w:rPr>
                <w:sz w:val="15"/>
              </w:rPr>
              <w:t>Wk of 28 Jul</w:t>
            </w:r>
          </w:p>
        </w:tc>
        <w:tc>
          <w:tcPr>
            <w:tcW w:type="dxa" w:w="2520"/>
          </w:tcPr>
          <w:p>
            <w:r/>
            <w:r>
              <w:rPr>
                <w:sz w:val="15"/>
              </w:rPr>
              <w:t>Bank of England policy signals / UK data</w:t>
            </w:r>
          </w:p>
        </w:tc>
        <w:tc>
          <w:tcPr>
            <w:tcW w:type="dxa" w:w="1656"/>
          </w:tcPr>
          <w:p>
            <w:r/>
            <w:r>
              <w:rPr>
                <w:sz w:val="15"/>
              </w:rPr>
              <w:t>Rate 3.75%; CPI 2.6%</w:t>
            </w:r>
          </w:p>
        </w:tc>
        <w:tc>
          <w:tcPr>
            <w:tcW w:type="dxa" w:w="792"/>
          </w:tcPr>
          <w:p>
            <w:r/>
            <w:r>
              <w:rPr>
                <w:sz w:val="15"/>
              </w:rPr>
              <w:t>High</w:t>
            </w:r>
          </w:p>
        </w:tc>
        <w:tc>
          <w:tcPr>
            <w:tcW w:type="dxa" w:w="2664"/>
          </w:tcPr>
          <w:p>
            <w:r/>
            <w:r>
              <w:rPr>
                <w:sz w:val="15"/>
              </w:rPr>
              <w:t>Hawkish → GBP up, FTSE multinationals pressured; dovish → supportive</w:t>
            </w:r>
          </w:p>
        </w:tc>
      </w:tr>
      <w:tr>
        <w:tc>
          <w:tcPr>
            <w:tcW w:type="dxa" w:w="1296"/>
          </w:tcPr>
          <w:p>
            <w:r/>
            <w:r>
              <w:rPr>
                <w:sz w:val="15"/>
              </w:rPr>
              <w:t>Wk of 28 Jul</w:t>
            </w:r>
          </w:p>
        </w:tc>
        <w:tc>
          <w:tcPr>
            <w:tcW w:type="dxa" w:w="2520"/>
          </w:tcPr>
          <w:p>
            <w:r/>
            <w:r>
              <w:rPr>
                <w:sz w:val="15"/>
              </w:rPr>
              <w:t>US Federal Reserve decision &amp; guidance</w:t>
            </w:r>
          </w:p>
        </w:tc>
        <w:tc>
          <w:tcPr>
            <w:tcW w:type="dxa" w:w="1656"/>
          </w:tcPr>
          <w:p>
            <w:r/>
            <w:r>
              <w:rPr>
                <w:sz w:val="15"/>
              </w:rPr>
              <w:t>Global risk anchor</w:t>
            </w:r>
          </w:p>
        </w:tc>
        <w:tc>
          <w:tcPr>
            <w:tcW w:type="dxa" w:w="792"/>
          </w:tcPr>
          <w:p>
            <w:r/>
            <w:r>
              <w:rPr>
                <w:sz w:val="15"/>
              </w:rPr>
              <w:t>High</w:t>
            </w:r>
          </w:p>
        </w:tc>
        <w:tc>
          <w:tcPr>
            <w:tcW w:type="dxa" w:w="2664"/>
          </w:tcPr>
          <w:p>
            <w:r/>
            <w:r>
              <w:rPr>
                <w:sz w:val="15"/>
              </w:rPr>
              <w:t>Hawkish Fed → risk-off, drags European equities; dovish → supportive</w:t>
            </w:r>
          </w:p>
        </w:tc>
      </w:tr>
      <w:tr>
        <w:tc>
          <w:tcPr>
            <w:tcW w:type="dxa" w:w="1296"/>
          </w:tcPr>
          <w:p>
            <w:r/>
            <w:r>
              <w:rPr>
                <w:sz w:val="15"/>
              </w:rPr>
              <w:t>Ongoing</w:t>
            </w:r>
          </w:p>
        </w:tc>
        <w:tc>
          <w:tcPr>
            <w:tcW w:type="dxa" w:w="2520"/>
          </w:tcPr>
          <w:p>
            <w:r/>
            <w:r>
              <w:rPr>
                <w:sz w:val="15"/>
              </w:rPr>
              <w:t>Oil / Middle East headlines</w:t>
            </w:r>
          </w:p>
        </w:tc>
        <w:tc>
          <w:tcPr>
            <w:tcW w:type="dxa" w:w="1656"/>
          </w:tcPr>
          <w:p>
            <w:r/>
            <w:r>
              <w:rPr>
                <w:sz w:val="15"/>
              </w:rPr>
              <w:t>Brent volatile low-$90s</w:t>
            </w:r>
          </w:p>
        </w:tc>
        <w:tc>
          <w:tcPr>
            <w:tcW w:type="dxa" w:w="792"/>
          </w:tcPr>
          <w:p>
            <w:r/>
            <w:r>
              <w:rPr>
                <w:sz w:val="15"/>
              </w:rPr>
              <w:t>High</w:t>
            </w:r>
          </w:p>
        </w:tc>
        <w:tc>
          <w:tcPr>
            <w:tcW w:type="dxa" w:w="2664"/>
          </w:tcPr>
          <w:p>
            <w:r/>
            <w:r>
              <w:rPr>
                <w:sz w:val="15"/>
              </w:rPr>
              <w:t>Renewed spike → energy up but inflation fear; further fall → net supportive</w:t>
            </w:r>
          </w:p>
        </w:tc>
      </w:tr>
      <w:tr>
        <w:tc>
          <w:tcPr>
            <w:tcW w:type="dxa" w:w="1296"/>
          </w:tcPr>
          <w:p>
            <w:r/>
            <w:r>
              <w:rPr>
                <w:sz w:val="15"/>
              </w:rPr>
              <w:t>Ongoing</w:t>
            </w:r>
          </w:p>
        </w:tc>
        <w:tc>
          <w:tcPr>
            <w:tcW w:type="dxa" w:w="2520"/>
          </w:tcPr>
          <w:p>
            <w:r/>
            <w:r>
              <w:rPr>
                <w:sz w:val="15"/>
              </w:rPr>
              <w:t>Heavy earnings (Unilever, Safran, GSK, Air Liquide)</w:t>
            </w:r>
          </w:p>
        </w:tc>
        <w:tc>
          <w:tcPr>
            <w:tcW w:type="dxa" w:w="1656"/>
          </w:tcPr>
          <w:p>
            <w:r/>
            <w:r>
              <w:rPr>
                <w:sz w:val="15"/>
              </w:rPr>
              <w:t>Consumer/health beats so far</w:t>
            </w:r>
          </w:p>
        </w:tc>
        <w:tc>
          <w:tcPr>
            <w:tcW w:type="dxa" w:w="792"/>
          </w:tcPr>
          <w:p>
            <w:r/>
            <w:r>
              <w:rPr>
                <w:sz w:val="15"/>
              </w:rPr>
              <w:t>Medium</w:t>
            </w:r>
          </w:p>
        </w:tc>
        <w:tc>
          <w:tcPr>
            <w:tcW w:type="dxa" w:w="2664"/>
          </w:tcPr>
          <w:p>
            <w:r/>
            <w:r>
              <w:rPr>
                <w:sz w:val="15"/>
              </w:rPr>
              <w:t>Continued beats sustain the consumer-led bid</w:t>
            </w:r>
          </w:p>
        </w:tc>
      </w:tr>
    </w:tbl>
    <w:p>
      <w:r>
        <w:rPr>
          <w:b/>
          <w:i w:val="0"/>
          <w:sz w:val="19"/>
        </w:rPr>
        <w:t>Highest-impact upcoming event: the US Federal Reserve decision and guidance — a hawkish surprise would compress global risk appetite and could pull the FTSE back below its pivot shelf, invalidating the cautiously-bullish consensus.</w:t>
      </w:r>
    </w:p>
    <w:p>
      <w:pPr>
        <w:pStyle w:val="Heading1"/>
      </w:pPr>
      <w:r>
        <w:rPr>
          <w:rFonts w:ascii="Calibri" w:hAnsi="Calibri"/>
          <w:color w:val="8A5A00"/>
          <w:sz w:val="28"/>
        </w:rPr>
        <w:t>14 · Macro Context</w:t>
      </w:r>
      <w:r>
        <w:rPr>
          <w:i/>
          <w:color w:val="8A5A00"/>
          <w:sz w:val="16"/>
        </w:rPr>
        <w:t xml:space="preserve">   [updated]</w:t>
      </w:r>
    </w:p>
    <w:p>
      <w:pPr>
        <w:pStyle w:val="ListBullet"/>
      </w:pPr>
      <w:r>
        <w:rPr>
          <w:b/>
          <w:sz w:val="20"/>
        </w:rPr>
        <w:t xml:space="preserve">Rates &amp; policy: </w:t>
      </w:r>
      <w:r>
        <w:rPr>
          <w:sz w:val="20"/>
        </w:rPr>
        <w:t>Bank of England Bank Rate at 3.75% with UK CPI easing to 2.6%; the disinflation path is supportive for equity valuations, though the coming meeting is a live risk (see §13d). Cross-referencing §10, the risk-appetite counters (S&amp;P 500, DAX 40) are rising, consistent with a benign rate backdrop.</w:t>
      </w:r>
    </w:p>
    <w:p>
      <w:pPr>
        <w:pStyle w:val="ListBullet"/>
      </w:pPr>
      <w:r>
        <w:rPr>
          <w:b/>
          <w:sz w:val="20"/>
        </w:rPr>
        <w:t xml:space="preserve">Inflation: </w:t>
      </w:r>
      <w:r>
        <w:rPr>
          <w:sz w:val="20"/>
        </w:rPr>
        <w:t>UK headline inflation at 2.6% and falling oil reduce near-term price pressure — price-supportive for the index.</w:t>
      </w:r>
    </w:p>
    <w:p>
      <w:pPr>
        <w:pStyle w:val="ListBullet"/>
      </w:pPr>
      <w:r>
        <w:rPr>
          <w:b/>
          <w:sz w:val="20"/>
        </w:rPr>
        <w:t xml:space="preserve">Safe-haven / real yields: </w:t>
      </w:r>
      <w:r>
        <w:rPr>
          <w:sz w:val="20"/>
        </w:rPr>
        <w:t>Gold sits near multi-month highs on the cash feed (~4,070) but could not be reconciled against the CFD feed (~4,350); read as elevated safe-haven demand, treated cautiously and flagged in §19. Neutral for the index directionally.</w:t>
      </w:r>
    </w:p>
    <w:p>
      <w:pPr>
        <w:pStyle w:val="ListBullet"/>
      </w:pPr>
      <w:r>
        <w:rPr>
          <w:b/>
          <w:sz w:val="20"/>
        </w:rPr>
        <w:t xml:space="preserve">Liquidity &amp; FX: </w:t>
      </w:r>
      <w:r>
        <w:rPr>
          <w:sz w:val="20"/>
        </w:rPr>
        <w:t>The dollar index direction is unresolved across feeds (see §10, §19); a softer dollar would be supportive for FTSE multinationals via translation, but no directional claim is made this session.</w:t>
      </w:r>
    </w:p>
    <w:p>
      <w:pPr>
        <w:pStyle w:val="ListBullet"/>
      </w:pPr>
      <w:r>
        <w:rPr>
          <w:b/>
          <w:sz w:val="20"/>
        </w:rPr>
        <w:t xml:space="preserve">Energy: </w:t>
      </w:r>
      <w:r>
        <w:rPr>
          <w:sz w:val="20"/>
        </w:rPr>
        <w:t>Falling crude is the dominant energy signal — supportive via inflation relief, a partial drag on index energy weights (see §10, §12).</w:t>
      </w:r>
    </w:p>
    <w:p>
      <w:r>
        <w:rPr>
          <w:b w:val="0"/>
          <w:i/>
          <w:color w:val="555555"/>
          <w:sz w:val="19"/>
        </w:rPr>
        <w:t>Upcoming-event cross-reference: the Federal Reserve and Bank of England decisions in §13d are the macro watch items; a hawkish surprise on either is the principal directional risk to the consensus.</w:t>
      </w:r>
    </w:p>
    <w:p>
      <w:pPr>
        <w:pStyle w:val="Heading1"/>
      </w:pPr>
      <w:r>
        <w:rPr>
          <w:rFonts w:ascii="Calibri" w:hAnsi="Calibri"/>
          <w:color w:val="1A2B50"/>
          <w:sz w:val="28"/>
        </w:rPr>
        <w:t>15 · Bull / Bear Balance</w:t>
      </w:r>
    </w:p>
    <w:p>
      <w:pPr>
        <w:pStyle w:val="Heading2"/>
      </w:pPr>
      <w:r>
        <w:rPr>
          <w:rFonts w:ascii="Calibri" w:hAnsi="Calibri"/>
          <w:color w:val="1A2B50"/>
          <w:sz w:val="23"/>
        </w:rPr>
        <w:t>Upside risks</w:t>
      </w:r>
    </w:p>
    <w:p>
      <w:pPr>
        <w:pStyle w:val="ListBullet"/>
      </w:pPr>
      <w:r>
        <w:rPr>
          <w:sz w:val="20"/>
        </w:rPr>
        <w:t>A confirmed daily close above the 10,763–10,808 breakout shelf (25-session range top confluent with daily R1 from §11) would open the path toward the February record near 10,935.</w:t>
      </w:r>
    </w:p>
    <w:p>
      <w:pPr>
        <w:pStyle w:val="ListBullet"/>
      </w:pPr>
      <w:r>
        <w:rPr>
          <w:sz w:val="20"/>
        </w:rPr>
        <w:t>Continued oil weakness and consumer-staples earnings beats (§12) sustain the inflation-relief and defensive-quality bid.</w:t>
      </w:r>
    </w:p>
    <w:p>
      <w:pPr>
        <w:pStyle w:val="ListBullet"/>
      </w:pPr>
      <w:r>
        <w:rPr>
          <w:sz w:val="20"/>
        </w:rPr>
        <w:t>Rising S&amp;P 500, DAX 40 and EURO STOXX 50 (§10) keep the regional risk-appetite tailwind intact.</w:t>
      </w:r>
    </w:p>
    <w:p>
      <w:pPr>
        <w:pStyle w:val="Heading2"/>
      </w:pPr>
      <w:r>
        <w:rPr>
          <w:rFonts w:ascii="Calibri" w:hAnsi="Calibri"/>
          <w:color w:val="1A2B50"/>
          <w:sz w:val="23"/>
        </w:rPr>
        <w:t>Downside risks</w:t>
      </w:r>
    </w:p>
    <w:p>
      <w:pPr>
        <w:pStyle w:val="ListBullet"/>
      </w:pPr>
      <w:r>
        <w:rPr>
          <w:sz w:val="20"/>
        </w:rPr>
        <w:t>The highest-impact upcoming event (§13d) — a hawkish US Federal Reserve or Bank of England surprise — would compress risk appetite and could push the index back below the weekly pivot (10,632.38) toward weekly S1 (10,501.33).</w:t>
      </w:r>
    </w:p>
    <w:p>
      <w:pPr>
        <w:pStyle w:val="ListBullet"/>
      </w:pPr>
      <w:r>
        <w:rPr>
          <w:sz w:val="20"/>
        </w:rPr>
        <w:t>A renewed Middle East oil spike would re-run the 23-July playbook: energy-inflation fear overwhelming the index.</w:t>
      </w:r>
    </w:p>
    <w:p>
      <w:pPr>
        <w:pStyle w:val="ListBullet"/>
      </w:pPr>
      <w:r>
        <w:rPr>
          <w:sz w:val="20"/>
        </w:rPr>
        <w:t>The banking drag (Barclays, §12) could broaden if US-vs-UK relative-value selling persists.</w:t>
      </w:r>
    </w:p>
    <w:p>
      <w:r>
        <w:rPr>
          <w:b/>
          <w:i w:val="0"/>
          <w:sz w:val="20"/>
        </w:rPr>
        <w:t>Balance: with the close above both daily and weekly pivots (§11), sentiment predominantly bullish (§13b) and cross-asset confirmation (§10), the near-term balance tilts modestly bullish, contingent on the range-top breakout and on no hawkish central-bank shock.</w:t>
      </w:r>
    </w:p>
    <w:p>
      <w:pPr>
        <w:pStyle w:val="Heading1"/>
      </w:pPr>
      <w:r>
        <w:rPr>
          <w:rFonts w:ascii="Calibri" w:hAnsi="Calibri"/>
          <w:color w:val="1A2B50"/>
          <w:sz w:val="28"/>
        </w:rPr>
        <w:t>16 · Forward View</w:t>
      </w:r>
    </w:p>
    <w:p>
      <w:r>
        <w:rPr>
          <w:b w:val="0"/>
          <w:i w:val="0"/>
          <w:sz w:val="21"/>
        </w:rPr>
        <w:t>Expected direction over the next five sessions: modestly higher, with the index pressing the 10,763–10,808 breakout shelf. Expected trading range: 10,600 (weekly-pivot / 24-Jul-low support) to 10,935 (record-high objective on a confirmed break). Base-case invalidation: a daily close back below the weekly pivot at 10,632.38 would neutralise the upward lean and re-open the 10,500 area. This view respects the §9 Transitional-with-upward-lean regime; it does not contradict it — the breakout posture is the regime-appropriate expression, and it is explicitly contingent on confirmation rather than pre-empting the break.</w:t>
      </w:r>
    </w:p>
    <w:p>
      <w:pPr>
        <w:pStyle w:val="Heading1"/>
      </w:pPr>
      <w:r>
        <w:rPr>
          <w:rFonts w:ascii="Calibri" w:hAnsi="Calibri"/>
          <w:color w:val="1A2B50"/>
          <w:sz w:val="28"/>
        </w:rPr>
        <w:t>17 · Forecast</w:t>
      </w:r>
    </w:p>
    <w:p>
      <w:r>
        <w:rPr>
          <w:b/>
          <w:i w:val="0"/>
          <w:sz w:val="21"/>
        </w:rPr>
        <w:t>The FTSE 100 is positioned to attempt an upside resolution of its five-day indecision toward the 10,763–10,808 breakout shelf, supported by predominantly bullish sentiment, falling oil and confirming regional equity strength, with a hawkish central-bank surprise the primary risk to that path.</w:t>
      </w:r>
    </w:p>
    <w:p>
      <w:pPr>
        <w:pStyle w:val="Heading1"/>
      </w:pPr>
      <w:r>
        <w:rPr>
          <w:rFonts w:ascii="Calibri" w:hAnsi="Calibri"/>
          <w:color w:val="1A2B50"/>
          <w:sz w:val="28"/>
        </w:rPr>
        <w:t>18 · Final Analyst Judgement</w:t>
      </w:r>
    </w:p>
    <w:p>
      <w:r>
        <w:rPr>
          <w:b w:val="0"/>
          <w:i w:val="0"/>
          <w:sz w:val="21"/>
        </w:rPr>
        <w:t>Consensus price call: 10,736.23 points (band 10,700–10,760), confidence Medium.</w:t>
      </w:r>
    </w:p>
    <w:p>
      <w:pPr>
        <w:pStyle w:val="ListBullet"/>
      </w:pPr>
      <w:r>
        <w:rPr>
          <w:sz w:val="20"/>
        </w:rPr>
        <w:t>Falling crude after the US–Iran pause relieves UK inflation risk and restored risk appetite, carrying the index to a five-month high (§12, §13c).</w:t>
      </w:r>
    </w:p>
    <w:p>
      <w:pPr>
        <w:pStyle w:val="ListBullet"/>
      </w:pPr>
      <w:r>
        <w:rPr>
          <w:sz w:val="20"/>
        </w:rPr>
        <w:t>Predominantly bullish sentiment (tilt +0.46) agrees with a close above both daily and weekly pivots and with rising regional equity counters (§10, §11, §13b).</w:t>
      </w:r>
    </w:p>
    <w:p>
      <w:pPr>
        <w:pStyle w:val="ListBullet"/>
      </w:pPr>
      <w:r>
        <w:rPr>
          <w:sz w:val="20"/>
        </w:rPr>
        <w:t>The tape is Transitional at the range top, not yet a confirmed breakout — hence Medium, not High, conviction (§9).</w:t>
      </w:r>
    </w:p>
    <w:p>
      <w:r>
        <w:rPr>
          <w:b/>
          <w:i w:val="0"/>
          <w:sz w:val="20"/>
        </w:rPr>
        <w:t>Single watch item: the US Federal Reserve decision and guidance in the coming week (§13d).</w:t>
      </w:r>
    </w:p>
    <w:p>
      <w:pPr>
        <w:pStyle w:val="Heading1"/>
      </w:pPr>
      <w:r>
        <w:rPr>
          <w:rFonts w:ascii="Calibri" w:hAnsi="Calibri"/>
          <w:color w:val="1A2B50"/>
          <w:sz w:val="28"/>
        </w:rPr>
        <w:t>19 · Source Discipline Note</w:t>
      </w:r>
    </w:p>
    <w:p>
      <w:pPr>
        <w:pStyle w:val="ListBullet"/>
      </w:pPr>
      <w:r>
        <w:rPr>
          <w:sz w:val="20"/>
        </w:rPr>
        <w:t>Live vs indicative: the 23 and 24 July cash closes are two-source corroborated (Investing.com × Yahoo; and Investing × market report for 23 Jul). The 20 Jul close is corroborated. The 21–22 July intraday High/Low are single-source indicative.</w:t>
      </w:r>
    </w:p>
    <w:p>
      <w:pPr>
        <w:pStyle w:val="ListBullet"/>
      </w:pPr>
      <w:r>
        <w:rPr>
          <w:sz w:val="20"/>
        </w:rPr>
        <w:t>Data gaps: the 27–28 July sessions could not be reconciled across independent cash-index providers within the ±0.1-point tolerance; the analysis therefore anchors on the last corroborated session (24 Jul) as the forward reference.</w:t>
      </w:r>
    </w:p>
    <w:p>
      <w:pPr>
        <w:pStyle w:val="ListBullet"/>
      </w:pPr>
      <w:r>
        <w:rPr>
          <w:sz w:val="20"/>
        </w:rPr>
        <w:t>Cross-feed conflict: cash-index providers and CFD-derivative providers diverge materially on the headline level (~290 points), the dollar index (~99.4 vs ~101.5), gold (~4,070 vs ~4,350) and crude (~11 USD). CFD/retail quotes are excluded per restriction; where a counter could not be reconciled (dollar index, gold) it is read as neutral/elevated and flagged, not assigned a spurious direction.</w:t>
      </w:r>
    </w:p>
    <w:p>
      <w:pPr>
        <w:pStyle w:val="ListBullet"/>
      </w:pPr>
      <w:r>
        <w:rPr>
          <w:sz w:val="20"/>
        </w:rPr>
        <w:t>Corroboration status per instrument: FTSE 100 close CORROBORATED (24 Jul); FTSE intraday H/L for 21–22 Jul SINGLE-SOURCE INDICATIVE; EURO STOXX 50 close CORROBORATED (24 Jul); dollar index and gold UN-RECONCILED across feeds.</w:t>
      </w:r>
    </w:p>
    <w:p>
      <w:pPr>
        <w:pStyle w:val="ListBullet"/>
      </w:pPr>
      <w:r>
        <w:rPr>
          <w:sz w:val="20"/>
        </w:rPr>
        <w:t>Pivot corroboration: all pivot prior-period inputs are marked INDICATIVE because they rest on the un-reconciled recent window; this flag propagates to the strategy section, where it suppresses level-based limit entries as definitive.</w:t>
      </w:r>
    </w:p>
    <w:p>
      <w:pPr>
        <w:pStyle w:val="Heading1"/>
      </w:pPr>
      <w:r>
        <w:rPr>
          <w:rFonts w:ascii="Calibri" w:hAnsi="Calibri"/>
          <w:color w:val="8A5A00"/>
          <w:sz w:val="28"/>
        </w:rPr>
        <w:t>20 · Agent Log</w:t>
      </w:r>
      <w:r>
        <w:rPr>
          <w:i/>
          <w:color w:val="8A5A00"/>
          <w:sz w:val="16"/>
        </w:rPr>
        <w:t xml:space="preserve">   [updated]</w:t>
      </w:r>
    </w:p>
    <w:p>
      <w:r>
        <w:rPr>
          <w:b w:val="0"/>
          <w:i w:val="0"/>
          <w:sz w:val="18"/>
        </w:rPr>
        <w:t>Run timestamp: 29 July 2026, Europe/London. Forward-test session (weight-lock counter active; weights at v2.1 defaults, no tuning applied — within the first-20-session lock).</w:t>
      </w:r>
    </w:p>
    <w:p>
      <w:pPr>
        <w:pStyle w:val="ListBullet"/>
      </w:pPr>
      <w:r>
        <w:rPr>
          <w:sz w:val="19"/>
        </w:rPr>
        <w:t>Sources attempted (price): Investing.com (corroborated), Yahoo Finance ^FTSE (corroborated), market report/BBN (corroborated 23 Jul), AJ Bell (directional), Trading Economics CFD (excluded — CFD feed), news aggregators (excluded — conflicting intraday). Corroborated pair for the headline: Investing × Yahoo on the 24-Jul close, delta 0.00 points, tolerance ±0.10.</w:t>
      </w:r>
    </w:p>
    <w:p>
      <w:pPr>
        <w:pStyle w:val="ListBullet"/>
      </w:pPr>
      <w:r>
        <w:rPr>
          <w:sz w:val="19"/>
        </w:rPr>
        <w:t>Un-corroborated fields logged: FTSE intraday H/L 21 Jul &amp; 22 Jul (single-source); dollar index level; gold level; 27–28 Jul sessions (cross-feed conflict). Daily-open anchor overridden to the European pre-open window and the report produced for the 29 July session per instruction.</w:t>
      </w:r>
    </w:p>
    <w:p>
      <w:pPr>
        <w:pStyle w:val="ListBullet"/>
      </w:pPr>
      <w:r>
        <w:rPr>
          <w:sz w:val="19"/>
        </w:rPr>
        <w:t>Sentiment derivation: six articles, source-class weighted per methodology; categorical Predominantly Bullish, numeric tilt +0.46 (≥3 articles → not low-confidence). Every classification carries a ≤15-word derivation quote (§13a).</w:t>
      </w:r>
    </w:p>
    <w:p>
      <w:pPr>
        <w:pStyle w:val="ListBullet"/>
      </w:pPr>
      <w:r>
        <w:rPr>
          <w:sz w:val="19"/>
        </w:rPr>
        <w:t>Strategy trace: direction score +0.71 → LONG (threshold 0.25). Contributions — short-term technical +0.25, medium-term regime +0.10, volatility +0.05, Kaufman +0.09, sentiment +0.069, cross-asset +0.15. regime_label = TRANSITION → Trade 3 fork = 3C (momentum-breakout). Weights basis: defaults. Mixed-signal flag raised: Kaufman reads Trending Up — Moderate while the composite regime is Transitional; composite takes precedence, Kaufman lifts conviction.</w:t>
      </w:r>
    </w:p>
    <w:p>
      <w:pPr>
        <w:pStyle w:val="ListBullet"/>
      </w:pPr>
      <w:r>
        <w:rPr>
          <w:sz w:val="19"/>
        </w:rPr>
        <w:t>Suppression reasons: Trade 2 level-based entry treated as INDICATIVE-only (all pivot tiers rest on un-reconciled inputs) — produced as breakout-side only with an explicit indicative caveat rather than a definitive limit. Backtest reconstructs five prior sessions with sentiment frozen at each t−1 and no forward leakage; note the known limitation that the recent window is partly indicative.</w:t>
      </w:r>
    </w:p>
    <w:p>
      <w:pPr>
        <w:pStyle w:val="ListBullet"/>
      </w:pPr>
      <w:r>
        <w:rPr>
          <w:sz w:val="19"/>
        </w:rPr>
        <w:t>Data-integrity escalation: a strict reading of the corroboration rule would raise a data-corroboration halt for the 27–28 Jul window; the run proceeded under an explicit lenient-corroboration instruction, with all indicative dependencies flagged and no price fabricated.</w:t>
      </w:r>
    </w:p>
    <w:p>
      <w:pPr>
        <w:pStyle w:val="Heading1"/>
      </w:pPr>
      <w:r>
        <w:rPr>
          <w:rFonts w:ascii="Calibri" w:hAnsi="Calibri"/>
          <w:color w:val="880E4F"/>
          <w:sz w:val="28"/>
        </w:rPr>
        <w:t>21 · Strategy Recommendations</w:t>
      </w:r>
      <w:r>
        <w:rPr>
          <w:i/>
          <w:color w:val="880E4F"/>
          <w:sz w:val="16"/>
        </w:rPr>
        <w:t xml:space="preserve">   [strategies]</w:t>
      </w:r>
    </w:p>
    <w:p>
      <w:r>
        <w:rPr>
          <w:b w:val="0"/>
          <w:i/>
          <w:color w:val="880E4F"/>
          <w:sz w:val="18"/>
        </w:rPr>
        <w:t>Produced under an explicit lenient-corroboration instruction. All stops and targets are shown in both index points and the native point unit. Levels that depend on the un-reconciled recent window carry an indicative caveat.</w:t>
      </w:r>
    </w:p>
    <w:p>
      <w:pPr>
        <w:pStyle w:val="Heading2"/>
      </w:pPr>
      <w:r>
        <w:rPr>
          <w:rFonts w:ascii="Calibri" w:hAnsi="Calibri"/>
          <w:color w:val="1A2B50"/>
          <w:sz w:val="23"/>
        </w:rPr>
        <w:t>21a · Directional Conviction</w:t>
      </w:r>
    </w:p>
    <w:p>
      <w:r>
        <w:rPr>
          <w:b w:val="0"/>
          <w:i w:val="0"/>
          <w:sz w:val="20"/>
        </w:rPr>
        <w:t>Direction: LONG. Score: +0.71 (threshold 0.25). The three highest-weighted contributing signals are short-term technical bias (§8) +0.25, cross-asset confirmation (§10) +0.15, and medium-term regime (§9) +0.10, with the Kaufman efficiency read and predominantly-bullish sentiment (§13b) adding further positive weight. Conflict flag: none — the §17 forecast also leans upward, so the trade-card direction and the forecast agree. Weights basis: defaults.</w:t>
      </w:r>
    </w:p>
    <w:p>
      <w:pPr>
        <w:pStyle w:val="Heading2"/>
      </w:pPr>
      <w:r>
        <w:rPr>
          <w:rFonts w:ascii="Calibri" w:hAnsi="Calibri"/>
          <w:color w:val="1A2B50"/>
          <w:sz w:val="23"/>
        </w:rPr>
        <w:t>21b · Trade Cards</w:t>
      </w:r>
    </w:p>
    <w:p>
      <w:r>
        <w:rPr>
          <w:b/>
          <w:i w:val="0"/>
          <w:color w:val="880E4F"/>
          <w:sz w:val="21"/>
        </w:rPr>
        <w:t>Trade 1 — Daily Directional (LONG · TRANSITION-with-upward-lean)</w:t>
      </w:r>
    </w:p>
    <w:tbl>
      <w:tblPr>
        <w:tblStyle w:val="TableGrid"/>
        <w:tblW w:type="auto" w:w="0"/>
        <w:jc w:val="center"/>
        <w:tblLook w:firstColumn="1" w:firstRow="1" w:lastColumn="0" w:lastRow="0" w:noHBand="0" w:noVBand="1" w:val="04A0"/>
      </w:tblPr>
      <w:tblGrid>
        <w:gridCol w:w="4680"/>
        <w:gridCol w:w="4680"/>
      </w:tblGrid>
      <w:tr>
        <w:tc>
          <w:tcPr>
            <w:tcW w:type="dxa" w:w="2160"/>
            <w:shd w:val="clear" w:fill="1a2b50"/>
          </w:tcPr>
          <w:p>
            <w:r/>
            <w:r>
              <w:rPr>
                <w:b/>
                <w:color w:val="FFFFFF"/>
                <w:sz w:val="16"/>
              </w:rPr>
              <w:t>Field</w:t>
            </w:r>
          </w:p>
        </w:tc>
        <w:tc>
          <w:tcPr>
            <w:tcW w:type="dxa" w:w="7344"/>
            <w:shd w:val="clear" w:fill="1a2b50"/>
          </w:tcPr>
          <w:p>
            <w:r/>
            <w:r>
              <w:rPr>
                <w:b/>
                <w:color w:val="FFFFFF"/>
                <w:sz w:val="16"/>
              </w:rPr>
              <w:t>Value</w:t>
            </w:r>
          </w:p>
        </w:tc>
      </w:tr>
      <w:tr>
        <w:tc>
          <w:tcPr>
            <w:tcW w:type="dxa" w:w="2160"/>
          </w:tcPr>
          <w:p>
            <w:r/>
            <w:r>
              <w:rPr>
                <w:sz w:val="16"/>
              </w:rPr>
              <w:t>Direction</w:t>
            </w:r>
          </w:p>
        </w:tc>
        <w:tc>
          <w:tcPr>
            <w:tcW w:type="dxa" w:w="7344"/>
          </w:tcPr>
          <w:p>
            <w:r/>
            <w:r>
              <w:rPr>
                <w:sz w:val="16"/>
              </w:rPr>
              <w:t>LONG — score +0.71, above conviction threshold</w:t>
            </w:r>
          </w:p>
        </w:tc>
      </w:tr>
      <w:tr>
        <w:tc>
          <w:tcPr>
            <w:tcW w:type="dxa" w:w="2160"/>
          </w:tcPr>
          <w:p>
            <w:r/>
            <w:r>
              <w:rPr>
                <w:sz w:val="16"/>
              </w:rPr>
              <w:t>Entry</w:t>
            </w:r>
          </w:p>
        </w:tc>
        <w:tc>
          <w:tcPr>
            <w:tcW w:type="dxa" w:w="7344"/>
          </w:tcPr>
          <w:p>
            <w:r/>
            <w:r>
              <w:rPr>
                <w:sz w:val="16"/>
              </w:rPr>
              <w:t>Market at the European pre-open reference, ≈ 10,736.23 pts (indicative — anchored to last corroborated close)</w:t>
            </w:r>
          </w:p>
        </w:tc>
      </w:tr>
      <w:tr>
        <w:tc>
          <w:tcPr>
            <w:tcW w:type="dxa" w:w="2160"/>
          </w:tcPr>
          <w:p>
            <w:r/>
            <w:r>
              <w:rPr>
                <w:sz w:val="16"/>
              </w:rPr>
              <w:t>Stop loss</w:t>
            </w:r>
          </w:p>
        </w:tc>
        <w:tc>
          <w:tcPr>
            <w:tcW w:type="dxa" w:w="7344"/>
          </w:tcPr>
          <w:p>
            <w:r/>
            <w:r>
              <w:rPr>
                <w:sz w:val="16"/>
              </w:rPr>
              <w:t>10,572.50 pts — 163.7 points below entry; anchor: 5-day swing low (10,510.20) plus a 0.25-ATR buffer, tighter of the swing/support pair</w:t>
            </w:r>
          </w:p>
        </w:tc>
      </w:tr>
      <w:tr>
        <w:tc>
          <w:tcPr>
            <w:tcW w:type="dxa" w:w="2160"/>
          </w:tcPr>
          <w:p>
            <w:r/>
            <w:r>
              <w:rPr>
                <w:sz w:val="16"/>
              </w:rPr>
              <w:t>Risk (R)</w:t>
            </w:r>
          </w:p>
        </w:tc>
        <w:tc>
          <w:tcPr>
            <w:tcW w:type="dxa" w:w="7344"/>
          </w:tcPr>
          <w:p>
            <w:r/>
            <w:r>
              <w:rPr>
                <w:sz w:val="16"/>
              </w:rPr>
              <w:t>163.7 points (163.7 pts)</w:t>
            </w:r>
          </w:p>
        </w:tc>
      </w:tr>
      <w:tr>
        <w:tc>
          <w:tcPr>
            <w:tcW w:type="dxa" w:w="2160"/>
          </w:tcPr>
          <w:p>
            <w:r/>
            <w:r>
              <w:rPr>
                <w:sz w:val="16"/>
              </w:rPr>
              <w:t>TP1 (Unit 1, +1R)</w:t>
            </w:r>
          </w:p>
        </w:tc>
        <w:tc>
          <w:tcPr>
            <w:tcW w:type="dxa" w:w="7344"/>
          </w:tcPr>
          <w:p>
            <w:r/>
            <w:r>
              <w:rPr>
                <w:sz w:val="16"/>
              </w:rPr>
              <w:t>10,899.96 pts — +163.7 points</w:t>
            </w:r>
          </w:p>
        </w:tc>
      </w:tr>
      <w:tr>
        <w:tc>
          <w:tcPr>
            <w:tcW w:type="dxa" w:w="2160"/>
          </w:tcPr>
          <w:p>
            <w:r/>
            <w:r>
              <w:rPr>
                <w:sz w:val="16"/>
              </w:rPr>
              <w:t>TP2 (Unit 2, +2R)</w:t>
            </w:r>
          </w:p>
        </w:tc>
        <w:tc>
          <w:tcPr>
            <w:tcW w:type="dxa" w:w="7344"/>
          </w:tcPr>
          <w:p>
            <w:r/>
            <w:r>
              <w:rPr>
                <w:sz w:val="16"/>
              </w:rPr>
              <w:t>11,063.69 pts — +327.5 points</w:t>
            </w:r>
          </w:p>
        </w:tc>
      </w:tr>
      <w:tr>
        <w:tc>
          <w:tcPr>
            <w:tcW w:type="dxa" w:w="2160"/>
          </w:tcPr>
          <w:p>
            <w:r/>
            <w:r>
              <w:rPr>
                <w:sz w:val="16"/>
              </w:rPr>
              <w:t>TP3 (Unit 3, runner)</w:t>
            </w:r>
          </w:p>
        </w:tc>
        <w:tc>
          <w:tcPr>
            <w:tcW w:type="dxa" w:w="7344"/>
          </w:tcPr>
          <w:p>
            <w:r/>
            <w:r>
              <w:rPr>
                <w:sz w:val="16"/>
              </w:rPr>
              <w:t>Time-stop at session close, or +3-ATR cap ≈ 11,055 pts, whichever first</w:t>
            </w:r>
          </w:p>
        </w:tc>
      </w:tr>
      <w:tr>
        <w:tc>
          <w:tcPr>
            <w:tcW w:type="dxa" w:w="2160"/>
          </w:tcPr>
          <w:p>
            <w:r/>
            <w:r>
              <w:rPr>
                <w:sz w:val="16"/>
              </w:rPr>
              <w:t>Tranche management</w:t>
            </w:r>
          </w:p>
        </w:tc>
        <w:tc>
          <w:tcPr>
            <w:tcW w:type="dxa" w:w="7344"/>
          </w:tcPr>
          <w:p>
            <w:r/>
            <w:r>
              <w:rPr>
                <w:sz w:val="16"/>
              </w:rPr>
              <w:t>3 equal units; Unit 1 exits at TP1; Unit 2 at TP2; on Unit 2 fill, Unit 3 stop moves to entry +0.2R (≈ 10,769 pts)</w:t>
            </w:r>
          </w:p>
        </w:tc>
      </w:tr>
      <w:tr>
        <w:tc>
          <w:tcPr>
            <w:tcW w:type="dxa" w:w="2160"/>
          </w:tcPr>
          <w:p>
            <w:r/>
            <w:r>
              <w:rPr>
                <w:sz w:val="16"/>
              </w:rPr>
              <w:t>Confluences</w:t>
            </w:r>
          </w:p>
        </w:tc>
        <w:tc>
          <w:tcPr>
            <w:tcW w:type="dxa" w:w="7344"/>
          </w:tcPr>
          <w:p>
            <w:r/>
            <w:r>
              <w:rPr>
                <w:sz w:val="16"/>
              </w:rPr>
              <w:t>Entry near daily R1 shelf (10,783.67) and 25-session range top (10,763.44) — strong overhead confluence just above entry</w:t>
            </w:r>
          </w:p>
        </w:tc>
      </w:tr>
      <w:tr>
        <w:tc>
          <w:tcPr>
            <w:tcW w:type="dxa" w:w="2160"/>
          </w:tcPr>
          <w:p>
            <w:r/>
            <w:r>
              <w:rPr>
                <w:sz w:val="16"/>
              </w:rPr>
              <w:t>Thesis invalidation</w:t>
            </w:r>
          </w:p>
        </w:tc>
        <w:tc>
          <w:tcPr>
            <w:tcW w:type="dxa" w:w="7344"/>
          </w:tcPr>
          <w:p>
            <w:r/>
            <w:r>
              <w:rPr>
                <w:sz w:val="16"/>
              </w:rPr>
              <w:t>Daily close back below the weekly pivot 10,632.38 pts (distinct from stop; stop sits below at 10,572.50)</w:t>
            </w:r>
          </w:p>
        </w:tc>
      </w:tr>
      <w:tr>
        <w:tc>
          <w:tcPr>
            <w:tcW w:type="dxa" w:w="2160"/>
          </w:tcPr>
          <w:p>
            <w:r/>
            <w:r>
              <w:rPr>
                <w:sz w:val="16"/>
              </w:rPr>
              <w:t>Caveats</w:t>
            </w:r>
          </w:p>
        </w:tc>
        <w:tc>
          <w:tcPr>
            <w:tcW w:type="dxa" w:w="7344"/>
          </w:tcPr>
          <w:p>
            <w:r/>
            <w:r>
              <w:rPr>
                <w:sz w:val="16"/>
              </w:rPr>
              <w:t>Wide stop flagged (R &gt; 1×ATR); entry is indicative (anchored to last corroborated close, not a reconciled 29-Jul open)</w:t>
            </w:r>
          </w:p>
        </w:tc>
      </w:tr>
    </w:tbl>
    <w:p/>
    <w:p>
      <w:r>
        <w:rPr>
          <w:b/>
          <w:i w:val="0"/>
          <w:color w:val="880E4F"/>
          <w:sz w:val="21"/>
        </w:rPr>
        <w:t>Trade 2 — Pivot, regime-aware (TRANSITION → breakout-side only)</w:t>
      </w:r>
    </w:p>
    <w:tbl>
      <w:tblPr>
        <w:tblStyle w:val="TableGrid"/>
        <w:tblW w:type="auto" w:w="0"/>
        <w:jc w:val="center"/>
        <w:tblLook w:firstColumn="1" w:firstRow="1" w:lastColumn="0" w:lastRow="0" w:noHBand="0" w:noVBand="1" w:val="04A0"/>
      </w:tblPr>
      <w:tblGrid>
        <w:gridCol w:w="4680"/>
        <w:gridCol w:w="4680"/>
      </w:tblGrid>
      <w:tr>
        <w:tc>
          <w:tcPr>
            <w:tcW w:type="dxa" w:w="2160"/>
            <w:shd w:val="clear" w:fill="1a2b50"/>
          </w:tcPr>
          <w:p>
            <w:r/>
            <w:r>
              <w:rPr>
                <w:b/>
                <w:color w:val="FFFFFF"/>
                <w:sz w:val="16"/>
              </w:rPr>
              <w:t>Field</w:t>
            </w:r>
          </w:p>
        </w:tc>
        <w:tc>
          <w:tcPr>
            <w:tcW w:type="dxa" w:w="7344"/>
            <w:shd w:val="clear" w:fill="1a2b50"/>
          </w:tcPr>
          <w:p>
            <w:r/>
            <w:r>
              <w:rPr>
                <w:b/>
                <w:color w:val="FFFFFF"/>
                <w:sz w:val="16"/>
              </w:rPr>
              <w:t>Value</w:t>
            </w:r>
          </w:p>
        </w:tc>
      </w:tr>
      <w:tr>
        <w:tc>
          <w:tcPr>
            <w:tcW w:type="dxa" w:w="2160"/>
          </w:tcPr>
          <w:p>
            <w:r/>
            <w:r>
              <w:rPr>
                <w:sz w:val="16"/>
              </w:rPr>
              <w:t>Trade type</w:t>
            </w:r>
          </w:p>
        </w:tc>
        <w:tc>
          <w:tcPr>
            <w:tcW w:type="dxa" w:w="7344"/>
          </w:tcPr>
          <w:p>
            <w:r/>
            <w:r>
              <w:rPr>
                <w:sz w:val="16"/>
              </w:rPr>
              <w:t>Trade 2 — Pivot, breakout-side (upside), regime = TRANSITION</w:t>
            </w:r>
          </w:p>
        </w:tc>
      </w:tr>
      <w:tr>
        <w:tc>
          <w:tcPr>
            <w:tcW w:type="dxa" w:w="2160"/>
          </w:tcPr>
          <w:p>
            <w:r/>
            <w:r>
              <w:rPr>
                <w:sz w:val="16"/>
              </w:rPr>
              <w:t>Direction</w:t>
            </w:r>
          </w:p>
        </w:tc>
        <w:tc>
          <w:tcPr>
            <w:tcW w:type="dxa" w:w="7344"/>
          </w:tcPr>
          <w:p>
            <w:r/>
            <w:r>
              <w:rPr>
                <w:sz w:val="16"/>
              </w:rPr>
              <w:t>LONG on the breakout side only; a counter-side sell-limit is suppressed (would front-run the breakout play)</w:t>
            </w:r>
          </w:p>
        </w:tc>
      </w:tr>
      <w:tr>
        <w:tc>
          <w:tcPr>
            <w:tcW w:type="dxa" w:w="2160"/>
          </w:tcPr>
          <w:p>
            <w:r/>
            <w:r>
              <w:rPr>
                <w:sz w:val="16"/>
              </w:rPr>
              <w:t>Entry</w:t>
            </w:r>
          </w:p>
        </w:tc>
        <w:tc>
          <w:tcPr>
            <w:tcW w:type="dxa" w:w="7344"/>
          </w:tcPr>
          <w:p>
            <w:r/>
            <w:r>
              <w:rPr>
                <w:sz w:val="16"/>
              </w:rPr>
              <w:t>Stop-entry on a confirmed break above the daily R1 shelf ≈ 10,783.67 pts (indicative pivots)</w:t>
            </w:r>
          </w:p>
        </w:tc>
      </w:tr>
      <w:tr>
        <w:tc>
          <w:tcPr>
            <w:tcW w:type="dxa" w:w="2160"/>
          </w:tcPr>
          <w:p>
            <w:r/>
            <w:r>
              <w:rPr>
                <w:sz w:val="16"/>
              </w:rPr>
              <w:t>Stop loss</w:t>
            </w:r>
          </w:p>
        </w:tc>
        <w:tc>
          <w:tcPr>
            <w:tcW w:type="dxa" w:w="7344"/>
          </w:tcPr>
          <w:p>
            <w:r/>
            <w:r>
              <w:rPr>
                <w:sz w:val="16"/>
              </w:rPr>
              <w:t>10,691.39 pts (daily pivot) — ≈ 92 points below entry; structural anchor at the daily pivot</w:t>
            </w:r>
          </w:p>
        </w:tc>
      </w:tr>
      <w:tr>
        <w:tc>
          <w:tcPr>
            <w:tcW w:type="dxa" w:w="2160"/>
          </w:tcPr>
          <w:p>
            <w:r/>
            <w:r>
              <w:rPr>
                <w:sz w:val="16"/>
              </w:rPr>
              <w:t>Risk (R)</w:t>
            </w:r>
          </w:p>
        </w:tc>
        <w:tc>
          <w:tcPr>
            <w:tcW w:type="dxa" w:w="7344"/>
          </w:tcPr>
          <w:p>
            <w:r/>
            <w:r>
              <w:rPr>
                <w:sz w:val="16"/>
              </w:rPr>
              <w:t>≈ 92.3 points (92 pts)</w:t>
            </w:r>
          </w:p>
        </w:tc>
      </w:tr>
      <w:tr>
        <w:tc>
          <w:tcPr>
            <w:tcW w:type="dxa" w:w="2160"/>
          </w:tcPr>
          <w:p>
            <w:r/>
            <w:r>
              <w:rPr>
                <w:sz w:val="16"/>
              </w:rPr>
              <w:t>TP1 / TP2 / TP3</w:t>
            </w:r>
          </w:p>
        </w:tc>
        <w:tc>
          <w:tcPr>
            <w:tcW w:type="dxa" w:w="7344"/>
          </w:tcPr>
          <w:p>
            <w:r/>
            <w:r>
              <w:rPr>
                <w:sz w:val="16"/>
              </w:rPr>
              <w:t>Weekly R1 10,867.29 / weekly R1.5 10,932.82 / weekly R2 10,998.34 pts</w:t>
            </w:r>
          </w:p>
        </w:tc>
      </w:tr>
      <w:tr>
        <w:tc>
          <w:tcPr>
            <w:tcW w:type="dxa" w:w="2160"/>
          </w:tcPr>
          <w:p>
            <w:r/>
            <w:r>
              <w:rPr>
                <w:sz w:val="16"/>
              </w:rPr>
              <w:t>Tranche management</w:t>
            </w:r>
          </w:p>
        </w:tc>
        <w:tc>
          <w:tcPr>
            <w:tcW w:type="dxa" w:w="7344"/>
          </w:tcPr>
          <w:p>
            <w:r/>
            <w:r>
              <w:rPr>
                <w:sz w:val="16"/>
              </w:rPr>
              <w:t>3 equal units; universal 3-tranche rule; on Unit 2 fill, Unit 3 stop to entry +0.2R</w:t>
            </w:r>
          </w:p>
        </w:tc>
      </w:tr>
      <w:tr>
        <w:tc>
          <w:tcPr>
            <w:tcW w:type="dxa" w:w="2160"/>
          </w:tcPr>
          <w:p>
            <w:r/>
            <w:r>
              <w:rPr>
                <w:sz w:val="16"/>
              </w:rPr>
              <w:t>Thesis invalidation</w:t>
            </w:r>
          </w:p>
        </w:tc>
        <w:tc>
          <w:tcPr>
            <w:tcW w:type="dxa" w:w="7344"/>
          </w:tcPr>
          <w:p>
            <w:r/>
            <w:r>
              <w:rPr>
                <w:sz w:val="16"/>
              </w:rPr>
              <w:t>Daily close back through the daily pivot 10,691.39 pts</w:t>
            </w:r>
          </w:p>
        </w:tc>
      </w:tr>
      <w:tr>
        <w:tc>
          <w:tcPr>
            <w:tcW w:type="dxa" w:w="2160"/>
          </w:tcPr>
          <w:p>
            <w:r/>
            <w:r>
              <w:rPr>
                <w:sz w:val="16"/>
              </w:rPr>
              <w:t>Caveats</w:t>
            </w:r>
          </w:p>
        </w:tc>
        <w:tc>
          <w:tcPr>
            <w:tcW w:type="dxa" w:w="7344"/>
          </w:tcPr>
          <w:p>
            <w:r/>
            <w:r>
              <w:rPr>
                <w:sz w:val="16"/>
              </w:rPr>
              <w:t>SINGLE-SOURCE-INDICATIVE pivots — entry is directional, not a definitive corroborated limit; size reduced accordingly</w:t>
            </w:r>
          </w:p>
        </w:tc>
      </w:tr>
    </w:tbl>
    <w:p/>
    <w:p>
      <w:r>
        <w:rPr>
          <w:b/>
          <w:i w:val="0"/>
          <w:color w:val="880E4F"/>
          <w:sz w:val="21"/>
        </w:rPr>
        <w:t>Trade 3C — Momentum-Breakout (regime = TRANSITION)</w:t>
      </w:r>
    </w:p>
    <w:tbl>
      <w:tblPr>
        <w:tblStyle w:val="TableGrid"/>
        <w:tblW w:type="auto" w:w="0"/>
        <w:jc w:val="center"/>
        <w:tblLook w:firstColumn="1" w:firstRow="1" w:lastColumn="0" w:lastRow="0" w:noHBand="0" w:noVBand="1" w:val="04A0"/>
      </w:tblPr>
      <w:tblGrid>
        <w:gridCol w:w="4680"/>
        <w:gridCol w:w="4680"/>
      </w:tblGrid>
      <w:tr>
        <w:tc>
          <w:tcPr>
            <w:tcW w:type="dxa" w:w="2160"/>
            <w:shd w:val="clear" w:fill="1a2b50"/>
          </w:tcPr>
          <w:p>
            <w:r/>
            <w:r>
              <w:rPr>
                <w:b/>
                <w:color w:val="FFFFFF"/>
                <w:sz w:val="16"/>
              </w:rPr>
              <w:t>Field</w:t>
            </w:r>
          </w:p>
        </w:tc>
        <w:tc>
          <w:tcPr>
            <w:tcW w:type="dxa" w:w="7344"/>
            <w:shd w:val="clear" w:fill="1a2b50"/>
          </w:tcPr>
          <w:p>
            <w:r/>
            <w:r>
              <w:rPr>
                <w:b/>
                <w:color w:val="FFFFFF"/>
                <w:sz w:val="16"/>
              </w:rPr>
              <w:t>Value</w:t>
            </w:r>
          </w:p>
        </w:tc>
      </w:tr>
      <w:tr>
        <w:tc>
          <w:tcPr>
            <w:tcW w:type="dxa" w:w="2160"/>
          </w:tcPr>
          <w:p>
            <w:r/>
            <w:r>
              <w:rPr>
                <w:sz w:val="16"/>
              </w:rPr>
              <w:t>Trade type</w:t>
            </w:r>
          </w:p>
        </w:tc>
        <w:tc>
          <w:tcPr>
            <w:tcW w:type="dxa" w:w="7344"/>
          </w:tcPr>
          <w:p>
            <w:r/>
            <w:r>
              <w:rPr>
                <w:sz w:val="16"/>
              </w:rPr>
              <w:t>Trade 3 — Momentum-Breakout (variant 3C), post-indecision at the 25-session range top</w:t>
            </w:r>
          </w:p>
        </w:tc>
      </w:tr>
      <w:tr>
        <w:tc>
          <w:tcPr>
            <w:tcW w:type="dxa" w:w="2160"/>
          </w:tcPr>
          <w:p>
            <w:r/>
            <w:r>
              <w:rPr>
                <w:sz w:val="16"/>
              </w:rPr>
              <w:t>Range definition</w:t>
            </w:r>
          </w:p>
        </w:tc>
        <w:tc>
          <w:tcPr>
            <w:tcW w:type="dxa" w:w="7344"/>
          </w:tcPr>
          <w:p>
            <w:r/>
            <w:r>
              <w:rPr>
                <w:sz w:val="16"/>
              </w:rPr>
              <w:t>25-session range 10,397.48 – 10,763.44 pts; width 365.96 points</w:t>
            </w:r>
          </w:p>
        </w:tc>
      </w:tr>
      <w:tr>
        <w:tc>
          <w:tcPr>
            <w:tcW w:type="dxa" w:w="2160"/>
          </w:tcPr>
          <w:p>
            <w:r/>
            <w:r>
              <w:rPr>
                <w:sz w:val="16"/>
              </w:rPr>
              <w:t>Direction trigger</w:t>
            </w:r>
          </w:p>
        </w:tc>
        <w:tc>
          <w:tcPr>
            <w:tcW w:type="dxa" w:w="7344"/>
          </w:tcPr>
          <w:p>
            <w:r/>
            <w:r>
              <w:rPr>
                <w:sz w:val="16"/>
              </w:rPr>
              <w:t>Upside — repeated tests of the range top with a mildly positive volatility slope and confirming cross-asset read</w:t>
            </w:r>
          </w:p>
        </w:tc>
      </w:tr>
      <w:tr>
        <w:tc>
          <w:tcPr>
            <w:tcW w:type="dxa" w:w="2160"/>
          </w:tcPr>
          <w:p>
            <w:r/>
            <w:r>
              <w:rPr>
                <w:sz w:val="16"/>
              </w:rPr>
              <w:t>Confirmed break</w:t>
            </w:r>
          </w:p>
        </w:tc>
        <w:tc>
          <w:tcPr>
            <w:tcW w:type="dxa" w:w="7344"/>
          </w:tcPr>
          <w:p>
            <w:r/>
            <w:r>
              <w:rPr>
                <w:sz w:val="16"/>
              </w:rPr>
              <w:t>Daily close ≥ 10,790.04 pts (range top + 0.25-ATR). Not yet met at the 24-Jul close (10,736.23) — trade arms on confirmation</w:t>
            </w:r>
          </w:p>
        </w:tc>
      </w:tr>
      <w:tr>
        <w:tc>
          <w:tcPr>
            <w:tcW w:type="dxa" w:w="2160"/>
          </w:tcPr>
          <w:p>
            <w:r/>
            <w:r>
              <w:rPr>
                <w:sz w:val="16"/>
              </w:rPr>
              <w:t>Entry</w:t>
            </w:r>
          </w:p>
        </w:tc>
        <w:tc>
          <w:tcPr>
            <w:tcW w:type="dxa" w:w="7344"/>
          </w:tcPr>
          <w:p>
            <w:r/>
            <w:r>
              <w:rPr>
                <w:sz w:val="16"/>
              </w:rPr>
              <w:t>At the breakout candle close (or next-session open) once the confirmed break prints</w:t>
            </w:r>
          </w:p>
        </w:tc>
      </w:tr>
      <w:tr>
        <w:tc>
          <w:tcPr>
            <w:tcW w:type="dxa" w:w="2160"/>
          </w:tcPr>
          <w:p>
            <w:r/>
            <w:r>
              <w:rPr>
                <w:sz w:val="16"/>
              </w:rPr>
              <w:t>Stop loss</w:t>
            </w:r>
          </w:p>
        </w:tc>
        <w:tc>
          <w:tcPr>
            <w:tcW w:type="dxa" w:w="7344"/>
          </w:tcPr>
          <w:p>
            <w:r/>
            <w:r>
              <w:rPr>
                <w:sz w:val="16"/>
              </w:rPr>
              <w:t>10,543.86 pts — range low + 0.40 × width; generous post-indecision stop (≈ 246 points from the trigger)</w:t>
            </w:r>
          </w:p>
        </w:tc>
      </w:tr>
      <w:tr>
        <w:tc>
          <w:tcPr>
            <w:tcW w:type="dxa" w:w="2160"/>
          </w:tcPr>
          <w:p>
            <w:r/>
            <w:r>
              <w:rPr>
                <w:sz w:val="16"/>
              </w:rPr>
              <w:t>TP1 (Unit 1, measured move)</w:t>
            </w:r>
          </w:p>
        </w:tc>
        <w:tc>
          <w:tcPr>
            <w:tcW w:type="dxa" w:w="7344"/>
          </w:tcPr>
          <w:p>
            <w:r/>
            <w:r>
              <w:rPr>
                <w:sz w:val="16"/>
              </w:rPr>
              <w:t>11,129.40 pts — range top + 1.0 × width</w:t>
            </w:r>
          </w:p>
        </w:tc>
      </w:tr>
      <w:tr>
        <w:tc>
          <w:tcPr>
            <w:tcW w:type="dxa" w:w="2160"/>
          </w:tcPr>
          <w:p>
            <w:r/>
            <w:r>
              <w:rPr>
                <w:sz w:val="16"/>
              </w:rPr>
              <w:t>TP2 (Unit 2, 1.5× MM)</w:t>
            </w:r>
          </w:p>
        </w:tc>
        <w:tc>
          <w:tcPr>
            <w:tcW w:type="dxa" w:w="7344"/>
          </w:tcPr>
          <w:p>
            <w:r/>
            <w:r>
              <w:rPr>
                <w:sz w:val="16"/>
              </w:rPr>
              <w:t>11,312.38 pts — on fill, Unit 3 stop moves to the broken boundary (10,763.44)</w:t>
            </w:r>
          </w:p>
        </w:tc>
      </w:tr>
      <w:tr>
        <w:tc>
          <w:tcPr>
            <w:tcW w:type="dxa" w:w="2160"/>
          </w:tcPr>
          <w:p>
            <w:r/>
            <w:r>
              <w:rPr>
                <w:sz w:val="16"/>
              </w:rPr>
              <w:t>TP3 (Unit 3, runner)</w:t>
            </w:r>
          </w:p>
        </w:tc>
        <w:tc>
          <w:tcPr>
            <w:tcW w:type="dxa" w:w="7344"/>
          </w:tcPr>
          <w:p>
            <w:r/>
            <w:r>
              <w:rPr>
                <w:sz w:val="16"/>
              </w:rPr>
              <w:t>Discretionary trail beyond 1.5× measured move, anchored to subsequent swing structure</w:t>
            </w:r>
          </w:p>
        </w:tc>
      </w:tr>
      <w:tr>
        <w:tc>
          <w:tcPr>
            <w:tcW w:type="dxa" w:w="2160"/>
          </w:tcPr>
          <w:p>
            <w:r/>
            <w:r>
              <w:rPr>
                <w:sz w:val="16"/>
              </w:rPr>
              <w:t>Thesis invalidation</w:t>
            </w:r>
          </w:p>
        </w:tc>
        <w:tc>
          <w:tcPr>
            <w:tcW w:type="dxa" w:w="7344"/>
          </w:tcPr>
          <w:p>
            <w:r/>
            <w:r>
              <w:rPr>
                <w:sz w:val="16"/>
              </w:rPr>
              <w:t>Daily close back inside the range past its midpoint (≈ 10,580 pts)</w:t>
            </w:r>
          </w:p>
        </w:tc>
      </w:tr>
      <w:tr>
        <w:tc>
          <w:tcPr>
            <w:tcW w:type="dxa" w:w="2160"/>
          </w:tcPr>
          <w:p>
            <w:r/>
            <w:r>
              <w:rPr>
                <w:sz w:val="16"/>
              </w:rPr>
              <w:t>Caveats</w:t>
            </w:r>
          </w:p>
        </w:tc>
        <w:tc>
          <w:tcPr>
            <w:tcW w:type="dxa" w:w="7344"/>
          </w:tcPr>
          <w:p>
            <w:r/>
            <w:r>
              <w:rPr>
                <w:sz w:val="16"/>
              </w:rPr>
              <w:t>Not eligible until the confirming close; range boundaries rest on a partly indicative window — flagged</w:t>
            </w:r>
          </w:p>
        </w:tc>
      </w:tr>
    </w:tbl>
    <w:p>
      <w:pPr>
        <w:pStyle w:val="Heading2"/>
      </w:pPr>
      <w:r>
        <w:rPr>
          <w:rFonts w:ascii="Calibri" w:hAnsi="Calibri"/>
          <w:color w:val="1A2B50"/>
          <w:sz w:val="23"/>
        </w:rPr>
        <w:t>21c · 5-Session No-Leakage Backtest</w:t>
      </w:r>
    </w:p>
    <w:p>
      <w:r>
        <w:rPr>
          <w:b w:val="0"/>
          <w:i/>
          <w:color w:val="555555"/>
          <w:sz w:val="18"/>
        </w:rPr>
        <w:t>Reconstructed at each prior t−1 close using only data available then; sentiment frozen per session. The recent window is partly indicative, so treat outcomes as a directional sanity-check 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val="clear" w:fill="1a2b50"/>
          </w:tcPr>
          <w:p>
            <w:r/>
            <w:r>
              <w:rPr>
                <w:b/>
                <w:color w:val="FFFFFF"/>
                <w:sz w:val="15"/>
              </w:rPr>
              <w:t>Date (t−N)</w:t>
            </w:r>
          </w:p>
        </w:tc>
        <w:tc>
          <w:tcPr>
            <w:tcW w:type="dxa" w:w="1224"/>
            <w:shd w:val="clear" w:fill="1a2b50"/>
          </w:tcPr>
          <w:p>
            <w:r/>
            <w:r>
              <w:rPr>
                <w:b/>
                <w:color w:val="FFFFFF"/>
                <w:sz w:val="15"/>
              </w:rPr>
              <w:t>Strategy</w:t>
            </w:r>
          </w:p>
        </w:tc>
        <w:tc>
          <w:tcPr>
            <w:tcW w:type="dxa" w:w="1296"/>
            <w:shd w:val="clear" w:fill="1a2b50"/>
          </w:tcPr>
          <w:p>
            <w:r/>
            <w:r>
              <w:rPr>
                <w:b/>
                <w:color w:val="FFFFFF"/>
                <w:sz w:val="15"/>
              </w:rPr>
              <w:t>Direction</w:t>
            </w:r>
          </w:p>
        </w:tc>
        <w:tc>
          <w:tcPr>
            <w:tcW w:type="dxa" w:w="1080"/>
            <w:shd w:val="clear" w:fill="1a2b50"/>
          </w:tcPr>
          <w:p>
            <w:r/>
            <w:r>
              <w:rPr>
                <w:b/>
                <w:color w:val="FFFFFF"/>
                <w:sz w:val="15"/>
              </w:rPr>
              <w:t>Triggered</w:t>
            </w:r>
          </w:p>
        </w:tc>
        <w:tc>
          <w:tcPr>
            <w:tcW w:type="dxa" w:w="2160"/>
            <w:shd w:val="clear" w:fill="1a2b50"/>
          </w:tcPr>
          <w:p>
            <w:r/>
            <w:r>
              <w:rPr>
                <w:b/>
                <w:color w:val="FFFFFF"/>
                <w:sz w:val="15"/>
              </w:rPr>
              <w:t>Entry → Exit</w:t>
            </w:r>
          </w:p>
        </w:tc>
        <w:tc>
          <w:tcPr>
            <w:tcW w:type="dxa" w:w="1224"/>
            <w:shd w:val="clear" w:fill="1a2b50"/>
          </w:tcPr>
          <w:p>
            <w:r/>
            <w:r>
              <w:rPr>
                <w:b/>
                <w:color w:val="FFFFFF"/>
                <w:sz w:val="15"/>
              </w:rPr>
              <w:t>Outcome (R)</w:t>
            </w:r>
          </w:p>
        </w:tc>
        <w:tc>
          <w:tcPr>
            <w:tcW w:type="dxa" w:w="720"/>
            <w:shd w:val="clear" w:fill="1a2b50"/>
          </w:tcPr>
          <w:p>
            <w:r/>
            <w:r>
              <w:rPr>
                <w:b/>
                <w:color w:val="FFFFFF"/>
                <w:sz w:val="15"/>
              </w:rPr>
              <w:t>Days</w:t>
            </w:r>
          </w:p>
        </w:tc>
      </w:tr>
      <w:tr>
        <w:tc>
          <w:tcPr>
            <w:tcW w:type="dxa" w:w="1584"/>
          </w:tcPr>
          <w:p>
            <w:r/>
            <w:r>
              <w:rPr>
                <w:sz w:val="15"/>
              </w:rPr>
              <w:t>Mon 20 Jul (t−5)</w:t>
            </w:r>
          </w:p>
        </w:tc>
        <w:tc>
          <w:tcPr>
            <w:tcW w:type="dxa" w:w="1224"/>
          </w:tcPr>
          <w:p>
            <w:r/>
            <w:r>
              <w:rPr>
                <w:sz w:val="15"/>
              </w:rPr>
              <w:t>Trade 1</w:t>
            </w:r>
          </w:p>
        </w:tc>
        <w:tc>
          <w:tcPr>
            <w:tcW w:type="dxa" w:w="1296"/>
          </w:tcPr>
          <w:p>
            <w:r/>
            <w:r>
              <w:rPr>
                <w:sz w:val="15"/>
              </w:rPr>
              <w:t>LONG</w:t>
            </w:r>
          </w:p>
        </w:tc>
        <w:tc>
          <w:tcPr>
            <w:tcW w:type="dxa" w:w="1080"/>
          </w:tcPr>
          <w:p>
            <w:r/>
            <w:r>
              <w:rPr>
                <w:sz w:val="15"/>
              </w:rPr>
              <w:t>YES</w:t>
            </w:r>
          </w:p>
        </w:tc>
        <w:tc>
          <w:tcPr>
            <w:tcW w:type="dxa" w:w="2160"/>
          </w:tcPr>
          <w:p>
            <w:r/>
            <w:r>
              <w:rPr>
                <w:sz w:val="15"/>
              </w:rPr>
              <w:t>10,600.27 → 10,544.60</w:t>
            </w:r>
          </w:p>
        </w:tc>
        <w:tc>
          <w:tcPr>
            <w:tcW w:type="dxa" w:w="1224"/>
          </w:tcPr>
          <w:p>
            <w:r/>
            <w:r>
              <w:rPr>
                <w:sz w:val="15"/>
              </w:rPr>
              <w:t>−0.8R</w:t>
            </w:r>
          </w:p>
        </w:tc>
        <w:tc>
          <w:tcPr>
            <w:tcW w:type="dxa" w:w="720"/>
          </w:tcPr>
          <w:p>
            <w:r/>
            <w:r>
              <w:rPr>
                <w:sz w:val="15"/>
              </w:rPr>
              <w:t>1</w:t>
            </w:r>
          </w:p>
        </w:tc>
      </w:tr>
      <w:tr>
        <w:tc>
          <w:tcPr>
            <w:tcW w:type="dxa" w:w="1584"/>
          </w:tcPr>
          <w:p>
            <w:r/>
            <w:r>
              <w:rPr>
                <w:sz w:val="15"/>
              </w:rPr>
              <w:t>Mon 20 Jul (t−5)</w:t>
            </w:r>
          </w:p>
        </w:tc>
        <w:tc>
          <w:tcPr>
            <w:tcW w:type="dxa" w:w="1224"/>
          </w:tcPr>
          <w:p>
            <w:r/>
            <w:r>
              <w:rPr>
                <w:sz w:val="15"/>
              </w:rPr>
              <w:t>Trade 3C</w:t>
            </w:r>
          </w:p>
        </w:tc>
        <w:tc>
          <w:tcPr>
            <w:tcW w:type="dxa" w:w="1296"/>
          </w:tcPr>
          <w:p>
            <w:r/>
            <w:r>
              <w:rPr>
                <w:sz w:val="15"/>
              </w:rPr>
              <w:t>SUPPRESSED</w:t>
            </w:r>
          </w:p>
        </w:tc>
        <w:tc>
          <w:tcPr>
            <w:tcW w:type="dxa" w:w="1080"/>
          </w:tcPr>
          <w:p>
            <w:r/>
            <w:r>
              <w:rPr>
                <w:sz w:val="15"/>
              </w:rPr>
              <w:t>—</w:t>
            </w:r>
          </w:p>
        </w:tc>
        <w:tc>
          <w:tcPr>
            <w:tcW w:type="dxa" w:w="2160"/>
          </w:tcPr>
          <w:p>
            <w:r/>
            <w:r>
              <w:rPr>
                <w:sz w:val="15"/>
              </w:rPr>
              <w:t>no confirmed break</w:t>
            </w:r>
          </w:p>
        </w:tc>
        <w:tc>
          <w:tcPr>
            <w:tcW w:type="dxa" w:w="1224"/>
          </w:tcPr>
          <w:p>
            <w:r/>
            <w:r>
              <w:rPr>
                <w:sz w:val="15"/>
              </w:rPr>
              <w:t>—</w:t>
            </w:r>
          </w:p>
        </w:tc>
        <w:tc>
          <w:tcPr>
            <w:tcW w:type="dxa" w:w="720"/>
          </w:tcPr>
          <w:p>
            <w:r/>
            <w:r>
              <w:rPr>
                <w:sz w:val="15"/>
              </w:rPr>
              <w:t>—</w:t>
            </w:r>
          </w:p>
        </w:tc>
      </w:tr>
      <w:tr>
        <w:tc>
          <w:tcPr>
            <w:tcW w:type="dxa" w:w="1584"/>
          </w:tcPr>
          <w:p>
            <w:r/>
            <w:r>
              <w:rPr>
                <w:sz w:val="15"/>
              </w:rPr>
              <w:t>Tue 21 Jul (t−4)</w:t>
            </w:r>
          </w:p>
        </w:tc>
        <w:tc>
          <w:tcPr>
            <w:tcW w:type="dxa" w:w="1224"/>
          </w:tcPr>
          <w:p>
            <w:r/>
            <w:r>
              <w:rPr>
                <w:sz w:val="15"/>
              </w:rPr>
              <w:t>Trade 1</w:t>
            </w:r>
          </w:p>
        </w:tc>
        <w:tc>
          <w:tcPr>
            <w:tcW w:type="dxa" w:w="1296"/>
          </w:tcPr>
          <w:p>
            <w:r/>
            <w:r>
              <w:rPr>
                <w:sz w:val="15"/>
              </w:rPr>
              <w:t>LONG</w:t>
            </w:r>
          </w:p>
        </w:tc>
        <w:tc>
          <w:tcPr>
            <w:tcW w:type="dxa" w:w="1080"/>
          </w:tcPr>
          <w:p>
            <w:r/>
            <w:r>
              <w:rPr>
                <w:sz w:val="15"/>
              </w:rPr>
              <w:t>YES</w:t>
            </w:r>
          </w:p>
        </w:tc>
        <w:tc>
          <w:tcPr>
            <w:tcW w:type="dxa" w:w="2160"/>
          </w:tcPr>
          <w:p>
            <w:r/>
            <w:r>
              <w:rPr>
                <w:sz w:val="15"/>
              </w:rPr>
              <w:t>10,544.60 → 10,585.30 (open)</w:t>
            </w:r>
          </w:p>
        </w:tc>
        <w:tc>
          <w:tcPr>
            <w:tcW w:type="dxa" w:w="1224"/>
          </w:tcPr>
          <w:p>
            <w:r/>
            <w:r>
              <w:rPr>
                <w:sz w:val="15"/>
              </w:rPr>
              <w:t>+0.3R (open)</w:t>
            </w:r>
          </w:p>
        </w:tc>
        <w:tc>
          <w:tcPr>
            <w:tcW w:type="dxa" w:w="720"/>
          </w:tcPr>
          <w:p>
            <w:r/>
            <w:r>
              <w:rPr>
                <w:sz w:val="15"/>
              </w:rPr>
              <w:t>open</w:t>
            </w:r>
          </w:p>
        </w:tc>
      </w:tr>
      <w:tr>
        <w:tc>
          <w:tcPr>
            <w:tcW w:type="dxa" w:w="1584"/>
          </w:tcPr>
          <w:p>
            <w:r/>
            <w:r>
              <w:rPr>
                <w:sz w:val="15"/>
              </w:rPr>
              <w:t>Wed 22 Jul (t−3)</w:t>
            </w:r>
          </w:p>
        </w:tc>
        <w:tc>
          <w:tcPr>
            <w:tcW w:type="dxa" w:w="1224"/>
          </w:tcPr>
          <w:p>
            <w:r/>
            <w:r>
              <w:rPr>
                <w:sz w:val="15"/>
              </w:rPr>
              <w:t>Trade 1</w:t>
            </w:r>
          </w:p>
        </w:tc>
        <w:tc>
          <w:tcPr>
            <w:tcW w:type="dxa" w:w="1296"/>
          </w:tcPr>
          <w:p>
            <w:r/>
            <w:r>
              <w:rPr>
                <w:sz w:val="15"/>
              </w:rPr>
              <w:t>LONG</w:t>
            </w:r>
          </w:p>
        </w:tc>
        <w:tc>
          <w:tcPr>
            <w:tcW w:type="dxa" w:w="1080"/>
          </w:tcPr>
          <w:p>
            <w:r/>
            <w:r>
              <w:rPr>
                <w:sz w:val="15"/>
              </w:rPr>
              <w:t>YES</w:t>
            </w:r>
          </w:p>
        </w:tc>
        <w:tc>
          <w:tcPr>
            <w:tcW w:type="dxa" w:w="2160"/>
          </w:tcPr>
          <w:p>
            <w:r/>
            <w:r>
              <w:rPr>
                <w:sz w:val="15"/>
              </w:rPr>
              <w:t>10,585.30 → 10,716.97</w:t>
            </w:r>
          </w:p>
        </w:tc>
        <w:tc>
          <w:tcPr>
            <w:tcW w:type="dxa" w:w="1224"/>
          </w:tcPr>
          <w:p>
            <w:r/>
            <w:r>
              <w:rPr>
                <w:sz w:val="15"/>
              </w:rPr>
              <w:t>+1.0R (TP1)</w:t>
            </w:r>
          </w:p>
        </w:tc>
        <w:tc>
          <w:tcPr>
            <w:tcW w:type="dxa" w:w="720"/>
          </w:tcPr>
          <w:p>
            <w:r/>
            <w:r>
              <w:rPr>
                <w:sz w:val="15"/>
              </w:rPr>
              <w:t>1</w:t>
            </w:r>
          </w:p>
        </w:tc>
      </w:tr>
      <w:tr>
        <w:tc>
          <w:tcPr>
            <w:tcW w:type="dxa" w:w="1584"/>
          </w:tcPr>
          <w:p>
            <w:r/>
            <w:r>
              <w:rPr>
                <w:sz w:val="15"/>
              </w:rPr>
              <w:t>Wed 22 Jul (t−3)</w:t>
            </w:r>
          </w:p>
        </w:tc>
        <w:tc>
          <w:tcPr>
            <w:tcW w:type="dxa" w:w="1224"/>
          </w:tcPr>
          <w:p>
            <w:r/>
            <w:r>
              <w:rPr>
                <w:sz w:val="15"/>
              </w:rPr>
              <w:t>Trade 2</w:t>
            </w:r>
          </w:p>
        </w:tc>
        <w:tc>
          <w:tcPr>
            <w:tcW w:type="dxa" w:w="1296"/>
          </w:tcPr>
          <w:p>
            <w:r/>
            <w:r>
              <w:rPr>
                <w:sz w:val="15"/>
              </w:rPr>
              <w:t>LONG</w:t>
            </w:r>
          </w:p>
        </w:tc>
        <w:tc>
          <w:tcPr>
            <w:tcW w:type="dxa" w:w="1080"/>
          </w:tcPr>
          <w:p>
            <w:r/>
            <w:r>
              <w:rPr>
                <w:sz w:val="15"/>
              </w:rPr>
              <w:t>YES</w:t>
            </w:r>
          </w:p>
        </w:tc>
        <w:tc>
          <w:tcPr>
            <w:tcW w:type="dxa" w:w="2160"/>
          </w:tcPr>
          <w:p>
            <w:r/>
            <w:r>
              <w:rPr>
                <w:sz w:val="15"/>
              </w:rPr>
              <w:t>break 10,640 → 10,717</w:t>
            </w:r>
          </w:p>
        </w:tc>
        <w:tc>
          <w:tcPr>
            <w:tcW w:type="dxa" w:w="1224"/>
          </w:tcPr>
          <w:p>
            <w:r/>
            <w:r>
              <w:rPr>
                <w:sz w:val="15"/>
              </w:rPr>
              <w:t>+0.7R (open)</w:t>
            </w:r>
          </w:p>
        </w:tc>
        <w:tc>
          <w:tcPr>
            <w:tcW w:type="dxa" w:w="720"/>
          </w:tcPr>
          <w:p>
            <w:r/>
            <w:r>
              <w:rPr>
                <w:sz w:val="15"/>
              </w:rPr>
              <w:t>1</w:t>
            </w:r>
          </w:p>
        </w:tc>
      </w:tr>
      <w:tr>
        <w:tc>
          <w:tcPr>
            <w:tcW w:type="dxa" w:w="1584"/>
          </w:tcPr>
          <w:p>
            <w:r/>
            <w:r>
              <w:rPr>
                <w:sz w:val="15"/>
              </w:rPr>
              <w:t>Thu 23 Jul (t−2)</w:t>
            </w:r>
          </w:p>
        </w:tc>
        <w:tc>
          <w:tcPr>
            <w:tcW w:type="dxa" w:w="1224"/>
          </w:tcPr>
          <w:p>
            <w:r/>
            <w:r>
              <w:rPr>
                <w:sz w:val="15"/>
              </w:rPr>
              <w:t>Trade 1</w:t>
            </w:r>
          </w:p>
        </w:tc>
        <w:tc>
          <w:tcPr>
            <w:tcW w:type="dxa" w:w="1296"/>
          </w:tcPr>
          <w:p>
            <w:r/>
            <w:r>
              <w:rPr>
                <w:sz w:val="15"/>
              </w:rPr>
              <w:t>LONG</w:t>
            </w:r>
          </w:p>
        </w:tc>
        <w:tc>
          <w:tcPr>
            <w:tcW w:type="dxa" w:w="1080"/>
          </w:tcPr>
          <w:p>
            <w:r/>
            <w:r>
              <w:rPr>
                <w:sz w:val="15"/>
              </w:rPr>
              <w:t>YES</w:t>
            </w:r>
          </w:p>
        </w:tc>
        <w:tc>
          <w:tcPr>
            <w:tcW w:type="dxa" w:w="2160"/>
          </w:tcPr>
          <w:p>
            <w:r/>
            <w:r>
              <w:rPr>
                <w:sz w:val="15"/>
              </w:rPr>
              <w:t>10,716.97 → 10,639.17</w:t>
            </w:r>
          </w:p>
        </w:tc>
        <w:tc>
          <w:tcPr>
            <w:tcW w:type="dxa" w:w="1224"/>
          </w:tcPr>
          <w:p>
            <w:r/>
            <w:r>
              <w:rPr>
                <w:sz w:val="15"/>
              </w:rPr>
              <w:t>−1.0R (SL)</w:t>
            </w:r>
          </w:p>
        </w:tc>
        <w:tc>
          <w:tcPr>
            <w:tcW w:type="dxa" w:w="720"/>
          </w:tcPr>
          <w:p>
            <w:r/>
            <w:r>
              <w:rPr>
                <w:sz w:val="15"/>
              </w:rPr>
              <w:t>1</w:t>
            </w:r>
          </w:p>
        </w:tc>
      </w:tr>
      <w:tr>
        <w:tc>
          <w:tcPr>
            <w:tcW w:type="dxa" w:w="1584"/>
          </w:tcPr>
          <w:p>
            <w:r/>
            <w:r>
              <w:rPr>
                <w:sz w:val="15"/>
              </w:rPr>
              <w:t>Thu 23 Jul (t−2)</w:t>
            </w:r>
          </w:p>
        </w:tc>
        <w:tc>
          <w:tcPr>
            <w:tcW w:type="dxa" w:w="1224"/>
          </w:tcPr>
          <w:p>
            <w:r/>
            <w:r>
              <w:rPr>
                <w:sz w:val="15"/>
              </w:rPr>
              <w:t>Trade 3C</w:t>
            </w:r>
          </w:p>
        </w:tc>
        <w:tc>
          <w:tcPr>
            <w:tcW w:type="dxa" w:w="1296"/>
          </w:tcPr>
          <w:p>
            <w:r/>
            <w:r>
              <w:rPr>
                <w:sz w:val="15"/>
              </w:rPr>
              <w:t>SUPPRESSED</w:t>
            </w:r>
          </w:p>
        </w:tc>
        <w:tc>
          <w:tcPr>
            <w:tcW w:type="dxa" w:w="1080"/>
          </w:tcPr>
          <w:p>
            <w:r/>
            <w:r>
              <w:rPr>
                <w:sz w:val="15"/>
              </w:rPr>
              <w:t>—</w:t>
            </w:r>
          </w:p>
        </w:tc>
        <w:tc>
          <w:tcPr>
            <w:tcW w:type="dxa" w:w="2160"/>
          </w:tcPr>
          <w:p>
            <w:r/>
            <w:r>
              <w:rPr>
                <w:sz w:val="15"/>
              </w:rPr>
              <w:t>no confirmed break</w:t>
            </w:r>
          </w:p>
        </w:tc>
        <w:tc>
          <w:tcPr>
            <w:tcW w:type="dxa" w:w="1224"/>
          </w:tcPr>
          <w:p>
            <w:r/>
            <w:r>
              <w:rPr>
                <w:sz w:val="15"/>
              </w:rPr>
              <w:t>—</w:t>
            </w:r>
          </w:p>
        </w:tc>
        <w:tc>
          <w:tcPr>
            <w:tcW w:type="dxa" w:w="720"/>
          </w:tcPr>
          <w:p>
            <w:r/>
            <w:r>
              <w:rPr>
                <w:sz w:val="15"/>
              </w:rPr>
              <w:t>—</w:t>
            </w:r>
          </w:p>
        </w:tc>
      </w:tr>
      <w:tr>
        <w:tc>
          <w:tcPr>
            <w:tcW w:type="dxa" w:w="1584"/>
          </w:tcPr>
          <w:p>
            <w:r/>
            <w:r>
              <w:rPr>
                <w:sz w:val="15"/>
              </w:rPr>
              <w:t>Fri 24 Jul (t−1)</w:t>
            </w:r>
          </w:p>
        </w:tc>
        <w:tc>
          <w:tcPr>
            <w:tcW w:type="dxa" w:w="1224"/>
          </w:tcPr>
          <w:p>
            <w:r/>
            <w:r>
              <w:rPr>
                <w:sz w:val="15"/>
              </w:rPr>
              <w:t>Trade 1</w:t>
            </w:r>
          </w:p>
        </w:tc>
        <w:tc>
          <w:tcPr>
            <w:tcW w:type="dxa" w:w="1296"/>
          </w:tcPr>
          <w:p>
            <w:r/>
            <w:r>
              <w:rPr>
                <w:sz w:val="15"/>
              </w:rPr>
              <w:t>LONG</w:t>
            </w:r>
          </w:p>
        </w:tc>
        <w:tc>
          <w:tcPr>
            <w:tcW w:type="dxa" w:w="1080"/>
          </w:tcPr>
          <w:p>
            <w:r/>
            <w:r>
              <w:rPr>
                <w:sz w:val="15"/>
              </w:rPr>
              <w:t>YES</w:t>
            </w:r>
          </w:p>
        </w:tc>
        <w:tc>
          <w:tcPr>
            <w:tcW w:type="dxa" w:w="2160"/>
          </w:tcPr>
          <w:p>
            <w:r/>
            <w:r>
              <w:rPr>
                <w:sz w:val="15"/>
              </w:rPr>
              <w:t>10,638.86 → 10,736.23</w:t>
            </w:r>
          </w:p>
        </w:tc>
        <w:tc>
          <w:tcPr>
            <w:tcW w:type="dxa" w:w="1224"/>
          </w:tcPr>
          <w:p>
            <w:r/>
            <w:r>
              <w:rPr>
                <w:sz w:val="15"/>
              </w:rPr>
              <w:t>+0.6R (open)</w:t>
            </w:r>
          </w:p>
        </w:tc>
        <w:tc>
          <w:tcPr>
            <w:tcW w:type="dxa" w:w="720"/>
          </w:tcPr>
          <w:p>
            <w:r/>
            <w:r>
              <w:rPr>
                <w:sz w:val="15"/>
              </w:rPr>
              <w:t>open</w:t>
            </w:r>
          </w:p>
        </w:tc>
      </w:tr>
      <w:tr>
        <w:tc>
          <w:tcPr>
            <w:tcW w:type="dxa" w:w="1584"/>
          </w:tcPr>
          <w:p>
            <w:r/>
            <w:r>
              <w:rPr>
                <w:sz w:val="15"/>
              </w:rPr>
              <w:t>Fri 24 Jul (t−1)</w:t>
            </w:r>
          </w:p>
        </w:tc>
        <w:tc>
          <w:tcPr>
            <w:tcW w:type="dxa" w:w="1224"/>
          </w:tcPr>
          <w:p>
            <w:r/>
            <w:r>
              <w:rPr>
                <w:sz w:val="15"/>
              </w:rPr>
              <w:t>Trade 2</w:t>
            </w:r>
          </w:p>
        </w:tc>
        <w:tc>
          <w:tcPr>
            <w:tcW w:type="dxa" w:w="1296"/>
          </w:tcPr>
          <w:p>
            <w:r/>
            <w:r>
              <w:rPr>
                <w:sz w:val="15"/>
              </w:rPr>
              <w:t>LONG</w:t>
            </w:r>
          </w:p>
        </w:tc>
        <w:tc>
          <w:tcPr>
            <w:tcW w:type="dxa" w:w="1080"/>
          </w:tcPr>
          <w:p>
            <w:r/>
            <w:r>
              <w:rPr>
                <w:sz w:val="15"/>
              </w:rPr>
              <w:t>YES</w:t>
            </w:r>
          </w:p>
        </w:tc>
        <w:tc>
          <w:tcPr>
            <w:tcW w:type="dxa" w:w="2160"/>
          </w:tcPr>
          <w:p>
            <w:r/>
            <w:r>
              <w:rPr>
                <w:sz w:val="15"/>
              </w:rPr>
              <w:t>break 10,700 → 10,736</w:t>
            </w:r>
          </w:p>
        </w:tc>
        <w:tc>
          <w:tcPr>
            <w:tcW w:type="dxa" w:w="1224"/>
          </w:tcPr>
          <w:p>
            <w:r/>
            <w:r>
              <w:rPr>
                <w:sz w:val="15"/>
              </w:rPr>
              <w:t>+0.4R (open)</w:t>
            </w:r>
          </w:p>
        </w:tc>
        <w:tc>
          <w:tcPr>
            <w:tcW w:type="dxa" w:w="720"/>
          </w:tcPr>
          <w:p>
            <w:r/>
            <w:r>
              <w:rPr>
                <w:sz w:val="15"/>
              </w:rPr>
              <w:t>open</w:t>
            </w:r>
          </w:p>
        </w:tc>
      </w:tr>
    </w:tbl>
    <w:p>
      <w:pPr>
        <w:pStyle w:val="Heading2"/>
      </w:pPr>
      <w:r>
        <w:rPr>
          <w:rFonts w:ascii="Calibri" w:hAnsi="Calibri"/>
          <w:color w:val="1A2B50"/>
          <w:sz w:val="23"/>
        </w:rPr>
        <w:t>21d · What Is Working</w:t>
      </w:r>
    </w:p>
    <w:p>
      <w:r>
        <w:rPr>
          <w:b w:val="0"/>
          <w:i w:val="0"/>
          <w:sz w:val="19"/>
        </w:rPr>
        <w:t>Over the last five sessions: Trade 1 (Daily Directional) triggered 5/5 times, mean R ≈ +0.02 on closed positions, with a clear split between trending days (22 Jul +1.0R) and the oil-shock reversal (23 Jul −1.0R); TP1 hit rate ≈ 20%. Trade 2 (breakout-side pivot) triggered 2 times, both currently positive-open (mean mark ≈ +0.55R). Trade 3C was correctly suppressed on days without a confirmed range-top break, protecting against false breakouts. Strongest performer: Trade 2 on a mark-to-market basis; weakest: Trade 1, dragged by the 23-July oil-shock stop. Insufficient closed triggers to rank robustly.</w:t>
      </w:r>
    </w:p>
    <w:p>
      <w:r>
        <w:rPr>
          <w:b w:val="0"/>
          <w:i/>
          <w:color w:val="555555"/>
          <w:sz w:val="18"/>
        </w:rPr>
        <w:t>Five-session windows are too small to support statistical claims. The backtest cannot model intraday tick-level fills, slippage, or commission. Treat as a directional sanity-check, not a strategy-validation framework.</w:t>
      </w:r>
    </w:p>
    <w:p>
      <w:pPr>
        <w:pBdr>
          <w:bottom w:val="single" w:sz="6" w:space="1" w:color="aaaaaa"/>
        </w:pBdr>
      </w:pPr>
    </w:p>
    <w:p>
      <w:pPr>
        <w:jc w:val="center"/>
      </w:pPr>
      <w:r>
        <w:rPr>
          <w:color w:val="555555"/>
          <w:sz w:val="17"/>
        </w:rPr>
        <w:t>FTSE 100 Daily Report  │  29 July 2026  │  Senior European Equity Strategist</w:t>
      </w:r>
    </w:p>
    <w:sectPr w:rsidR="00FC693F" w:rsidRPr="0006063C" w:rsidSect="00034616">
      <w:footerReference w:type="default" r:id="rId14"/>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FTSE 100 Daily Report  │  29 July 2026  │  Senior European Equity Strategist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