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7"/>
        <w:gridCol w:w="222"/>
      </w:tblGrid>
      <w:tr w:rsidR="00CB7729" w:rsidRPr="00CB7729" w:rsidTr="0038320E">
        <w:trPr>
          <w:jc w:val="right"/>
        </w:trPr>
        <w:tc>
          <w:tcPr>
            <w:tcW w:w="0" w:type="auto"/>
            <w:vAlign w:val="bottom"/>
          </w:tcPr>
          <w:p w:rsidR="00CB7729" w:rsidRPr="00CB7729" w:rsidRDefault="00CB7729" w:rsidP="0038320E">
            <w:pPr>
              <w:pStyle w:val="StylCandidateNameH"/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Almatine Cook</w:t>
            </w:r>
          </w:p>
          <w:p w:rsidR="00CB7729" w:rsidRPr="00CB7729" w:rsidRDefault="00CB7729" w:rsidP="0038320E">
            <w:pPr>
              <w:pStyle w:val="StylCandidateNameH"/>
              <w:rPr>
                <w:color w:val="000000" w:themeColor="text1"/>
                <w:sz w:val="20"/>
                <w:szCs w:val="20"/>
              </w:rPr>
            </w:pPr>
            <w:r w:rsidRPr="00CB7729">
              <w:rPr>
                <w:color w:val="000000" w:themeColor="text1"/>
                <w:sz w:val="20"/>
                <w:szCs w:val="20"/>
              </w:rPr>
              <w:t>11011 Moultrie Avenue</w:t>
            </w:r>
          </w:p>
          <w:p w:rsidR="00CB7729" w:rsidRPr="00CB7729" w:rsidRDefault="00CB7729" w:rsidP="0038320E">
            <w:pPr>
              <w:pStyle w:val="StylCandidateNameH"/>
              <w:rPr>
                <w:color w:val="000000" w:themeColor="text1"/>
                <w:sz w:val="20"/>
                <w:szCs w:val="20"/>
              </w:rPr>
            </w:pPr>
            <w:r w:rsidRPr="00CB7729">
              <w:rPr>
                <w:color w:val="000000" w:themeColor="text1"/>
                <w:sz w:val="20"/>
                <w:szCs w:val="20"/>
              </w:rPr>
              <w:t>Baton Rouge, LA  70817</w:t>
            </w:r>
          </w:p>
          <w:p w:rsidR="00CB7729" w:rsidRPr="00CB7729" w:rsidRDefault="00CB7729" w:rsidP="0038320E">
            <w:pPr>
              <w:pStyle w:val="StylCandidateNameH"/>
              <w:rPr>
                <w:color w:val="000000" w:themeColor="text1"/>
                <w:sz w:val="20"/>
                <w:szCs w:val="20"/>
              </w:rPr>
            </w:pPr>
            <w:r w:rsidRPr="00CB7729">
              <w:rPr>
                <w:color w:val="000000" w:themeColor="text1"/>
                <w:sz w:val="20"/>
                <w:szCs w:val="20"/>
              </w:rPr>
              <w:t>225-603-5395</w:t>
            </w:r>
          </w:p>
          <w:p w:rsidR="00CB7729" w:rsidRPr="00CB7729" w:rsidRDefault="00A53A56" w:rsidP="0038320E">
            <w:pPr>
              <w:pStyle w:val="StylCandidateNameH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a</w:t>
            </w:r>
            <w:r w:rsidR="00CB7729" w:rsidRPr="00CB7729">
              <w:rPr>
                <w:color w:val="000000" w:themeColor="text1"/>
                <w:sz w:val="20"/>
                <w:szCs w:val="20"/>
              </w:rPr>
              <w:t>mcook53@att.net</w:t>
            </w:r>
          </w:p>
        </w:tc>
        <w:tc>
          <w:tcPr>
            <w:tcW w:w="0" w:type="auto"/>
          </w:tcPr>
          <w:p w:rsidR="00CB7729" w:rsidRPr="00CB7729" w:rsidRDefault="00CB7729" w:rsidP="0038320E">
            <w:pPr>
              <w:pStyle w:val="StylPocData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CB7729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 </w:t>
            </w:r>
          </w:p>
          <w:p w:rsidR="00CB7729" w:rsidRPr="00CB7729" w:rsidRDefault="00CB7729" w:rsidP="0038320E">
            <w:pPr>
              <w:pStyle w:val="StylPocData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CB7729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  </w:t>
            </w:r>
          </w:p>
          <w:p w:rsidR="00CB7729" w:rsidRPr="00CB7729" w:rsidRDefault="00CB7729" w:rsidP="0038320E">
            <w:pPr>
              <w:pStyle w:val="StylPocData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CB7729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 </w:t>
            </w:r>
          </w:p>
          <w:p w:rsidR="00CB7729" w:rsidRPr="00CB7729" w:rsidRDefault="00CB7729" w:rsidP="0038320E">
            <w:pPr>
              <w:pStyle w:val="StylPocData"/>
              <w:rPr>
                <w:color w:val="000000" w:themeColor="text1"/>
              </w:rPr>
            </w:pPr>
          </w:p>
        </w:tc>
      </w:tr>
    </w:tbl>
    <w:p w:rsidR="00CB7729" w:rsidRPr="00CB7729" w:rsidRDefault="00CB7729" w:rsidP="00CB7729">
      <w:pPr>
        <w:pStyle w:val="NoSpacing"/>
        <w:rPr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0"/>
        <w:gridCol w:w="251"/>
        <w:gridCol w:w="7011"/>
      </w:tblGrid>
      <w:tr w:rsidR="00CB7729" w:rsidRPr="00CB7729" w:rsidTr="0038320E">
        <w:tc>
          <w:tcPr>
            <w:tcW w:w="1591" w:type="pct"/>
          </w:tcPr>
          <w:p w:rsidR="00585AC1" w:rsidRDefault="00585AC1" w:rsidP="0038320E">
            <w:pPr>
              <w:pStyle w:val="StylCandidateName"/>
              <w:rPr>
                <w:color w:val="000000" w:themeColor="text1"/>
              </w:rPr>
            </w:pPr>
            <w:bookmarkStart w:id="0" w:name="_Hlk460251038"/>
          </w:p>
          <w:p w:rsidR="00585AC1" w:rsidRDefault="00585AC1" w:rsidP="0038320E">
            <w:pPr>
              <w:pStyle w:val="StylCandidateName"/>
              <w:rPr>
                <w:color w:val="000000" w:themeColor="text1"/>
              </w:rPr>
            </w:pPr>
          </w:p>
          <w:p w:rsidR="00CB7729" w:rsidRPr="00CB7729" w:rsidRDefault="00CB7729" w:rsidP="0038320E">
            <w:pPr>
              <w:pStyle w:val="StylCandidateName"/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Almatine Cook</w:t>
            </w:r>
          </w:p>
          <w:p w:rsidR="00CB7729" w:rsidRPr="00CB7729" w:rsidRDefault="00CB7729" w:rsidP="0038320E">
            <w:pPr>
              <w:pStyle w:val="StylLeftSection"/>
              <w:rPr>
                <w:color w:val="000000" w:themeColor="text1"/>
                <w:sz w:val="24"/>
                <w:szCs w:val="24"/>
              </w:rPr>
            </w:pPr>
          </w:p>
          <w:p w:rsidR="00CB7729" w:rsidRPr="00CB7729" w:rsidRDefault="00CB7729" w:rsidP="0038320E">
            <w:pPr>
              <w:pStyle w:val="StylLeftSectionH"/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Areas of Practice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Account Reconciliation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Accounts Payable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Accounts Receivable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Audit Remediation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Financial Reporting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General Ledger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Journal Entries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Month End Close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Payroll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Year End Close</w:t>
            </w:r>
          </w:p>
          <w:p w:rsidR="00CB7729" w:rsidRPr="00CB7729" w:rsidRDefault="00CB7729" w:rsidP="0038320E">
            <w:pPr>
              <w:pStyle w:val="StylLeftSection"/>
              <w:rPr>
                <w:color w:val="000000" w:themeColor="text1"/>
              </w:rPr>
            </w:pPr>
          </w:p>
          <w:p w:rsidR="00CB7729" w:rsidRPr="00CB7729" w:rsidRDefault="00CB7729" w:rsidP="0038320E">
            <w:pPr>
              <w:pStyle w:val="StylLeftSectionH"/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Industries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Healthcare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Transportation &amp; Logistics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Health &amp; Wellness</w:t>
            </w:r>
          </w:p>
          <w:p w:rsidR="00CB7729" w:rsidRPr="00CB7729" w:rsidRDefault="00CB7729" w:rsidP="0038320E">
            <w:pPr>
              <w:pStyle w:val="StylLeftSection"/>
              <w:rPr>
                <w:color w:val="000000" w:themeColor="text1"/>
              </w:rPr>
            </w:pPr>
          </w:p>
          <w:p w:rsidR="00CB7729" w:rsidRPr="00CB7729" w:rsidRDefault="00CB7729" w:rsidP="0038320E">
            <w:pPr>
              <w:pStyle w:val="StylLeftSectionH"/>
              <w:rPr>
                <w:color w:val="000000" w:themeColor="text1"/>
              </w:rPr>
            </w:pPr>
            <w:bookmarkStart w:id="1" w:name="_Hlk460248223"/>
            <w:r w:rsidRPr="00CB7729">
              <w:rPr>
                <w:color w:val="000000" w:themeColor="text1"/>
              </w:rPr>
              <w:t>Computer Applications</w:t>
            </w:r>
          </w:p>
          <w:p w:rsidR="00CB7729" w:rsidRDefault="00CB7729" w:rsidP="00CB7729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Oracle</w:t>
            </w:r>
          </w:p>
          <w:p w:rsidR="002B0A68" w:rsidRDefault="002B0A68" w:rsidP="00CB7729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Pharmacy Web</w:t>
            </w:r>
          </w:p>
          <w:p w:rsidR="002B0A68" w:rsidRPr="00CB7729" w:rsidRDefault="002B0A68" w:rsidP="00CB7729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Webstar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Dynamics – Great Plains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Lawson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QuickBooks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OnBase</w:t>
            </w:r>
          </w:p>
          <w:p w:rsidR="00CB504A" w:rsidRDefault="00CB7729" w:rsidP="00CB504A">
            <w:pPr>
              <w:pStyle w:val="StylLeftSection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Microsoft Excel &amp; Suite</w:t>
            </w:r>
          </w:p>
          <w:p w:rsidR="00CB504A" w:rsidRPr="00CB504A" w:rsidRDefault="00CB504A" w:rsidP="00CB504A">
            <w:pPr>
              <w:pStyle w:val="StylLeftSection"/>
              <w:numPr>
                <w:ilvl w:val="0"/>
                <w:numId w:val="4"/>
              </w:numPr>
              <w:rPr>
                <w:color w:val="auto"/>
              </w:rPr>
            </w:pPr>
            <w:r w:rsidRPr="00CB504A">
              <w:rPr>
                <w:color w:val="auto"/>
                <w:shd w:val="clear" w:color="auto" w:fill="FFFFFF"/>
              </w:rPr>
              <w:t>Medical terminology and ICD-9/ICD-10, CPT, HCPCS</w:t>
            </w:r>
          </w:p>
          <w:p w:rsidR="00CB7729" w:rsidRPr="00CB7729" w:rsidRDefault="00CB7729" w:rsidP="0038320E">
            <w:pPr>
              <w:pStyle w:val="StylLeftSection"/>
              <w:rPr>
                <w:color w:val="000000" w:themeColor="text1"/>
              </w:rPr>
            </w:pPr>
          </w:p>
          <w:p w:rsidR="00CB7729" w:rsidRPr="00CB7729" w:rsidRDefault="00CB7729" w:rsidP="0038320E">
            <w:pPr>
              <w:pStyle w:val="StylLeftSectionH"/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Education</w:t>
            </w:r>
          </w:p>
          <w:p w:rsidR="00CB7729" w:rsidRPr="00CB7729" w:rsidRDefault="00CB7729" w:rsidP="00CB772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 w:rsidRPr="00CB7729">
              <w:rPr>
                <w:b/>
                <w:color w:val="000000" w:themeColor="text1"/>
                <w:sz w:val="20"/>
                <w:szCs w:val="20"/>
              </w:rPr>
              <w:t>University of Phoenix</w:t>
            </w:r>
            <w:r w:rsidRPr="00CB7729">
              <w:rPr>
                <w:color w:val="000000" w:themeColor="text1"/>
                <w:sz w:val="20"/>
                <w:szCs w:val="20"/>
              </w:rPr>
              <w:t xml:space="preserve"> – Master of Business Administration</w:t>
            </w:r>
          </w:p>
          <w:p w:rsidR="00CB7729" w:rsidRPr="00CB7729" w:rsidRDefault="00CB7729" w:rsidP="00CB7729">
            <w:pPr>
              <w:pStyle w:val="StylLeftSection"/>
              <w:numPr>
                <w:ilvl w:val="0"/>
                <w:numId w:val="5"/>
              </w:numPr>
              <w:rPr>
                <w:color w:val="000000" w:themeColor="text1"/>
              </w:rPr>
            </w:pPr>
            <w:r w:rsidRPr="00CB7729">
              <w:rPr>
                <w:b/>
                <w:color w:val="000000" w:themeColor="text1"/>
              </w:rPr>
              <w:t>Grambling State University</w:t>
            </w:r>
            <w:r w:rsidRPr="00CB7729">
              <w:rPr>
                <w:color w:val="000000" w:themeColor="text1"/>
              </w:rPr>
              <w:t xml:space="preserve"> – Bachelor of Science, Accounting</w:t>
            </w:r>
            <w:bookmarkEnd w:id="1"/>
          </w:p>
        </w:tc>
        <w:tc>
          <w:tcPr>
            <w:tcW w:w="118" w:type="pct"/>
          </w:tcPr>
          <w:p w:rsidR="00CB7729" w:rsidRPr="00CB7729" w:rsidRDefault="00CB7729" w:rsidP="0038320E">
            <w:pPr>
              <w:pStyle w:val="StylLeftSectionH"/>
              <w:rPr>
                <w:color w:val="000000" w:themeColor="text1"/>
              </w:rPr>
            </w:pPr>
          </w:p>
        </w:tc>
        <w:tc>
          <w:tcPr>
            <w:tcW w:w="3291" w:type="pct"/>
          </w:tcPr>
          <w:p w:rsidR="00CB7729" w:rsidRPr="00CB7729" w:rsidRDefault="004B0C26" w:rsidP="0038320E">
            <w:pPr>
              <w:pStyle w:val="StylLeftSec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Over thirty</w:t>
            </w:r>
            <w:r w:rsidR="00CB7729" w:rsidRPr="00CB7729">
              <w:rPr>
                <w:color w:val="000000" w:themeColor="text1"/>
              </w:rPr>
              <w:t xml:space="preserve"> years of professional experience with A</w:t>
            </w:r>
            <w:r w:rsidR="0014058D">
              <w:rPr>
                <w:color w:val="000000" w:themeColor="text1"/>
              </w:rPr>
              <w:t>ccounting Principles, A</w:t>
            </w:r>
            <w:r w:rsidR="00CB7729" w:rsidRPr="00CB7729">
              <w:rPr>
                <w:color w:val="000000" w:themeColor="text1"/>
              </w:rPr>
              <w:t>ccount Reconciliation, Accounts Payable, Accounts Receivable, Audit Remediation, Financial Reporting, General Ledger, Journal Entries, Month End Close, Payroll, and Year End Close</w:t>
            </w:r>
          </w:p>
          <w:p w:rsidR="00CB7729" w:rsidRPr="00585AC1" w:rsidRDefault="00CB7729" w:rsidP="0038320E">
            <w:pPr>
              <w:pStyle w:val="StylLeftSectionH"/>
              <w:rPr>
                <w:color w:val="000000" w:themeColor="text1"/>
                <w:sz w:val="26"/>
                <w:szCs w:val="26"/>
              </w:rPr>
            </w:pPr>
          </w:p>
          <w:p w:rsidR="00CB7729" w:rsidRDefault="00CB7729" w:rsidP="0038320E">
            <w:pPr>
              <w:pStyle w:val="StylLeftSectionH"/>
              <w:rPr>
                <w:color w:val="000000" w:themeColor="text1"/>
              </w:rPr>
            </w:pPr>
            <w:r w:rsidRPr="00CB7729">
              <w:rPr>
                <w:color w:val="000000" w:themeColor="text1"/>
              </w:rPr>
              <w:t>Professional Experience</w:t>
            </w:r>
          </w:p>
          <w:p w:rsidR="00025A83" w:rsidRDefault="00025A83" w:rsidP="0038320E">
            <w:pPr>
              <w:pStyle w:val="StylLeftSectionH"/>
              <w:rPr>
                <w:color w:val="000000" w:themeColor="text1"/>
              </w:rPr>
            </w:pPr>
          </w:p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398"/>
            </w:tblGrid>
            <w:tr w:rsidR="00025A83" w:rsidRPr="00CB7729" w:rsidTr="00CB7CEB">
              <w:tc>
                <w:tcPr>
                  <w:tcW w:w="33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5A83" w:rsidRPr="00CB7729" w:rsidRDefault="00025A83" w:rsidP="00025A83">
                  <w:pPr>
                    <w:spacing w:after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UNO Medicaid Technical Services</w:t>
                  </w:r>
                </w:p>
              </w:tc>
              <w:tc>
                <w:tcPr>
                  <w:tcW w:w="339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25A83" w:rsidRDefault="00025A83" w:rsidP="00025A83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Drug Rebate Reconciliation Specialist</w:t>
                  </w:r>
                </w:p>
                <w:p w:rsidR="00025A83" w:rsidRDefault="002B0A68" w:rsidP="00025A83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April 2019</w:t>
                  </w:r>
                  <w:r w:rsidR="00025A83">
                    <w:rPr>
                      <w:b/>
                      <w:color w:val="000000" w:themeColor="text1"/>
                      <w:sz w:val="20"/>
                      <w:szCs w:val="20"/>
                    </w:rPr>
                    <w:t>-present</w:t>
                  </w:r>
                </w:p>
                <w:p w:rsidR="00E86B46" w:rsidRPr="00C65ED4" w:rsidRDefault="00E86B46" w:rsidP="00025A83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25A83" w:rsidRPr="00CB7729" w:rsidTr="00CB7CEB">
              <w:tc>
                <w:tcPr>
                  <w:tcW w:w="679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552347">
                    <w:rPr>
                      <w:sz w:val="20"/>
                      <w:szCs w:val="20"/>
                    </w:rPr>
                    <w:t>Receive, review &amp; enter rebate checks and invoices daily.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552347">
                    <w:rPr>
                      <w:sz w:val="20"/>
                      <w:szCs w:val="20"/>
                    </w:rPr>
                    <w:t xml:space="preserve">Reconcile and ensure the accuracy of rebate payments from labelers and providers.  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552347">
                    <w:rPr>
                      <w:sz w:val="20"/>
                      <w:szCs w:val="20"/>
                    </w:rPr>
                    <w:t xml:space="preserve">Provide clerical and administrative services to effectively ensure timely entry of payments; 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eastAsia="Times New Roman"/>
                      <w:sz w:val="20"/>
                      <w:szCs w:val="20"/>
                    </w:rPr>
                  </w:pPr>
                  <w:r w:rsidRPr="00552347">
                    <w:rPr>
                      <w:sz w:val="20"/>
                      <w:szCs w:val="20"/>
                    </w:rPr>
                    <w:t>Research any variances in payment and work with the c</w:t>
                  </w:r>
                  <w:r w:rsidRPr="00552347">
                    <w:rPr>
                      <w:rFonts w:eastAsia="Times New Roman"/>
                      <w:sz w:val="20"/>
                      <w:szCs w:val="20"/>
                    </w:rPr>
                    <w:t>oordinate on resolution of payment issues in a timely manner.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552347">
                    <w:rPr>
                      <w:sz w:val="20"/>
                      <w:szCs w:val="20"/>
                    </w:rPr>
                    <w:t xml:space="preserve">Work with rebate coordinators regarding any outstanding issues or discrepancies. 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552347">
                    <w:rPr>
                      <w:rFonts w:cstheme="minorHAnsi"/>
                      <w:sz w:val="20"/>
                      <w:szCs w:val="20"/>
                    </w:rPr>
                    <w:t xml:space="preserve">Run a balance report after completion of each payment to ensure accuracy and submission of </w:t>
                  </w:r>
                  <w:r w:rsidR="002C7D53">
                    <w:rPr>
                      <w:rFonts w:cstheme="minorHAnsi"/>
                      <w:sz w:val="20"/>
                      <w:szCs w:val="20"/>
                    </w:rPr>
                    <w:t>ARAB-11 Record of Remittance to</w:t>
                  </w:r>
                  <w:r w:rsidRPr="00552347">
                    <w:rPr>
                      <w:rFonts w:cstheme="minorHAnsi"/>
                      <w:sz w:val="20"/>
                      <w:szCs w:val="20"/>
                    </w:rPr>
                    <w:t xml:space="preserve"> the PIVs for monthly report</w:t>
                  </w:r>
                  <w:r w:rsidR="002C7D53">
                    <w:rPr>
                      <w:rFonts w:cstheme="minorHAnsi"/>
                      <w:sz w:val="20"/>
                      <w:szCs w:val="20"/>
                    </w:rPr>
                    <w:t>s</w:t>
                  </w:r>
                  <w:r w:rsidRPr="00552347">
                    <w:rPr>
                      <w:rFonts w:cstheme="minorHAnsi"/>
                      <w:sz w:val="20"/>
                      <w:szCs w:val="20"/>
                    </w:rPr>
                    <w:t>.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552347">
                    <w:rPr>
                      <w:rFonts w:cstheme="minorHAnsi"/>
                      <w:sz w:val="20"/>
                      <w:szCs w:val="20"/>
                    </w:rPr>
                    <w:t>Work and interact effectively and positively with other staff members to build and enhance teamwork in the department.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552347">
                    <w:rPr>
                      <w:rFonts w:cstheme="minorHAnsi"/>
                      <w:sz w:val="20"/>
                      <w:szCs w:val="20"/>
                    </w:rPr>
                    <w:t xml:space="preserve">Performed other duties as </w:t>
                  </w:r>
                  <w:r w:rsidR="00404645">
                    <w:rPr>
                      <w:rFonts w:cstheme="minorHAnsi"/>
                      <w:sz w:val="20"/>
                      <w:szCs w:val="20"/>
                    </w:rPr>
                    <w:t>assigned</w:t>
                  </w:r>
                  <w:r w:rsidRPr="00552347">
                    <w:rPr>
                      <w:rFonts w:cstheme="minorHAnsi"/>
                      <w:sz w:val="20"/>
                      <w:szCs w:val="20"/>
                    </w:rPr>
                    <w:t xml:space="preserve"> by the department coordinator. </w:t>
                  </w:r>
                </w:p>
                <w:p w:rsidR="00552347" w:rsidRPr="00552347" w:rsidRDefault="00552347" w:rsidP="00552347">
                  <w:pPr>
                    <w:pStyle w:val="NoSpacing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552347">
                    <w:rPr>
                      <w:rFonts w:cstheme="minorHAnsi"/>
                      <w:sz w:val="20"/>
                      <w:szCs w:val="20"/>
                    </w:rPr>
                    <w:t>Maintains understanding of State and Federal guidelines.</w:t>
                  </w:r>
                </w:p>
                <w:p w:rsidR="00025A83" w:rsidRPr="00585AC1" w:rsidRDefault="00025A83" w:rsidP="00552347">
                  <w:pPr>
                    <w:spacing w:after="0"/>
                    <w:ind w:left="720"/>
                    <w:rPr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  <w:tr w:rsidR="00CB7729" w:rsidRPr="00CB7729" w:rsidTr="0038320E">
              <w:tc>
                <w:tcPr>
                  <w:tcW w:w="33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7729" w:rsidRPr="00CB7729" w:rsidRDefault="00CB7729" w:rsidP="0038320E">
                  <w:pPr>
                    <w:spacing w:after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CB7729">
                    <w:rPr>
                      <w:b/>
                      <w:color w:val="000000" w:themeColor="text1"/>
                      <w:sz w:val="20"/>
                      <w:szCs w:val="20"/>
                    </w:rPr>
                    <w:t>Ochsner Health Systems</w:t>
                  </w:r>
                </w:p>
              </w:tc>
              <w:tc>
                <w:tcPr>
                  <w:tcW w:w="339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65ED4" w:rsidRDefault="00C55B2F" w:rsidP="00C65ED4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Payable</w:t>
                  </w:r>
                  <w:r w:rsidR="00D14675">
                    <w:rPr>
                      <w:b/>
                      <w:color w:val="000000" w:themeColor="text1"/>
                      <w:sz w:val="20"/>
                      <w:szCs w:val="20"/>
                    </w:rPr>
                    <w:t>s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 xml:space="preserve"> Analyst</w:t>
                  </w:r>
                </w:p>
                <w:p w:rsidR="00E86B46" w:rsidRPr="00C65ED4" w:rsidRDefault="00C65ED4" w:rsidP="00025A83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March 201</w:t>
                  </w:r>
                  <w:r w:rsidR="00025A83">
                    <w:rPr>
                      <w:b/>
                      <w:color w:val="000000" w:themeColor="text1"/>
                      <w:sz w:val="20"/>
                      <w:szCs w:val="20"/>
                    </w:rPr>
                    <w:t>6</w:t>
                  </w:r>
                  <w:r w:rsidR="002B0A68">
                    <w:rPr>
                      <w:b/>
                      <w:color w:val="000000" w:themeColor="text1"/>
                      <w:sz w:val="20"/>
                      <w:szCs w:val="20"/>
                    </w:rPr>
                    <w:t>-March 2019</w:t>
                  </w:r>
                </w:p>
              </w:tc>
            </w:tr>
            <w:tr w:rsidR="00B32715" w:rsidRPr="00CB7729" w:rsidTr="0038320E">
              <w:tc>
                <w:tcPr>
                  <w:tcW w:w="33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32715" w:rsidRPr="00CB7729" w:rsidRDefault="00B32715" w:rsidP="0038320E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39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32715" w:rsidRDefault="00B32715" w:rsidP="00C65ED4">
                  <w:pPr>
                    <w:spacing w:after="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CB7729" w:rsidRPr="00CB7729" w:rsidTr="0038320E">
              <w:tc>
                <w:tcPr>
                  <w:tcW w:w="679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Receive and review electronic invoices (EDI) from various vendors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Process invoices received within three working days of receipt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Perform daily batching, records and conducts data entry of invoices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Verify invoices to corresponding receiving and purchase order documents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Verify taxes and freight charges within predetermined guidelines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Review and reconcile vendor statements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Monitor and resolve errors and corrections related to electronic invoices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Create, modify and update spreadsheets when needed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Review and process credit memos and rebills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Complete special projects as assigned by department leadership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Participates in quality improvement initia</w:t>
                  </w:r>
                  <w:r w:rsidR="0037212E" w:rsidRPr="00B32715">
                    <w:rPr>
                      <w:rFonts w:cstheme="minorHAnsi"/>
                      <w:sz w:val="20"/>
                      <w:szCs w:val="20"/>
                    </w:rPr>
                    <w:t xml:space="preserve">tives to improve work processes </w:t>
                  </w:r>
                  <w:r w:rsidRPr="00B32715">
                    <w:rPr>
                      <w:rFonts w:cstheme="minorHAnsi"/>
                      <w:sz w:val="20"/>
                      <w:szCs w:val="20"/>
                    </w:rPr>
                    <w:t>and customer satisfaction</w:t>
                  </w:r>
                  <w:r w:rsidR="0037212E" w:rsidRPr="00B32715">
                    <w:rPr>
                      <w:rFonts w:cstheme="minorHAnsi"/>
                      <w:sz w:val="20"/>
                      <w:szCs w:val="20"/>
                    </w:rPr>
                    <w:t>.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sz w:val="20"/>
                      <w:szCs w:val="20"/>
                    </w:rPr>
                  </w:pPr>
                  <w:r w:rsidRPr="00B32715">
                    <w:rPr>
                      <w:rFonts w:eastAsia="Times New Roman" w:cstheme="minorHAnsi"/>
                      <w:sz w:val="20"/>
                      <w:szCs w:val="20"/>
                    </w:rPr>
                    <w:t>Review, assemble, input, and supervise credit card statements, employee expenditure records and incoming bills for the required documentation before payment is made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sz w:val="20"/>
                      <w:szCs w:val="20"/>
                    </w:rPr>
                  </w:pPr>
                  <w:r w:rsidRPr="00B32715">
                    <w:rPr>
                      <w:rFonts w:eastAsia="Times New Roman" w:cstheme="minorHAnsi"/>
                      <w:sz w:val="20"/>
                      <w:szCs w:val="20"/>
                    </w:rPr>
                    <w:t>Ensure coding for the befitting expense accounts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B32715">
                    <w:rPr>
                      <w:rFonts w:cstheme="minorHAnsi"/>
                      <w:sz w:val="20"/>
                      <w:szCs w:val="20"/>
                    </w:rPr>
                    <w:t>Work together with account directors and heads of departments to obtain consent on appropriate expenses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lastRenderedPageBreak/>
                    <w:t>Work as a connection between branch and corporate accounts units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Guarantee all vendor accounts are handled precisely and ensure accurate and complete information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Obtain and validate invoices for suitable authorization and documentation approval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Establish fresh vendor profiles and supervise accounts to guarantee payments are updated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Ensure good working relationship with vendors and acknowledge queries</w:t>
                  </w:r>
                </w:p>
                <w:p w:rsidR="0037212E" w:rsidRPr="00B32715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Assist in opening and organizing mails, as well as handling and processing of emails for the accounts payable unit</w:t>
                  </w:r>
                </w:p>
                <w:p w:rsidR="0037212E" w:rsidRPr="0037212E" w:rsidRDefault="0037212E" w:rsidP="00B32715">
                  <w:pPr>
                    <w:pStyle w:val="NoSpacing"/>
                    <w:numPr>
                      <w:ilvl w:val="0"/>
                      <w:numId w:val="19"/>
                    </w:numPr>
                  </w:pPr>
                  <w:r w:rsidRPr="00B32715">
                    <w:rPr>
                      <w:sz w:val="20"/>
                      <w:szCs w:val="20"/>
                    </w:rPr>
                    <w:t>Evaluate all invoices for suitable filing and consent before identifying inconsistencies and errors.</w:t>
                  </w:r>
                </w:p>
              </w:tc>
            </w:tr>
            <w:tr w:rsidR="00CB7729" w:rsidRPr="0037212E" w:rsidTr="0038320E">
              <w:tc>
                <w:tcPr>
                  <w:tcW w:w="33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65ED4" w:rsidRPr="0037212E" w:rsidRDefault="00C65ED4" w:rsidP="0037212E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</w:p>
                <w:p w:rsidR="00CB7729" w:rsidRPr="0037212E" w:rsidRDefault="00CB7729" w:rsidP="0037212E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37212E">
                    <w:rPr>
                      <w:b/>
                      <w:sz w:val="20"/>
                      <w:szCs w:val="20"/>
                    </w:rPr>
                    <w:t>International Shipholding Corporation</w:t>
                  </w:r>
                </w:p>
              </w:tc>
              <w:tc>
                <w:tcPr>
                  <w:tcW w:w="339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65ED4" w:rsidRPr="0037212E" w:rsidRDefault="00C65ED4" w:rsidP="0037212E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</w:p>
                <w:p w:rsidR="00C65ED4" w:rsidRPr="0037212E" w:rsidRDefault="005F369E" w:rsidP="0037212E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="00BE4883">
                    <w:rPr>
                      <w:b/>
                      <w:sz w:val="20"/>
                      <w:szCs w:val="20"/>
                    </w:rPr>
                    <w:t>Bookkeeper</w:t>
                  </w:r>
                  <w:r w:rsidR="00C65ED4" w:rsidRPr="0037212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:rsidR="00C65ED4" w:rsidRPr="0037212E" w:rsidRDefault="008065E3" w:rsidP="0037212E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37212E">
                    <w:rPr>
                      <w:b/>
                      <w:sz w:val="20"/>
                      <w:szCs w:val="20"/>
                    </w:rPr>
                    <w:tab/>
                  </w:r>
                  <w:r w:rsidR="00E20B6A" w:rsidRPr="0037212E">
                    <w:rPr>
                      <w:b/>
                      <w:sz w:val="20"/>
                      <w:szCs w:val="20"/>
                    </w:rPr>
                    <w:t>J</w:t>
                  </w:r>
                  <w:r w:rsidR="00FF74D5" w:rsidRPr="0037212E">
                    <w:rPr>
                      <w:b/>
                      <w:sz w:val="20"/>
                      <w:szCs w:val="20"/>
                    </w:rPr>
                    <w:t>anuary</w:t>
                  </w:r>
                  <w:r w:rsidR="00410BD0" w:rsidRPr="0037212E">
                    <w:rPr>
                      <w:b/>
                      <w:sz w:val="20"/>
                      <w:szCs w:val="20"/>
                    </w:rPr>
                    <w:t xml:space="preserve"> 2012</w:t>
                  </w:r>
                  <w:r w:rsidR="00C65ED4" w:rsidRPr="0037212E">
                    <w:rPr>
                      <w:b/>
                      <w:sz w:val="20"/>
                      <w:szCs w:val="20"/>
                    </w:rPr>
                    <w:t>-March 201</w:t>
                  </w:r>
                  <w:r w:rsidR="00025A83" w:rsidRPr="0037212E">
                    <w:rPr>
                      <w:b/>
                      <w:sz w:val="20"/>
                      <w:szCs w:val="20"/>
                    </w:rPr>
                    <w:t>6</w:t>
                  </w:r>
                </w:p>
                <w:p w:rsidR="00E86B46" w:rsidRPr="0037212E" w:rsidRDefault="00E86B46" w:rsidP="0037212E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CB7729" w:rsidRPr="00CB7729" w:rsidTr="0038320E">
              <w:tc>
                <w:tcPr>
                  <w:tcW w:w="679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F658C" w:rsidRP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Process</w:t>
                  </w:r>
                  <w:r w:rsidR="00BE4883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ed </w:t>
                  </w: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payment of employee expense claims and </w:t>
                  </w:r>
                  <w:r w:rsidR="00BE4883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credit c</w:t>
                  </w: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ard accounts.</w:t>
                  </w:r>
                </w:p>
                <w:p w:rsidR="005F658C" w:rsidRP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Payment processing of all invoices by way of Accounts Payable module within the accounting software system.</w:t>
                  </w:r>
                </w:p>
                <w:p w:rsidR="005F658C" w:rsidRP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Responsible for matching and assembling documentation in preparation of payments from accounts.</w:t>
                  </w:r>
                </w:p>
                <w:p w:rsidR="005F658C" w:rsidRPr="005F658C" w:rsidRDefault="00BE4883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Ensured</w:t>
                  </w:r>
                  <w:r w:rsidR="005F658C"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that </w:t>
                  </w:r>
                  <w:r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invoices</w:t>
                  </w:r>
                  <w:r w:rsidR="005F658C"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for payment are valid in all respects including income tax and other taxation requirements.</w:t>
                  </w:r>
                </w:p>
                <w:p w:rsidR="005F658C" w:rsidRP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Ensures correct authorization and evidence of receipt of goods and the existence of services before payment.</w:t>
                  </w:r>
                </w:p>
                <w:p w:rsidR="005F658C" w:rsidRPr="00BE4883" w:rsidRDefault="00BE4883" w:rsidP="00BE4883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Performed m</w:t>
                  </w:r>
                  <w:r w:rsidR="005F658C"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onthly reconciliation of supplier statements to confirm that they agree with</w:t>
                  </w:r>
                  <w:r w:rsid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the organization</w:t>
                  </w:r>
                  <w:r w:rsidR="005F658C"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records.  Follow up on reconciling items in a timely manner in conjunction with the Accounts Payable Specialist, Financial Accountant and/or Financial Accounting Supervisor.</w:t>
                  </w:r>
                </w:p>
                <w:p w:rsidR="005F658C" w:rsidRPr="005F658C" w:rsidRDefault="00BE4883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Worked</w:t>
                  </w:r>
                  <w:r w:rsidR="005F658C"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with parties in the Finance department for payment of invoices requiring prompt payment.</w:t>
                  </w:r>
                </w:p>
                <w:p w:rsidR="005F658C" w:rsidRP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Liaises with Purchasing department and vendors to obtain correct vendor information for </w:t>
                  </w:r>
                  <w:r w:rsidR="00BE4883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new and existing </w:t>
                  </w: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vendors.</w:t>
                  </w:r>
                </w:p>
                <w:p w:rsid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Checks employee expense claims to ensure they are in accordance with company policy, </w:t>
                  </w:r>
                  <w:bookmarkStart w:id="2" w:name="_GoBack"/>
                  <w:bookmarkEnd w:id="2"/>
                  <w:r w:rsidR="00EE478D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a</w:t>
                  </w: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re correctly approved </w:t>
                  </w:r>
                  <w:r w:rsidR="00EE478D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and process</w:t>
                  </w: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for payment.</w:t>
                  </w:r>
                </w:p>
                <w:p w:rsidR="00BE4883" w:rsidRPr="00BE4883" w:rsidRDefault="00BE4883" w:rsidP="00BE4883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Processe</w:t>
                  </w:r>
                  <w:r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d</w:t>
                  </w: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employee adva</w:t>
                  </w:r>
                  <w:r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nces/returns and expense claims.</w:t>
                  </w:r>
                </w:p>
                <w:p w:rsidR="005F658C" w:rsidRP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Processes company credit card payments, ensuring appropriate authorization, coding and prompt payment.</w:t>
                  </w:r>
                </w:p>
                <w:p w:rsidR="005F658C" w:rsidRPr="005F658C" w:rsidRDefault="005F658C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Records and processes employee expense and credit card costs and performs reconciliation.</w:t>
                  </w:r>
                </w:p>
                <w:p w:rsidR="005F658C" w:rsidRPr="005F658C" w:rsidRDefault="00BE4883" w:rsidP="005F658C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</w:pPr>
                  <w:r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Assisted</w:t>
                  </w:r>
                  <w:r w:rsidR="005F658C"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in ensuring that all accounts payable written procedures are </w:t>
                  </w:r>
                  <w:r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>accurate, correct,</w:t>
                  </w:r>
                  <w:r w:rsidR="005F658C" w:rsidRPr="005F658C">
                    <w:rPr>
                      <w:rFonts w:asciiTheme="majorHAnsi" w:eastAsia="Times New Roman" w:hAnsiTheme="majorHAnsi" w:cstheme="majorHAnsi"/>
                      <w:color w:val="212529"/>
                      <w:sz w:val="20"/>
                      <w:szCs w:val="20"/>
                    </w:rPr>
                    <w:t xml:space="preserve"> and updated as needed.</w:t>
                  </w:r>
                </w:p>
                <w:p w:rsidR="00CB7729" w:rsidRPr="005F658C" w:rsidRDefault="00BE4883" w:rsidP="00BE4883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Theme="majorHAnsi" w:hAnsiTheme="majorHAnsi" w:cstheme="maj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theme="majorHAnsi"/>
                      <w:color w:val="000000" w:themeColor="text1"/>
                      <w:sz w:val="20"/>
                      <w:szCs w:val="20"/>
                    </w:rPr>
                    <w:t>Performed any other duties assigned.</w:t>
                  </w:r>
                </w:p>
              </w:tc>
            </w:tr>
            <w:tr w:rsidR="00CB7729" w:rsidRPr="00CB7729" w:rsidTr="0038320E">
              <w:tc>
                <w:tcPr>
                  <w:tcW w:w="679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7729" w:rsidRPr="004250BA" w:rsidRDefault="00CB7729" w:rsidP="00B33A3B">
                  <w:pPr>
                    <w:spacing w:after="0"/>
                    <w:rPr>
                      <w:color w:val="000000" w:themeColor="text1"/>
                      <w:sz w:val="4"/>
                      <w:szCs w:val="4"/>
                    </w:rPr>
                  </w:pPr>
                </w:p>
              </w:tc>
            </w:tr>
            <w:tr w:rsidR="00CB7729" w:rsidRPr="00CB7729" w:rsidTr="0038320E">
              <w:tc>
                <w:tcPr>
                  <w:tcW w:w="33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7729" w:rsidRPr="00CB7729" w:rsidRDefault="00CB7729" w:rsidP="0038320E">
                  <w:pPr>
                    <w:spacing w:before="150" w:after="0"/>
                    <w:rPr>
                      <w:color w:val="000000" w:themeColor="text1"/>
                      <w:sz w:val="20"/>
                      <w:szCs w:val="20"/>
                    </w:rPr>
                  </w:pPr>
                  <w:r w:rsidRPr="00CB7729">
                    <w:rPr>
                      <w:b/>
                      <w:color w:val="000000" w:themeColor="text1"/>
                      <w:sz w:val="20"/>
                      <w:szCs w:val="20"/>
                    </w:rPr>
                    <w:t>Community Association for the Welfare of School Children</w:t>
                  </w:r>
                </w:p>
              </w:tc>
              <w:tc>
                <w:tcPr>
                  <w:tcW w:w="339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5F369E" w:rsidRDefault="004836E8" w:rsidP="00F01291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 w:rsidRPr="00F01291">
                    <w:rPr>
                      <w:b/>
                      <w:sz w:val="20"/>
                      <w:szCs w:val="20"/>
                    </w:rPr>
                    <w:t xml:space="preserve">             </w:t>
                  </w:r>
                </w:p>
                <w:p w:rsidR="00F01291" w:rsidRDefault="005F369E" w:rsidP="00F01291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="00CB7729" w:rsidRPr="00F01291">
                    <w:rPr>
                      <w:b/>
                      <w:sz w:val="20"/>
                      <w:szCs w:val="20"/>
                    </w:rPr>
                    <w:t>Grants Compliance Officer</w:t>
                  </w:r>
                </w:p>
                <w:p w:rsidR="00C65ED4" w:rsidRDefault="00F01291" w:rsidP="003113E6">
                  <w:pPr>
                    <w:pStyle w:val="NoSpacing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    </w:t>
                  </w:r>
                  <w:r>
                    <w:rPr>
                      <w:b/>
                      <w:sz w:val="20"/>
                      <w:szCs w:val="20"/>
                    </w:rPr>
                    <w:tab/>
                  </w:r>
                  <w:r w:rsidRPr="00F01291">
                    <w:rPr>
                      <w:b/>
                      <w:sz w:val="20"/>
                      <w:szCs w:val="20"/>
                    </w:rPr>
                    <w:t xml:space="preserve">June </w:t>
                  </w:r>
                  <w:r w:rsidR="00410BD0">
                    <w:rPr>
                      <w:b/>
                      <w:sz w:val="20"/>
                      <w:szCs w:val="20"/>
                    </w:rPr>
                    <w:t>199</w:t>
                  </w:r>
                  <w:r w:rsidRPr="00F01291">
                    <w:rPr>
                      <w:b/>
                      <w:sz w:val="20"/>
                      <w:szCs w:val="20"/>
                    </w:rPr>
                    <w:t>4-</w:t>
                  </w:r>
                  <w:r w:rsidR="00FF74D5">
                    <w:rPr>
                      <w:b/>
                      <w:sz w:val="20"/>
                      <w:szCs w:val="20"/>
                    </w:rPr>
                    <w:t xml:space="preserve">January </w:t>
                  </w:r>
                  <w:r w:rsidR="00410BD0">
                    <w:rPr>
                      <w:b/>
                      <w:sz w:val="20"/>
                      <w:szCs w:val="20"/>
                    </w:rPr>
                    <w:t>2012</w:t>
                  </w:r>
                </w:p>
                <w:p w:rsidR="003113E6" w:rsidRPr="003113E6" w:rsidRDefault="003113E6" w:rsidP="003113E6">
                  <w:pPr>
                    <w:pStyle w:val="NoSpacing"/>
                  </w:pPr>
                </w:p>
              </w:tc>
            </w:tr>
            <w:tr w:rsidR="00CB7729" w:rsidRPr="00CB7729" w:rsidTr="0038320E">
              <w:tc>
                <w:tcPr>
                  <w:tcW w:w="6795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Assisted with writing grant applications on behalf of the agency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Developed and maintained grant application calendar for all grant requests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 xml:space="preserve">Researched grant opportunities for education and outreach departments 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2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Developed grant administration policies and procedures in accordance with state, local, and federal regulations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lastRenderedPageBreak/>
                    <w:t>Performed various administrative functions such as billings, budget amendments, plan change, program evaluation, etc.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Ensured accurate and timely preparation of grant billings and reports reviewed and approved by the Director</w:t>
                  </w:r>
                  <w:r w:rsidR="004250BA" w:rsidRPr="00B32715">
                    <w:rPr>
                      <w:sz w:val="20"/>
                      <w:szCs w:val="20"/>
                    </w:rPr>
                    <w:t>.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Created and maintained appropriate spreadsheets and documentation to support grant expenses for submission to state and federal agencies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Continuously monitored grant budgets and expenditures to ensure programs meet their targeted goals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Monitored program goals and monthly performance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Communicated grant information all other appropriate internal users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Check reports, records, ledgers, and other documents against invoices, receipts, payroll slips, and other source documents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Verified appropriateness of charges for salaries and program supplies and assure transactions are properly recorded</w:t>
                  </w:r>
                </w:p>
                <w:p w:rsidR="00CB7729" w:rsidRPr="00B32715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B32715">
                    <w:rPr>
                      <w:sz w:val="20"/>
                      <w:szCs w:val="20"/>
                    </w:rPr>
                    <w:t>Reported contract assignments regarding activities outlined by governmental grants to the agency</w:t>
                  </w:r>
                </w:p>
                <w:p w:rsidR="00CB7729" w:rsidRPr="00CB7729" w:rsidRDefault="00CB7729" w:rsidP="00B32715">
                  <w:pPr>
                    <w:pStyle w:val="NoSpacing"/>
                    <w:numPr>
                      <w:ilvl w:val="0"/>
                      <w:numId w:val="1"/>
                    </w:numPr>
                  </w:pPr>
                  <w:r w:rsidRPr="00B32715">
                    <w:rPr>
                      <w:sz w:val="20"/>
                      <w:szCs w:val="20"/>
                    </w:rPr>
                    <w:t>Prepared written and statistical reports when requested</w:t>
                  </w:r>
                  <w:r w:rsidR="004250BA" w:rsidRPr="00B32715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CB7729" w:rsidRPr="00CB7729" w:rsidRDefault="00CB7729" w:rsidP="0038320E">
            <w:pPr>
              <w:rPr>
                <w:color w:val="000000" w:themeColor="text1"/>
              </w:rPr>
            </w:pPr>
          </w:p>
        </w:tc>
      </w:tr>
      <w:bookmarkEnd w:id="0"/>
    </w:tbl>
    <w:p w:rsidR="00CB7729" w:rsidRPr="00CB7729" w:rsidRDefault="00CB7729" w:rsidP="003113E6">
      <w:pPr>
        <w:pStyle w:val="StylLeftSectionH"/>
        <w:rPr>
          <w:color w:val="000000" w:themeColor="text1"/>
        </w:rPr>
      </w:pPr>
    </w:p>
    <w:sectPr w:rsidR="00CB7729" w:rsidRPr="00CB7729" w:rsidSect="008758D1">
      <w:pgSz w:w="12240" w:h="15840" w:code="1"/>
      <w:pgMar w:top="907" w:right="794" w:bottom="907" w:left="794" w:header="0" w:footer="907" w:gutter="0"/>
      <w:cols w:space="71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BA8" w:rsidRDefault="00375BA8" w:rsidP="00CB7729">
      <w:pPr>
        <w:spacing w:after="0" w:line="240" w:lineRule="auto"/>
      </w:pPr>
      <w:r>
        <w:separator/>
      </w:r>
    </w:p>
  </w:endnote>
  <w:endnote w:type="continuationSeparator" w:id="0">
    <w:p w:rsidR="00375BA8" w:rsidRDefault="00375BA8" w:rsidP="00CB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BA8" w:rsidRDefault="00375BA8" w:rsidP="00CB7729">
      <w:pPr>
        <w:spacing w:after="0" w:line="240" w:lineRule="auto"/>
      </w:pPr>
      <w:r>
        <w:separator/>
      </w:r>
    </w:p>
  </w:footnote>
  <w:footnote w:type="continuationSeparator" w:id="0">
    <w:p w:rsidR="00375BA8" w:rsidRDefault="00375BA8" w:rsidP="00CB7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DD5"/>
    <w:multiLevelType w:val="multilevel"/>
    <w:tmpl w:val="E39A2EC2"/>
    <w:lvl w:ilvl="0">
      <w:numFmt w:val="bullet"/>
      <w:lvlText w:val="●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FA4EDA"/>
    <w:multiLevelType w:val="hybridMultilevel"/>
    <w:tmpl w:val="9DB0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0FE5"/>
    <w:multiLevelType w:val="multilevel"/>
    <w:tmpl w:val="D6FA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33F60"/>
    <w:multiLevelType w:val="hybridMultilevel"/>
    <w:tmpl w:val="0C929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060528"/>
    <w:multiLevelType w:val="multilevel"/>
    <w:tmpl w:val="EC52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11921"/>
    <w:multiLevelType w:val="hybridMultilevel"/>
    <w:tmpl w:val="72A25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A0DC5"/>
    <w:multiLevelType w:val="multilevel"/>
    <w:tmpl w:val="FA2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C7402"/>
    <w:multiLevelType w:val="multilevel"/>
    <w:tmpl w:val="A5CC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64F4B"/>
    <w:multiLevelType w:val="multilevel"/>
    <w:tmpl w:val="8DDE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B5577"/>
    <w:multiLevelType w:val="multilevel"/>
    <w:tmpl w:val="E39A2EC2"/>
    <w:lvl w:ilvl="0">
      <w:numFmt w:val="bullet"/>
      <w:lvlText w:val="●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3260F9"/>
    <w:multiLevelType w:val="hybridMultilevel"/>
    <w:tmpl w:val="EF760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55A0A"/>
    <w:multiLevelType w:val="multilevel"/>
    <w:tmpl w:val="F52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10475"/>
    <w:multiLevelType w:val="multilevel"/>
    <w:tmpl w:val="35C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F2B03"/>
    <w:multiLevelType w:val="hybridMultilevel"/>
    <w:tmpl w:val="95E4B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3F012C"/>
    <w:multiLevelType w:val="multilevel"/>
    <w:tmpl w:val="57E0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4075E"/>
    <w:multiLevelType w:val="multilevel"/>
    <w:tmpl w:val="A6E0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A02BD"/>
    <w:multiLevelType w:val="hybridMultilevel"/>
    <w:tmpl w:val="849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A702D"/>
    <w:multiLevelType w:val="hybridMultilevel"/>
    <w:tmpl w:val="65AA9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9B7C73"/>
    <w:multiLevelType w:val="multilevel"/>
    <w:tmpl w:val="5ACE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12B09"/>
    <w:multiLevelType w:val="multilevel"/>
    <w:tmpl w:val="6CF092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41050"/>
    <w:multiLevelType w:val="hybridMultilevel"/>
    <w:tmpl w:val="0DC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3"/>
  </w:num>
  <w:num w:numId="5">
    <w:abstractNumId w:val="17"/>
  </w:num>
  <w:num w:numId="6">
    <w:abstractNumId w:val="20"/>
  </w:num>
  <w:num w:numId="7">
    <w:abstractNumId w:val="15"/>
  </w:num>
  <w:num w:numId="8">
    <w:abstractNumId w:val="11"/>
  </w:num>
  <w:num w:numId="9">
    <w:abstractNumId w:val="8"/>
  </w:num>
  <w:num w:numId="10">
    <w:abstractNumId w:val="4"/>
  </w:num>
  <w:num w:numId="11">
    <w:abstractNumId w:val="14"/>
  </w:num>
  <w:num w:numId="12">
    <w:abstractNumId w:val="6"/>
  </w:num>
  <w:num w:numId="13">
    <w:abstractNumId w:val="7"/>
  </w:num>
  <w:num w:numId="14">
    <w:abstractNumId w:val="2"/>
  </w:num>
  <w:num w:numId="15">
    <w:abstractNumId w:val="12"/>
  </w:num>
  <w:num w:numId="16">
    <w:abstractNumId w:val="1"/>
  </w:num>
  <w:num w:numId="17">
    <w:abstractNumId w:val="18"/>
  </w:num>
  <w:num w:numId="18">
    <w:abstractNumId w:val="19"/>
  </w:num>
  <w:num w:numId="19">
    <w:abstractNumId w:val="10"/>
  </w:num>
  <w:num w:numId="20">
    <w:abstractNumId w:val="1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29"/>
    <w:rsid w:val="00001F4C"/>
    <w:rsid w:val="0000269E"/>
    <w:rsid w:val="00025A83"/>
    <w:rsid w:val="00113CAB"/>
    <w:rsid w:val="0014058D"/>
    <w:rsid w:val="002512FC"/>
    <w:rsid w:val="00261113"/>
    <w:rsid w:val="002B0A68"/>
    <w:rsid w:val="002C7D53"/>
    <w:rsid w:val="003113E6"/>
    <w:rsid w:val="00315AD5"/>
    <w:rsid w:val="0037212E"/>
    <w:rsid w:val="00375BA8"/>
    <w:rsid w:val="003A3AA0"/>
    <w:rsid w:val="003C5720"/>
    <w:rsid w:val="00404645"/>
    <w:rsid w:val="00410BD0"/>
    <w:rsid w:val="004250BA"/>
    <w:rsid w:val="004355F5"/>
    <w:rsid w:val="00461450"/>
    <w:rsid w:val="004836E8"/>
    <w:rsid w:val="00485B95"/>
    <w:rsid w:val="00491B2F"/>
    <w:rsid w:val="004B0C26"/>
    <w:rsid w:val="00552347"/>
    <w:rsid w:val="00585AC1"/>
    <w:rsid w:val="005F369E"/>
    <w:rsid w:val="005F658C"/>
    <w:rsid w:val="00607F1B"/>
    <w:rsid w:val="00637CFA"/>
    <w:rsid w:val="006C4524"/>
    <w:rsid w:val="007A76A2"/>
    <w:rsid w:val="007F79DE"/>
    <w:rsid w:val="008065E3"/>
    <w:rsid w:val="008A6A8D"/>
    <w:rsid w:val="008C7BD0"/>
    <w:rsid w:val="00A53A56"/>
    <w:rsid w:val="00B32715"/>
    <w:rsid w:val="00B33A3B"/>
    <w:rsid w:val="00BD2702"/>
    <w:rsid w:val="00BD411F"/>
    <w:rsid w:val="00BE4883"/>
    <w:rsid w:val="00C36F38"/>
    <w:rsid w:val="00C55B2F"/>
    <w:rsid w:val="00C65ED4"/>
    <w:rsid w:val="00CA3C19"/>
    <w:rsid w:val="00CB504A"/>
    <w:rsid w:val="00CB7729"/>
    <w:rsid w:val="00D14675"/>
    <w:rsid w:val="00D46A40"/>
    <w:rsid w:val="00DA7F19"/>
    <w:rsid w:val="00E20B6A"/>
    <w:rsid w:val="00E3500B"/>
    <w:rsid w:val="00E86B46"/>
    <w:rsid w:val="00EA592C"/>
    <w:rsid w:val="00EE478D"/>
    <w:rsid w:val="00F01291"/>
    <w:rsid w:val="00F05289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3DAE"/>
  <w15:chartTrackingRefBased/>
  <w15:docId w15:val="{BB7A44B5-D0A1-4D45-B4B6-134422DF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B7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729"/>
  </w:style>
  <w:style w:type="paragraph" w:customStyle="1" w:styleId="StylCandidateNameH">
    <w:name w:val="Styl_Candidate_Name_H"/>
    <w:basedOn w:val="Header"/>
    <w:link w:val="StylCandidateNameHZnak"/>
    <w:qFormat/>
    <w:rsid w:val="00CB7729"/>
    <w:pPr>
      <w:tabs>
        <w:tab w:val="clear" w:pos="4680"/>
        <w:tab w:val="clear" w:pos="9360"/>
        <w:tab w:val="center" w:pos="4536"/>
        <w:tab w:val="right" w:pos="9072"/>
      </w:tabs>
      <w:jc w:val="right"/>
    </w:pPr>
    <w:rPr>
      <w:rFonts w:ascii="Arial" w:hAnsi="Arial" w:cs="Arial"/>
      <w:b/>
      <w:color w:val="A50021"/>
      <w:sz w:val="48"/>
      <w:szCs w:val="48"/>
    </w:rPr>
  </w:style>
  <w:style w:type="character" w:customStyle="1" w:styleId="StylCandidateNameHZnak">
    <w:name w:val="Styl_Candidate_Name_H Znak"/>
    <w:basedOn w:val="HeaderChar"/>
    <w:link w:val="StylCandidateNameH"/>
    <w:rsid w:val="00CB7729"/>
    <w:rPr>
      <w:rFonts w:ascii="Arial" w:hAnsi="Arial" w:cs="Arial"/>
      <w:b/>
      <w:color w:val="A50021"/>
      <w:sz w:val="48"/>
      <w:szCs w:val="48"/>
    </w:rPr>
  </w:style>
  <w:style w:type="table" w:styleId="TableGrid">
    <w:name w:val="Table Grid"/>
    <w:basedOn w:val="TableNormal"/>
    <w:uiPriority w:val="39"/>
    <w:rsid w:val="00CB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CandidateName">
    <w:name w:val="Styl_Candidate_Name"/>
    <w:basedOn w:val="Normal"/>
    <w:link w:val="StylCandidateNameZnak"/>
    <w:qFormat/>
    <w:rsid w:val="00CB7729"/>
    <w:pPr>
      <w:spacing w:after="0" w:line="240" w:lineRule="auto"/>
      <w:contextualSpacing/>
    </w:pPr>
    <w:rPr>
      <w:b/>
      <w:color w:val="993300"/>
      <w:sz w:val="24"/>
      <w:szCs w:val="24"/>
    </w:rPr>
  </w:style>
  <w:style w:type="paragraph" w:customStyle="1" w:styleId="StylLeftSectionH">
    <w:name w:val="Styl_Left_Section_H"/>
    <w:basedOn w:val="StylCandidateName"/>
    <w:link w:val="StylLeftSectionHZnak"/>
    <w:qFormat/>
    <w:rsid w:val="00CB7729"/>
    <w:pPr>
      <w:jc w:val="both"/>
    </w:pPr>
    <w:rPr>
      <w:sz w:val="20"/>
      <w:szCs w:val="20"/>
    </w:rPr>
  </w:style>
  <w:style w:type="character" w:customStyle="1" w:styleId="StylCandidateNameZnak">
    <w:name w:val="Styl_Candidate_Name Znak"/>
    <w:basedOn w:val="DefaultParagraphFont"/>
    <w:link w:val="StylCandidateName"/>
    <w:rsid w:val="00CB7729"/>
    <w:rPr>
      <w:b/>
      <w:color w:val="993300"/>
      <w:sz w:val="24"/>
      <w:szCs w:val="24"/>
    </w:rPr>
  </w:style>
  <w:style w:type="paragraph" w:customStyle="1" w:styleId="StylLeftSection">
    <w:name w:val="Styl_Left_Section"/>
    <w:basedOn w:val="StylLeftSectionH"/>
    <w:link w:val="StylLeftSectionZnak"/>
    <w:qFormat/>
    <w:rsid w:val="00CB7729"/>
    <w:pPr>
      <w:jc w:val="left"/>
    </w:pPr>
    <w:rPr>
      <w:b w:val="0"/>
    </w:rPr>
  </w:style>
  <w:style w:type="character" w:customStyle="1" w:styleId="StylLeftSectionHZnak">
    <w:name w:val="Styl_Left_Section_H Znak"/>
    <w:basedOn w:val="StylCandidateNameZnak"/>
    <w:link w:val="StylLeftSectionH"/>
    <w:rsid w:val="00CB7729"/>
    <w:rPr>
      <w:b/>
      <w:color w:val="993300"/>
      <w:sz w:val="20"/>
      <w:szCs w:val="20"/>
    </w:rPr>
  </w:style>
  <w:style w:type="character" w:customStyle="1" w:styleId="StylLeftSectionZnak">
    <w:name w:val="Styl_Left_Section Znak"/>
    <w:basedOn w:val="StylLeftSectionHZnak"/>
    <w:link w:val="StylLeftSection"/>
    <w:rsid w:val="00CB7729"/>
    <w:rPr>
      <w:b w:val="0"/>
      <w:color w:val="993300"/>
      <w:sz w:val="20"/>
      <w:szCs w:val="20"/>
    </w:rPr>
  </w:style>
  <w:style w:type="paragraph" w:customStyle="1" w:styleId="StylPocData">
    <w:name w:val="Styl_Poc_Data"/>
    <w:basedOn w:val="Header"/>
    <w:link w:val="StylPocDataZnak"/>
    <w:qFormat/>
    <w:rsid w:val="00CB7729"/>
    <w:pPr>
      <w:tabs>
        <w:tab w:val="clear" w:pos="4680"/>
        <w:tab w:val="clear" w:pos="9360"/>
        <w:tab w:val="center" w:pos="4536"/>
        <w:tab w:val="right" w:pos="9072"/>
      </w:tabs>
      <w:contextualSpacing/>
      <w:jc w:val="right"/>
    </w:pPr>
    <w:rPr>
      <w:sz w:val="20"/>
      <w:szCs w:val="20"/>
    </w:rPr>
  </w:style>
  <w:style w:type="character" w:customStyle="1" w:styleId="StylPocDataZnak">
    <w:name w:val="Styl_Poc_Data Znak"/>
    <w:basedOn w:val="HeaderChar"/>
    <w:link w:val="StylPocData"/>
    <w:rsid w:val="00CB7729"/>
    <w:rPr>
      <w:sz w:val="20"/>
      <w:szCs w:val="20"/>
    </w:rPr>
  </w:style>
  <w:style w:type="paragraph" w:styleId="NoSpacing">
    <w:name w:val="No Spacing"/>
    <w:uiPriority w:val="1"/>
    <w:qFormat/>
    <w:rsid w:val="00CB77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77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6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Almatine Cook</dc:creator>
  <cp:keywords/>
  <dc:description/>
  <cp:lastModifiedBy>Almatine Cook</cp:lastModifiedBy>
  <cp:revision>32</cp:revision>
  <dcterms:created xsi:type="dcterms:W3CDTF">2019-08-23T14:22:00Z</dcterms:created>
  <dcterms:modified xsi:type="dcterms:W3CDTF">2020-05-26T12:25:00Z</dcterms:modified>
</cp:coreProperties>
</file>