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(123) 456-7891</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mrabb@email.com</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May 1, 2018</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Thank you so much for the opportunity to apply for the Database Analyst position at River Tech. As someone who is highly focused and attentive to details, I thrive on delivering comprehensive, data-driven and strategic recommendations that drive successful business outcomes. I'm thrilled at the chance to utilize my technical talents and communication skills as part of River Tech's expert data team.</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When I was a Database Analyst with Crane &amp; Jenkins, I was responsible for managing and analyzing large-scale database applications, supporting the development of key SOPs and delivering concise reports to senior leadership. With a proven track record of successful management of complex business-intelligence systems, I was given ownership of a seven-person, cross-functional team that was responsible for providing implementation, testing and training of a worldwide SAP solution. My team also managed the analysis, design and support of the company's entire sales-reporting operations.</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With more than a decade of experience in fast-paced global business environments, I understand the importance of clear communication and collaboration. Our Director of IT praised me for my positive attitude and strong commitment to building successful team relationships. I believe these qualities, combined with my deep knowledge of industry-leading database systems, will help me to become an asset to the River Tech team.</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I look forward to discussing how my training and experience will allow me to serve Cloud Clearwater with excellence as a Database Analyst. I am strongly committed to continually refining my skills, and my passion for technology has kept me on the cutting edge of database development. I'm eager for the opportunity to use my talents and expertise to help River Tech achieve its core business objectives.</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Malik Rabb</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