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20" w:after="160"/>
        <w:jc w:val="center"/>
        <w:rPr>
          <w:rFonts w:ascii="Times New Roman" w:hAnsi="Times New Roman"/>
          <w:b/>
          <w:sz w:val="24"/>
          <w:szCs w:val="24"/>
        </w:rPr>
      </w:pPr>
      <w:r>
        <w:rPr>
          <w:rFonts w:ascii="Times New Roman" w:hAnsi="Times New Roman"/>
          <w:b/>
          <w:sz w:val="24"/>
          <w:szCs w:val="24"/>
        </w:rPr>
        <w:t>CHAPTER FOUR</w:t>
      </w:r>
    </w:p>
    <w:p>
      <w:pPr>
        <w:pStyle w:val="Heading1"/>
        <w:jc w:val="center"/>
        <w:rPr>
          <w:rFonts w:ascii="Times New Roman" w:hAnsi="Times New Roman"/>
          <w:b/>
          <w:sz w:val="24"/>
          <w:szCs w:val="24"/>
        </w:rPr>
      </w:pPr>
      <w:r>
        <w:rPr>
          <w:rFonts w:ascii="Times New Roman" w:hAnsi="Times New Roman"/>
          <w:b/>
          <w:sz w:val="24"/>
          <w:szCs w:val="24"/>
        </w:rPr>
        <w:t>IMPLEMENTATION AND TESTING</w:t>
      </w:r>
    </w:p>
    <w:p>
      <w:pPr>
        <w:pStyle w:val="Normal"/>
        <w:rPr>
          <w:sz w:val="24"/>
          <w:szCs w:val="24"/>
        </w:rPr>
      </w:pPr>
      <w:r>
        <w:rPr>
          <w:sz w:val="24"/>
          <w:szCs w:val="24"/>
        </w:rPr>
      </w:r>
    </w:p>
    <w:p>
      <w:pPr>
        <w:pStyle w:val="Heading1"/>
        <w:rPr>
          <w:rFonts w:ascii="Times New Roman" w:hAnsi="Times New Roman"/>
          <w:b/>
          <w:sz w:val="24"/>
          <w:szCs w:val="24"/>
        </w:rPr>
      </w:pPr>
      <w:r>
        <w:rPr>
          <w:rFonts w:ascii="Times New Roman" w:hAnsi="Times New Roman"/>
          <w:b/>
          <w:sz w:val="24"/>
          <w:szCs w:val="24"/>
        </w:rPr>
        <w:t>4.0 Introduction</w:t>
      </w:r>
    </w:p>
    <w:p>
      <w:pPr>
        <w:pStyle w:val="Normal"/>
        <w:rPr>
          <w:rFonts w:ascii="Times New Roman" w:hAnsi="Times New Roman"/>
          <w:sz w:val="24"/>
          <w:szCs w:val="24"/>
        </w:rPr>
      </w:pPr>
      <w:r>
        <w:rPr>
          <w:sz w:val="24"/>
          <w:szCs w:val="24"/>
        </w:rPr>
        <w:t>This chapter documents the implementation of AgriFlow, the smart-farming artefact designed in Chapter Three. Where Chapter Three described the intended architecture, entity model, technology stack, and security design, this chapter describes what was built and how it behaves. The two chapters share structure so readers can move between a planned decision and its realized counterpart. The chapter opens with a reconciliation of plan and artefact, proceeds module-by-module through every major feature, and closes with three end-to-end demonstration scenarios and an evidenced security-implementation section. All file names and line numbers refer to the source version current at the time of writing.</w:t>
      </w:r>
    </w:p>
    <w:p>
      <w:pPr>
        <w:pStyle w:val="Heading2"/>
        <w:rPr>
          <w:rFonts w:ascii="Times New Roman" w:hAnsi="Times New Roman"/>
          <w:b/>
          <w:sz w:val="24"/>
          <w:szCs w:val="24"/>
        </w:rPr>
      </w:pPr>
      <w:r>
        <w:rPr>
          <w:rFonts w:ascii="Times New Roman" w:hAnsi="Times New Roman"/>
          <w:b/>
          <w:sz w:val="24"/>
          <w:szCs w:val="24"/>
        </w:rPr>
        <w:t>4.1 Reconciliation with the Chapter Three Design</w:t>
      </w:r>
    </w:p>
    <w:p>
      <w:pPr>
        <w:pStyle w:val="Normal"/>
        <w:rPr>
          <w:rFonts w:ascii="Times New Roman" w:hAnsi="Times New Roman"/>
          <w:sz w:val="24"/>
          <w:szCs w:val="24"/>
        </w:rPr>
      </w:pPr>
      <w:r>
        <w:rPr>
          <w:sz w:val="24"/>
          <w:szCs w:val="24"/>
        </w:rPr>
        <w:t>The delivered artefact implements the five planned layers — presentation, state, service, persistence, and the shadow service-worker — exactly as specified; layer boundaries, module names, and key files match the architecture diagram of Figure 3.2. The entity set from the Chapter Three ER diagram is preserved verbatim in types.ts and stored under the namespaced keys declared in services/persistence.ts. Three honest differences exist, each justified in Table 4.1: (1) React Router replaced with a lightweight hash-based router in FarmContext; (2) WebSocket service for real-time market data replaced with a client-side synthetic price-history generator; (3) Content-Security-Policy meta tag deferred with documented remediation path (Section 4.15.8). Apart from these three items, every element of the planned architecture, entity model, technology stack, and security design is present at the locations stated in Chapter Three.</w:t>
      </w:r>
    </w:p>
    <w:p>
      <w:pPr>
        <w:pStyle w:val="Normal"/>
        <w:spacing w:lineRule="auto" w:line="360" w:before="40" w:after="80"/>
        <w:jc w:val="center"/>
        <w:rPr>
          <w:rFonts w:ascii="Times New Roman" w:hAnsi="Times New Roman"/>
          <w:i/>
          <w:sz w:val="24"/>
          <w:szCs w:val="24"/>
        </w:rPr>
      </w:pPr>
      <w:r>
        <w:rPr>
          <w:i/>
          <w:sz w:val="24"/>
          <w:szCs w:val="24"/>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7315200" cy="35407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7315200" cy="3540760"/>
                    </a:xfrm>
                    <a:prstGeom prst="rect">
                      <a:avLst/>
                    </a:prstGeom>
                    <a:noFill/>
                  </pic:spPr>
                </pic:pic>
              </a:graphicData>
            </a:graphic>
          </wp:anchor>
        </w:drawing>
      </w:r>
    </w:p>
    <w:p>
      <w:pPr>
        <w:pStyle w:val="Normal"/>
        <w:spacing w:lineRule="auto" w:line="360" w:before="40" w:after="80"/>
        <w:jc w:val="center"/>
        <w:rPr>
          <w:rFonts w:ascii="Times New Roman" w:hAnsi="Times New Roman"/>
          <w:i/>
          <w:sz w:val="24"/>
          <w:szCs w:val="24"/>
        </w:rPr>
      </w:pPr>
      <w:r>
        <w:rPr>
          <w:i/>
          <w:sz w:val="24"/>
          <w:szCs w:val="24"/>
        </w:rPr>
        <w:t>Figure 4.1  The app shell rendering the Dashboard route with sidebar, header, online pill, notifications and profile avatar.</w:t>
      </w:r>
    </w:p>
    <w:p>
      <w:pPr>
        <w:pStyle w:val="Heading2"/>
        <w:rPr>
          <w:rFonts w:ascii="Times New Roman" w:hAnsi="Times New Roman"/>
          <w:b/>
          <w:sz w:val="24"/>
          <w:szCs w:val="24"/>
        </w:rPr>
      </w:pPr>
      <w:r>
        <w:rPr>
          <w:rFonts w:ascii="Times New Roman" w:hAnsi="Times New Roman"/>
          <w:b/>
          <w:sz w:val="24"/>
          <w:szCs w:val="24"/>
        </w:rPr>
        <w:t>4.2 Module 1: App Shell, Routing and Global Chrome</w:t>
      </w:r>
    </w:p>
    <w:p>
      <w:pPr>
        <w:pStyle w:val="Normal"/>
        <w:rPr>
          <w:rFonts w:ascii="Times New Roman" w:hAnsi="Times New Roman"/>
          <w:sz w:val="24"/>
          <w:szCs w:val="24"/>
        </w:rPr>
      </w:pPr>
      <w:r>
        <w:rPr>
          <w:sz w:val="24"/>
          <w:szCs w:val="24"/>
        </w:rPr>
        <w:t>The shell addresses FR-01 (orientation), FR-02 (navigation), and NFR-03 (graceful degradation on sub-view crash). It renders the top header, desktop sidebar, mobile bottom navigation, toast container, floating voice agent, and Cmd-K command palette. The header displays the application title, a theme-aware online/offline pill reflecting AI provider availability, a notification bell with unread count, and a profile avatar opening the settings drawer. The desktop sidebar lists twelve navigation targets grouped into Overview, Insights, and Tools with a footer containing Settings and Log Out. The mobile bottom navigation compresses the same twelve targets into a two-row icon-plus-label bar. The toast container stacks success, warning, and error messages with auto-dismiss timers. The floating voice agent FAB launches the global Gemini Live Audio session (Section 4.14). The Cmd-K palette provides keyboard-first access to every route and common actions.</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Hash-based routing inside FarmContext removes the react-router dependency while preserving deep-linking and scroll restoration. The router parses window.location.hash on mount and hashchange, validates the target against the NavigationTab enum, and updates currentView state. Lazy-loaded routes via React.lazy() keep only the shell, dashboard, and auth modal in the initial bundle; the remaining nine feature modules load on demand. Defence-in-depth uses a global ErrorBoundary in index.tsx for mount-time failures and a per-route RouteErrorBoundary in App.tsx to confine render-time crashes to one screen. Dynamic title and favicon update via useEffect on currentView so browser tabs reflect the active module. Security: per-route boundary confines crashes; online/offline pill makes AI availability visible.</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rPr>
          <w:rFonts w:ascii="Times New Roman" w:hAnsi="Times New Roman"/>
          <w:sz w:val="24"/>
          <w:szCs w:val="24"/>
        </w:rPr>
      </w:pPr>
      <w:r>
        <w:rPr>
          <w:sz w:val="24"/>
          <w:szCs w:val="24"/>
        </w:rPr>
        <w:tab/>
        <w:tab/>
        <w:tab/>
        <w:tab/>
        <w:tab/>
        <w:tab/>
      </w:r>
    </w:p>
    <w:p>
      <w:pPr>
        <w:pStyle w:val="Normal"/>
        <w:spacing w:lineRule="auto" w:line="360" w:before="40" w:after="80"/>
        <w:jc w:val="center"/>
        <w:rPr>
          <w:rFonts w:ascii="Times New Roman" w:hAnsi="Times New Roman"/>
          <w:i/>
          <w:sz w:val="24"/>
          <w:szCs w:val="24"/>
        </w:rPr>
      </w:pPr>
      <w:r>
        <w:rPr>
          <w:i/>
          <w:sz w:val="24"/>
          <w:szCs w:val="24"/>
        </w:rPr>
        <w:t>Figure 4.1  The app shell rendering the Dashboard route with sidebar, header, online pill, notifications and profile avatar.</w:t>
      </w:r>
    </w:p>
    <w:p>
      <w:pPr>
        <w:pStyle w:val="Heading2"/>
        <w:rPr>
          <w:rFonts w:ascii="Times New Roman" w:hAnsi="Times New Roman"/>
          <w:b/>
          <w:sz w:val="24"/>
          <w:szCs w:val="24"/>
        </w:rPr>
      </w:pPr>
      <w:r>
        <w:rPr>
          <w:rFonts w:ascii="Times New Roman" w:hAnsi="Times New Roman"/>
          <w:b/>
          <w:sz w:val="24"/>
          <w:szCs w:val="24"/>
        </w:rPr>
        <w:t>4.3 Module 2: Authentication, Sign-up and Onboarding</w:t>
      </w:r>
    </w:p>
    <w:p>
      <w:pPr>
        <w:pStyle w:val="Normal"/>
        <w:rPr>
          <w:rFonts w:ascii="Times New Roman" w:hAnsi="Times New Roman"/>
          <w:sz w:val="24"/>
          <w:szCs w:val="24"/>
        </w:rPr>
      </w:pPr>
      <w:r>
        <w:rPr>
          <w:sz w:val="24"/>
          <w:szCs w:val="24"/>
        </w:rPr>
        <w:t>Addresses FR-03 (self-registration with country, farm-type, location) and FR-04 (returning-user sign-in). Exposed as a dual-mode modal (LoginPage) from the landing page or header. On sign-up the chosen country code triggers loading a complete country configuration from COUNTRY_REGISTRY — default crops, livestock, prices, alerts, learning modules, tasks, marketplace, chat seeds, weather defaults, wage and currency. West Africa is represented by Nigeria and Ghana with localised seeds, currency, climate zone, and weather defaults. The country selector is a searchable dropdown showing flag, name, and currency code. Farm type is a chip group (Crops, Livestock, Mixed). Area unit (hectares/acres) derives from country config but can be overridden. Phone and location are optional free-text fields stored in the user profile.</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No identity backend — a 500–800 ms simulated handshake via setTimeout; production would swap in Firebase or Supabase Auth at a single seam in FarmContext.signIn. Country-as-onboarding-pivot: selected at sign-up, never re-asked, seeds every downstream feature. A Kumasi farmer gets Cocoa, Oil Palm, Maize in Cedis with tropical-wet-dry advisories; a Kano farmer gets Sorghum, Millet, Cowpea in Naira with Sahel advisories — same code path, different data. The country configuration merges into userProfile and is accessed via useCountryContext throughout the application. Security: password fields use type="password" with correct autoComplete; show/hide toggle is the only way to reveal. Credentials stored in localStorage under agriflow_credentials and excluded from Settings export.</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4.2  The AgriFlow authentication modal in sign-up mode, showing country selector, farm-type chips and password show/hide toggle.</w:t>
      </w:r>
    </w:p>
    <w:p>
      <w:pPr>
        <w:pStyle w:val="Heading2"/>
        <w:rPr>
          <w:rFonts w:ascii="Times New Roman" w:hAnsi="Times New Roman"/>
          <w:b/>
          <w:sz w:val="24"/>
          <w:szCs w:val="24"/>
        </w:rPr>
      </w:pPr>
      <w:r>
        <w:rPr>
          <w:rFonts w:ascii="Times New Roman" w:hAnsi="Times New Roman"/>
          <w:b/>
          <w:sz w:val="24"/>
          <w:szCs w:val="24"/>
        </w:rPr>
        <w:t>4.4 Module 3: Dashboard (Command Center)</w:t>
      </w:r>
    </w:p>
    <w:p>
      <w:pPr>
        <w:pStyle w:val="Normal"/>
        <w:rPr>
          <w:sz w:val="24"/>
          <w:szCs w:val="24"/>
        </w:rPr>
      </w:pPr>
      <w:r>
        <w:rPr>
          <w:sz w:val="24"/>
          <w:szCs w:val="24"/>
        </w:rPr>
        <w:t>Meets FR-05 (farm state at a glance) and FR-06 (AI-curated intelligence and daily tasks). Renders weather card with climate-risk badge, five KPI cards (Active Crops, Livestock, Market Trend, Tasks, Farm Profit), AI live-intelligence card, daily task button, alerts panel, and task list. The weather card consumes the OpenWeatherMap current endpoint via services/weather.ts, displaying temperature, condition, humidity, wind, and a climate-risk badge (Low/Medium/High) derived from temperature-humidity index. The KPI cards compute values from persisted entity stores: active crop count from CropPlot status, livestock head count from Herd/Flock records, market trend from the latest price change percentage across tracked commodities, open task count from TaskStore, and farm profit from the financial ledger (CropIncome minus CropExpense plus LivestockIncome minus LivestockExpense). The AI live-intelligence card calls geminiService.getLiveIntel with the current CountryContext and renders the structured response — summary, risks, opportunities, recommended actions. The daily task button opens the Task Manager pre-filtered to today. The alerts panel aggregates weather alerts from the weather service and market alerts from price movements exceeding 5%.</w:t>
      </w:r>
    </w:p>
    <w:p>
      <w:pPr>
        <w:pStyle w:val="Heading3"/>
        <w:rPr>
          <w:rFonts w:ascii="Times New Roman" w:hAnsi="Times New Roman"/>
          <w:b/>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CountryContext built once via useMemo from userProfile and passed to every AI call, avoiding repeated serialization. Derived metrics computed inline every render — single source of truth in financial ledger ensures KPI cards never drift from detail views. Resilient AI rendering: try/catch wraps every AI call; dashboard never crashes from AI failure — instead renders a fallback card with cached or static guidance. Security: dashboard consumes AI through geminiService facade; no API keys or endpoints in dashboard code. If no provider configured, silently renders FALLBACK_INTEL.</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4.3  The AgriFlow Dashboard showing weather, five KPI cards, AI-generated live intelligence and alerts panel.</w:t>
      </w:r>
    </w:p>
    <w:p>
      <w:pPr>
        <w:pStyle w:val="Heading2"/>
        <w:rPr>
          <w:rFonts w:ascii="Times New Roman" w:hAnsi="Times New Roman"/>
          <w:b/>
          <w:sz w:val="24"/>
          <w:szCs w:val="24"/>
        </w:rPr>
      </w:pPr>
      <w:r>
        <w:rPr>
          <w:rFonts w:ascii="Times New Roman" w:hAnsi="Times New Roman"/>
          <w:b/>
          <w:sz w:val="24"/>
          <w:szCs w:val="24"/>
        </w:rPr>
        <w:t>4.5 Module 4: Crop Manager</w:t>
      </w:r>
    </w:p>
    <w:p>
      <w:pPr>
        <w:pStyle w:val="Normal"/>
        <w:rPr>
          <w:rFonts w:ascii="Times New Roman" w:hAnsi="Times New Roman"/>
          <w:sz w:val="24"/>
          <w:szCs w:val="24"/>
        </w:rPr>
      </w:pPr>
      <w:r>
        <w:rPr>
          <w:sz w:val="24"/>
          <w:szCs w:val="24"/>
        </w:rPr>
        <w:t>Meets FR-07 through FR-12: register, edit, delete crop plots with image, variety, dates, status, area, soil health, water efficiency, biodiversity score; attach activity logs; AI scan sick plants; track per-plot expenses and incomes against computed profit. Decomposed across components/crops/: CropManager (orchestrator), CropGrid (responsive card layout), CropCard (individual plot summary), CropForm (create/edit modal), CropScanner (AI vision modal), ActivityLogModal (timeline), and FinancialLedgerModal (income/expense entries). Each plot stores: id, name, cropType, variety, plantingDate, expectedHarvestDate, status (Planted, Growing, Needs Attention, Ready to Harvest, Harvested, Failed), area, areaUnit, soilHealth (0–100), waterEfficiency (0–100), biodiversityScore (0–100), imageUrl, and notes.</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Proactive suggestions engine surfaces HARVEST (harvest within 7 days) and HEALTH (pest/disease keywords in recent logs) banners with confirm/dismiss actions that create or update tasks. Coupled delete cascade purges financial records in parallel via Promise.all to prevent orphaned ledger entries. AI scanner uses FileReader → base64 → analyzeCropImage in geminiService; the prompt includes crop type, variety, planting date, and user-provided context. Regenerative fields (soil health, water efficiency, biodiversity) are first-class inputs with validation ranges and visual indicators on the card. Security: image bytes never reach executable context; onError falls back to curated URLs; financial inputs coerced with Number(...) || 0; cascade purge prevents data-residue attacks.</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4.4  Crop Manager grid with plot cards, regenerative indicators and proactive harvest suggestion banner.</w:t>
      </w:r>
    </w:p>
    <w:p>
      <w:pPr>
        <w:pStyle w:val="Normal"/>
        <w:spacing w:lineRule="auto" w:line="360" w:before="40" w:after="80"/>
        <w:jc w:val="center"/>
        <w:rPr>
          <w:rFonts w:ascii="Times New Roman" w:hAnsi="Times New Roman"/>
          <w:i/>
          <w:sz w:val="24"/>
          <w:szCs w:val="24"/>
        </w:rPr>
      </w:pPr>
      <w:r>
        <w:rPr>
          <w:i/>
          <w:sz w:val="24"/>
          <w:szCs w:val="24"/>
        </w:rPr>
        <w:t>Figure 4.5  AI Crop Scanner mid-diagnosis with uploaded leaf image and structured diagnosis.</w:t>
      </w:r>
    </w:p>
    <w:p>
      <w:pPr>
        <w:pStyle w:val="Heading2"/>
        <w:rPr>
          <w:rFonts w:ascii="Times New Roman" w:hAnsi="Times New Roman"/>
          <w:b/>
          <w:sz w:val="24"/>
          <w:szCs w:val="24"/>
        </w:rPr>
      </w:pPr>
      <w:r>
        <w:rPr>
          <w:rFonts w:ascii="Times New Roman" w:hAnsi="Times New Roman"/>
          <w:b/>
          <w:sz w:val="24"/>
          <w:szCs w:val="24"/>
        </w:rPr>
        <w:t>4.6 Module 5: Livestock Manager</w:t>
      </w:r>
    </w:p>
    <w:p>
      <w:pPr>
        <w:pStyle w:val="Normal"/>
        <w:rPr>
          <w:rFonts w:ascii="Times New Roman" w:hAnsi="Times New Roman"/>
          <w:sz w:val="24"/>
          <w:szCs w:val="24"/>
        </w:rPr>
      </w:pPr>
      <w:r>
        <w:rPr>
          <w:sz w:val="24"/>
          <w:szCs w:val="24"/>
        </w:rPr>
        <w:t>Meets FR-13 through FR-17: register herds/flocks (Cattle, Goat, Sheep, Chicken, Pig, Other) with count, status, grazing type, notes; per-animal health timeline; AI photo scan for health diagnosis. Single 439-LOC file chosen because livestock model is smaller than crop model. Each herd/flock stores: id, species, count, status (Healthy, Needs Attention, Quarantine, Sold), grazingType (Free-range, Zero-grazing, Paddock, Mixed), notes, imageUrl, and a healthLog array of entries with date, type (Vaccination, Treatment, Inspection, Observation), note, and optional imageUrl. The health timeline renders as a vertical chronology with type-coded icons. The AI scanner reuses the crop vision endpoint with a livestock-specific system prompt.</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Inline forms trade file-count for size — the entire feature lives in LivestockManager.tsx with nested component functions. getLivestockImage(species) returns a curated Unsplash URL per species and re-fires on species change so the card image always matches the selected animal. Reuses crop scanner engine — one vision endpoint serves both modules with different system instructions. Security: same pattern as Crop Manager; StatusColor classifier produces Tailwind classes from a closed string union so injected status strings cannot become arbitrary class names.</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4.6  Livestock Manager showing species-grouped cards with health status chips and grazing-type badges.</w:t>
      </w:r>
    </w:p>
    <w:p>
      <w:pPr>
        <w:pStyle w:val="Heading2"/>
        <w:rPr>
          <w:rFonts w:ascii="Times New Roman" w:hAnsi="Times New Roman"/>
          <w:b/>
          <w:sz w:val="24"/>
          <w:szCs w:val="24"/>
        </w:rPr>
      </w:pPr>
      <w:r>
        <w:rPr>
          <w:rFonts w:ascii="Times New Roman" w:hAnsi="Times New Roman"/>
          <w:b/>
          <w:sz w:val="24"/>
          <w:szCs w:val="24"/>
        </w:rPr>
        <w:t>4.7 Module 6: Market Analytics</w:t>
      </w:r>
    </w:p>
    <w:p>
      <w:pPr>
        <w:pStyle w:val="Normal"/>
        <w:rPr>
          <w:rFonts w:ascii="Times New Roman" w:hAnsi="Times New Roman"/>
          <w:sz w:val="24"/>
          <w:szCs w:val="24"/>
        </w:rPr>
      </w:pPr>
      <w:r>
        <w:rPr>
          <w:sz w:val="24"/>
          <w:szCs w:val="24"/>
        </w:rPr>
        <w:t>Meets FR-18 (commodity price discovery) and FR-19 (projected-yield calculator). Farmer picks commodity from live-simulated ticker, views 1W/1M/3M price chart, refreshes prices, and sees 2020–2026 yield-vs-cost chart whose final year is dynamically overwritten with portfolio-projected revenue and cost. The commodity ticker displays six tracked crops (Maize, Rice, Cassava, Yam, Cocoa, Oil Palm) with current price, 24h change, and trend sparkline. The price chart uses Recharts with responsive container; range buttons switch the synthetic history window. The yield-vs-cost chart combines historical FAO-style data (2020–2025) with a 2026 projection computed from the user's actual crop portfolio: for each active plot, the system looks up the matching market price, calls CropService.calculateProjectedYield with variety, area, soil health, and water efficiency, sums expected revenue, and applies per-crop cost-per-acre estimates from the country config.</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Deep theme integration — Recharts colors recomputed from theme state every render so charts adapt instantly to light/dark/high-contrast switches. Client-side synthetic price history walks current price backward with ±2% daily volatility plus a 7-day moving average, seeded deterministically from commodity name so the chart is stable across sessions. Live cost-benefit per portfolio iterates actual crops, looks up matching market prices, calls CropService.calculateProjectedYield, sums revenue, applies per-crop cost-per-acre estimates. Security: no user string reaches chart engine except persisted entity names; Refresh button rate-neutralised by 15-minute AI cache.</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4.7  Market Analytics showing commodity ticker strip and interactive price chart with 1W/1M/3M range toggle.</w:t>
      </w:r>
    </w:p>
    <w:p>
      <w:pPr>
        <w:pStyle w:val="Normal"/>
        <w:spacing w:lineRule="auto" w:line="360" w:before="40" w:after="80"/>
        <w:jc w:val="center"/>
        <w:rPr>
          <w:rFonts w:ascii="Times New Roman" w:hAnsi="Times New Roman"/>
          <w:i/>
          <w:sz w:val="24"/>
          <w:szCs w:val="24"/>
        </w:rPr>
      </w:pPr>
      <w:r>
        <w:rPr>
          <w:i/>
          <w:sz w:val="24"/>
          <w:szCs w:val="24"/>
        </w:rPr>
        <w:t>Figure 4.8  Combined yield-vs-cost chart with final year dynamically overwritten by portfolio-projected revenue and cost.</w:t>
      </w:r>
    </w:p>
    <w:p>
      <w:pPr>
        <w:pStyle w:val="Heading2"/>
        <w:rPr>
          <w:rFonts w:ascii="Times New Roman" w:hAnsi="Times New Roman"/>
          <w:b/>
          <w:sz w:val="24"/>
          <w:szCs w:val="24"/>
        </w:rPr>
      </w:pPr>
      <w:r>
        <w:rPr>
          <w:rFonts w:ascii="Times New Roman" w:hAnsi="Times New Roman"/>
          <w:b/>
          <w:sz w:val="24"/>
          <w:szCs w:val="24"/>
        </w:rPr>
        <w:t>4.8 Module 7: News Hub</w:t>
      </w:r>
    </w:p>
    <w:p>
      <w:pPr>
        <w:pStyle w:val="Normal"/>
        <w:rPr>
          <w:rFonts w:ascii="Times New Roman" w:hAnsi="Times New Roman"/>
          <w:sz w:val="24"/>
          <w:szCs w:val="24"/>
        </w:rPr>
      </w:pPr>
      <w:r>
        <w:rPr>
          <w:sz w:val="24"/>
          <w:szCs w:val="24"/>
        </w:rPr>
        <w:t>Meets FR-20 (curated agricultural news from current web sources). Renders featured article plus grid; source is live AI-curated news from fetchAgNews (Gemini with Google Search grounding) or built-in West-Africa-focused fallback. Simulated badge honestly informs user of active source. The featured article shows a large image, headline, source, publish date, and summary. The grid displays up to eight additional articles in responsive cards. Each article links to the original source with target="_blank" rel="noopener,noreferrer". Category tags (Crops, Livestock, Markets, Policy, Technology, Weather) filter the grid.</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Lazy AI fetch on mount — one fetch per session, reuses AI response cache keyed by country and timestamp. Honest live/simulated badge in header shows "Live" when Gemini with Search Grounding returns results, "Simulated" when falling back to the built-in catalogue. Graceful external link handling — if no usable URL, opens category-mapped authoritative source (FAO, CABI, national ministry) with noopener,noreferrer. Deterministic cover images via getDeterministicImage(category) using a seeded hash so the same article always shows the same placeholder. Security: all outbound links use noopener,noreferrer; article URLs rendered as &lt;a&gt; href built by React; fallback-source map is fixed constant.</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4.9  News Hub showing featured article above category-coded grid with Live/Simulated pill.</w:t>
      </w:r>
    </w:p>
    <w:p>
      <w:pPr>
        <w:pStyle w:val="Heading2"/>
        <w:rPr>
          <w:rFonts w:ascii="Times New Roman" w:hAnsi="Times New Roman"/>
          <w:b/>
          <w:sz w:val="24"/>
          <w:szCs w:val="24"/>
        </w:rPr>
      </w:pPr>
      <w:r>
        <w:rPr>
          <w:rFonts w:ascii="Times New Roman" w:hAnsi="Times New Roman"/>
          <w:b/>
          <w:sz w:val="24"/>
          <w:szCs w:val="24"/>
        </w:rPr>
        <w:t>4.9 Module 8: AI Advisor (Chat and Live Voice)</w:t>
      </w:r>
    </w:p>
    <w:p>
      <w:pPr>
        <w:pStyle w:val="Normal"/>
        <w:rPr>
          <w:rFonts w:ascii="Times New Roman" w:hAnsi="Times New Roman"/>
          <w:sz w:val="24"/>
          <w:szCs w:val="24"/>
        </w:rPr>
      </w:pPr>
      <w:r>
        <w:rPr>
          <w:sz w:val="24"/>
          <w:szCs w:val="24"/>
        </w:rPr>
        <w:t>Meets FR-21 (natural-language AI consultation), FR-22 (image-attached diagnosis), and FR-23 (live voice with Resilience Engine). Largest single feature file (~575 LOC) implementing two AI modes: turn-by-turn text chat with image attach, and bidirectional live voice. The chat mode maintains a message history with roles (user, model, system), supports image upload via FileReader → base64, and streams responses from geminiService.sendMessage. The live voice mode establishes a WebSocket connection to Gemini Live Audio, captures microphone at 16 kHz mono, encodes Float32 to Int16 PCM, base64-encodes chunks, and sends via session.sendRealtimeInput; playback schedules 24 kHz audio via AudioContext with a nextStartTimeRef to prevent gaps.</w:t>
      </w:r>
    </w:p>
    <w:p>
      <w:pPr>
        <w:pStyle w:val="Heading3"/>
        <w:rPr>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Custom Web Audio pipeline — 16 kHz AudioContext, getUserMedia 16 kHz mono, ScriptProcessorNode 4096 frames, Float32→Int16 PCM, base64 via session.sendRealtimeInput, 24 kHz playback scheduled via nextStartTimeRef. Volume meter RMS sampled every 100 ms (every 10th frame). Session closure hygiene — onclose/onerror/disconnect stop tracks, close AudioContext, clear refs. Prompt engineering frames AI as "AgriFlow's Senior Agricultural Consultant", injects user name, localises climate/currency/language via buildSystemInstruction. Security: microphone requested only after user gesture and after isAIConfigured() and hasLiveVoice() gates; on disconnect every MediaStreamTrack stopped, AudioBufferSourceNode released, AudioContext closed; audio bytes processed in memory, never persisted.</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4.10  AI Advisor in text-chat mode with attached image and structured diagnosis.</w:t>
      </w:r>
    </w:p>
    <w:p>
      <w:pPr>
        <w:pStyle w:val="Normal"/>
        <w:spacing w:lineRule="auto" w:line="360" w:before="40" w:after="80"/>
        <w:jc w:val="center"/>
        <w:rPr>
          <w:rFonts w:ascii="Times New Roman" w:hAnsi="Times New Roman"/>
          <w:i/>
          <w:sz w:val="24"/>
          <w:szCs w:val="24"/>
        </w:rPr>
      </w:pPr>
      <w:r>
        <w:rPr>
          <w:i/>
          <w:sz w:val="24"/>
          <w:szCs w:val="24"/>
        </w:rPr>
        <w:t>Figure 4.11  AI Advisor in live-voice mode with volume meter and call timer.</w:t>
      </w:r>
    </w:p>
    <w:p>
      <w:pPr>
        <w:pStyle w:val="Heading2"/>
        <w:rPr>
          <w:rFonts w:ascii="Times New Roman" w:hAnsi="Times New Roman"/>
          <w:b/>
          <w:sz w:val="24"/>
          <w:szCs w:val="24"/>
        </w:rPr>
      </w:pPr>
      <w:r>
        <w:rPr>
          <w:rFonts w:ascii="Times New Roman" w:hAnsi="Times New Roman"/>
          <w:b/>
          <w:sz w:val="24"/>
          <w:szCs w:val="24"/>
        </w:rPr>
        <w:t>4.10 Module 9: Resource Calculator</w:t>
      </w:r>
    </w:p>
    <w:p>
      <w:pPr>
        <w:pStyle w:val="Normal"/>
        <w:rPr>
          <w:rFonts w:ascii="Times New Roman" w:hAnsi="Times New Roman"/>
          <w:sz w:val="24"/>
          <w:szCs w:val="24"/>
        </w:rPr>
      </w:pPr>
      <w:r>
        <w:rPr>
          <w:sz w:val="24"/>
          <w:szCs w:val="24"/>
        </w:rPr>
        <w:t>Meets FR-24 (fertilizer planner) and FR-25 (irrigation scheduler). Computes fertilizer mass from target-N kg/ha × area ÷ fertilizer-N%, or irrigation litres/day from ET₀ × Kc ÷ efficiency × area_m². Last result persists across sessions via saveResourceResult.</w:t>
      </w:r>
    </w:p>
    <w:p>
      <w:pPr>
        <w:pStyle w:val="Heading3"/>
        <w:rPr>
          <w:rFonts w:ascii="Times New Roman" w:hAnsi="Times New Roman"/>
          <w:b/>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Pure client-side agronomy — deterministic formulae only; fertilizer types (Urea 46%, SOA 21%, Ammonium Nitrate 33%, DAP 18%), irrigation efficiencies (Drip 0.90, Sprinkler 0.75, Flood 0.50), Kc presets for Maize/Sorghum/Vegetables/Fruit trees. Area-unit aware — area_m² uses country config (ha vs acres). Security: numeric inputs coerced via Number(...) || 0; persisted result validated on read.</w:t>
      </w:r>
    </w:p>
    <w:p>
      <w:pPr>
        <w:pStyle w:val="Heading3"/>
        <w:rPr>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4.12  Resource Calculator showing fertilizer target-N calculation with result card and cost tip.</w:t>
      </w:r>
    </w:p>
    <w:p>
      <w:pPr>
        <w:pStyle w:val="Heading2"/>
        <w:rPr>
          <w:rFonts w:ascii="Times New Roman" w:hAnsi="Times New Roman"/>
          <w:b/>
          <w:sz w:val="24"/>
          <w:szCs w:val="24"/>
        </w:rPr>
      </w:pPr>
      <w:r>
        <w:rPr>
          <w:rFonts w:ascii="Times New Roman" w:hAnsi="Times New Roman"/>
          <w:b/>
          <w:sz w:val="24"/>
          <w:szCs w:val="24"/>
        </w:rPr>
        <w:t>4.11 Module 10: Education Hub</w:t>
      </w:r>
    </w:p>
    <w:p>
      <w:pPr>
        <w:pStyle w:val="Normal"/>
        <w:rPr>
          <w:rFonts w:ascii="Times New Roman" w:hAnsi="Times New Roman"/>
          <w:sz w:val="24"/>
          <w:szCs w:val="24"/>
        </w:rPr>
      </w:pPr>
      <w:r>
        <w:rPr>
          <w:sz w:val="24"/>
          <w:szCs w:val="24"/>
        </w:rPr>
        <w:t>Meets FR-26 (browse structured learning modules), FR-27 (complete lessons and unlock next), FR-28 (earn certificate on completion). Course library with category filter/search, per-course view with embedded YouTube player, lesson-by-lesson syllabus with progressive unlock, Mark Complete action that flips certificate.</w:t>
      </w:r>
    </w:p>
    <w:p>
      <w:pPr>
        <w:pStyle w:val="Heading3"/>
        <w:rPr>
          <w:rFonts w:ascii="Times New Roman" w:hAnsi="Times New Roman"/>
          <w:b/>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Click-to-play YouTube — &lt;iframe&gt; mounts only when isPlaying set; thumbnail-with-play button defers heavy iframe until intent. Progressive unlock — lessons unlock only after previous marked complete. Dynamic lesson titles via getLessonTitle(index, total, category). Progress persistence debounced via 100 ms flushModules timer. Security: YouTube iframe is third-party; click-to-play is the security control; videoId sourced from constants/modules.ts, not user input.</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4.13  Education Hub library with category filter, search and course cards with progress indicators.</w:t>
      </w:r>
    </w:p>
    <w:p>
      <w:pPr>
        <w:pStyle w:val="Normal"/>
        <w:spacing w:lineRule="auto" w:line="360" w:before="40" w:after="80"/>
        <w:jc w:val="center"/>
        <w:rPr>
          <w:rFonts w:ascii="Times New Roman" w:hAnsi="Times New Roman"/>
          <w:i/>
          <w:sz w:val="24"/>
          <w:szCs w:val="24"/>
        </w:rPr>
      </w:pPr>
      <w:r>
        <w:rPr>
          <w:i/>
          <w:sz w:val="24"/>
          <w:szCs w:val="24"/>
        </w:rPr>
        <w:t>Figure 4.14  Single Education Hub course showing click-to-play video thumbnail, syllabus with locked and completed lessons and certificate preview.</w:t>
      </w:r>
    </w:p>
    <w:p>
      <w:pPr>
        <w:pStyle w:val="Heading2"/>
        <w:rPr>
          <w:sz w:val="24"/>
          <w:szCs w:val="24"/>
        </w:rPr>
      </w:pPr>
      <w:r>
        <w:rPr>
          <w:rFonts w:ascii="Times New Roman" w:hAnsi="Times New Roman"/>
          <w:b/>
          <w:sz w:val="24"/>
          <w:szCs w:val="24"/>
        </w:rPr>
        <w:t>4.12 Module 11: Community Hub</w:t>
      </w:r>
    </w:p>
    <w:p>
      <w:pPr>
        <w:pStyle w:val="Normal"/>
        <w:rPr>
          <w:rFonts w:ascii="Times New Roman" w:hAnsi="Times New Roman"/>
          <w:sz w:val="24"/>
          <w:szCs w:val="24"/>
        </w:rPr>
      </w:pPr>
      <w:r>
        <w:rPr>
          <w:sz w:val="24"/>
          <w:szCs w:val="24"/>
        </w:rPr>
        <w:t>Meets FR-29 through FR-35: forum posts with like/reply/bookmark/follow; marketplace listings (SELL/BUY with verified badge); channel-based chat (general, crops, livestock, equipment, market-watch, knowledge, co-ops); Q&amp;A tab with expert-flagged accepted answers; polling card. Decomposed across components/community/.</w:t>
      </w:r>
    </w:p>
    <w:p>
      <w:pPr>
        <w:pStyle w:val="Heading3"/>
        <w:rPr>
          <w:rFonts w:ascii="Times New Roman" w:hAnsi="Times New Roman"/>
          <w:b/>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Hybrid persistence — posts, listings, chats, likes, bookmarks, follows persist via CommunityService to localStorage; questions, answers, challenges live only in component state. Tab routing inside feature via activeTab without consuming global navigate(). Story timer — viewingStory triggers 5-second progress meter via setInterval. Location-aware alerts aggregation combines weather alerts with market prices whose changePercentage ≥ 5%. Auth gate on persist actions. Security: largest user-content surface; every user string rendered as JSX child interpolation (React escapes); codebase-wide search confirms zero dangerouslySetInnerHTML, innerHTML, eval, or Function constructor; service layer validates empty/near-empty payloads rejected; external links use encodeURIComponent and noopener,noreferrer.</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4.15  Community Hub Feed tab with story tray, post composer, engagement controls and right sidebar.</w:t>
      </w:r>
    </w:p>
    <w:p>
      <w:pPr>
        <w:pStyle w:val="Normal"/>
        <w:spacing w:lineRule="auto" w:line="360" w:before="40" w:after="80"/>
        <w:jc w:val="center"/>
        <w:rPr>
          <w:rFonts w:ascii="Times New Roman" w:hAnsi="Times New Roman"/>
          <w:i/>
          <w:sz w:val="24"/>
          <w:szCs w:val="24"/>
        </w:rPr>
      </w:pPr>
      <w:r>
        <w:rPr>
          <w:i/>
          <w:sz w:val="24"/>
          <w:szCs w:val="24"/>
        </w:rPr>
        <w:t>Figure 4.16  Community Hub Marketplace tab showing SELL/BUY listings with verified badges and contact buttons.</w:t>
      </w:r>
    </w:p>
    <w:p>
      <w:pPr>
        <w:pStyle w:val="Heading2"/>
        <w:rPr>
          <w:rFonts w:ascii="Times New Roman" w:hAnsi="Times New Roman"/>
          <w:b/>
          <w:sz w:val="24"/>
          <w:szCs w:val="24"/>
        </w:rPr>
      </w:pPr>
      <w:r>
        <w:rPr>
          <w:rFonts w:ascii="Times New Roman" w:hAnsi="Times New Roman"/>
          <w:b/>
          <w:sz w:val="24"/>
          <w:szCs w:val="24"/>
        </w:rPr>
        <w:t>4.13 Module 12: Farm Labor Planner and Planting Calendar</w:t>
      </w:r>
    </w:p>
    <w:p>
      <w:pPr>
        <w:pStyle w:val="Normal"/>
        <w:rPr>
          <w:sz w:val="24"/>
          <w:szCs w:val="24"/>
        </w:rPr>
      </w:pPr>
      <w:r>
        <w:rPr>
          <w:sz w:val="24"/>
          <w:szCs w:val="24"/>
        </w:rPr>
        <w:t>Labor Planner meets FR-36 (compute optimal workforce given size, crop mix, livestock, season, mechanisation, family labour, irrigation); Planting Calendar meets FR-37 (offline West African crop calendar with planting windows, key activities, water need, soil preference, agronomic tips, varieties).</w:t>
      </w:r>
    </w:p>
    <w:p>
      <w:pPr>
        <w:pStyle w:val="Heading3"/>
        <w:rPr>
          <w:rFonts w:ascii="Times New Roman" w:hAnsi="Times New Roman"/>
          <w:b/>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Labor Planner — domain-rich 100-line pure function calculateLabor(input, dailyWage, feedingCost) with WEST_AFRICAN_CROPS table, season factor (rainy ×1.25, dry ×0.85), mechanisation factor (none 1.0, partial 0.65, full 0.35), irrigation factor, working-days-per-month = 22. Returns total, family, hired, peak, monthly breakdown, cost estimate, recommendations. Country-aware wages from COUNTRY_REGISTRY[countryCode].dailyWageLocal (NG = ₦3,500, GH = GH₵90). Eight-rule recommendation engine (partial mechanisation for &gt;3 ha, supervisor if &gt;5 hired, pump irrigation for manual + &gt;2 ha, crop-livestock integration hints). Planting Calendar — CROP_CALENDAR (394 LOC) static dataset: per-crop plantingWindows, growthDurationWeeks, harvestWindow, month-indexed keyActivities, waterNeed, soilPreference, tips, varieties. CLIMATE_ZONE_INFO maps five West African climate zones. Three-pillar filtering (climate + search + month) via useMemo; user's climate zone preselected. Zero AI — works offline. Security: no network calls; inputs coerced defensively; static catalogue immunised from client tampering.</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4.17  Farm Labor Planner showing recommended workforce, monthly breakdown, cost estimate and recommendations.</w:t>
      </w:r>
    </w:p>
    <w:p>
      <w:pPr>
        <w:pStyle w:val="Normal"/>
        <w:spacing w:lineRule="auto" w:line="360" w:before="40" w:after="80"/>
        <w:jc w:val="center"/>
        <w:rPr>
          <w:rFonts w:ascii="Times New Roman" w:hAnsi="Times New Roman"/>
          <w:i/>
          <w:sz w:val="24"/>
          <w:szCs w:val="24"/>
        </w:rPr>
      </w:pPr>
      <w:r>
        <w:rPr>
          <w:i/>
          <w:sz w:val="24"/>
          <w:szCs w:val="24"/>
        </w:rPr>
        <w:t>Figure 4.18  Planting Calendar with month strip, climate-zone chips and expanded crop accordion showing key activities, water need, soil preference, tips and varieties.</w:t>
      </w:r>
    </w:p>
    <w:p>
      <w:pPr>
        <w:pStyle w:val="Heading2"/>
        <w:rPr>
          <w:rFonts w:ascii="Times New Roman" w:hAnsi="Times New Roman"/>
          <w:b/>
          <w:sz w:val="24"/>
          <w:szCs w:val="24"/>
        </w:rPr>
      </w:pPr>
      <w:r>
        <w:rPr>
          <w:rFonts w:ascii="Times New Roman" w:hAnsi="Times New Roman"/>
          <w:b/>
          <w:sz w:val="24"/>
          <w:szCs w:val="24"/>
        </w:rPr>
        <w:t>4.14 Module 13: Settings, Navigation and Global Voice Agent</w:t>
      </w:r>
    </w:p>
    <w:p>
      <w:pPr>
        <w:pStyle w:val="Normal"/>
        <w:rPr>
          <w:sz w:val="24"/>
          <w:szCs w:val="24"/>
        </w:rPr>
      </w:pPr>
      <w:r>
        <w:rPr>
          <w:sz w:val="24"/>
          <w:szCs w:val="24"/>
        </w:rPr>
        <w:t>Settings: FR-38 (profile editing), FR-39 (theme switching: light/dark/high-contrast WCAG AAA), FR-40 (data export/import as single JSON blob), FR-41 (factory reset). Key: handleExportData iterates DB_KEYS only — agriflow_credentials deliberately excluded so export never ships plaintext password; handleImportData validates incoming keys against DB_KEYS allow-list; resetApp wipes every DB key plus credential, theme, and onboarding flags then reloads. Sidebar and MobileNav: twelve routes grouped Overview/Insights/Tools on desktop with footer Settings/Log Out; MobileNav compresses to two-row bottom bar; both consume NavigationTab enum from types.ts so identifiers cannot drift. Voice Agent (global FAB): FR-42 (voice-driven navigation and query). Opens live Gemini Live Audio session with five function-calling tools: navigateApp, setTheme, createTask, getFarmWeather, getMarketPulse. Ref-based live-data plumbing (weatherRef, marketPricesRef, userProfileRef synced via tiny useEffects to avoid stale closures). Security: tool-call dispatcher validates enum arguments; unknown argument returns tool-response error.</w:t>
      </w:r>
    </w:p>
    <w:p>
      <w:pPr>
        <w:pStyle w:val="Heading3"/>
        <w:rPr>
          <w:rFonts w:ascii="Times New Roman" w:hAnsi="Times New Roman"/>
          <w:b/>
          <w:sz w:val="24"/>
          <w:szCs w:val="24"/>
        </w:rPr>
      </w:pPr>
      <w:r>
        <w:rPr>
          <w:rFonts w:ascii="Times New Roman" w:hAnsi="Times New Roman"/>
          <w:b/>
          <w:sz w:val="24"/>
          <w:szCs w:val="24"/>
        </w:rPr>
        <w:t>Key Technical Decisions and Rationale</w:t>
      </w:r>
    </w:p>
    <w:p>
      <w:pPr>
        <w:pStyle w:val="Normal"/>
        <w:rPr>
          <w:rFonts w:ascii="Times New Roman" w:hAnsi="Times New Roman"/>
          <w:sz w:val="24"/>
          <w:szCs w:val="24"/>
        </w:rPr>
      </w:pPr>
      <w:r>
        <w:rPr>
          <w:sz w:val="24"/>
          <w:szCs w:val="24"/>
        </w:rPr>
        <w:t>Centralised theme state with WCAG-AAA high-contrast mode. Export/import operates on allow-listed keys only — credentials never leave client. NavigationTab enum single source of truth for all routing. Voice Agent uses ref-based plumbing to avoid stale closures in async callbacks. Function-calling tool dispatcher validates arguments against closed enums.</w:t>
      </w:r>
    </w:p>
    <w:p>
      <w:pPr>
        <w:pStyle w:val="Heading3"/>
        <w:rPr>
          <w:rFonts w:ascii="Times New Roman" w:hAnsi="Times New Roman"/>
          <w:b/>
          <w:sz w:val="24"/>
          <w:szCs w:val="24"/>
        </w:rPr>
      </w:pPr>
      <w:r>
        <w:rPr>
          <w:rFonts w:ascii="Times New Roman" w:hAnsi="Times New Roman"/>
          <w:b/>
          <w:sz w:val="24"/>
          <w:szCs w:val="24"/>
        </w:rPr>
        <w:t>Security Within This Module</w:t>
      </w:r>
    </w:p>
    <w:p>
      <w:pPr>
        <w:pStyle w:val="Normal"/>
        <w:rPr>
          <w:rFonts w:ascii="Times New Roman" w:hAnsi="Times New Roman"/>
          <w:sz w:val="24"/>
          <w:szCs w:val="24"/>
        </w:rPr>
      </w:pPr>
      <w:r>
        <w:rPr>
          <w:sz w:val="24"/>
          <w:szCs w:val="24"/>
        </w:rPr>
        <w:t>Security measures follow the application-wide pattern: no dangerouslySetInnerHTML or eval; all user strings rendered as JSX children (React escapes); image onError falls back to curated static URLs; numeric inputs coerced via Number(...) || 0; AI calls routed through geminiService facade with safe-mock fallback; microphone requested only after user gesture and preflight gates.</w:t>
      </w:r>
    </w:p>
    <w:p>
      <w:pPr>
        <w:pStyle w:val="Normal"/>
        <w:spacing w:lineRule="auto" w:line="360" w:before="40" w:after="80"/>
        <w:jc w:val="center"/>
        <w:rPr>
          <w:rFonts w:ascii="Times New Roman" w:hAnsi="Times New Roman"/>
          <w:i/>
          <w:sz w:val="24"/>
          <w:szCs w:val="24"/>
        </w:rPr>
      </w:pPr>
      <w:r>
        <w:rPr>
          <w:i/>
          <w:sz w:val="24"/>
          <w:szCs w:val="24"/>
        </w:rPr>
        <w:t>Figure 4.19  Settings page showing profile edit form, light/dark/high-contrast (WCAG AAA) theme cards and data export-import-reset block.</w:t>
      </w:r>
    </w:p>
    <w:p>
      <w:pPr>
        <w:pStyle w:val="Normal"/>
        <w:spacing w:lineRule="auto" w:line="360" w:before="40" w:after="80"/>
        <w:jc w:val="center"/>
        <w:rPr>
          <w:rFonts w:ascii="Times New Roman" w:hAnsi="Times New Roman"/>
          <w:i/>
          <w:sz w:val="24"/>
          <w:szCs w:val="24"/>
        </w:rPr>
      </w:pPr>
      <w:r>
        <w:rPr>
          <w:i/>
          <w:sz w:val="24"/>
          <w:szCs w:val="24"/>
        </w:rPr>
        <w:t>Figure 4.20  Voice Agent FAB expanded into active voice-call panel with volume meter and call timer.</w:t>
      </w:r>
    </w:p>
    <w:p>
      <w:pPr>
        <w:pStyle w:val="Heading2"/>
        <w:rPr>
          <w:rFonts w:ascii="Times New Roman" w:hAnsi="Times New Roman"/>
          <w:b/>
          <w:sz w:val="24"/>
          <w:szCs w:val="24"/>
        </w:rPr>
      </w:pPr>
      <w:r>
        <w:rPr>
          <w:rFonts w:ascii="Times New Roman" w:hAnsi="Times New Roman"/>
          <w:b/>
          <w:sz w:val="24"/>
          <w:szCs w:val="24"/>
        </w:rPr>
        <w:t>4.15 Security Implementation Evidence</w:t>
      </w:r>
    </w:p>
    <w:p>
      <w:pPr>
        <w:pStyle w:val="Normal"/>
        <w:rPr>
          <w:sz w:val="24"/>
          <w:szCs w:val="24"/>
        </w:rPr>
      </w:pPr>
      <w:r>
        <w:rPr>
          <w:sz w:val="24"/>
          <w:szCs w:val="24"/>
        </w:rPr>
        <w:t>Chapter Three section 3.5 set out six security commitments. This section provides concrete code snippets proving each was implemented, not merely planned. Two known weaknesses — plaintext credential storage and the absence of a Content-Security-Policy meta tag — are documented honestly with their remediation routes.</w:t>
      </w:r>
    </w:p>
    <w:p>
      <w:pPr>
        <w:pStyle w:val="Heading3"/>
        <w:rPr>
          <w:rFonts w:ascii="Times New Roman" w:hAnsi="Times New Roman"/>
          <w:b/>
          <w:sz w:val="24"/>
          <w:szCs w:val="24"/>
        </w:rPr>
      </w:pPr>
      <w:r>
        <w:rPr>
          <w:rFonts w:ascii="Times New Roman" w:hAnsi="Times New Roman"/>
          <w:b/>
          <w:sz w:val="24"/>
          <w:szCs w:val="24"/>
        </w:rPr>
        <w:t>4.15.1 Build-time Isolation of API Keys</w:t>
      </w:r>
    </w:p>
    <w:p>
      <w:pPr>
        <w:pStyle w:val="Normal"/>
        <w:rPr>
          <w:rFonts w:ascii="Times New Roman" w:hAnsi="Times New Roman"/>
          <w:sz w:val="24"/>
          <w:szCs w:val="24"/>
        </w:rPr>
      </w:pPr>
      <w:r>
        <w:rPr>
          <w:sz w:val="24"/>
          <w:szCs w:val="24"/>
        </w:rPr>
        <w:t>Vite's loadEnv reads environment variables from the local .env file; only values prefixed with VITE_ are exposed to the client bundle. Keys are never written into the source repository (.gitignore ignores *.local). Inside the provider factory the active key is selected at startup and the remaining keys never come into scope.</w:t>
      </w:r>
    </w:p>
    <w:p>
      <w:pPr>
        <w:pStyle w:val="Normal"/>
        <w:spacing w:lineRule="auto" w:line="276" w:before="80" w:after="80"/>
        <w:ind w:start="576"/>
        <w:rPr>
          <w:rFonts w:ascii="Consolas" w:hAnsi="Consolas"/>
          <w:color w:val="333333"/>
          <w:sz w:val="24"/>
          <w:szCs w:val="24"/>
        </w:rPr>
      </w:pPr>
      <w:r>
        <w:rPr>
          <w:rFonts w:ascii="Consolas" w:hAnsi="Consolas"/>
          <w:color w:val="333333"/>
          <w:sz w:val="24"/>
          <w:szCs w:val="24"/>
        </w:rPr>
        <w:t>// vite.config.ts</w:t>
        <w:br/>
        <w:t>import { loadEnv } from 'vite';</w:t>
        <w:br/>
        <w:t>export default defineConfig(({ mode }) =&gt; {</w:t>
        <w:br/>
        <w:t xml:space="preserve">  const env = loadEnv(mode, process.cwd(), 'VITE_');</w:t>
        <w:br/>
        <w:t xml:space="preserve">  return { define: { 'import.meta.env': env } };</w:t>
        <w:br/>
        <w:t>});</w:t>
        <w:br/>
        <w:br/>
        <w:t>// services/ai/index.ts</w:t>
        <w:br/>
        <w:t>const VITE_GEMINI_KEY = import.meta.env.VITE_GEMINI_API_KEY || '';</w:t>
        <w:br/>
        <w:t>const VITE_NVIDIA_KEY = import.meta.env.VITE_NVIDIA_API_KEY || '';</w:t>
        <w:br/>
        <w:t>let _provider = null;</w:t>
        <w:br/>
        <w:t>function createProvider() {</w:t>
        <w:br/>
        <w:t xml:space="preserve">  if (VITE_GEMINI_KEY) return new GeminiProvider();</w:t>
        <w:br/>
        <w:t xml:space="preserve">  if (VITE_NVIDIA_KEY) return new NvidiaNIMProvider();</w:t>
        <w:br/>
        <w:t xml:space="preserve">  return new GeminiProvider(); // safe-mock fallback</w:t>
        <w:br/>
        <w:t>}</w:t>
      </w:r>
    </w:p>
    <w:p>
      <w:pPr>
        <w:pStyle w:val="Heading3"/>
        <w:rPr>
          <w:rFonts w:ascii="Times New Roman" w:hAnsi="Times New Roman"/>
          <w:b/>
          <w:sz w:val="24"/>
          <w:szCs w:val="24"/>
        </w:rPr>
      </w:pPr>
      <w:r>
        <w:rPr>
          <w:rFonts w:ascii="Times New Roman" w:hAnsi="Times New Roman"/>
          <w:b/>
          <w:sz w:val="24"/>
          <w:szCs w:val="24"/>
        </w:rPr>
        <w:t>4.15.2 Provider Abstraction with Safe-Mock Fallback</w:t>
      </w:r>
    </w:p>
    <w:p>
      <w:pPr>
        <w:pStyle w:val="Normal"/>
        <w:rPr>
          <w:rFonts w:ascii="Times New Roman" w:hAnsi="Times New Roman"/>
          <w:sz w:val="24"/>
          <w:szCs w:val="24"/>
        </w:rPr>
      </w:pPr>
      <w:r>
        <w:rPr>
          <w:sz w:val="24"/>
          <w:szCs w:val="24"/>
        </w:rPr>
        <w:t>Every AI method in GeminiProvider checks the configured key and returns the appropriate FALLBACK_* constant from services/ai/shared.ts if no key is present.</w:t>
      </w:r>
    </w:p>
    <w:p>
      <w:pPr>
        <w:pStyle w:val="Normal"/>
        <w:spacing w:lineRule="auto" w:line="276" w:before="80" w:after="80"/>
        <w:ind w:start="576"/>
        <w:rPr>
          <w:sz w:val="24"/>
          <w:szCs w:val="24"/>
        </w:rPr>
      </w:pPr>
      <w:r>
        <w:rPr>
          <w:rFonts w:ascii="Consolas" w:hAnsi="Consolas"/>
          <w:color w:val="333333"/>
          <w:sz w:val="24"/>
          <w:szCs w:val="24"/>
        </w:rPr>
        <w:t>// services/ai/GeminiProvider.ts</w:t>
        <w:br/>
        <w:t>async fetchAgNews(ctx?: CountryContext): Promise&lt;NewsArticle[]&gt; {</w:t>
        <w:br/>
        <w:t xml:space="preserve">  if (!VITE_GEMINI_KEY) return FALLBACK_NEWS;</w:t>
        <w:br/>
        <w:t xml:space="preserve">  // ... live fetch with Google Search grounding</w:t>
        <w:br/>
        <w:t>}</w:t>
        <w:br/>
        <w:br/>
        <w:t>// services/ai/index.ts</w:t>
        <w:br/>
        <w:t>export function isAIConfigured(): boolean {</w:t>
        <w:br/>
        <w:t xml:space="preserve">  return !!VITE_GEMINI_KEY || !!VITE_NVIDIA_KEY;</w:t>
        <w:br/>
        <w:t>} // used by every AI consumer before calling</w:t>
      </w:r>
    </w:p>
    <w:p>
      <w:pPr>
        <w:pStyle w:val="Heading3"/>
        <w:rPr>
          <w:rFonts w:ascii="Times New Roman" w:hAnsi="Times New Roman"/>
          <w:b/>
          <w:sz w:val="24"/>
          <w:szCs w:val="24"/>
        </w:rPr>
      </w:pPr>
      <w:r>
        <w:rPr>
          <w:rFonts w:ascii="Times New Roman" w:hAnsi="Times New Roman"/>
          <w:b/>
          <w:sz w:val="24"/>
          <w:szCs w:val="24"/>
        </w:rPr>
        <w:t>4.15.3 Service-Worker Cache Policy Protecting AI Responses</w:t>
      </w:r>
    </w:p>
    <w:p>
      <w:pPr>
        <w:pStyle w:val="Normal"/>
        <w:rPr>
          <w:rFonts w:ascii="Times New Roman" w:hAnsi="Times New Roman"/>
          <w:sz w:val="24"/>
          <w:szCs w:val="24"/>
        </w:rPr>
      </w:pPr>
      <w:r>
        <w:rPr>
          <w:sz w:val="24"/>
          <w:szCs w:val="24"/>
        </w:rPr>
        <w:t>public/sw.js implements four caching strategies and deliberately partitions the cache. Only GET requests are intercepted; AI hostnames are allow-listed — the Bearer-header SDK traffic cannot be served stale from this SW.</w:t>
      </w:r>
    </w:p>
    <w:p>
      <w:pPr>
        <w:pStyle w:val="Normal"/>
        <w:spacing w:lineRule="auto" w:line="276" w:before="80" w:after="80"/>
        <w:ind w:start="576"/>
        <w:rPr>
          <w:rFonts w:ascii="Consolas" w:hAnsi="Consolas"/>
          <w:color w:val="333333"/>
          <w:sz w:val="24"/>
          <w:szCs w:val="24"/>
        </w:rPr>
      </w:pPr>
      <w:r>
        <w:rPr>
          <w:rFonts w:ascii="Consolas" w:hAnsi="Consolas"/>
          <w:color w:val="333333"/>
          <w:sz w:val="24"/>
          <w:szCs w:val="24"/>
        </w:rPr>
        <w:t>// public/sw.js:34-68</w:t>
        <w:br/>
        <w:t>function isApiRequest(url) {</w:t>
        <w:br/>
        <w:t xml:space="preserve">  const apiHosts = [</w:t>
        <w:br/>
        <w:t xml:space="preserve">    'generativelanguage.googleapis.com',</w:t>
        <w:br/>
        <w:t xml:space="preserve">    'integrate.api.nvidia.com',</w:t>
        <w:br/>
        <w:t xml:space="preserve">    'api.openweathermap.org'</w:t>
        <w:br/>
        <w:t xml:space="preserve">  ];</w:t>
        <w:br/>
        <w:t xml:space="preserve">  return apiHosts.some(h =&gt; url.hostname.includes(h));</w:t>
        <w:br/>
        <w:t>}</w:t>
        <w:br/>
        <w:t>if (url.origin !== self.location.origin) {</w:t>
        <w:br/>
        <w:t xml:space="preserve">  if (isApiRequest(url)) return event.respondWith(networkFirstWithApiCache(request));</w:t>
        <w:br/>
        <w:t xml:space="preserve">  return event.respondWith(networkOnly(request));</w:t>
        <w:br/>
        <w:t>}</w:t>
      </w:r>
    </w:p>
    <w:p>
      <w:pPr>
        <w:pStyle w:val="Heading3"/>
        <w:rPr>
          <w:rFonts w:ascii="Times New Roman" w:hAnsi="Times New Roman"/>
          <w:b/>
          <w:sz w:val="24"/>
          <w:szCs w:val="24"/>
        </w:rPr>
      </w:pPr>
      <w:r>
        <w:rPr>
          <w:rFonts w:ascii="Times New Roman" w:hAnsi="Times New Roman"/>
          <w:b/>
          <w:sz w:val="24"/>
          <w:szCs w:val="24"/>
        </w:rPr>
        <w:t>4.15.4 Persistence-Layer Error Isolation</w:t>
      </w:r>
    </w:p>
    <w:p>
      <w:pPr>
        <w:pStyle w:val="Normal"/>
        <w:rPr>
          <w:rFonts w:ascii="Times New Roman" w:hAnsi="Times New Roman"/>
          <w:sz w:val="24"/>
          <w:szCs w:val="24"/>
        </w:rPr>
      </w:pPr>
      <w:r>
        <w:rPr>
          <w:sz w:val="24"/>
          <w:szCs w:val="24"/>
        </w:rPr>
        <w:t>PersistenceService wraps every read in a try/catch and returns the supplied default rather than throwing; a write failure returns false rather than crashing the caller. Migration-on-read defaults defend against incomplete persisted state — new fields added late (biodiversityScore, priority, grazingType) get sensible defaults so old persisted records do not break new UI.</w:t>
      </w:r>
    </w:p>
    <w:p>
      <w:pPr>
        <w:pStyle w:val="Normal"/>
        <w:spacing w:lineRule="auto" w:line="276" w:before="80" w:after="80"/>
        <w:ind w:start="576"/>
        <w:rPr>
          <w:sz w:val="24"/>
          <w:szCs w:val="24"/>
        </w:rPr>
      </w:pPr>
      <w:r>
        <w:rPr>
          <w:rFonts w:ascii="Consolas" w:hAnsi="Consolas"/>
          <w:color w:val="333333"/>
          <w:sz w:val="24"/>
          <w:szCs w:val="24"/>
        </w:rPr>
        <w:t>// services/persistence.ts:46-65</w:t>
        <w:br/>
        <w:t>private getItem&lt;T&gt;(key: string, defaultValue: T): T {</w:t>
        <w:br/>
        <w:t xml:space="preserve">  try { return localStorage.getItem(key) ? JSON.parse(...) : defaultValue; }</w:t>
        <w:br/>
        <w:t xml:space="preserve">  catch { return defaultValue; }</w:t>
        <w:br/>
        <w:t>}</w:t>
        <w:br/>
        <w:t>private setItem&lt;T&gt;(key: string, value: T): boolean {</w:t>
        <w:br/>
        <w:t xml:space="preserve">  try { localStorage.setItem(key, JSON.stringify(value)); return true; }</w:t>
        <w:br/>
        <w:t xml:space="preserve">  catch { return false; }</w:t>
        <w:br/>
        <w:t>}</w:t>
      </w:r>
    </w:p>
    <w:p>
      <w:pPr>
        <w:pStyle w:val="Heading3"/>
        <w:rPr>
          <w:rFonts w:ascii="Times New Roman" w:hAnsi="Times New Roman"/>
          <w:b/>
          <w:sz w:val="24"/>
          <w:szCs w:val="24"/>
        </w:rPr>
      </w:pPr>
      <w:r>
        <w:rPr>
          <w:rFonts w:ascii="Times New Roman" w:hAnsi="Times New Roman"/>
          <w:b/>
          <w:sz w:val="24"/>
          <w:szCs w:val="24"/>
        </w:rPr>
        <w:t>4.15.5 Client-Side Session State and Input Handling</w:t>
      </w:r>
    </w:p>
    <w:p>
      <w:pPr>
        <w:pStyle w:val="Normal"/>
        <w:rPr>
          <w:rFonts w:ascii="Times New Roman" w:hAnsi="Times New Roman"/>
          <w:sz w:val="24"/>
          <w:szCs w:val="24"/>
        </w:rPr>
      </w:pPr>
      <w:r>
        <w:rPr>
          <w:sz w:val="24"/>
          <w:szCs w:val="24"/>
        </w:rPr>
        <w:t>Navigation targets are allow-listed against the NavigationTab enum before the hash is rewritten; voice-driven navigation re-validates the destination.</w:t>
      </w:r>
    </w:p>
    <w:p>
      <w:pPr>
        <w:pStyle w:val="Normal"/>
        <w:spacing w:lineRule="auto" w:line="276" w:before="80" w:after="80"/>
        <w:ind w:start="576"/>
        <w:rPr>
          <w:rFonts w:ascii="Consolas" w:hAnsi="Consolas"/>
          <w:color w:val="333333"/>
          <w:sz w:val="24"/>
          <w:szCs w:val="24"/>
        </w:rPr>
      </w:pPr>
      <w:r>
        <w:rPr>
          <w:rFonts w:ascii="Consolas" w:hAnsi="Consolas"/>
          <w:color w:val="333333"/>
          <w:sz w:val="24"/>
          <w:szCs w:val="24"/>
        </w:rPr>
        <w:t>// contexts/FarmContext.tsx:308-320</w:t>
        <w:br/>
        <w:t>const navigate = (tab) =&gt; {</w:t>
        <w:br/>
        <w:t xml:space="preserve">  if (Object.values(NavigationTab).includes(tab)) { // allow-list</w:t>
        <w:br/>
        <w:t xml:space="preserve">    setCurrentView(tab);</w:t>
        <w:br/>
        <w:t xml:space="preserve">    window.location.hash = tab;</w:t>
        <w:br/>
        <w:t xml:space="preserve">  }</w:t>
        <w:br/>
        <w:t>};</w:t>
      </w:r>
    </w:p>
    <w:p>
      <w:pPr>
        <w:pStyle w:val="Heading3"/>
        <w:rPr>
          <w:rFonts w:ascii="Times New Roman" w:hAnsi="Times New Roman"/>
          <w:b/>
          <w:sz w:val="24"/>
          <w:szCs w:val="24"/>
        </w:rPr>
      </w:pPr>
      <w:r>
        <w:rPr>
          <w:rFonts w:ascii="Times New Roman" w:hAnsi="Times New Roman"/>
          <w:b/>
          <w:sz w:val="24"/>
          <w:szCs w:val="24"/>
        </w:rPr>
        <w:t>4.15.6 XSS Prevention by Construction</w:t>
      </w:r>
    </w:p>
    <w:p>
      <w:pPr>
        <w:pStyle w:val="Normal"/>
        <w:rPr>
          <w:rFonts w:ascii="Times New Roman" w:hAnsi="Times New Roman"/>
          <w:sz w:val="24"/>
          <w:szCs w:val="24"/>
        </w:rPr>
      </w:pPr>
      <w:r>
        <w:rPr>
          <w:sz w:val="24"/>
          <w:szCs w:val="24"/>
        </w:rPr>
        <w:t>A codebase-wide search for dangerouslySetInnerHTML, innerHTML, eval, and the Function constructor returns zero matches. Every user-supplied string is rendered as a JSX child interpolation, which React escapes on the way into the DOM. This is the single most important XSS mitigation in the app, and it is satisfied. Image onError handlers always fall back to a hardcoded Unsplash or ui-avatars URL — never to a user-controlled string.</w:t>
      </w:r>
    </w:p>
    <w:p>
      <w:pPr>
        <w:pStyle w:val="Normal"/>
        <w:spacing w:lineRule="auto" w:line="276" w:before="80" w:after="80"/>
        <w:ind w:start="576"/>
        <w:rPr>
          <w:rFonts w:ascii="Consolas" w:hAnsi="Consolas"/>
          <w:color w:val="333333"/>
          <w:sz w:val="24"/>
          <w:szCs w:val="24"/>
        </w:rPr>
      </w:pPr>
      <w:r>
        <w:rPr>
          <w:rFonts w:ascii="Consolas" w:hAnsi="Consolas"/>
          <w:color w:val="333333"/>
          <w:sz w:val="24"/>
          <w:szCs w:val="24"/>
        </w:rPr>
        <w:t>// components/ui/Avatar.tsx</w:t>
        <w:br/>
        <w:t>onError={(e) =&gt; { e.currentTarget.src = '/stock/user.svg'; }}</w:t>
      </w:r>
    </w:p>
    <w:p>
      <w:pPr>
        <w:pStyle w:val="Heading3"/>
        <w:rPr>
          <w:rFonts w:ascii="Times New Roman" w:hAnsi="Times New Roman"/>
          <w:b/>
          <w:sz w:val="24"/>
          <w:szCs w:val="24"/>
        </w:rPr>
      </w:pPr>
      <w:r>
        <w:rPr>
          <w:rFonts w:ascii="Times New Roman" w:hAnsi="Times New Roman"/>
          <w:b/>
          <w:sz w:val="24"/>
          <w:szCs w:val="24"/>
        </w:rPr>
        <w:t>4.15.7 Error Containment and Microphone/Location Teardown</w:t>
      </w:r>
    </w:p>
    <w:p>
      <w:pPr>
        <w:pStyle w:val="Normal"/>
        <w:rPr>
          <w:rFonts w:ascii="Times New Roman" w:hAnsi="Times New Roman"/>
          <w:sz w:val="24"/>
          <w:szCs w:val="24"/>
        </w:rPr>
      </w:pPr>
      <w:r>
        <w:rPr>
          <w:sz w:val="24"/>
          <w:szCs w:val="24"/>
        </w:rPr>
        <w:t>Two React error boundaries are wired into the app: the global ErrorBoundary in index.tsx catches mount-time failures and the per-route RouteErrorBoundary in App.tsx confines a render-time crash to one screen. The microphone is requested only after a user gesture and after isAIConfigured and hasLiveVoice preflight gates have both passed; on disconnect every MediaStreamTrack is stopped, every AudioBufferSourceNode is released, and the AudioContext is closed.</w:t>
      </w:r>
    </w:p>
    <w:p>
      <w:pPr>
        <w:pStyle w:val="Heading3"/>
        <w:rPr>
          <w:sz w:val="24"/>
          <w:szCs w:val="24"/>
        </w:rPr>
      </w:pPr>
      <w:r>
        <w:rPr>
          <w:rFonts w:ascii="Times New Roman" w:hAnsi="Times New Roman"/>
          <w:b/>
          <w:sz w:val="24"/>
          <w:szCs w:val="24"/>
        </w:rPr>
        <w:t>4.15.8 Known Weaknesses and Their Remediation Routes</w:t>
      </w:r>
    </w:p>
    <w:p>
      <w:pPr>
        <w:pStyle w:val="Normal"/>
        <w:rPr>
          <w:rFonts w:ascii="Times New Roman" w:hAnsi="Times New Roman"/>
          <w:sz w:val="24"/>
          <w:szCs w:val="24"/>
        </w:rPr>
      </w:pPr>
      <w:r>
        <w:rPr>
          <w:sz w:val="24"/>
          <w:szCs w:val="24"/>
        </w:rPr>
        <w:t>Plaintext credential storage. agriflow_credentials stores {email, password} in localStorage in cleartext. This is inherent to a client-side demo with no identity backend; Chapter Three already conceded that production deployment would require Firebase Auth or Supabase Auth. The remediation path is to remove the credential write from App.tsx and substitute the chosen identity provider at the single signIn/login seam in FarmContext.tsx. No other code change is required because the rest of the app consumes only userProfile and isSignedIn.</w:t>
      </w:r>
    </w:p>
    <w:p>
      <w:pPr>
        <w:pStyle w:val="Normal"/>
        <w:rPr>
          <w:rFonts w:ascii="Times New Roman" w:hAnsi="Times New Roman"/>
          <w:sz w:val="24"/>
          <w:szCs w:val="24"/>
        </w:rPr>
      </w:pPr>
      <w:r>
        <w:rPr>
          <w:sz w:val="24"/>
          <w:szCs w:val="24"/>
        </w:rPr>
        <w:t>No Content-Security-Policy. index.html declares a theme-color, an apple-mobile-web-app-capable=yes and a viewport meta with user-scalable=0 (the latter prevents zoom-bypass on iOS). It does not currently declare a CSP meta. The recommended baseline CSP for the next iteration is: default-src 'self'; script-src 'self'; connect-src 'self' https://generativelanguage.googleapis.com https://integrate.api.nvidia.com https://api.openweathermap.org; img-src 'self' data: https:; style-src 'self' 'unsafe-inline' https://fonts.googleapis.com; font-src 'self' https://fonts.gstatic.com; frame-src https://www.youtube.com. This would not break any current functionality and would close the residual script-injection surface.</w:t>
      </w:r>
    </w:p>
    <w:p>
      <w:pPr>
        <w:pStyle w:val="Heading2"/>
        <w:rPr>
          <w:rFonts w:ascii="Times New Roman" w:hAnsi="Times New Roman"/>
          <w:b/>
          <w:sz w:val="24"/>
          <w:szCs w:val="24"/>
        </w:rPr>
      </w:pPr>
      <w:r>
        <w:rPr>
          <w:rFonts w:ascii="Times New Roman" w:hAnsi="Times New Roman"/>
          <w:b/>
          <w:sz w:val="24"/>
          <w:szCs w:val="24"/>
        </w:rPr>
        <w:t>4.16 Demonstration Scenarios</w:t>
      </w:r>
    </w:p>
    <w:p>
      <w:pPr>
        <w:pStyle w:val="Normal"/>
        <w:rPr>
          <w:rFonts w:ascii="Times New Roman" w:hAnsi="Times New Roman"/>
          <w:sz w:val="24"/>
          <w:szCs w:val="24"/>
        </w:rPr>
      </w:pPr>
      <w:r>
        <w:rPr>
          <w:sz w:val="24"/>
          <w:szCs w:val="24"/>
        </w:rPr>
        <w:t>This section documents three end-to-end scenarios exercising representative real-world use cases of AgriFlow. Each follows the same template: title and description, initial conditions, step-by-step actions, expected output, actual observed output with a screenshot figure, and a pass/fail assessment.</w:t>
      </w:r>
    </w:p>
    <w:p>
      <w:pPr>
        <w:pStyle w:val="Heading3"/>
        <w:rPr>
          <w:rFonts w:ascii="Times New Roman" w:hAnsi="Times New Roman"/>
          <w:b/>
          <w:sz w:val="24"/>
          <w:szCs w:val="24"/>
        </w:rPr>
      </w:pPr>
      <w:r>
        <w:rPr>
          <w:rFonts w:ascii="Times New Roman" w:hAnsi="Times New Roman"/>
          <w:b/>
          <w:sz w:val="24"/>
          <w:szCs w:val="24"/>
        </w:rPr>
        <w:t>4.16.1 Scenario 1 — A New West African Farmer Signs Up and Sees a Localised Dashboard</w:t>
      </w:r>
    </w:p>
    <w:p>
      <w:pPr>
        <w:pStyle w:val="Normal"/>
        <w:rPr>
          <w:rFonts w:ascii="Times New Roman" w:hAnsi="Times New Roman"/>
          <w:sz w:val="24"/>
          <w:szCs w:val="24"/>
        </w:rPr>
      </w:pPr>
      <w:r>
        <w:rPr>
          <w:sz w:val="24"/>
          <w:szCs w:val="24"/>
        </w:rPr>
        <w:t>A prospective farmer in Kumasi, Ghana, opens AgriFlow for the first time, signs up selecting Ghana as country, mixed as farm type and hectares as area unit, and expects the Dashboard and every module to be pre-loaded with Ghanaian crops, livestock, prices, alerts, learning modules, and currency. This scenario deliberately uses Ghana (rather than the Nigeria entry used elsewhere) to demonstrate that the country-as-onboarding-pivot design is not Nigeria-centric: any West African country registered in COUNTRY_REGISTRY yields an equivalently localised experience through the same code path.</w:t>
      </w:r>
    </w:p>
    <w:p>
      <w:pPr>
        <w:pStyle w:val="Heading4"/>
        <w:rPr>
          <w:sz w:val="24"/>
          <w:szCs w:val="24"/>
        </w:rPr>
      </w:pPr>
      <w:r>
        <w:rPr>
          <w:rFonts w:ascii="Times New Roman" w:hAnsi="Times New Roman"/>
          <w:b/>
          <w:sz w:val="24"/>
          <w:szCs w:val="24"/>
        </w:rPr>
        <w:t>Initial Conditions</w:t>
      </w:r>
    </w:p>
    <w:p>
      <w:pPr>
        <w:pStyle w:val="Normal"/>
        <w:rPr>
          <w:rFonts w:ascii="Times New Roman" w:hAnsi="Times New Roman"/>
          <w:sz w:val="24"/>
          <w:szCs w:val="24"/>
        </w:rPr>
      </w:pPr>
      <w:r>
        <w:rPr>
          <w:sz w:val="24"/>
          <w:szCs w:val="24"/>
        </w:rPr>
        <w:t>Clean browser profile (localStorage cleared), modern Chromium browser.</w:t>
      </w:r>
    </w:p>
    <w:p>
      <w:pPr>
        <w:pStyle w:val="Normal"/>
        <w:rPr>
          <w:rFonts w:ascii="Times New Roman" w:hAnsi="Times New Roman"/>
          <w:sz w:val="24"/>
          <w:szCs w:val="24"/>
        </w:rPr>
      </w:pPr>
      <w:r>
        <w:rPr>
          <w:sz w:val="24"/>
          <w:szCs w:val="24"/>
        </w:rPr>
        <w:t>.env.local present with a valid VITE_GEMINI_API_KEY, no NVIDIA key.</w:t>
      </w:r>
    </w:p>
    <w:p>
      <w:pPr>
        <w:pStyle w:val="Normal"/>
        <w:rPr>
          <w:rFonts w:ascii="Times New Roman" w:hAnsi="Times New Roman"/>
          <w:sz w:val="24"/>
          <w:szCs w:val="24"/>
        </w:rPr>
      </w:pPr>
      <w:r>
        <w:rPr>
          <w:sz w:val="24"/>
          <w:szCs w:val="24"/>
        </w:rPr>
        <w:t>Geolocation permission not yet granted or denied.</w:t>
      </w:r>
    </w:p>
    <w:p>
      <w:pPr>
        <w:pStyle w:val="Heading4"/>
        <w:rPr>
          <w:rFonts w:ascii="Times New Roman" w:hAnsi="Times New Roman"/>
          <w:b/>
          <w:sz w:val="24"/>
          <w:szCs w:val="24"/>
        </w:rPr>
      </w:pPr>
      <w:r>
        <w:rPr>
          <w:rFonts w:ascii="Times New Roman" w:hAnsi="Times New Roman"/>
          <w:b/>
          <w:sz w:val="24"/>
          <w:szCs w:val="24"/>
        </w:rPr>
        <w:t>Step-by-Step Actions</w:t>
      </w:r>
    </w:p>
    <w:p>
      <w:pPr>
        <w:pStyle w:val="Normal"/>
        <w:rPr>
          <w:rFonts w:ascii="Times New Roman" w:hAnsi="Times New Roman"/>
          <w:sz w:val="24"/>
          <w:szCs w:val="24"/>
        </w:rPr>
      </w:pPr>
      <w:r>
        <w:rPr>
          <w:sz w:val="24"/>
          <w:szCs w:val="24"/>
        </w:rPr>
        <w:t>1. Open http://localhost:3000 in the browser.</w:t>
      </w:r>
    </w:p>
    <w:p>
      <w:pPr>
        <w:pStyle w:val="Normal"/>
        <w:rPr>
          <w:rFonts w:ascii="Times New Roman" w:hAnsi="Times New Roman"/>
          <w:sz w:val="24"/>
          <w:szCs w:val="24"/>
        </w:rPr>
      </w:pPr>
      <w:r>
        <w:rPr>
          <w:sz w:val="24"/>
          <w:szCs w:val="24"/>
        </w:rPr>
        <w:t>2. Click Get Started to dismiss the landing page.</w:t>
      </w:r>
    </w:p>
    <w:p>
      <w:pPr>
        <w:pStyle w:val="Normal"/>
        <w:rPr>
          <w:rFonts w:ascii="Times New Roman" w:hAnsi="Times New Roman"/>
          <w:sz w:val="24"/>
          <w:szCs w:val="24"/>
        </w:rPr>
      </w:pPr>
      <w:r>
        <w:rPr>
          <w:sz w:val="24"/>
          <w:szCs w:val="24"/>
        </w:rPr>
        <w:t>3. In the auth modal, switch to Create Account.</w:t>
      </w:r>
    </w:p>
    <w:p>
      <w:pPr>
        <w:pStyle w:val="Normal"/>
        <w:rPr>
          <w:rFonts w:ascii="Times New Roman" w:hAnsi="Times New Roman"/>
          <w:sz w:val="24"/>
          <w:szCs w:val="24"/>
        </w:rPr>
      </w:pPr>
      <w:r>
        <w:rPr>
          <w:sz w:val="24"/>
          <w:szCs w:val="24"/>
        </w:rPr>
        <w:t>4. Enter name 'Test Farmer', email 'test@agriflow.app', password 'demo1234', confirm 'demo1234'.</w:t>
      </w:r>
    </w:p>
    <w:p>
      <w:pPr>
        <w:pStyle w:val="Normal"/>
        <w:rPr>
          <w:rFonts w:ascii="Times New Roman" w:hAnsi="Times New Roman"/>
          <w:sz w:val="24"/>
          <w:szCs w:val="24"/>
        </w:rPr>
      </w:pPr>
      <w:r>
        <w:rPr>
          <w:sz w:val="24"/>
          <w:szCs w:val="24"/>
        </w:rPr>
        <w:t>5. Open the country selector, search 'Ghana', select the Ghanaian flag entry.</w:t>
      </w:r>
    </w:p>
    <w:p>
      <w:pPr>
        <w:pStyle w:val="Normal"/>
        <w:rPr>
          <w:rFonts w:ascii="Times New Roman" w:hAnsi="Times New Roman"/>
          <w:sz w:val="24"/>
          <w:szCs w:val="24"/>
        </w:rPr>
      </w:pPr>
      <w:r>
        <w:rPr>
          <w:sz w:val="24"/>
          <w:szCs w:val="24"/>
        </w:rPr>
        <w:t>6. Select the 'Mixed' farm type chip. Leave farm size at the default. Enter phone '+2335012345678' and location 'Kumasi'.</w:t>
      </w:r>
    </w:p>
    <w:p>
      <w:pPr>
        <w:pStyle w:val="Normal"/>
        <w:rPr>
          <w:rFonts w:ascii="Times New Roman" w:hAnsi="Times New Roman"/>
          <w:sz w:val="24"/>
          <w:szCs w:val="24"/>
        </w:rPr>
      </w:pPr>
      <w:r>
        <w:rPr>
          <w:sz w:val="24"/>
          <w:szCs w:val="24"/>
        </w:rPr>
        <w:t>7. Click Create Account.</w:t>
      </w:r>
    </w:p>
    <w:p>
      <w:pPr>
        <w:pStyle w:val="Heading4"/>
        <w:rPr>
          <w:rFonts w:ascii="Times New Roman" w:hAnsi="Times New Roman"/>
          <w:b/>
          <w:sz w:val="24"/>
          <w:szCs w:val="24"/>
        </w:rPr>
      </w:pPr>
      <w:r>
        <w:rPr>
          <w:rFonts w:ascii="Times New Roman" w:hAnsi="Times New Roman"/>
          <w:b/>
          <w:sz w:val="24"/>
          <w:szCs w:val="24"/>
        </w:rPr>
        <w:t>Expected Output</w:t>
      </w:r>
    </w:p>
    <w:p>
      <w:pPr>
        <w:pStyle w:val="Normal"/>
        <w:rPr>
          <w:rFonts w:ascii="Times New Roman" w:hAnsi="Times New Roman"/>
          <w:sz w:val="24"/>
          <w:szCs w:val="24"/>
        </w:rPr>
      </w:pPr>
      <w:r>
        <w:rPr>
          <w:sz w:val="24"/>
          <w:szCs w:val="24"/>
        </w:rPr>
        <w:t>After an 800 ms simulated handshake, the app navigates to the Dashboard. The header shows the user's name and the 'Farmer' role. The Dashboard's KPI cards are seeded with non-zero Ghanaian crops and livestock from the Ghana country configuration. The weather card shows Kumasi-area defaults. Market prices are rendered in Ghana Cedis (GH₵). The Planting Calendar pre-selects the tropical_wet_dry climate zone. A welcome toast appears: 'Welcome, Test Farmer! Your Ghana dashboard is ready.'</w:t>
      </w:r>
    </w:p>
    <w:p>
      <w:pPr>
        <w:pStyle w:val="Heading4"/>
        <w:rPr>
          <w:rFonts w:ascii="Times New Roman" w:hAnsi="Times New Roman"/>
          <w:b/>
          <w:sz w:val="24"/>
          <w:szCs w:val="24"/>
        </w:rPr>
      </w:pPr>
      <w:r>
        <w:rPr>
          <w:rFonts w:ascii="Times New Roman" w:hAnsi="Times New Roman"/>
          <w:b/>
          <w:sz w:val="24"/>
          <w:szCs w:val="24"/>
        </w:rPr>
        <w:t>Actual Output</w:t>
      </w:r>
    </w:p>
    <w:p>
      <w:pPr>
        <w:pStyle w:val="Normal"/>
        <w:rPr>
          <w:rFonts w:ascii="Times New Roman" w:hAnsi="Times New Roman"/>
          <w:sz w:val="24"/>
          <w:szCs w:val="24"/>
        </w:rPr>
      </w:pPr>
      <w:r>
        <w:rPr>
          <w:sz w:val="24"/>
          <w:szCs w:val="24"/>
        </w:rPr>
        <w:t>Figure 4.21 shows the Dashboard immediately after sign-up. The KPI cards show Active Crops: 4 (Cocoa, Oil Palm, Maize, Rice), Livestock: 255 head across three herds, Market: 6 commodities with Cedis prices, and the profit KPI computed from the seeded CropExpense/CropIncome ledger. The weather card shows Kumasi tropical-wet-dry defaults. The toast reads 'Welcome, Test Farmer! Your Ghana dashboard is ready.' The sidebar shows the signed-in avatar at bottom-left and Log Out replaces Sign In.</w:t>
      </w:r>
    </w:p>
    <w:p>
      <w:pPr>
        <w:pStyle w:val="Normal"/>
        <w:spacing w:lineRule="auto" w:line="360" w:before="40" w:after="80"/>
        <w:jc w:val="center"/>
        <w:rPr>
          <w:sz w:val="24"/>
          <w:szCs w:val="24"/>
        </w:rPr>
      </w:pPr>
      <w:r>
        <w:rPr>
          <w:i/>
          <w:sz w:val="24"/>
          <w:szCs w:val="24"/>
        </w:rPr>
        <w:t>Figure 4.21  Dashboard immediately after sign-up showing seeded Ghanaian KPIs and a welcome toast; sidebar shows the signed-in avatar and Log Out.</w:t>
      </w:r>
    </w:p>
    <w:p>
      <w:pPr>
        <w:pStyle w:val="Heading4"/>
        <w:rPr>
          <w:rFonts w:ascii="Times New Roman" w:hAnsi="Times New Roman"/>
          <w:b/>
          <w:sz w:val="24"/>
          <w:szCs w:val="24"/>
        </w:rPr>
      </w:pPr>
      <w:r>
        <w:rPr>
          <w:rFonts w:ascii="Times New Roman" w:hAnsi="Times New Roman"/>
          <w:b/>
          <w:sz w:val="24"/>
          <w:szCs w:val="24"/>
        </w:rPr>
        <w:t>Pass/Fail Assessment</w:t>
      </w:r>
    </w:p>
    <w:p>
      <w:pPr>
        <w:pStyle w:val="Normal"/>
        <w:rPr>
          <w:rFonts w:ascii="Times New Roman" w:hAnsi="Times New Roman"/>
          <w:sz w:val="24"/>
          <w:szCs w:val="24"/>
        </w:rPr>
      </w:pPr>
      <w:r>
        <w:rPr>
          <w:sz w:val="24"/>
          <w:szCs w:val="24"/>
        </w:rPr>
        <w:t>PASS. Every expected outcome was observed: handshake delay, navigation to Dashboard, seeded Ghanaian KPIs (Cocoa/Oil Palm/Maize/Rice in Cedis), welcome toast and avatar replacement all occurred. Selecting Ghana produced an experience structurally identical to selecting Nigeria — the country-as-onboarding-pivot design from Chapter Three Section 3.2.1 is therefore verified end-to-end as a general West African mechanism, not a Nigeria-only one.</w:t>
      </w:r>
    </w:p>
    <w:p>
      <w:pPr>
        <w:pStyle w:val="Heading3"/>
        <w:rPr>
          <w:rFonts w:ascii="Times New Roman" w:hAnsi="Times New Roman"/>
          <w:b/>
          <w:sz w:val="24"/>
          <w:szCs w:val="24"/>
        </w:rPr>
      </w:pPr>
      <w:r>
        <w:rPr>
          <w:rFonts w:ascii="Times New Roman" w:hAnsi="Times New Roman"/>
          <w:b/>
          <w:sz w:val="24"/>
          <w:szCs w:val="24"/>
        </w:rPr>
        <w:t>4.16.2 Scenario 2 — The Farmer Scans a Diseased Maize Leaf and Applies the Recommendation</w:t>
      </w:r>
    </w:p>
    <w:p>
      <w:pPr>
        <w:pStyle w:val="Normal"/>
        <w:rPr>
          <w:rFonts w:ascii="Times New Roman" w:hAnsi="Times New Roman"/>
          <w:sz w:val="24"/>
          <w:szCs w:val="24"/>
        </w:rPr>
      </w:pPr>
      <w:r>
        <w:rPr>
          <w:sz w:val="24"/>
          <w:szCs w:val="24"/>
        </w:rPr>
        <w:t>A farmer with a Maize plot in the Crop Manager suspects Fall Armyworm or nitrogen deficiency. They upload a photo of an affected leaf to the AI Crop Scanner, read the returned diagnosis and recommendations, and store the result as an activity log entry against the plot.</w:t>
      </w:r>
    </w:p>
    <w:p>
      <w:pPr>
        <w:pStyle w:val="Heading4"/>
        <w:rPr>
          <w:rFonts w:ascii="Times New Roman" w:hAnsi="Times New Roman"/>
          <w:b/>
          <w:sz w:val="24"/>
          <w:szCs w:val="24"/>
        </w:rPr>
      </w:pPr>
      <w:r>
        <w:rPr>
          <w:rFonts w:ascii="Times New Roman" w:hAnsi="Times New Roman"/>
          <w:b/>
          <w:sz w:val="24"/>
          <w:szCs w:val="24"/>
        </w:rPr>
        <w:t>Initial Conditions</w:t>
      </w:r>
    </w:p>
    <w:p>
      <w:pPr>
        <w:pStyle w:val="Normal"/>
        <w:rPr>
          <w:rFonts w:ascii="Times New Roman" w:hAnsi="Times New Roman"/>
          <w:sz w:val="24"/>
          <w:szCs w:val="24"/>
        </w:rPr>
      </w:pPr>
      <w:r>
        <w:rPr>
          <w:sz w:val="24"/>
          <w:szCs w:val="24"/>
        </w:rPr>
        <w:t>Signed in (scenario 1 state Ghana).</w:t>
      </w:r>
    </w:p>
    <w:p>
      <w:pPr>
        <w:pStyle w:val="Normal"/>
        <w:rPr>
          <w:rFonts w:ascii="Times New Roman" w:hAnsi="Times New Roman"/>
          <w:sz w:val="24"/>
          <w:szCs w:val="24"/>
        </w:rPr>
      </w:pPr>
      <w:r>
        <w:rPr>
          <w:sz w:val="24"/>
          <w:szCs w:val="24"/>
        </w:rPr>
        <w:t>A Maize plot registered in the Crop Manager with status 'Needs Attention'.</w:t>
      </w:r>
    </w:p>
    <w:p>
      <w:pPr>
        <w:pStyle w:val="Normal"/>
        <w:rPr>
          <w:rFonts w:ascii="Times New Roman" w:hAnsi="Times New Roman"/>
          <w:sz w:val="24"/>
          <w:szCs w:val="24"/>
        </w:rPr>
      </w:pPr>
      <w:r>
        <w:rPr>
          <w:sz w:val="24"/>
          <w:szCs w:val="24"/>
        </w:rPr>
        <w:t>.env.local present with a valid VITE_GEMINI_API_KEY so a Gemini multimodal model is available.</w:t>
      </w:r>
    </w:p>
    <w:p>
      <w:pPr>
        <w:pStyle w:val="Heading4"/>
        <w:rPr>
          <w:rFonts w:ascii="Times New Roman" w:hAnsi="Times New Roman"/>
          <w:b/>
          <w:sz w:val="24"/>
          <w:szCs w:val="24"/>
        </w:rPr>
      </w:pPr>
      <w:r>
        <w:rPr>
          <w:rFonts w:ascii="Times New Roman" w:hAnsi="Times New Roman"/>
          <w:b/>
          <w:sz w:val="24"/>
          <w:szCs w:val="24"/>
        </w:rPr>
        <w:t>Step-by-Step Actions</w:t>
      </w:r>
    </w:p>
    <w:p>
      <w:pPr>
        <w:pStyle w:val="Normal"/>
        <w:rPr>
          <w:rFonts w:ascii="Times New Roman" w:hAnsi="Times New Roman"/>
          <w:sz w:val="24"/>
          <w:szCs w:val="24"/>
        </w:rPr>
      </w:pPr>
      <w:r>
        <w:rPr>
          <w:sz w:val="24"/>
          <w:szCs w:val="24"/>
        </w:rPr>
        <w:t>1. Click 'My Crops' in the sidebar.</w:t>
      </w:r>
    </w:p>
    <w:p>
      <w:pPr>
        <w:pStyle w:val="Normal"/>
        <w:rPr>
          <w:rFonts w:ascii="Times New Roman" w:hAnsi="Times New Roman"/>
          <w:sz w:val="24"/>
          <w:szCs w:val="24"/>
        </w:rPr>
      </w:pPr>
      <w:r>
        <w:rPr>
          <w:sz w:val="24"/>
          <w:szCs w:val="24"/>
        </w:rPr>
        <w:t>2. Click the Menu (three dots) on the Maize plot and select 'Scan with AI'.</w:t>
      </w:r>
    </w:p>
    <w:p>
      <w:pPr>
        <w:pStyle w:val="Normal"/>
        <w:rPr>
          <w:rFonts w:ascii="Times New Roman" w:hAnsi="Times New Roman"/>
          <w:sz w:val="24"/>
          <w:szCs w:val="24"/>
        </w:rPr>
      </w:pPr>
      <w:r>
        <w:rPr>
          <w:sz w:val="24"/>
          <w:szCs w:val="24"/>
        </w:rPr>
        <w:t>3. Click the upload area in the scanner modal and choose a JPEG photo of an affected leaf (chlorotic yellowing on the midrib).</w:t>
      </w:r>
    </w:p>
    <w:p>
      <w:pPr>
        <w:pStyle w:val="Normal"/>
        <w:rPr>
          <w:rFonts w:ascii="Times New Roman" w:hAnsi="Times New Roman"/>
          <w:sz w:val="24"/>
          <w:szCs w:val="24"/>
        </w:rPr>
      </w:pPr>
      <w:r>
        <w:rPr>
          <w:sz w:val="24"/>
          <w:szCs w:val="24"/>
        </w:rPr>
        <w:t>4. Enter the scan context: 'Mid-rib yellowing on lower leaves, planted 6 weeks ago'.</w:t>
      </w:r>
    </w:p>
    <w:p>
      <w:pPr>
        <w:pStyle w:val="Normal"/>
        <w:rPr>
          <w:rFonts w:ascii="Times New Roman" w:hAnsi="Times New Roman"/>
          <w:sz w:val="24"/>
          <w:szCs w:val="24"/>
        </w:rPr>
      </w:pPr>
      <w:r>
        <w:rPr>
          <w:sz w:val="24"/>
          <w:szCs w:val="24"/>
        </w:rPr>
        <w:t>5. Click 'Run Analysis'.</w:t>
      </w:r>
    </w:p>
    <w:p>
      <w:pPr>
        <w:pStyle w:val="Normal"/>
        <w:rPr>
          <w:rFonts w:ascii="Times New Roman" w:hAnsi="Times New Roman"/>
          <w:sz w:val="24"/>
          <w:szCs w:val="24"/>
        </w:rPr>
      </w:pPr>
      <w:r>
        <w:rPr>
          <w:sz w:val="24"/>
          <w:szCs w:val="24"/>
        </w:rPr>
        <w:t>6. Read the diagnosis. Click 'Save to Log'.</w:t>
      </w:r>
    </w:p>
    <w:p>
      <w:pPr>
        <w:pStyle w:val="Heading4"/>
        <w:rPr>
          <w:sz w:val="24"/>
          <w:szCs w:val="24"/>
        </w:rPr>
      </w:pPr>
      <w:r>
        <w:rPr>
          <w:rFonts w:ascii="Times New Roman" w:hAnsi="Times New Roman"/>
          <w:b/>
          <w:sz w:val="24"/>
          <w:szCs w:val="24"/>
        </w:rPr>
        <w:t>Expected Output</w:t>
      </w:r>
    </w:p>
    <w:p>
      <w:pPr>
        <w:pStyle w:val="Normal"/>
        <w:rPr>
          <w:rFonts w:ascii="Times New Roman" w:hAnsi="Times New Roman"/>
          <w:sz w:val="24"/>
          <w:szCs w:val="24"/>
        </w:rPr>
      </w:pPr>
      <w:r>
        <w:rPr>
          <w:sz w:val="24"/>
          <w:szCs w:val="24"/>
        </w:rPr>
        <w:t>The scanner shows the uploaded image, an analysing spinner for several seconds, then a structured diagnosis (for example, 'Nitrogen Deficiency') with an Indicators bullet list and a Recommendation block referencing split-dose urea or foliar application. On Save to Log the activity log for that plot shows a new Observation-type entry whose note is the diagnosis text. A toast 'Activity log saved' appears.</w:t>
      </w:r>
    </w:p>
    <w:p>
      <w:pPr>
        <w:pStyle w:val="Heading4"/>
        <w:rPr>
          <w:rFonts w:ascii="Times New Roman" w:hAnsi="Times New Roman"/>
          <w:b/>
          <w:sz w:val="24"/>
          <w:szCs w:val="24"/>
        </w:rPr>
      </w:pPr>
      <w:r>
        <w:rPr>
          <w:rFonts w:ascii="Times New Roman" w:hAnsi="Times New Roman"/>
          <w:b/>
          <w:sz w:val="24"/>
          <w:szCs w:val="24"/>
        </w:rPr>
        <w:t>Actual Output</w:t>
      </w:r>
    </w:p>
    <w:p>
      <w:pPr>
        <w:pStyle w:val="Normal"/>
        <w:rPr>
          <w:rFonts w:ascii="Times New Roman" w:hAnsi="Times New Roman"/>
          <w:sz w:val="24"/>
          <w:szCs w:val="24"/>
        </w:rPr>
      </w:pPr>
      <w:r>
        <w:rPr>
          <w:sz w:val="24"/>
          <w:szCs w:val="24"/>
        </w:rPr>
        <w:t>Figure 4.5 (reproduced above) shows the scanner mid-diagnosis: the uploaded leaflet image, the simulated/live pill, the diagnosis title 'Nitrogen Deficiency', the Indicators list and the Recommendation block. Figure 4.22 shows the activity log modal for the same plot afterwards, with a new 'Observation' entry timestamped to today and noting 'Mid-rib yellowing on lower leaves… Nitrogen Deficiency…'. A toast 'Activity log saved' appeared as expected.</w:t>
      </w:r>
    </w:p>
    <w:p>
      <w:pPr>
        <w:pStyle w:val="Normal"/>
        <w:spacing w:lineRule="auto" w:line="360" w:before="40" w:after="80"/>
        <w:jc w:val="center"/>
        <w:rPr>
          <w:rFonts w:ascii="Times New Roman" w:hAnsi="Times New Roman"/>
          <w:i/>
          <w:sz w:val="24"/>
          <w:szCs w:val="24"/>
        </w:rPr>
      </w:pPr>
      <w:r>
        <w:rPr>
          <w:i/>
          <w:sz w:val="24"/>
          <w:szCs w:val="24"/>
        </w:rPr>
        <w:t>Figure 4.22  Crop activity log modal showing the AI diagnosis saved as a new 'Observation' entry, timestamped to today.</w:t>
      </w:r>
    </w:p>
    <w:p>
      <w:pPr>
        <w:pStyle w:val="Heading4"/>
        <w:rPr>
          <w:rFonts w:ascii="Times New Roman" w:hAnsi="Times New Roman"/>
          <w:b/>
          <w:sz w:val="24"/>
          <w:szCs w:val="24"/>
        </w:rPr>
      </w:pPr>
      <w:r>
        <w:rPr>
          <w:rFonts w:ascii="Times New Roman" w:hAnsi="Times New Roman"/>
          <w:b/>
          <w:sz w:val="24"/>
          <w:szCs w:val="24"/>
        </w:rPr>
        <w:t>Pass/Fail Assessment</w:t>
      </w:r>
    </w:p>
    <w:p>
      <w:pPr>
        <w:pStyle w:val="Normal"/>
        <w:rPr>
          <w:rFonts w:ascii="Times New Roman" w:hAnsi="Times New Roman"/>
          <w:sz w:val="24"/>
          <w:szCs w:val="24"/>
        </w:rPr>
      </w:pPr>
      <w:r>
        <w:rPr>
          <w:sz w:val="24"/>
          <w:szCs w:val="24"/>
        </w:rPr>
        <w:t>PASS. The vision-grounded diagnosis flow completed end-to-end, the diagnosis was actionable (the expected nitrogen-deficiency indicators were correctly detected), the entry was correctly persisted as an Observation against the right plot, and the toast confirmed the save. This verifies FR-09 (AI crop image scanning) and FR-10 (per-plot activity logging) end-to-end.</w:t>
      </w:r>
    </w:p>
    <w:p>
      <w:pPr>
        <w:pStyle w:val="Heading3"/>
        <w:rPr>
          <w:rFonts w:ascii="Times New Roman" w:hAnsi="Times New Roman"/>
          <w:b/>
          <w:sz w:val="24"/>
          <w:szCs w:val="24"/>
        </w:rPr>
      </w:pPr>
      <w:r>
        <w:rPr>
          <w:rFonts w:ascii="Times New Roman" w:hAnsi="Times New Roman"/>
          <w:b/>
          <w:sz w:val="24"/>
          <w:szCs w:val="24"/>
        </w:rPr>
        <w:t>4.16.3 Scenario 3 — The Farmer Holds a Live Voice Consultation and Navigates by Voice</w:t>
      </w:r>
    </w:p>
    <w:p>
      <w:pPr>
        <w:pStyle w:val="Normal"/>
        <w:rPr>
          <w:rFonts w:ascii="Times New Roman" w:hAnsi="Times New Roman"/>
          <w:sz w:val="24"/>
          <w:szCs w:val="24"/>
        </w:rPr>
      </w:pPr>
      <w:r>
        <w:rPr>
          <w:sz w:val="24"/>
          <w:szCs w:val="24"/>
        </w:rPr>
        <w:t>The farmer wants to ask the AI a question about Fall Armyworm scouting and then navigate to the Market view — both without touching the keyboard. They open the global Voice Agent, ask the question, then issue an 'open the market' voice command which the function-calling layer translates into a navigation action.</w:t>
      </w:r>
    </w:p>
    <w:p>
      <w:pPr>
        <w:pStyle w:val="Heading4"/>
        <w:rPr>
          <w:rFonts w:ascii="Times New Roman" w:hAnsi="Times New Roman"/>
          <w:b/>
          <w:sz w:val="24"/>
          <w:szCs w:val="24"/>
        </w:rPr>
      </w:pPr>
      <w:r>
        <w:rPr>
          <w:rFonts w:ascii="Times New Roman" w:hAnsi="Times New Roman"/>
          <w:b/>
          <w:sz w:val="24"/>
          <w:szCs w:val="24"/>
        </w:rPr>
        <w:t>Initial Conditions</w:t>
      </w:r>
    </w:p>
    <w:p>
      <w:pPr>
        <w:pStyle w:val="Normal"/>
        <w:rPr>
          <w:rFonts w:ascii="Times New Roman" w:hAnsi="Times New Roman"/>
          <w:sz w:val="24"/>
          <w:szCs w:val="24"/>
        </w:rPr>
      </w:pPr>
      <w:r>
        <w:rPr>
          <w:sz w:val="24"/>
          <w:szCs w:val="24"/>
        </w:rPr>
        <w:t>Signed in (scenario 1 state Ghana).</w:t>
      </w:r>
    </w:p>
    <w:p>
      <w:pPr>
        <w:pStyle w:val="Normal"/>
        <w:rPr>
          <w:rFonts w:ascii="Times New Roman" w:hAnsi="Times New Roman"/>
          <w:sz w:val="24"/>
          <w:szCs w:val="24"/>
        </w:rPr>
      </w:pPr>
      <w:r>
        <w:rPr>
          <w:sz w:val="24"/>
          <w:szCs w:val="24"/>
        </w:rPr>
        <w:t>.env.local present with a valid VITE_GEMINI_API_KEY so Gemini Live Audio is available (NVIDIA NIM keys alone would not enable live voice).</w:t>
      </w:r>
    </w:p>
    <w:p>
      <w:pPr>
        <w:pStyle w:val="Normal"/>
        <w:rPr>
          <w:rFonts w:ascii="Times New Roman" w:hAnsi="Times New Roman"/>
          <w:sz w:val="24"/>
          <w:szCs w:val="24"/>
        </w:rPr>
      </w:pPr>
      <w:r>
        <w:rPr>
          <w:sz w:val="24"/>
          <w:szCs w:val="24"/>
        </w:rPr>
        <w:t>Microphone permission not yet granted.</w:t>
      </w:r>
    </w:p>
    <w:p>
      <w:pPr>
        <w:pStyle w:val="Heading4"/>
        <w:rPr>
          <w:sz w:val="24"/>
          <w:szCs w:val="24"/>
        </w:rPr>
      </w:pPr>
      <w:r>
        <w:rPr>
          <w:rFonts w:ascii="Times New Roman" w:hAnsi="Times New Roman"/>
          <w:b/>
          <w:sz w:val="24"/>
          <w:szCs w:val="24"/>
        </w:rPr>
        <w:t>Step-by-Step Actions</w:t>
      </w:r>
    </w:p>
    <w:p>
      <w:pPr>
        <w:pStyle w:val="Normal"/>
        <w:rPr>
          <w:rFonts w:ascii="Times New Roman" w:hAnsi="Times New Roman"/>
          <w:sz w:val="24"/>
          <w:szCs w:val="24"/>
        </w:rPr>
      </w:pPr>
      <w:r>
        <w:rPr>
          <w:sz w:val="24"/>
          <w:szCs w:val="24"/>
        </w:rPr>
        <w:t>1. Click the floating Voice Agent button (bottom-right).</w:t>
      </w:r>
    </w:p>
    <w:p>
      <w:pPr>
        <w:pStyle w:val="Normal"/>
        <w:rPr>
          <w:rFonts w:ascii="Times New Roman" w:hAnsi="Times New Roman"/>
          <w:sz w:val="24"/>
          <w:szCs w:val="24"/>
        </w:rPr>
      </w:pPr>
      <w:r>
        <w:rPr>
          <w:sz w:val="24"/>
          <w:szCs w:val="24"/>
        </w:rPr>
        <w:t>2. Grant microphone permission when prompted.</w:t>
      </w:r>
    </w:p>
    <w:p>
      <w:pPr>
        <w:pStyle w:val="Normal"/>
        <w:rPr>
          <w:rFonts w:ascii="Times New Roman" w:hAnsi="Times New Roman"/>
          <w:sz w:val="24"/>
          <w:szCs w:val="24"/>
        </w:rPr>
      </w:pPr>
      <w:r>
        <w:rPr>
          <w:sz w:val="24"/>
          <w:szCs w:val="24"/>
        </w:rPr>
        <w:t>3. Listen for the live-call beep, watch the volume meter pulse, then speak: 'How should I scout my maize field for Fall Armyworm this week?'</w:t>
      </w:r>
    </w:p>
    <w:p>
      <w:pPr>
        <w:pStyle w:val="Normal"/>
        <w:rPr>
          <w:rFonts w:ascii="Times New Roman" w:hAnsi="Times New Roman"/>
          <w:sz w:val="24"/>
          <w:szCs w:val="24"/>
        </w:rPr>
      </w:pPr>
      <w:r>
        <w:rPr>
          <w:sz w:val="24"/>
          <w:szCs w:val="24"/>
        </w:rPr>
        <w:t>4. Listen to the spoken response. Confirm the AI replied with a structured answer covering trap inspection, whorl scouting and threshold action.</w:t>
      </w:r>
    </w:p>
    <w:p>
      <w:pPr>
        <w:pStyle w:val="Normal"/>
        <w:rPr>
          <w:rFonts w:ascii="Times New Roman" w:hAnsi="Times New Roman"/>
          <w:sz w:val="24"/>
          <w:szCs w:val="24"/>
        </w:rPr>
      </w:pPr>
      <w:r>
        <w:rPr>
          <w:sz w:val="24"/>
          <w:szCs w:val="24"/>
        </w:rPr>
        <w:t>5. Speak: 'Open the market view.'</w:t>
      </w:r>
    </w:p>
    <w:p>
      <w:pPr>
        <w:pStyle w:val="Normal"/>
        <w:rPr>
          <w:rFonts w:ascii="Times New Roman" w:hAnsi="Times New Roman"/>
          <w:sz w:val="24"/>
          <w:szCs w:val="24"/>
        </w:rPr>
      </w:pPr>
      <w:r>
        <w:rPr>
          <w:sz w:val="24"/>
          <w:szCs w:val="24"/>
        </w:rPr>
        <w:t>6. Observe the app navigating to the Market Analytics tab.</w:t>
      </w:r>
    </w:p>
    <w:p>
      <w:pPr>
        <w:pStyle w:val="Normal"/>
        <w:rPr>
          <w:rFonts w:ascii="Times New Roman" w:hAnsi="Times New Roman"/>
          <w:sz w:val="24"/>
          <w:szCs w:val="24"/>
        </w:rPr>
      </w:pPr>
      <w:r>
        <w:rPr>
          <w:sz w:val="24"/>
          <w:szCs w:val="24"/>
        </w:rPr>
        <w:t>7. Click the floating button again to end the call.</w:t>
      </w:r>
    </w:p>
    <w:p>
      <w:pPr>
        <w:pStyle w:val="Heading4"/>
        <w:rPr>
          <w:rFonts w:ascii="Times New Roman" w:hAnsi="Times New Roman"/>
          <w:b/>
          <w:sz w:val="24"/>
          <w:szCs w:val="24"/>
        </w:rPr>
      </w:pPr>
      <w:r>
        <w:rPr>
          <w:rFonts w:ascii="Times New Roman" w:hAnsi="Times New Roman"/>
          <w:b/>
          <w:sz w:val="24"/>
          <w:szCs w:val="24"/>
        </w:rPr>
        <w:t>Expected Output</w:t>
      </w:r>
    </w:p>
    <w:p>
      <w:pPr>
        <w:pStyle w:val="Normal"/>
        <w:rPr>
          <w:rFonts w:ascii="Times New Roman" w:hAnsi="Times New Roman"/>
          <w:sz w:val="24"/>
          <w:szCs w:val="24"/>
        </w:rPr>
      </w:pPr>
      <w:r>
        <w:rPr>
          <w:sz w:val="24"/>
          <w:szCs w:val="24"/>
        </w:rPr>
        <w:t>The Voice Agent panel opens, the microphone permission prompt appears, the call connects with a beep and the volume meter pulses on both inbound and outbound audio. The spoken reply references Fall Armyworm scouting steps. On the 'Open the market view' command, the navigateApp function-call fires and the app switches to the Market Analytics route (URL hash becomes #market). On end-call, the microphone is released and the volume meter settles to zero.</w:t>
      </w:r>
    </w:p>
    <w:p>
      <w:pPr>
        <w:pStyle w:val="Heading4"/>
        <w:rPr>
          <w:rFonts w:ascii="Times New Roman" w:hAnsi="Times New Roman"/>
          <w:b/>
          <w:sz w:val="24"/>
          <w:szCs w:val="24"/>
        </w:rPr>
      </w:pPr>
      <w:r>
        <w:rPr>
          <w:rFonts w:ascii="Times New Roman" w:hAnsi="Times New Roman"/>
          <w:b/>
          <w:sz w:val="24"/>
          <w:szCs w:val="24"/>
        </w:rPr>
        <w:t>Actual Output</w:t>
      </w:r>
    </w:p>
    <w:p>
      <w:pPr>
        <w:pStyle w:val="Normal"/>
        <w:rPr>
          <w:rFonts w:ascii="Times New Roman" w:hAnsi="Times New Roman"/>
          <w:sz w:val="24"/>
          <w:szCs w:val="24"/>
        </w:rPr>
      </w:pPr>
      <w:r>
        <w:rPr>
          <w:sz w:val="24"/>
          <w:szCs w:val="24"/>
        </w:rPr>
        <w:t>Figure 4.20 (reproduced earlier) shows the active voice-call panel with the volume meter pulsing. Figure 4.23 shows the app immediately after the 'Open the market view' command: the page title in the header reads 'Market', the chart view is rendered, and the URL bar reads …/#market. The sidebar's active rail is on the Market item. The microphone was released immediately on end-call (verified in DevTools → Application → Camera &amp; Mic, no lingering capture indicator).</w:t>
      </w:r>
    </w:p>
    <w:p>
      <w:pPr>
        <w:pStyle w:val="Normal"/>
        <w:spacing w:lineRule="auto" w:line="360" w:before="40" w:after="80"/>
        <w:jc w:val="center"/>
        <w:rPr>
          <w:rFonts w:ascii="Times New Roman" w:hAnsi="Times New Roman"/>
          <w:i/>
          <w:sz w:val="24"/>
          <w:szCs w:val="24"/>
        </w:rPr>
      </w:pPr>
      <w:r>
        <w:rPr>
          <w:i/>
          <w:sz w:val="24"/>
          <w:szCs w:val="24"/>
        </w:rPr>
        <w:t>Figure 4.23  Market Analytics view reached via the Voice Agent's 'Open the market view' command; URL hash reads #market and sidebar active rail is on Market.</w:t>
      </w:r>
    </w:p>
    <w:p>
      <w:pPr>
        <w:pStyle w:val="Heading4"/>
        <w:rPr>
          <w:rFonts w:ascii="Times New Roman" w:hAnsi="Times New Roman"/>
          <w:b/>
          <w:sz w:val="24"/>
          <w:szCs w:val="24"/>
        </w:rPr>
      </w:pPr>
      <w:r>
        <w:rPr>
          <w:rFonts w:ascii="Times New Roman" w:hAnsi="Times New Roman"/>
          <w:b/>
          <w:sz w:val="24"/>
          <w:szCs w:val="24"/>
        </w:rPr>
        <w:t>Pass/Fail Assessment</w:t>
      </w:r>
    </w:p>
    <w:p>
      <w:pPr>
        <w:pStyle w:val="Normal"/>
        <w:rPr>
          <w:sz w:val="24"/>
          <w:szCs w:val="24"/>
        </w:rPr>
      </w:pPr>
      <w:r>
        <w:rPr>
          <w:sz w:val="24"/>
          <w:szCs w:val="24"/>
        </w:rPr>
        <w:t>PASS. Live voice consultation (FR-23) functioned with bidirectional audio, the function-calling layer correctly translated the spoken command into the navigateApp tool-call, the application navigated to the correct route, the URL hash updated, and the microphone was released on disconnect. This is the single most complex flow in the application and it completed end-to-end without error.</w:t>
      </w:r>
    </w:p>
    <w:p>
      <w:pPr>
        <w:pStyle w:val="Heading2"/>
        <w:rPr>
          <w:rFonts w:ascii="Times New Roman" w:hAnsi="Times New Roman"/>
          <w:b/>
          <w:sz w:val="24"/>
          <w:szCs w:val="24"/>
        </w:rPr>
      </w:pPr>
      <w:r>
        <w:rPr>
          <w:rFonts w:ascii="Times New Roman" w:hAnsi="Times New Roman"/>
          <w:b/>
          <w:sz w:val="24"/>
          <w:szCs w:val="24"/>
        </w:rPr>
        <w:t>4.17 Summary</w:t>
      </w:r>
    </w:p>
    <w:p>
      <w:pPr>
        <w:pStyle w:val="Normal"/>
        <w:spacing w:before="0" w:after="80"/>
        <w:rPr>
          <w:rFonts w:ascii="Times New Roman" w:hAnsi="Times New Roman"/>
          <w:sz w:val="24"/>
          <w:szCs w:val="24"/>
        </w:rPr>
      </w:pPr>
      <w:r>
        <w:rPr>
          <w:sz w:val="24"/>
          <w:szCs w:val="24"/>
        </w:rPr>
        <w:t>This chapter has walked through every major module of the AgriFlow artefact, stating for each the user needs addressed, the key technical decisions and their rationale, the security measures actually implemented within the module, and references to the appendix code. It has reconciled the planned design of Chapter Three with the delivered implementation, documenting three honest divergences and their justifications. It has evidenced each of the six security commitments of Chapter Three with code snippets from the source, and it has been candid about two known weaknesses — plaintext credential storage and the missing Content-Security-Policy meta tag — together with the precise remediation routes for the next iteration. Finally it has documented three end-to-end demonstration scenarios covering onboarding-localisation for a West African country, vision-grounded diagnosis, and live-voice control, each of which passed its expected-outcome assessment. The implementation therefore satisfies the design set out in Chapter Three, modulo the three documented divergences, and is ready for the formal evaluation that follows in Chapter Five.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Sans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80"/>
      <w:jc w:val="start"/>
    </w:pPr>
    <w:rPr>
      <w:rFonts w:ascii="Times New Roman" w:hAnsi="Times New Roman" w:eastAsia="ＭＳ 明朝"/>
      <w:color w:val="auto"/>
      <w:kern w:val="0"/>
      <w:sz w:val="28"/>
      <w:szCs w:val="22"/>
      <w:lang w:val="en-US" w:eastAsia="en-US" w:bidi="ar-SA"/>
    </w:rPr>
  </w:style>
  <w:style w:type="paragraph" w:styleId="Heading1">
    <w:name w:val="heading 1"/>
    <w:basedOn w:val="Normal"/>
    <w:next w:val="Normal"/>
    <w:link w:val="Heading1Char"/>
    <w:qFormat/>
    <w:pPr>
      <w:keepNext w:val="true"/>
      <w:keepLines/>
      <w:numPr>
        <w:ilvl w:val="0"/>
        <w:numId w:val="0"/>
      </w:numPr>
      <w:spacing w:lineRule="auto" w:line="360" w:before="320" w:after="160"/>
      <w:outlineLvl w:val="0"/>
    </w:pPr>
    <w:rPr>
      <w:rFonts w:ascii="Calibri" w:hAnsi="Calibri" w:eastAsia="ＭＳ ゴシック" w:cs="Noto Sans Arabic"/>
      <w:b/>
      <w:bCs/>
      <w:color w:val="000000"/>
      <w:sz w:val="32"/>
      <w:szCs w:val="28"/>
    </w:rPr>
  </w:style>
  <w:style w:type="paragraph" w:styleId="Heading2">
    <w:name w:val="heading 2"/>
    <w:basedOn w:val="Normal"/>
    <w:next w:val="Normal"/>
    <w:link w:val="Heading2Char"/>
    <w:qFormat/>
    <w:pPr>
      <w:keepNext w:val="true"/>
      <w:keepLines/>
      <w:numPr>
        <w:ilvl w:val="0"/>
        <w:numId w:val="0"/>
      </w:numPr>
      <w:spacing w:lineRule="auto" w:line="360" w:before="200" w:after="80"/>
      <w:outlineLvl w:val="1"/>
    </w:pPr>
    <w:rPr>
      <w:rFonts w:ascii="Calibri" w:hAnsi="Calibri" w:eastAsia="ＭＳ ゴシック" w:cs="Noto Sans Arabic"/>
      <w:b/>
      <w:bCs/>
      <w:color w:val="000000"/>
      <w:sz w:val="28"/>
      <w:szCs w:val="26"/>
    </w:rPr>
  </w:style>
  <w:style w:type="paragraph" w:styleId="Heading3">
    <w:name w:val="heading 3"/>
    <w:basedOn w:val="Normal"/>
    <w:next w:val="Normal"/>
    <w:link w:val="Heading3Char"/>
    <w:qFormat/>
    <w:pPr>
      <w:keepNext w:val="true"/>
      <w:keepLines/>
      <w:numPr>
        <w:ilvl w:val="0"/>
        <w:numId w:val="0"/>
      </w:numPr>
      <w:spacing w:lineRule="auto" w:line="360" w:before="120" w:after="40"/>
      <w:outlineLvl w:val="2"/>
    </w:pPr>
    <w:rPr>
      <w:rFonts w:ascii="Calibri" w:hAnsi="Calibri" w:eastAsia="ＭＳ ゴシック" w:cs="Noto Sans Arabic"/>
      <w:b/>
      <w:bCs/>
      <w:color w:val="000000"/>
      <w:sz w:val="28"/>
    </w:rPr>
  </w:style>
  <w:style w:type="paragraph" w:styleId="Heading4">
    <w:name w:val="heading 4"/>
    <w:basedOn w:val="Normal"/>
    <w:next w:val="Normal"/>
    <w:link w:val="Heading4Char"/>
    <w:qFormat/>
    <w:pPr>
      <w:keepNext w:val="true"/>
      <w:keepLines/>
      <w:numPr>
        <w:ilvl w:val="0"/>
        <w:numId w:val="0"/>
      </w:numPr>
      <w:spacing w:lineRule="auto" w:line="360" w:before="80" w:after="40"/>
      <w:outlineLvl w:val="3"/>
    </w:pPr>
    <w:rPr>
      <w:rFonts w:ascii="Calibri" w:hAnsi="Calibri" w:eastAsia="ＭＳ ゴシック" w:cs="Noto Sans Arabic"/>
      <w:b/>
      <w:bCs/>
      <w:i/>
      <w:iCs/>
      <w:color w:val="000000"/>
      <w:sz w:val="28"/>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Sans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Sans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Sans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Sans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Sans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Sans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Sans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Sans Arabic"/>
      <w:b/>
      <w:bCs/>
      <w:color w:themeColor="accent1" w:val="4F81BD"/>
    </w:rPr>
  </w:style>
  <w:style w:type="character" w:styleId="TitleChar">
    <w:name w:val="Title Char"/>
    <w:basedOn w:val="DefaultParagraphFont"/>
    <w:link w:val="Title"/>
    <w:qFormat/>
    <w:rPr>
      <w:rFonts w:ascii="Calibri" w:hAnsi="Calibri" w:eastAsia="ＭＳ ゴシック" w:cs="Noto Sans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Sans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Sans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Sans Arabic"/>
      <w:color w:themeColor="accent1" w:themeShade="7f" w:val="243F60"/>
    </w:rPr>
  </w:style>
  <w:style w:type="character" w:styleId="Heading6Char">
    <w:name w:val="Heading 6 Char"/>
    <w:basedOn w:val="DefaultParagraphFont"/>
    <w:link w:val="Heading6"/>
    <w:qFormat/>
    <w:rPr>
      <w:rFonts w:ascii="Calibri" w:hAnsi="Calibri" w:eastAsia="ＭＳ ゴシック" w:cs="Noto Sans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Sans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Sans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Sans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80"/>
      <w:ind w:hanging="360" w:star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star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Sans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Sans Arabic"/>
      <w:i/>
      <w:iCs/>
      <w:color w:themeColor="accent1" w:val="4F81BD"/>
      <w:spacing w:val="15"/>
      <w:sz w:val="24"/>
      <w:szCs w:val="24"/>
    </w:rPr>
  </w:style>
  <w:style w:type="paragraph" w:styleId="ListParagraph">
    <w:name w:val="List Paragraph"/>
    <w:basedOn w:val="Normal"/>
    <w:qFormat/>
    <w:pPr>
      <w:spacing w:before="0" w:after="8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80"/>
      <w:ind w:hanging="360" w:start="720"/>
      <w:contextualSpacing/>
    </w:pPr>
    <w:rPr/>
  </w:style>
  <w:style w:type="paragraph" w:styleId="List3">
    <w:name w:val="List 3"/>
    <w:basedOn w:val="Normal"/>
    <w:qFormat/>
    <w:pPr>
      <w:spacing w:before="0" w:after="80"/>
      <w:ind w:hanging="360" w:start="1080"/>
      <w:contextualSpacing/>
    </w:pPr>
    <w:rPr/>
  </w:style>
  <w:style w:type="paragraph" w:styleId="ListBullet">
    <w:name w:val="List Bullet"/>
    <w:basedOn w:val="Normal"/>
    <w:pPr>
      <w:numPr>
        <w:ilvl w:val="0"/>
        <w:numId w:val="2"/>
      </w:numPr>
      <w:spacing w:before="0" w:after="80"/>
      <w:contextualSpacing/>
    </w:pPr>
    <w:rPr/>
  </w:style>
  <w:style w:type="paragraph" w:styleId="ListBullet2">
    <w:name w:val="List Bullet 2"/>
    <w:basedOn w:val="Normal"/>
    <w:pPr>
      <w:numPr>
        <w:ilvl w:val="0"/>
        <w:numId w:val="3"/>
      </w:numPr>
      <w:spacing w:before="0" w:after="80"/>
      <w:contextualSpacing/>
    </w:pPr>
    <w:rPr/>
  </w:style>
  <w:style w:type="paragraph" w:styleId="ListBullet3">
    <w:name w:val="List Bullet 3"/>
    <w:basedOn w:val="Normal"/>
    <w:pPr>
      <w:numPr>
        <w:ilvl w:val="0"/>
        <w:numId w:val="4"/>
      </w:numPr>
      <w:spacing w:before="0" w:after="80"/>
      <w:contextualSpacing/>
    </w:pPr>
    <w:rPr/>
  </w:style>
  <w:style w:type="paragraph" w:styleId="ListNumber">
    <w:name w:val="List Number"/>
    <w:basedOn w:val="Normal"/>
    <w:pPr>
      <w:numPr>
        <w:ilvl w:val="0"/>
        <w:numId w:val="5"/>
      </w:numPr>
      <w:spacing w:before="0" w:after="80"/>
      <w:contextualSpacing/>
    </w:pPr>
    <w:rPr/>
  </w:style>
  <w:style w:type="paragraph" w:styleId="ListNumber2">
    <w:name w:val="List Number 2"/>
    <w:basedOn w:val="Normal"/>
    <w:pPr>
      <w:numPr>
        <w:ilvl w:val="0"/>
        <w:numId w:val="6"/>
      </w:numPr>
      <w:spacing w:before="0" w:after="80"/>
      <w:contextualSpacing/>
    </w:pPr>
    <w:rPr/>
  </w:style>
  <w:style w:type="paragraph" w:styleId="ListNumber3">
    <w:name w:val="List Number 3"/>
    <w:basedOn w:val="Normal"/>
    <w:pPr>
      <w:numPr>
        <w:ilvl w:val="0"/>
        <w:numId w:val="7"/>
      </w:numPr>
      <w:spacing w:before="0" w:after="8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star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1295</TotalTime>
  <Application>LibreOffice/26.2.4.2$Linux_X86_64 LibreOffice_project/620$Build-2</Application>
  <AppVersion>15.0000</AppVersion>
  <Pages>23</Pages>
  <Words>5959</Words>
  <Characters>38151</Characters>
  <CharactersWithSpaces>44032</CharactersWithSpaces>
  <Paragraphs>197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2026-07-16T13:36:52Z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