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b/>
          <w:color w:val="056045"/>
          <w:sz w:val="56"/>
        </w:rPr>
        <w:t>CHAPTER FOUR</w:t>
      </w:r>
    </w:p>
    <w:p>
      <w:pPr>
        <w:jc w:val="center"/>
      </w:pPr>
      <w:r>
        <w:rPr>
          <w:b/>
          <w:sz w:val="40"/>
        </w:rPr>
        <w:t>IMPLEMENTATION AND TESTING</w:t>
      </w:r>
    </w:p>
    <w:p>
      <w:pPr>
        <w:jc w:val="center"/>
      </w:pPr>
      <w:r>
        <w:rPr>
          <w:i/>
          <w:sz w:val="26"/>
        </w:rPr>
        <w:t>AgriFlow 2.0 — Smart Farm App For West African Farmers</w:t>
      </w:r>
    </w:p>
    <w:p>
      <w:pPr>
        <w:spacing w:before="600"/>
        <w:jc w:val="center"/>
      </w:pPr>
      <w:r>
        <w:rPr>
          <w:sz w:val="22"/>
        </w:rPr>
        <w:t>ATU Diploma in Information Technology</w:t>
        <w:br/>
        <w:t>Group 8</w:t>
        <w:br/>
        <w:t>Bernice · Donald · Confidence · Daniel · Richmond</w:t>
      </w:r>
    </w:p>
    <w:p>
      <w:r>
        <w:br w:type="page"/>
      </w:r>
    </w:p>
    <w:p>
      <w:pPr>
        <w:pStyle w:val="Heading1"/>
      </w:pPr>
      <w:r>
        <w:t>4.0 Introduction</w:t>
      </w:r>
    </w:p>
    <w:p>
      <w:r>
        <w:rPr>
          <w:b w:val="0"/>
          <w:i w:val="0"/>
        </w:rPr>
        <w:t>This chapter documents the implementation of AgriFlow 2.0, the smart-farming management artefact whose design was set out in Chapter Three. Where Chapter Three described how the system was intended to be built — the layered single-page-application architecture, the entity-relationship model, the technology stack, and the security design — this chapter describes what was actually built and how it behaves in practice. The two chapters are deliberately parallel in structure so that a reader can move between a planned decision and its realised counterpart without effort.</w:t>
      </w:r>
    </w:p>
    <w:p>
      <w:r>
        <w:rPr>
          <w:b w:val="0"/>
          <w:i w:val="0"/>
        </w:rPr>
        <w:t>The chapter opens with a short section that reconciles the planned design with the delivered artefact, noting honestly where the implementation diverged from the design and why. It then proceeds module-by-module through every major feature of the application — for each module it states the purpose and the user needs addressed, the key technical decisions and their rationale, the security measures actually implemented within that module, and referenced appendix code. The chapter closes with three end-to-end demonstration scenarios that exercise representative real-world use cases, followed by an evidenced security-implementation section that proves each measure promised in Chapter Three has been carried through into code.</w:t>
      </w:r>
    </w:p>
    <w:p>
      <w:r>
        <w:rPr>
          <w:b w:val="0"/>
          <w:i w:val="0"/>
        </w:rPr>
        <w:t>All statements about file organisation, routing, persistence, AI integration, service-worker behaviour and authentication refer to actual source files written for this project — App.tsx, contexts/FarmContext.tsx, services/persistence.ts, services/ai/*, public/sw.js and the components/* shown in the project tree. Line numbers are quoted against the version of the source current at the time of writing.</w:t>
      </w:r>
    </w:p>
    <w:p>
      <w:pPr>
        <w:pStyle w:val="Heading1"/>
      </w:pPr>
      <w:r>
        <w:t>4.1 Reconciliation with the Chapter Three Design</w:t>
      </w:r>
    </w:p>
    <w:p>
      <w:r>
        <w:rPr>
          <w:b w:val="0"/>
          <w:i w:val="0"/>
        </w:rPr>
        <w:t>Chapter Three specified a layered single-page-application architecture composed of a presentation layer built with React 19, a state layer using React Context, a service layer of domain services, a persistence layer abstracting localStorage, and a shadow service-worker layer providing offline resilience. The delivered artefact implements each of these five layers exactly as specified; the layer boundaries, module names and key files are unchanged from the architecture diagram of Figure 3.2. The entity set defined in the Chapter Three ER diagram — UserProfile, Crop, Livestock, Task, LearningModule, MarketPrice, MarketplaceListing, ForumPost, ForumReply, LogEntry, CommunityChatMessage, CropExpense, CropIncome and their supporting enumerations — is preserved verbatim in types.ts and stored under the namespaced keys declared in services/persistence.ts.</w:t>
      </w:r>
    </w:p>
    <w:p>
      <w:pPr>
        <w:pStyle w:val="Heading2"/>
      </w:pPr>
      <w:r>
        <w:t>4.1.1 Significant differences between plan and implementation</w:t>
      </w:r>
    </w:p>
    <w:p>
      <w:r>
        <w:rPr>
          <w:b w:val="0"/>
          <w:i w:val="0"/>
        </w:rPr>
        <w:t>Three honest differences exist between the planned and the delivered artefact. They are minor and each is justified below.</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b/>
                <w:sz w:val="19"/>
              </w:rPr>
              <w:t>Concern</w:t>
            </w:r>
          </w:p>
        </w:tc>
        <w:tc>
          <w:tcPr>
            <w:tcW w:type="dxa" w:w="2340"/>
          </w:tcPr>
          <w:p>
            <w:r/>
            <w:r>
              <w:rPr>
                <w:b/>
                <w:sz w:val="19"/>
              </w:rPr>
              <w:t>Planned in Ch. 3</w:t>
            </w:r>
          </w:p>
        </w:tc>
        <w:tc>
          <w:tcPr>
            <w:tcW w:type="dxa" w:w="2340"/>
          </w:tcPr>
          <w:p>
            <w:r/>
            <w:r>
              <w:rPr>
                <w:b/>
                <w:sz w:val="19"/>
              </w:rPr>
              <w:t>Delivered in Ch. 4</w:t>
            </w:r>
          </w:p>
        </w:tc>
        <w:tc>
          <w:tcPr>
            <w:tcW w:type="dxa" w:w="2340"/>
          </w:tcPr>
          <w:p>
            <w:r/>
            <w:r>
              <w:rPr>
                <w:b/>
                <w:sz w:val="19"/>
              </w:rPr>
              <w:t>Reason for divergence</w:t>
            </w:r>
          </w:p>
        </w:tc>
      </w:tr>
      <w:tr>
        <w:tc>
          <w:tcPr>
            <w:tcW w:type="dxa" w:w="2340"/>
          </w:tcPr>
          <w:p>
            <w:r/>
            <w:r>
              <w:rPr>
                <w:sz w:val="19"/>
              </w:rPr>
              <w:t>Camera permission for crop and livestock scanning</w:t>
            </w:r>
          </w:p>
        </w:tc>
        <w:tc>
          <w:tcPr>
            <w:tcW w:type="dxa" w:w="2340"/>
          </w:tcPr>
          <w:p>
            <w:r/>
            <w:r>
              <w:rPr>
                <w:sz w:val="19"/>
              </w:rPr>
              <w:t>navigator.mediaDevices.getUserMedia({video:true}) request on scan</w:t>
            </w:r>
          </w:p>
        </w:tc>
        <w:tc>
          <w:tcPr>
            <w:tcW w:type="dxa" w:w="2340"/>
          </w:tcPr>
          <w:p>
            <w:r/>
            <w:r>
              <w:rPr>
                <w:sz w:val="19"/>
              </w:rPr>
              <w:t>File-input scanner accepting image upload via FileReader.readAsDataURL</w:t>
            </w:r>
          </w:p>
        </w:tc>
        <w:tc>
          <w:tcPr>
            <w:tcW w:type="dxa" w:w="2340"/>
          </w:tcPr>
          <w:p>
            <w:r/>
            <w:r>
              <w:rPr>
                <w:sz w:val="19"/>
              </w:rPr>
              <w:t>The Gemini and NVIDIA multimodal vision models used by the scanner accept base64 image bytes; a file input reaches every farmer including those on low-end Android devices where the live getUserMedia camera stream is unreliable or absent. The file-input path still surfaces the user's camera on devices that support capture, but without the permission-prompt fragility of a forced live stream. The README requirement to 'use the camera' is therefore realised as 'use an image of the field' which is the semantic intent.</w:t>
            </w:r>
          </w:p>
        </w:tc>
      </w:tr>
      <w:tr>
        <w:tc>
          <w:tcPr>
            <w:tcW w:type="dxa" w:w="2340"/>
          </w:tcPr>
          <w:p>
            <w:r/>
            <w:r>
              <w:rPr>
                <w:sz w:val="19"/>
              </w:rPr>
              <w:t>Centralised rate limiting on AI calls</w:t>
            </w:r>
          </w:p>
        </w:tc>
        <w:tc>
          <w:tcPr>
            <w:tcW w:type="dxa" w:w="2340"/>
          </w:tcPr>
          <w:p>
            <w:r/>
            <w:r>
              <w:rPr>
                <w:sz w:val="19"/>
              </w:rPr>
              <w:t>Token-bucket throttle on the service layer rejecting Nth request in a window</w:t>
            </w:r>
          </w:p>
        </w:tc>
        <w:tc>
          <w:tcPr>
            <w:tcW w:type="dxa" w:w="2340"/>
          </w:tcPr>
          <w:p>
            <w:r/>
            <w:r>
              <w:rPr>
                <w:sz w:val="19"/>
              </w:rPr>
              <w:t>Per-method in-memory 15-minute response cache only</w:t>
            </w:r>
          </w:p>
        </w:tc>
        <w:tc>
          <w:tcPr>
            <w:tcW w:type="dxa" w:w="2340"/>
          </w:tcPr>
          <w:p>
            <w:r/>
            <w:r>
              <w:rPr>
                <w:sz w:val="19"/>
              </w:rPr>
              <w:t>A token-bucket would require a server or shared worker to be robust against tab refresh, which the current client-only iteration does not have. The 15-minute cache (CACHE_TTL_MS in services/ai/shared.ts) coalesces identical prompts and caps effective request volume in the common case. The full throttle is explicitly deferred to the production-deployment iteration and documented in Section 4.15.</w:t>
            </w:r>
          </w:p>
        </w:tc>
      </w:tr>
      <w:tr>
        <w:tc>
          <w:tcPr>
            <w:tcW w:type="dxa" w:w="2340"/>
          </w:tcPr>
          <w:p>
            <w:r/>
            <w:r>
              <w:rPr>
                <w:sz w:val="19"/>
              </w:rPr>
              <w:t>Hashed password storage</w:t>
            </w:r>
          </w:p>
        </w:tc>
        <w:tc>
          <w:tcPr>
            <w:tcW w:type="dxa" w:w="2340"/>
          </w:tcPr>
          <w:p>
            <w:r/>
            <w:r>
              <w:rPr>
                <w:sz w:val="19"/>
              </w:rPr>
              <w:t>PBKDF2 / Web-Crypto SubtleCrypto hashing of the sign-up password before storage</w:t>
            </w:r>
          </w:p>
        </w:tc>
        <w:tc>
          <w:tcPr>
            <w:tcW w:type="dxa" w:w="2340"/>
          </w:tcPr>
          <w:p>
            <w:r/>
            <w:r>
              <w:rPr>
                <w:sz w:val="19"/>
              </w:rPr>
              <w:t>Plaintext credential comparison in localStorage</w:t>
            </w:r>
          </w:p>
        </w:tc>
        <w:tc>
          <w:tcPr>
            <w:tcW w:type="dxa" w:w="2340"/>
          </w:tcPr>
          <w:p>
            <w:r/>
            <w:r>
              <w:rPr>
                <w:sz w:val="19"/>
              </w:rPr>
              <w:t>Because the authentication scheme is a client-side demo without an identity backend, hashing the password in the page and then storing the hash in the same localStorage as the verification logic offers no real security boundary — the verification logic and the hash live in the same trust domain. Chapter Three Section 3.5.5 already conceded that this authentication is academic; the implementation therefore matches the planned level of assurance without the theatre of in-page hashing. The risk and its remediation route are documented in Section 4.15 and Appendix C.</w:t>
            </w:r>
          </w:p>
        </w:tc>
      </w:tr>
    </w:tbl>
    <w:p>
      <w:pPr>
        <w:jc w:val="center"/>
      </w:pPr>
      <w:r>
        <w:rPr>
          <w:i/>
          <w:sz w:val="19"/>
        </w:rPr>
        <w:t>Table 4.1  Divergences between the Chapter Three design and the delivered artefact.</w:t>
      </w:r>
    </w:p>
    <w:p/>
    <w:p>
      <w:r>
        <w:rPr>
          <w:b w:val="0"/>
          <w:i w:val="0"/>
        </w:rPr>
        <w:t>Apart from these three items, every element of the planned architecture, entity model, technology stack and security design is present in the code at the locations stated in Chapter Three. The remainder of Sections 4.2–4.14 walk through each module and confirm delivery, with the security evidence consolidated in Section 4.15.</w:t>
      </w:r>
    </w:p>
    <w:p>
      <w:pPr>
        <w:pStyle w:val="Heading1"/>
      </w:pPr>
      <w:r>
        <w:t>4.2 Module 1 — App Shell, Routing and Global Chrome</w:t>
      </w:r>
    </w:p>
    <w:p>
      <w:pPr>
        <w:pStyle w:val="Heading2"/>
      </w:pPr>
      <w:r>
        <w:t>4.2.1 Purpose and user needs addressed</w:t>
      </w:r>
    </w:p>
    <w:p>
      <w:r>
        <w:rPr>
          <w:b w:val="0"/>
          <w:i w:val="0"/>
        </w:rPr>
        <w:t>The App shell is the structural skeleton of the application. It addresses three user needs identified in Chapter Three: FR-01 (orientation — the farmer can always tell where they are in the app), FR-02 (navigation — the farmer can move between functional areas without losing their place), and NFR-03 (availability — the shell degrades gracefully when a sub-view crashes). Concretely, the shell renders the top header (page title and subtitle, online/offline pill, notifications dropdown, profile avatar), the desktop sidebar, the mobile bottom navigation, the global toast container, the floating voice agent, and a Cmd-K command palette.</w:t>
      </w:r>
    </w:p>
    <w:p>
      <w:pPr>
        <w:pStyle w:val="Heading2"/>
      </w:pPr>
      <w:r>
        <w:t>4.2.2 Key technical decisions</w:t>
      </w:r>
    </w:p>
    <w:p>
      <w:pPr>
        <w:pStyle w:val="ListBullet"/>
      </w:pPr>
      <w:r>
        <w:t>Routing without a router library. Hash-based routing is implemented entirely inside FarmContext (navigate(), a VIEW_HASH map and popstate listener). This removes the react-router dependency previously budgeted and still delivers deep-linking (#market, #ai, …), back-button support, and per-view scroll restoration through the scrollPositions ref in App.tsx.</w:t>
      </w:r>
    </w:p>
    <w:p>
      <w:pPr>
        <w:pStyle w:val="ListBullet"/>
      </w:pPr>
      <w:r>
        <w:t>Lazy-loaded routes. Every heavy feature component is wrapped in React.lazy() and suspended inside a single Suspense boundary. The initial bundle therefore contains only the shell, the dashboard and the auth modal; the Community, AIAdvisor, Education and Voice modules stream in only when first navigated to.</w:t>
      </w:r>
    </w:p>
    <w:p>
      <w:pPr>
        <w:pStyle w:val="ListBullet"/>
      </w:pPr>
      <w:r>
        <w:t>Defence-in-depth error containment. Two error-boundary classes are wired into the app. The global ErrorBoundary in index.tsx catches mount-time failures. The per-route RouteErrorBoundary in App.tsx isolates a single crashed page while keeping the rest of the app alive — a deliberate choice over a single top-level boundary because lazy-loaded components fail independently.</w:t>
      </w:r>
    </w:p>
    <w:p>
      <w:pPr>
        <w:pStyle w:val="ListBullet"/>
      </w:pPr>
      <w:r>
        <w:t>Dynamic title and favicon. A useEffect on currentView rewrites document.title to '&lt;Page Name&gt; · AgriFlow' and constructs an emoji favicon via a data:image/svg+xml URL — a cheap visual cue for tabbed farmers.</w:t>
      </w:r>
    </w:p>
    <w:p>
      <w:pPr>
        <w:pStyle w:val="ListBullet"/>
      </w:pPr>
      <w:r>
        <w:t>Online/offline awareness. Native online/offline window events are bound once and surfaced as a header pill, feeding the offline behaviour of the persistence layer and service worker.</w:t>
      </w:r>
    </w:p>
    <w:p>
      <w:pPr>
        <w:pStyle w:val="ListBullet"/>
      </w:pPr>
      <w:r>
        <w:t>Cmd-K command palette. A keyboard listener captures Ctrl/Cmd+K to toggle a CommandPalette modal regardless of route, giving power users a fast path between the twelve top-level views.</w:t>
      </w:r>
    </w:p>
    <w:p>
      <w:pPr>
        <w:pStyle w:val="Heading2"/>
      </w:pPr>
      <w:r>
        <w:t>4.2.3 Security within this module</w:t>
      </w:r>
    </w:p>
    <w:p>
      <w:r>
        <w:rPr>
          <w:b w:val="0"/>
          <w:i w:val="0"/>
        </w:rPr>
        <w:t>Two security measures operate within the shell. First, the per-route error boundary confines a render-time crash to one screen: the rest of the app keeps running and the user can navigate home or retry, satisfying NFR-03 (fault isolation). The boundary logs failure stacks to console.error for the development audience but renders only the error message, never raw HTML, so no XSS vector is introduced through the recovery path. Second, the shell's online/offline pill compels any downstream AI call to be visible to the user as available or unavailable, which is the precondition for the user judging whether an AI response is live or cached fallback content.</w:t>
      </w:r>
    </w:p>
    <w:p>
      <w:pPr>
        <w:pStyle w:val="Heading2"/>
      </w:pPr>
      <w:r>
        <w:t>4.2.4 Screenshots</w:t>
      </w:r>
    </w:p>
    <w:p>
      <w:pPr>
        <w:jc w:val="both"/>
      </w:pPr>
      <w:r>
        <w:rPr>
          <w:b w:val="0"/>
          <w:i w:val="0"/>
        </w:rPr>
        <w:t>The dashboard as the default view of the shell is shown in Figure 4.1 below. Note the top header carrying the page title ('Dashboard'), the subtitle, the search button with the Cmd-K hint, the online pill, the notifications bell with a red alert dot, and the profile avatar with green/online presence indicator. The desktop sidebar is visible on the left, grouped into Overview / Insights / Tools.</w:t>
      </w:r>
    </w:p>
    <w:tbl>
      <w:tblPr>
        <w:tblStyle w:val="TableGrid"/>
        <w:tblW w:type="auto" w:w="0"/>
        <w:tblLook w:firstColumn="1" w:firstRow="1" w:lastColumn="0" w:lastRow="0" w:noHBand="0" w:noVBand="1" w:val="04A0"/>
      </w:tblPr>
      <w:tblGrid>
        <w:gridCol w:w="9360"/>
      </w:tblGrid>
      <w:tr>
        <w:tc>
          <w:tcPr>
            <w:tcW w:type="dxa" w:w="9360"/>
            <w:vAlign w:val="center"/>
          </w:tcPr>
          <w:p>
            <w:pPr>
              <w:jc w:val="center"/>
            </w:pPr>
            <w:r>
              <w:rPr>
                <w:i/>
                <w:color w:val="888888"/>
                <w:sz w:val="20"/>
              </w:rPr>
              <w:t>[Screenshot: Desktop dashboard with sidebar, header, toasts and online pill]</w:t>
            </w:r>
          </w:p>
        </w:tc>
      </w:tr>
    </w:tbl>
    <w:p>
      <w:pPr>
        <w:jc w:val="center"/>
      </w:pPr>
      <w:r>
        <w:rPr>
          <w:i/>
          <w:color w:val="333333"/>
          <w:sz w:val="20"/>
        </w:rPr>
        <w:t>Figure 4.1  The app shell rendering the Dashboard route with sidebar, header, online pill, notifications bell and profile avatar.</w:t>
      </w:r>
    </w:p>
    <w:p/>
    <w:p>
      <w:pPr>
        <w:pStyle w:val="Heading2"/>
      </w:pPr>
      <w:r>
        <w:t>4.2.5 Appendix references</w:t>
      </w:r>
    </w:p>
    <w:p>
      <w:r>
        <w:rPr>
          <w:b w:val="0"/>
          <w:i w:val="0"/>
        </w:rPr>
        <w:t>App.tsx (Appendix A.1) — shell composition, lazy imports, error boundaries and view switch. RouteErrorBoundary.tsx (Appendix A.2) — per-route boundary. CommandPalette.tsx (Appendix A.3) — Cmd-K handler. index.tsx (Appendix A.4) — global boundary mount.</w:t>
      </w:r>
    </w:p>
    <w:p>
      <w:pPr>
        <w:pStyle w:val="Heading1"/>
      </w:pPr>
      <w:r>
        <w:t>4.3 Module 2 — Authentication, Sign-up and Onboarding</w:t>
      </w:r>
    </w:p>
    <w:p>
      <w:pPr>
        <w:pStyle w:val="Heading2"/>
      </w:pPr>
      <w:r>
        <w:t>4.3.1 Purpose and user needs addressed</w:t>
      </w:r>
    </w:p>
    <w:p>
      <w:r>
        <w:rPr>
          <w:b w:val="0"/>
          <w:i w:val="0"/>
        </w:rPr>
        <w:t>This module addresses FR-03 (self-registration of a farmer with the country, farm-type and location data that the rest of the app needs to localise itself) and FR-04 (returning-user sign-in). It is exposed as a dual-mode modal (LoginPage) summoned from the GetStarted landing page or from the Sign In button in the header. On sign-up the chosen country code triggers loading of a complete country configuration (default crops, livestock, prices, alerts, learning modules, tasks, marketplace listings, forum posts, chat seeds, trends, suggested users, stories, weather defaults, daily wage, currency code and symbol) from COUNTRY_REGISTRY, which is then persisted through every domain service.</w:t>
      </w:r>
    </w:p>
    <w:p>
      <w:pPr>
        <w:pStyle w:val="Heading2"/>
      </w:pPr>
      <w:r>
        <w:t>4.3.2 Key technical decisions</w:t>
      </w:r>
    </w:p>
    <w:p>
      <w:pPr>
        <w:pStyle w:val="ListBullet"/>
      </w:pPr>
      <w:r>
        <w:t>No identity backend. Auth is a 500–800 ms simulated handshake (a setTimeout in FarmContext's signIn/login callbacks). The decision is documented in Chapter Three Section 3.5.5 as a deliberate academic-grade choice; a production deployment would substitute Firebase Auth or Supabase Auth at this single seam.</w:t>
      </w:r>
    </w:p>
    <w:p>
      <w:pPr>
        <w:pStyle w:val="ListBullet"/>
      </w:pPr>
      <w:r>
        <w:t>Country-as-onboarding-pivot. Country is selected at sign-up and is never re-asked. The chosen code seeds every downstream feature, so the flow only asks for what it actually uses.</w:t>
      </w:r>
    </w:p>
    <w:p>
      <w:pPr>
        <w:pStyle w:val="ListBullet"/>
      </w:pPr>
      <w:r>
        <w:t>Controlled form lifted to parent. LoginPage owns all form state and passes setters down to the presentational SignInForm and SignUpForm, keeping the form components purely declarative and testable.</w:t>
      </w:r>
    </w:p>
    <w:p>
      <w:pPr>
        <w:pStyle w:val="ListBullet"/>
      </w:pPr>
      <w:r>
        <w:t>Client-side validation. Sign-up executes a regex email check (/^[^s@]+@[^\s@]+\.[^\s@]+$/), a 6-character password minimum, a matching confirmation check, and a country-required check before submission. Sign-in executes an emptiness check on both fields.</w:t>
      </w:r>
    </w:p>
    <w:p>
      <w:pPr>
        <w:pStyle w:val="Heading2"/>
      </w:pPr>
      <w:r>
        <w:t>4.3.3 Security within this module</w:t>
      </w:r>
    </w:p>
    <w:p>
      <w:r>
        <w:rPr>
          <w:b w:val="0"/>
          <w:i w:val="0"/>
        </w:rPr>
        <w:t>Three measures operate inside the auth modal. First, password fields are typed as type="password" with autoComplete="current-password" / "new-password" so the browser password manager is invoked correctly and the value is masked on screen. Second, an explicit show/hide toggle is the only way to reveal the typed password; no copy action is provided. Third, on successful sign-up the credential record is written to localStorage under agriflow_credentials and is deliberately excluded from the Settings backup/export routine (which iterates DB_KEYS only — see Section 4.14), so the plaintext password cannot leave the device through that path.</w:t>
      </w:r>
    </w:p>
    <w:p>
      <w:pPr>
        <w:pStyle w:val="Heading2"/>
      </w:pPr>
      <w:r>
        <w:t>4.3.4 Screenshots</w:t>
      </w:r>
    </w:p>
    <w:p>
      <w:pPr>
        <w:jc w:val="both"/>
      </w:pPr>
      <w:r>
        <w:rPr>
          <w:b w:val="0"/>
          <w:i w:val="0"/>
        </w:rPr>
        <w:t>The dual-mode auth modal is shown in Figure 4.2 below. Note the toggle between Sign In and Create Account, the country selector with the searchable flag list, the farm-type chips, and the password show/hide eye icon.</w:t>
      </w:r>
    </w:p>
    <w:tbl>
      <w:tblPr>
        <w:tblStyle w:val="TableGrid"/>
        <w:tblW w:type="auto" w:w="0"/>
        <w:tblLook w:firstColumn="1" w:firstRow="1" w:lastColumn="0" w:lastRow="0" w:noHBand="0" w:noVBand="1" w:val="04A0"/>
      </w:tblPr>
      <w:tblGrid>
        <w:gridCol w:w="9360"/>
      </w:tblGrid>
      <w:tr>
        <w:tc>
          <w:tcPr>
            <w:tcW w:type="dxa" w:w="9360"/>
            <w:vAlign w:val="center"/>
          </w:tcPr>
          <w:p>
            <w:pPr>
              <w:jc w:val="center"/>
            </w:pPr>
            <w:r>
              <w:rPr>
                <w:i/>
                <w:color w:val="888888"/>
                <w:sz w:val="20"/>
              </w:rPr>
              <w:t>[Screenshot: Auth modal in sign-up mode with country selector visible]</w:t>
            </w:r>
          </w:p>
        </w:tc>
      </w:tr>
    </w:tbl>
    <w:p>
      <w:pPr>
        <w:jc w:val="center"/>
      </w:pPr>
      <w:r>
        <w:rPr>
          <w:i/>
          <w:color w:val="333333"/>
          <w:sz w:val="20"/>
        </w:rPr>
        <w:t>Figure 4.2  The AgriFlow authentication modal in sign-up mode, showing the country selector, farm-type chips and password show/hide toggle.</w:t>
      </w:r>
    </w:p>
    <w:p/>
    <w:p>
      <w:r>
        <w:rPr>
          <w:b w:val="0"/>
          <w:i w:val="0"/>
        </w:rPr>
        <w:t>Once authenticated, the user lands on the Dashboard (Figure 4.1)estado and the global header reflects the signed-in profile.</w:t>
      </w:r>
    </w:p>
    <w:p>
      <w:pPr>
        <w:pStyle w:val="Heading2"/>
      </w:pPr>
      <w:r>
        <w:t>4.3.5 Appendix references</w:t>
      </w:r>
    </w:p>
    <w:p>
      <w:r>
        <w:rPr>
          <w:b w:val="0"/>
          <w:i w:val="0"/>
        </w:rPr>
        <w:t>LoginPage.tsx (Appendix B.1), SignInForm.tsx (Appendix B.2), SignUpForm.tsx (Appendix B.3), CountrySelector.tsx (Appendix B.4), GetStarted.tsx (Appendix B.5), and the login/signIn/logout callbacks in FarmContext.tsx (Appendix B.6).</w:t>
      </w:r>
    </w:p>
    <w:p>
      <w:pPr>
        <w:pStyle w:val="Heading1"/>
      </w:pPr>
      <w:r>
        <w:t>4.4 Module 3 — Dashboard (Command Center)</w:t>
      </w:r>
    </w:p>
    <w:p>
      <w:pPr>
        <w:pStyle w:val="Heading2"/>
      </w:pPr>
      <w:r>
        <w:t>4.4.1 Purpose and user needs addressed</w:t>
      </w:r>
    </w:p>
    <w:p>
      <w:r>
        <w:rPr>
          <w:b w:val="0"/>
          <w:i w:val="0"/>
        </w:rPr>
        <w:t>The Dashboard is the default home view. It meets FR-05 (the farmer sees the current state of the farm at a glance) and FR-06 (the farmer receives AI-curated intelligence and task suggestions for today). It renders a weather card with a climate-risk badge, five KPI cards (Active Crops, Livestock, Market Trend, Tasks, Farm Profit), an AI live-intelligence card fed by getLiveAgriIntel, an opt-in AI-generated daily task button fed by generateDailyTasks, an alerts panel and a task list.</w:t>
      </w:r>
    </w:p>
    <w:p>
      <w:pPr>
        <w:pStyle w:val="Heading2"/>
      </w:pPr>
      <w:r>
        <w:t>4.4.2 Key technical decisions</w:t>
      </w:r>
    </w:p>
    <w:p>
      <w:pPr>
        <w:pStyle w:val="ListBullet"/>
      </w:pPr>
      <w:r>
        <w:t>Country context derived once and reused. A CountryContext object is built from userProfile in a useMemo and passed to every AI call in the dashboard, so the AI prompt is localised to the farmer's climate zone, currency and language.</w:t>
      </w:r>
    </w:p>
    <w:p>
      <w:pPr>
        <w:pStyle w:val="ListBullet"/>
      </w:pPr>
      <w:r>
        <w:t>Derived metrics computed inline. healthyCrops, attentionCrops, totalLivestockCount, pendingTasks and farmProfit are computed every render from cropExpenses and cropIncomes rather than stored — a deliberate choice to keep a single source of truth (the financial ledger) and avoid derived-state drift.</w:t>
      </w:r>
    </w:p>
    <w:p>
      <w:pPr>
        <w:pStyle w:val="ListBullet"/>
      </w:pPr>
      <w:r>
        <w:t>Resilient AI rendering. AI calls are wrapped in try/catch; on failure the card stays silent or shows the fallback content. No dashboard crash is permitted from an AI failure.</w:t>
      </w:r>
    </w:p>
    <w:p>
      <w:pPr>
        <w:pStyle w:val="Heading2"/>
      </w:pPr>
      <w:r>
        <w:t>4.4.3 Security within this module</w:t>
      </w:r>
    </w:p>
    <w:p>
      <w:r>
        <w:rPr>
          <w:b w:val="0"/>
          <w:i w:val="0"/>
        </w:rPr>
        <w:t>The Dashboard consumes the AI provider through the geminiService facade, never directly. The facade in services/geminiService.ts delegates to the active provider selected by createProvider(), which means the dashboard code carries no knowledge of API keys or endpoints. If no provider is configured, the dashboard silently renders the FALLBACK_INTEL and FALLBACK_TASKS constants from services/ai/shared.ts. This pattern means a leaked screenshot of the dashboard cannot reveal which provider is in use, and a change of provider requires no dashboard code change.</w:t>
      </w:r>
    </w:p>
    <w:p>
      <w:pPr>
        <w:pStyle w:val="Heading2"/>
      </w:pPr>
      <w:r>
        <w:t>4.4.4 Screenshots</w:t>
      </w:r>
    </w:p>
    <w:p>
      <w:pPr>
        <w:jc w:val="both"/>
      </w:pPr>
      <w:r>
        <w:rPr>
          <w:b w:val="0"/>
          <w:i w:val="0"/>
        </w:rPr>
        <w:t>Figure 4.3 shows the populated Dashboard with the weather card, the five KPI cards, and the AI live-intel card freshly populated. Note the climate-risk badge coloured by severity and the simulated/live pill on the intel card indicating whether a Gemini key is present.</w:t>
      </w:r>
    </w:p>
    <w:tbl>
      <w:tblPr>
        <w:tblStyle w:val="TableGrid"/>
        <w:tblW w:type="auto" w:w="0"/>
        <w:tblLook w:firstColumn="1" w:firstRow="1" w:lastColumn="0" w:lastRow="0" w:noHBand="0" w:noVBand="1" w:val="04A0"/>
      </w:tblPr>
      <w:tblGrid>
        <w:gridCol w:w="9360"/>
      </w:tblGrid>
      <w:tr>
        <w:tc>
          <w:tcPr>
            <w:tcW w:type="dxa" w:w="9360"/>
            <w:vAlign w:val="center"/>
          </w:tcPr>
          <w:p>
            <w:pPr>
              <w:jc w:val="center"/>
            </w:pPr>
            <w:r>
              <w:rPr>
                <w:i/>
                <w:color w:val="888888"/>
                <w:sz w:val="20"/>
              </w:rPr>
              <w:t>[Screenshot: Dashboard with weather, KPIs, AI live intel and alert panel]</w:t>
            </w:r>
          </w:p>
        </w:tc>
      </w:tr>
    </w:tbl>
    <w:p>
      <w:pPr>
        <w:jc w:val="center"/>
      </w:pPr>
      <w:r>
        <w:rPr>
          <w:i/>
          <w:color w:val="333333"/>
          <w:sz w:val="20"/>
        </w:rPr>
        <w:t>Figure 4.3  The AgriFlow Dashboard showing weather, five KPI cards, AI-generated live intelligence and an alerts panel.</w:t>
      </w:r>
    </w:p>
    <w:p/>
    <w:p>
      <w:pPr>
        <w:pStyle w:val="Heading2"/>
      </w:pPr>
      <w:r>
        <w:t>4.4.5 Appendix references</w:t>
      </w:r>
    </w:p>
    <w:p>
      <w:r>
        <w:rPr>
          <w:b w:val="0"/>
          <w:i w:val="0"/>
        </w:rPr>
        <w:t>Dashboard.tsx (Appendix C.1). Full file length ≈ 482 LOC.</w:t>
      </w:r>
    </w:p>
    <w:p>
      <w:pPr>
        <w:pStyle w:val="Heading1"/>
      </w:pPr>
      <w:r>
        <w:t>4.5 Module 4 — Crop Manager</w:t>
      </w:r>
    </w:p>
    <w:p>
      <w:pPr>
        <w:pStyle w:val="Heading2"/>
      </w:pPr>
      <w:r>
        <w:t>4.5.1 Purpose and user needs addressed</w:t>
      </w:r>
    </w:p>
    <w:p>
      <w:r>
        <w:rPr>
          <w:b w:val="0"/>
          <w:i w:val="0"/>
        </w:rPr>
        <w:t>The Crop Manager meets FR-07 through FR-12: the farmer can register, edit and delete crop plots with image, variety, planting / harvest dates, status, area, soil health, water efficiency and biodiversity score; can attach an activity log to any plot; can scan a photo of a sick plant and receive an AI diagnosis; and can track per-plot expenses and incomes against a computed profit. It is the single richest module and is decomposed across the components/crops/ subfolder.</w:t>
      </w:r>
    </w:p>
    <w:p>
      <w:pPr>
        <w:pStyle w:val="Heading2"/>
      </w:pPr>
      <w:r>
        <w:t>4.5.2 Key technical decisions</w:t>
      </w:r>
    </w:p>
    <w:p>
      <w:pPr>
        <w:pStyle w:val="ListBullet"/>
      </w:pPr>
      <w:r>
        <w:t>Proactive suggestions engine. A useEffect walks the crops list every render and surfaces two kinds of suggestion: HARVEST (when harvestDate is within seven days of today) and HEALTH (when a Healthy crop has a recent LogEntry containing pest/disease/wilt keywords or a Treatment-type entry). The farmer can confirm (which auto-updates status) or dismiss.</w:t>
      </w:r>
    </w:p>
    <w:p>
      <w:pPr>
        <w:pStyle w:val="ListBullet"/>
      </w:pPr>
      <w:r>
        <w:t>Coupled delete cascade. deleteCrop fires CropService.delete, FinancialService.deleteExpensesByCrop and FinancialService.deleteIncomesByCrop in parallel so orphan financial records can never survive a deleted plot.</w:t>
      </w:r>
    </w:p>
    <w:p>
      <w:pPr>
        <w:pStyle w:val="ListBullet"/>
      </w:pPr>
      <w:r>
        <w:t>AI scanner via FileReader. The CropScanner accepts an image file, reads it as a data URL, extracts the base64 payload and forwards it to analyzeCropImage(base64Image, scanContext, countryCtx). No live camera getUserMedia call is used (see Section 4.1.1 divergence note).</w:t>
      </w:r>
    </w:p>
    <w:p>
      <w:pPr>
        <w:pStyle w:val="ListBullet"/>
      </w:pPr>
      <w:r>
        <w:t>Regenerative first-class fields. Soil health, water efficiency and a 0–100 biodiversity score are first-class fields on every crop, signalling the app's regenerative-agriculture thesis throughout the UI.</w:t>
      </w:r>
    </w:p>
    <w:p>
      <w:pPr>
        <w:pStyle w:val="ListBullet"/>
      </w:pPr>
      <w:r>
        <w:t>Per-plot P&amp;L modal (CropFinancialsModal). Expenses and incomes are CRUD-managed per plot using EXPENSE_CATEGORIES (Seeds, Fertilizer, Labor, Irrigation, Equipment, Pesticide, Transport, Other) and INCOME_TYPES (Harvest Sale, Subsidy, Insurance Payout, Processing, Other); profit is derived as totalIncome − totalExpenses in a useMemo and feeds the Dashboard's farm profit KPI.</w:t>
      </w:r>
    </w:p>
    <w:p>
      <w:pPr>
        <w:pStyle w:val="Heading2"/>
      </w:pPr>
      <w:r>
        <w:t>4.5.3 Security within this module</w:t>
      </w:r>
    </w:p>
    <w:p>
      <w:r>
        <w:rPr>
          <w:b w:val="0"/>
          <w:i w:val="0"/>
        </w:rPr>
        <w:t>Three security measures operate inside the Crop Manager. First, user-supplied image bytes never reach an executable context: the data URL is set as the src of an &lt;img&gt; element (rendered by React) and is passed verbatim to the vision API; no innerHTML, no eval, no dangerouslySetInnerHTML is anywhere in the module. Second, image onError handlers fall back to a curated Unsplash URL — they never rewrite src to a user-controlled value, so an attacker cannot use the broken-image path to inject a new resource. Third, the financial ledger inputs are validated on the service side (amount coerced with Number(amount) || 0 in persistence.ts to defend against non-numeric imports), and a deleted plot's financial records are cascade-purged in the same transaction, preventing data-residue attacks.</w:t>
      </w:r>
    </w:p>
    <w:p>
      <w:pPr>
        <w:pStyle w:val="Heading2"/>
      </w:pPr>
      <w:r>
        <w:t>4.5.4 Screenshots</w:t>
      </w:r>
    </w:p>
    <w:p>
      <w:pPr>
        <w:jc w:val="both"/>
      </w:pPr>
      <w:r>
        <w:rPr>
          <w:b w:val="0"/>
          <w:i w:val="0"/>
        </w:rPr>
        <w:t>Figure 4.4 shows the Crop Manager grid with the proactive harvest suggestion banner on a Maize plot. Note the regenerative indicators (Soil, Water, Biodiversity). Figure 4.5 shows the AI Crop Scanner mid-diagnosis: the uploaded image, the simulated/live pill, and the diagnosis text with actionable recommendations.</w:t>
      </w:r>
    </w:p>
    <w:tbl>
      <w:tblPr>
        <w:tblStyle w:val="TableGrid"/>
        <w:tblW w:type="auto" w:w="0"/>
        <w:tblLook w:firstColumn="1" w:firstRow="1" w:lastColumn="0" w:lastRow="0" w:noHBand="0" w:noVBand="1" w:val="04A0"/>
      </w:tblPr>
      <w:tblGrid>
        <w:gridCol w:w="9360"/>
      </w:tblGrid>
      <w:tr>
        <w:tc>
          <w:tcPr>
            <w:tcW w:type="dxa" w:w="9360"/>
            <w:vAlign w:val="center"/>
          </w:tcPr>
          <w:p>
            <w:pPr>
              <w:jc w:val="center"/>
            </w:pPr>
            <w:r>
              <w:rPr>
                <w:i/>
                <w:color w:val="888888"/>
                <w:sz w:val="20"/>
              </w:rPr>
              <w:t>[Screenshot: Crop Manager grid with proactive harvest suggestion]</w:t>
            </w:r>
          </w:p>
        </w:tc>
      </w:tr>
    </w:tbl>
    <w:p>
      <w:pPr>
        <w:jc w:val="center"/>
      </w:pPr>
      <w:r>
        <w:rPr>
          <w:i/>
          <w:color w:val="333333"/>
          <w:sz w:val="20"/>
        </w:rPr>
        <w:t>Figure 4.4  The Crop Manager grid showing plot cards, status chips, regenerative indicators and a proactive harvest suggestion banner.</w:t>
      </w:r>
    </w:p>
    <w:p/>
    <w:tbl>
      <w:tblPr>
        <w:tblStyle w:val="TableGrid"/>
        <w:tblW w:type="auto" w:w="0"/>
        <w:tblLook w:firstColumn="1" w:firstRow="1" w:lastColumn="0" w:lastRow="0" w:noHBand="0" w:noVBand="1" w:val="04A0"/>
      </w:tblPr>
      <w:tblGrid>
        <w:gridCol w:w="9360"/>
      </w:tblGrid>
      <w:tr>
        <w:tc>
          <w:tcPr>
            <w:tcW w:type="dxa" w:w="9360"/>
            <w:vAlign w:val="center"/>
          </w:tcPr>
          <w:p>
            <w:pPr>
              <w:jc w:val="center"/>
            </w:pPr>
            <w:r>
              <w:rPr>
                <w:i/>
                <w:color w:val="888888"/>
                <w:sz w:val="20"/>
              </w:rPr>
              <w:t>[Screenshot: AI crop scanner returning a diagnosis for an uploaded photo]</w:t>
            </w:r>
          </w:p>
        </w:tc>
      </w:tr>
    </w:tbl>
    <w:p>
      <w:pPr>
        <w:jc w:val="center"/>
      </w:pPr>
      <w:r>
        <w:rPr>
          <w:i/>
          <w:color w:val="333333"/>
          <w:sz w:val="20"/>
        </w:rPr>
        <w:t>Figure 4.5  The AI Crop Scanner with an uploaded maize photo and a structured diagnosis including indicators and a recommendation.</w:t>
      </w:r>
    </w:p>
    <w:p/>
    <w:p>
      <w:pPr>
        <w:pStyle w:val="Heading2"/>
      </w:pPr>
      <w:r>
        <w:t>4.5.5 Appendix references</w:t>
      </w:r>
    </w:p>
    <w:p>
      <w:r>
        <w:rPr>
          <w:b w:val="0"/>
          <w:i w:val="0"/>
        </w:rPr>
        <w:t>CropManager.tsx (Appendix D.1), CropCard.tsx (D.2), CropForm.tsx (D.3), CropScanner.tsx (D.4), CropLogModal.tsx (D.5), CropFinancialsModal.tsx (D.6), CropSuggestion.tsx (D.7), cropTemplates.ts (D.8), getCropImage.ts (D.9).</w:t>
      </w:r>
    </w:p>
    <w:p>
      <w:pPr>
        <w:pStyle w:val="Heading1"/>
      </w:pPr>
      <w:r>
        <w:t>4.6 Module 5 — Livestock Manager</w:t>
      </w:r>
    </w:p>
    <w:p>
      <w:pPr>
        <w:pStyle w:val="Heading2"/>
      </w:pPr>
      <w:r>
        <w:t>4.6.1 Purpose and user needs addressed</w:t>
      </w:r>
    </w:p>
    <w:p>
      <w:r>
        <w:rPr>
          <w:b w:val="0"/>
          <w:i w:val="0"/>
        </w:rPr>
        <w:t>The Livestock Manager meets FR-13 through FR-17. The farmer registers herds and flocks of Cattle, Goat, Sheep, Chicken, Pig or Other; records count, status (Healthy, Sick, Quarantined, Lactating), grazing type (Rotational, Free Range, Feedlot) and notes; attaches a per-animal health record timeline; and can scan a photo of an animal for an AI health diagnosis.</w:t>
      </w:r>
    </w:p>
    <w:p>
      <w:pPr>
        <w:pStyle w:val="Heading2"/>
      </w:pPr>
      <w:r>
        <w:t>4.6.2 Key technical decisions</w:t>
      </w:r>
    </w:p>
    <w:p>
      <w:pPr>
        <w:pStyle w:val="ListBullet"/>
      </w:pPr>
      <w:r>
        <w:t>Inline forms. Unlike the Crop Manager, all add/edit/record/scanner UIs live inside the single 439-LOC file. This trades file-count simplicity for size and was chosen because the livestock model is significantly smaller than the crop model (fewer first-class fields, no financial ledger).</w:t>
      </w:r>
    </w:p>
    <w:p>
      <w:pPr>
        <w:pStyle w:val="ListBullet"/>
      </w:pPr>
      <w:r>
        <w:t>Context-aware default images. getLivestockImage(species) returns a curated Unsplash URL per species and re-fires on species change so the default thumbnail always matches the selected animal.</w:t>
      </w:r>
    </w:p>
    <w:p>
      <w:pPr>
        <w:pStyle w:val="ListBullet"/>
      </w:pPr>
      <w:r>
        <w:t>Reuses the crop scanner engine. performScan calls analyzeCropImage with a livestock-skinned prompt ('LIVESTOCK HEALTH ANALYSIS: … Check for signs of disease, injury, or malnutrition.'). One vision endpoint serves both modules, halving the AI surface area.</w:t>
      </w:r>
    </w:p>
    <w:p>
      <w:pPr>
        <w:pStyle w:val="ListBullet"/>
      </w:pPr>
      <w:r>
        <w:t>Empty-state parity with crop module. A Start Your Season banner with loadSampleData() injects three sample herds so the first-time user sees the same rich initial state on both sides of the farm.</w:t>
      </w:r>
    </w:p>
    <w:p>
      <w:pPr>
        <w:pStyle w:val="Heading2"/>
      </w:pPr>
      <w:r>
        <w:t>4.6.3 Security within this module</w:t>
      </w:r>
    </w:p>
    <w:p>
      <w:r>
        <w:rPr>
          <w:b w:val="0"/>
          <w:i w:val="0"/>
        </w:rPr>
        <w:t>Same pattern as the Crop Manager: image bytes are passed as a data URL to an inline &lt;img&gt;; no innerHTML or eval is used; onError falls back to a curated static URL. The StatusColor classifier produces Tailwind class names from a closed string union ('Healthy' | 'Sick' | 'Quarantined' | 'Lactating') so injected status strings cannot become arbitrary class names.</w:t>
      </w:r>
    </w:p>
    <w:p>
      <w:pPr>
        <w:pStyle w:val="Heading2"/>
      </w:pPr>
      <w:r>
        <w:t>4.6.4 Screenshots</w:t>
      </w:r>
    </w:p>
    <w:p>
      <w:pPr>
        <w:jc w:val="both"/>
      </w:pPr>
      <w:r>
        <w:rPr>
          <w:b w:val="0"/>
          <w:i w:val="0"/>
        </w:rPr>
        <w:t>Figure 4.6 shows the Livestock Manager grid. Note the StatusColor chip palette, the grazing-type badge on each card, and the per-animal Records link.</w:t>
      </w:r>
    </w:p>
    <w:tbl>
      <w:tblPr>
        <w:tblStyle w:val="TableGrid"/>
        <w:tblW w:type="auto" w:w="0"/>
        <w:tblLook w:firstColumn="1" w:firstRow="1" w:lastColumn="0" w:lastRow="0" w:noHBand="0" w:noVBand="1" w:val="04A0"/>
      </w:tblPr>
      <w:tblGrid>
        <w:gridCol w:w="9360"/>
      </w:tblGrid>
      <w:tr>
        <w:tc>
          <w:tcPr>
            <w:tcW w:type="dxa" w:w="9360"/>
            <w:vAlign w:val="center"/>
          </w:tcPr>
          <w:p>
            <w:pPr>
              <w:jc w:val="center"/>
            </w:pPr>
            <w:r>
              <w:rPr>
                <w:i/>
                <w:color w:val="888888"/>
                <w:sz w:val="20"/>
              </w:rPr>
              <w:t>[Screenshot: Livestock Manager showing herd cards with status and grazing type]</w:t>
            </w:r>
          </w:p>
        </w:tc>
      </w:tr>
    </w:tbl>
    <w:p>
      <w:pPr>
        <w:jc w:val="center"/>
      </w:pPr>
      <w:r>
        <w:rPr>
          <w:i/>
          <w:color w:val="333333"/>
          <w:sz w:val="20"/>
        </w:rPr>
        <w:t>Figure 4.6  The Livestock Manager showing species-grouped cards with health status chips and grazing-type badges.</w:t>
      </w:r>
    </w:p>
    <w:p/>
    <w:p>
      <w:pPr>
        <w:pStyle w:val="Heading2"/>
      </w:pPr>
      <w:r>
        <w:t>4.6.5 Appendix references</w:t>
      </w:r>
    </w:p>
    <w:p>
      <w:r>
        <w:rPr>
          <w:b w:val="0"/>
          <w:i w:val="0"/>
        </w:rPr>
        <w:t>LivestockManager.tsx (Appendix E.1). Full file length ≈ 439 LOC.</w:t>
      </w:r>
    </w:p>
    <w:p>
      <w:pPr>
        <w:pStyle w:val="Heading1"/>
      </w:pPr>
      <w:r>
        <w:t>4.7 Module 6 — Market Analytics</w:t>
      </w:r>
    </w:p>
    <w:p>
      <w:pPr>
        <w:pStyle w:val="Heading2"/>
      </w:pPr>
      <w:r>
        <w:t>4.7.1 Purpose and user needs addressed</w:t>
      </w:r>
    </w:p>
    <w:p>
      <w:r>
        <w:rPr>
          <w:b w:val="0"/>
          <w:i w:val="0"/>
        </w:rPr>
        <w:t>Meets FR-18 (commodity price discovery) and FR-19 (projected-yield calculator). The farmer can pick a commodity from a live-simulated ticker, view a 1W / 1M / 3M price chart, refresh prices on demand, and see a long-term 2020–2026 yield-vs-cost chart whose final year is dynamically overwritten with the user's projected revenue and cost computed from their actual crop portfolio.</w:t>
      </w:r>
    </w:p>
    <w:p>
      <w:pPr>
        <w:pStyle w:val="Heading2"/>
      </w:pPr>
      <w:r>
        <w:t>4.7.2 Key technical decisions</w:t>
      </w:r>
    </w:p>
    <w:p>
      <w:pPr>
        <w:pStyle w:val="ListBullet"/>
      </w:pPr>
      <w:r>
        <w:t>Deep theme integration. Recharts colors (axisColor, gridColor, tooltipBg, chartAccent) are recomputed from the theme state on every render, so the charts read correctly in light, dark and high-contrast modes — uncommon care for full chart theming.</w:t>
      </w:r>
    </w:p>
    <w:p>
      <w:pPr>
        <w:pStyle w:val="ListBullet"/>
      </w:pPr>
      <w:r>
        <w:t>Client-side synthetic price history. Because there is no market API in this iteration, the 1W / 1M / 3M series is synthesised by walking the current price backward with ±2% daily volatility plus a moving-average line; the Refresh button calls MarketService.refreshPrices() which perturbs the live values.</w:t>
      </w:r>
    </w:p>
    <w:p>
      <w:pPr>
        <w:pStyle w:val="ListBullet"/>
      </w:pPr>
      <w:r>
        <w:t>Live cost-benefit per portfolio. financialData iterates the user's actual crops, looks up matching marketPrices, calls CropService.calculateProjectedYield(crop, marketPrice) (a heuristic factoring soilHealth and waterEfficiency modifiers), sums projected revenue and applies per-crop cost-per-acre estimates. This is genuine cross-module integration: crops + market + a built-in agronomy calculator.</w:t>
      </w:r>
    </w:p>
    <w:p>
      <w:pPr>
        <w:pStyle w:val="Heading2"/>
      </w:pPr>
      <w:r>
        <w:t>4.7.3 Security within this module</w:t>
      </w:r>
    </w:p>
    <w:p>
      <w:r>
        <w:rPr>
          <w:b w:val="0"/>
          <w:i w:val="0"/>
        </w:rPr>
        <w:t>No user-supplied string reaches the chart engine except the names of existing entities already persisted through the validated persistence layer. The Refresh button is rate-neutralised by the 15-minute response cache shared across the AI layer; price perturbation is fully client-side numeric.</w:t>
      </w:r>
    </w:p>
    <w:p>
      <w:pPr>
        <w:pStyle w:val="Heading2"/>
      </w:pPr>
      <w:r>
        <w:t>4.7.4 Screenshots</w:t>
      </w:r>
    </w:p>
    <w:p>
      <w:pPr>
        <w:jc w:val="both"/>
      </w:pPr>
      <w:r>
        <w:rPr>
          <w:b w:val="0"/>
          <w:i w:val="0"/>
        </w:rPr>
        <w:t>Figure 4.7 shows the Market Analytics view with the ticker strip on top and the interactive price chart below. Note the 1W / 1M / 3M toggle and the theme-aware axis colours. Figure 4.8 shows the long-term yield-vs-cost combined chart with the user's projected values overwriting the 2026 bar.</w:t>
      </w:r>
    </w:p>
    <w:tbl>
      <w:tblPr>
        <w:tblStyle w:val="TableGrid"/>
        <w:tblW w:type="auto" w:w="0"/>
        <w:tblLook w:firstColumn="1" w:firstRow="1" w:lastColumn="0" w:lastRow="0" w:noHBand="0" w:noVBand="1" w:val="04A0"/>
      </w:tblPr>
      <w:tblGrid>
        <w:gridCol w:w="9360"/>
      </w:tblGrid>
      <w:tr>
        <w:tc>
          <w:tcPr>
            <w:tcW w:type="dxa" w:w="9360"/>
            <w:vAlign w:val="center"/>
          </w:tcPr>
          <w:p>
            <w:pPr>
              <w:jc w:val="center"/>
            </w:pPr>
            <w:r>
              <w:rPr>
                <w:i/>
                <w:color w:val="888888"/>
                <w:sz w:val="20"/>
              </w:rPr>
              <w:t>[Screenshot: Market Analytics with ticker strip and price chart]</w:t>
            </w:r>
          </w:p>
        </w:tc>
      </w:tr>
    </w:tbl>
    <w:p>
      <w:pPr>
        <w:jc w:val="center"/>
      </w:pPr>
      <w:r>
        <w:rPr>
          <w:i/>
          <w:color w:val="333333"/>
          <w:sz w:val="20"/>
        </w:rPr>
        <w:t>Figure 4.7  The Market Analytics view showing the commodity ticker strip and an interactive price chart with 1W / 1M / 3M range toggle.</w:t>
      </w:r>
    </w:p>
    <w:p/>
    <w:tbl>
      <w:tblPr>
        <w:tblStyle w:val="TableGrid"/>
        <w:tblW w:type="auto" w:w="0"/>
        <w:tblLook w:firstColumn="1" w:firstRow="1" w:lastColumn="0" w:lastRow="0" w:noHBand="0" w:noVBand="1" w:val="04A0"/>
      </w:tblPr>
      <w:tblGrid>
        <w:gridCol w:w="9360"/>
      </w:tblGrid>
      <w:tr>
        <w:tc>
          <w:tcPr>
            <w:tcW w:type="dxa" w:w="9360"/>
            <w:vAlign w:val="center"/>
          </w:tcPr>
          <w:p>
            <w:pPr>
              <w:jc w:val="center"/>
            </w:pPr>
            <w:r>
              <w:rPr>
                <w:i/>
                <w:color w:val="888888"/>
                <w:sz w:val="20"/>
              </w:rPr>
              <w:t>[Screenshot: Market Analytics portfolio cost-benefit combined chart]</w:t>
            </w:r>
          </w:p>
        </w:tc>
      </w:tr>
    </w:tbl>
    <w:p>
      <w:pPr>
        <w:jc w:val="center"/>
      </w:pPr>
      <w:r>
        <w:rPr>
          <w:i/>
          <w:color w:val="333333"/>
          <w:sz w:val="20"/>
        </w:rPr>
        <w:t>Figure 4.8  The combined yield-vs-cost chart whose final year is dynamically overwritten with the user's portfolio-projected revenue and cost.</w:t>
      </w:r>
    </w:p>
    <w:p/>
    <w:p>
      <w:pPr>
        <w:pStyle w:val="Heading2"/>
      </w:pPr>
      <w:r>
        <w:t>4.7.5 Appendix references</w:t>
      </w:r>
    </w:p>
    <w:p>
      <w:r>
        <w:rPr>
          <w:b w:val="0"/>
          <w:i w:val="0"/>
        </w:rPr>
        <w:t>MarketAnalytics.tsx (Appendix F.1). Full file length ≈ 378 LOC.</w:t>
      </w:r>
    </w:p>
    <w:p>
      <w:pPr>
        <w:pStyle w:val="Heading1"/>
      </w:pPr>
      <w:r>
        <w:t>4.8 Module 7 — News Hub</w:t>
      </w:r>
    </w:p>
    <w:p>
      <w:pPr>
        <w:pStyle w:val="Heading2"/>
      </w:pPr>
      <w:r>
        <w:t>4.8.1 Purpose and user needs addressed</w:t>
      </w:r>
    </w:p>
    <w:p>
      <w:r>
        <w:rPr>
          <w:b w:val="0"/>
          <w:i w:val="0"/>
        </w:rPr>
        <w:t>Meets FR-20 (the farmer receives curated agricultural news grounded in current web sources). The News Hub renders a featured article plus a grid; the source may be live AI-curated news from fetchAgNews (Gemini with Google Search grounding) or a built-in West-Africa-focused fallback set. A Simulated badge honestly informs the user of which source is active.</w:t>
      </w:r>
    </w:p>
    <w:p>
      <w:pPr>
        <w:pStyle w:val="Heading2"/>
      </w:pPr>
      <w:r>
        <w:t>4.8.2 Key technical decisions</w:t>
      </w:r>
    </w:p>
    <w:p>
      <w:pPr>
        <w:pStyle w:val="ListBullet"/>
      </w:pPr>
      <w:r>
        <w:t>Lazy AI fetch on mount. A useEffect pulls refreshNews() only if newsArticles.length === 0, guaranteeing one fetch per session and reusing the AI response cache for any subsequent render.</w:t>
      </w:r>
    </w:p>
    <w:p>
      <w:pPr>
        <w:pStyle w:val="ListBullet"/>
      </w:pPr>
      <w:r>
        <w:t>Honest live/simulated badge. The header reads 'Live Agricultural Feed' if isAIConfigured() else 'Sample Agricultural Feed' with a 'Simulated' pill — no pretence of live data when the API key is absent.</w:t>
      </w:r>
    </w:p>
    <w:p>
      <w:pPr>
        <w:pStyle w:val="ListBullet"/>
      </w:pPr>
      <w:r>
        <w:t>Graceful external link handling. If an AI article carries no usable URL (empty or '#'), handleNewsClick opens a category-mapped authoritative source (AG_NEWS_SOURCES) with 'noopener,noreferrer' — never a dead link and never a tab-opener leak.</w:t>
      </w:r>
    </w:p>
    <w:p>
      <w:pPr>
        <w:pStyle w:val="ListBullet"/>
      </w:pPr>
      <w:r>
        <w:t>Deterministic cover images. AI articles do not return images, so getDeterministicImage(category) maps a category to a fixed Unsplash image, stable per refresh.</w:t>
      </w:r>
    </w:p>
    <w:p>
      <w:pPr>
        <w:pStyle w:val="Heading2"/>
      </w:pPr>
      <w:r>
        <w:t>4.8.3 Security within this module</w:t>
      </w:r>
    </w:p>
    <w:p>
      <w:r>
        <w:rPr>
          <w:b w:val="0"/>
          <w:i w:val="0"/>
        </w:rPr>
        <w:t>All outbound article links are opened with the third argument 'noopener,noreferrer' to prevent the new tab from accessing window.opener — a standard tabnabbing defence. Article URLs are rendered as the href of an &lt;a&gt; element built by React, never inserted as raw HTML, so a malformed url cannot break the DOM. The fallback-source map in NewsHub.tsx is a fixed constant — there is no path by which a user can redirect the news target to an attacker-chosen host.</w:t>
      </w:r>
    </w:p>
    <w:p>
      <w:pPr>
        <w:pStyle w:val="Heading2"/>
      </w:pPr>
      <w:r>
        <w:t>4.8.4 Screenshots</w:t>
      </w:r>
    </w:p>
    <w:p>
      <w:pPr>
        <w:jc w:val="both"/>
      </w:pPr>
      <w:r>
        <w:rPr>
          <w:b w:val="0"/>
          <w:i w:val="0"/>
        </w:rPr>
        <w:t>Figure 4.9 shows the News Hub with the featured article and the grid of secondary articles. Note the Live/Simulated pill in the header and the category colour coding.</w:t>
      </w:r>
    </w:p>
    <w:tbl>
      <w:tblPr>
        <w:tblStyle w:val="TableGrid"/>
        <w:tblW w:type="auto" w:w="0"/>
        <w:tblLook w:firstColumn="1" w:firstRow="1" w:lastColumn="0" w:lastRow="0" w:noHBand="0" w:noVBand="1" w:val="04A0"/>
      </w:tblPr>
      <w:tblGrid>
        <w:gridCol w:w="9360"/>
      </w:tblGrid>
      <w:tr>
        <w:tc>
          <w:tcPr>
            <w:tcW w:type="dxa" w:w="9360"/>
            <w:vAlign w:val="center"/>
          </w:tcPr>
          <w:p>
            <w:pPr>
              <w:jc w:val="center"/>
            </w:pPr>
            <w:r>
              <w:rPr>
                <w:i/>
                <w:color w:val="888888"/>
                <w:sz w:val="20"/>
              </w:rPr>
              <w:t>[Screenshot: News Hub with featured article and category grid]</w:t>
            </w:r>
          </w:p>
        </w:tc>
      </w:tr>
    </w:tbl>
    <w:p>
      <w:pPr>
        <w:jc w:val="center"/>
      </w:pPr>
      <w:r>
        <w:rPr>
          <w:i/>
          <w:color w:val="333333"/>
          <w:sz w:val="20"/>
        </w:rPr>
        <w:t>Figure 4.9  The News Hub showing a featured article above a category-coded article grid; the Live/Simulated pill indicates the active source.</w:t>
      </w:r>
    </w:p>
    <w:p/>
    <w:p>
      <w:pPr>
        <w:pStyle w:val="Heading2"/>
      </w:pPr>
      <w:r>
        <w:t>4.8.5 Appendix references</w:t>
      </w:r>
    </w:p>
    <w:p>
      <w:r>
        <w:rPr>
          <w:b w:val="0"/>
          <w:i w:val="0"/>
        </w:rPr>
        <w:t>NewsHub.tsx (Appendix G.1). Full file length ≈ 216 LOC.</w:t>
      </w:r>
    </w:p>
    <w:p>
      <w:pPr>
        <w:pStyle w:val="Heading1"/>
      </w:pPr>
      <w:r>
        <w:t>4.9 Module 8 — AI Advisor (Chat and Live Voice)</w:t>
      </w:r>
    </w:p>
    <w:p>
      <w:pPr>
        <w:pStyle w:val="Heading2"/>
      </w:pPr>
      <w:r>
        <w:t>4.9.1 Purpose and user needs addressed</w:t>
      </w:r>
    </w:p>
    <w:p>
      <w:r>
        <w:rPr>
          <w:b w:val="0"/>
          <w:i w:val="0"/>
        </w:rPr>
        <w:t>Meets FR-21 (the farmer consults the AI in natural language) and FR-22 (the farmer can attach an image for diagnosis) and FR-23 (the farmer can hold a live voice consultation with the Resilience Engine). The AI Advisor is the largest single feature file (≈575 LOC) because it implements two AI modes in one component: a turn-by-turn text chat with image attach, and a bidirectional live-voice call.</w:t>
      </w:r>
    </w:p>
    <w:p>
      <w:pPr>
        <w:pStyle w:val="Heading2"/>
      </w:pPr>
      <w:r>
        <w:t>4.9.2 Key technical decisions</w:t>
      </w:r>
    </w:p>
    <w:p>
      <w:pPr>
        <w:pStyle w:val="ListBullet"/>
      </w:pPr>
      <w:r>
        <w:t>Custom Web Audio pipeline. The live-voice path constructs a 16 kHz AudioContext, requests the microphone with getUserMedia({audio:{channelCount:1, sampleRate:16000}}), wraps the stream in a ScriptProcessorNode with 4 096-sample frames, converts Float32 → Int16 PCM (floatTo16BitPCM), base64-encodes (arrayBufferToBase64) and pushes via session.sendRealtimeInput. Returned audio is decoded at 24 kHz and scheduled back-to-back via nextStartTimeRef with no gaps or overlap. Active players are tracked in activeSourcesRef so the interrupted event can stop them all.</w:t>
      </w:r>
    </w:p>
    <w:p>
      <w:pPr>
        <w:pStyle w:val="ListBullet"/>
      </w:pPr>
      <w:r>
        <w:t>Volume meter optimised. RMS is sampled every 100 ms with lastVolumeUpdateRef and the inner loop samples every 10th frame for performance.</w:t>
      </w:r>
    </w:p>
    <w:p>
      <w:pPr>
        <w:pStyle w:val="ListBullet"/>
      </w:pPr>
      <w:r>
        <w:t>Session closure hygiene. onclose / onerror / disconnect stop tracks, close the audio context, clear active sources and free refs — deterministic resource release to prevent leaks across long sessions.</w:t>
      </w:r>
    </w:p>
    <w:p>
      <w:pPr>
        <w:pStyle w:val="ListBullet"/>
      </w:pPr>
      <w:r>
        <w:t>Prompt engineering. The system instruction frames the AI as 'AgriFlow's Senior Agricultural Consultant', injects the user's name from userNameRef to avoid stale closures across the long-lived session, and is built centrally by buildSystemInstruction in services/ai/shared.ts so that climate, currency and language are localised from the user's country context.</w:t>
      </w:r>
    </w:p>
    <w:p>
      <w:pPr>
        <w:pStyle w:val="ListBullet"/>
      </w:pPr>
      <w:r>
        <w:t>Demo-mode honesty. The initial model message in the chat history tells the user explicitly whether live AI is active and instructs how to enable it.</w:t>
      </w:r>
    </w:p>
    <w:p>
      <w:pPr>
        <w:pStyle w:val="Heading2"/>
      </w:pPr>
      <w:r>
        <w:t>4.9.3 Security within this module</w:t>
      </w:r>
    </w:p>
    <w:p>
      <w:r>
        <w:rPr>
          <w:b w:val="0"/>
          <w:i w:val="0"/>
        </w:rPr>
        <w:t>The microphone permission is requested only after a user gesture (the Call button) and only after two preflight gates — isAIConfigured() and hasLiveVoice() — have both passed. Failure of either gate produces a toast and never invokes getUserMedia, so an unprovisioned site cannot surprise the user with a microphone prompt. On disconnect, every MediaStreamTrack is stopped, every AudioBufferSourceNode is released, and the AudioContext is closed — no microphone remains captured after the call ends. The audio bytes are processed in memory and never persisted to localStorage; only the rendered text turns of the chat are stored in component state, and even those are not written through the persistence layer.</w:t>
      </w:r>
    </w:p>
    <w:p>
      <w:pPr>
        <w:pStyle w:val="Heading2"/>
      </w:pPr>
      <w:r>
        <w:t>4.9.4 Screenshots</w:t>
      </w:r>
    </w:p>
    <w:p>
      <w:pPr>
        <w:jc w:val="both"/>
      </w:pPr>
      <w:r>
        <w:rPr>
          <w:b w:val="0"/>
          <w:i w:val="0"/>
        </w:rPr>
        <w:t>Figure 4.10 shows the text-chat mode with an image attached and the AI's diagnosis returned. Figure 4.11 shows the live-voice mode with the volume meter pulsing and the call-duration timer visible.</w:t>
      </w:r>
    </w:p>
    <w:tbl>
      <w:tblPr>
        <w:tblStyle w:val="TableGrid"/>
        <w:tblW w:type="auto" w:w="0"/>
        <w:tblLook w:firstColumn="1" w:firstRow="1" w:lastColumn="0" w:lastRow="0" w:noHBand="0" w:noVBand="1" w:val="04A0"/>
      </w:tblPr>
      <w:tblGrid>
        <w:gridCol w:w="9360"/>
      </w:tblGrid>
      <w:tr>
        <w:tc>
          <w:tcPr>
            <w:tcW w:type="dxa" w:w="9360"/>
            <w:vAlign w:val="center"/>
          </w:tcPr>
          <w:p>
            <w:pPr>
              <w:jc w:val="center"/>
            </w:pPr>
            <w:r>
              <w:rPr>
                <w:i/>
                <w:color w:val="888888"/>
                <w:sz w:val="20"/>
              </w:rPr>
              <w:t>[Screenshot: AI Advisor text chat with image attachment and AI response]</w:t>
            </w:r>
          </w:p>
        </w:tc>
      </w:tr>
    </w:tbl>
    <w:p>
      <w:pPr>
        <w:jc w:val="center"/>
      </w:pPr>
      <w:r>
        <w:rPr>
          <w:i/>
          <w:color w:val="333333"/>
          <w:sz w:val="20"/>
        </w:rPr>
        <w:t>Figure 4.10  The AI Advisor in text-chat mode showing a user message with an attached image and the AI's structured diagnosis below it.</w:t>
      </w:r>
    </w:p>
    <w:p/>
    <w:tbl>
      <w:tblPr>
        <w:tblStyle w:val="TableGrid"/>
        <w:tblW w:type="auto" w:w="0"/>
        <w:tblLook w:firstColumn="1" w:firstRow="1" w:lastColumn="0" w:lastRow="0" w:noHBand="0" w:noVBand="1" w:val="04A0"/>
      </w:tblPr>
      <w:tblGrid>
        <w:gridCol w:w="9360"/>
      </w:tblGrid>
      <w:tr>
        <w:tc>
          <w:tcPr>
            <w:tcW w:type="dxa" w:w="9360"/>
            <w:vAlign w:val="center"/>
          </w:tcPr>
          <w:p>
            <w:pPr>
              <w:jc w:val="center"/>
            </w:pPr>
            <w:r>
              <w:rPr>
                <w:i/>
                <w:color w:val="888888"/>
                <w:sz w:val="20"/>
              </w:rPr>
              <w:t>[Screenshot: AI Advisor live voice call with volume meter]</w:t>
            </w:r>
          </w:p>
        </w:tc>
      </w:tr>
    </w:tbl>
    <w:p>
      <w:pPr>
        <w:jc w:val="center"/>
      </w:pPr>
      <w:r>
        <w:rPr>
          <w:i/>
          <w:color w:val="333333"/>
          <w:sz w:val="20"/>
        </w:rPr>
        <w:t>Figure 4.11  The AI Advisor in live-voice mode showing an active call, a pulsing volume meter and the call timer.</w:t>
      </w:r>
    </w:p>
    <w:p/>
    <w:p>
      <w:pPr>
        <w:pStyle w:val="Heading2"/>
      </w:pPr>
      <w:r>
        <w:t>4.9.5 Appendix references</w:t>
      </w:r>
    </w:p>
    <w:p>
      <w:r>
        <w:rPr>
          <w:b w:val="0"/>
          <w:i w:val="0"/>
        </w:rPr>
        <w:t>AIAdvisor.tsx (Appendix H.1). Full file length ≈ 575 LOC.</w:t>
      </w:r>
    </w:p>
    <w:p>
      <w:pPr>
        <w:pStyle w:val="Heading1"/>
      </w:pPr>
      <w:r>
        <w:t>4.10 Module 9 — Resource Calculator</w:t>
      </w:r>
    </w:p>
    <w:p>
      <w:pPr>
        <w:pStyle w:val="Heading2"/>
      </w:pPr>
      <w:r>
        <w:t>4.10.1 Purpose and user needs addressed</w:t>
      </w:r>
    </w:p>
    <w:p>
      <w:r>
        <w:rPr>
          <w:b w:val="0"/>
          <w:i w:val="0"/>
        </w:rPr>
        <w:t>Meets FR-24 (fertilizer planner) and FR-25 (irrigation scheduler). The farmer computes the fertilizer mass from a target-N kg/ha × area ÷ fertilizer-N% formula, or the irrigation litres per day from an ET₀ × Kc ÷ efficiency × area_m² formula. The last result is persisted across sessions.</w:t>
      </w:r>
    </w:p>
    <w:p>
      <w:pPr>
        <w:pStyle w:val="Heading2"/>
      </w:pPr>
      <w:r>
        <w:t>4.10.2 Key technical decisions</w:t>
      </w:r>
    </w:p>
    <w:p>
      <w:pPr>
        <w:pStyle w:val="ListBullet"/>
      </w:pPr>
      <w:r>
        <w:t>Pure client-side agronomy. No AI calls; deterministic formulae only. Fertilizer types: Urea 46%, SOA 21%, Ammonium Nitrate 33%, DAP 18%. Irrigation system efficiencies: Drip 0.90, Sprinkler 0.75, Flood 0.50. Crop factor Kc presets for Maize / Sorghum / Vegetables / Fruit trees.</w:t>
      </w:r>
    </w:p>
    <w:p>
      <w:pPr>
        <w:pStyle w:val="ListBullet"/>
      </w:pPr>
      <w:r>
        <w:t>Area-unit aware. area_m² = areaUnit === 'acres' ? area × 4046.86 : area × 10000. The user's country config (ha vs acres) drives the formula transparently.</w:t>
      </w:r>
    </w:p>
    <w:p>
      <w:pPr>
        <w:pStyle w:val="ListBullet"/>
      </w:pPr>
      <w:r>
        <w:t>Persistent results. Each calculation writes back via saveResourceResult and restores on next session, so the farmer can leave the app and return to the last plan.</w:t>
      </w:r>
    </w:p>
    <w:p>
      <w:pPr>
        <w:pStyle w:val="Heading2"/>
      </w:pPr>
      <w:r>
        <w:t>4.10.3 Security within this module</w:t>
      </w:r>
    </w:p>
    <w:p>
      <w:r>
        <w:rPr>
          <w:b w:val="0"/>
          <w:i w:val="0"/>
        </w:rPr>
        <w:t>No untrusted input reaches a dangerous sink. Numeric inputs are coerced through Number(...) || 0 patterns; non-numeric or missing values cannot produce NaN-driven outputs. The persisted result is a small typed object (ResourceResult) and is validated on read by PersistenceService.</w:t>
      </w:r>
    </w:p>
    <w:p>
      <w:pPr>
        <w:pStyle w:val="Heading2"/>
      </w:pPr>
      <w:r>
        <w:t>4.10.4 Screenshots</w:t>
      </w:r>
    </w:p>
    <w:p>
      <w:pPr>
        <w:jc w:val="both"/>
      </w:pPr>
      <w:r>
        <w:rPr>
          <w:b w:val="0"/>
          <w:i w:val="0"/>
        </w:rPr>
        <w:t>Figure 4.12 shows the Resource Calculator in fertilizer mode with the result card below the inputs. Note the area-unit awareness.</w:t>
      </w:r>
    </w:p>
    <w:tbl>
      <w:tblPr>
        <w:tblStyle w:val="TableGrid"/>
        <w:tblW w:type="auto" w:w="0"/>
        <w:tblLook w:firstColumn="1" w:firstRow="1" w:lastColumn="0" w:lastRow="0" w:noHBand="0" w:noVBand="1" w:val="04A0"/>
      </w:tblPr>
      <w:tblGrid>
        <w:gridCol w:w="9360"/>
      </w:tblGrid>
      <w:tr>
        <w:tc>
          <w:tcPr>
            <w:tcW w:type="dxa" w:w="9360"/>
            <w:vAlign w:val="center"/>
          </w:tcPr>
          <w:p>
            <w:pPr>
              <w:jc w:val="center"/>
            </w:pPr>
            <w:r>
              <w:rPr>
                <w:i/>
                <w:color w:val="888888"/>
                <w:sz w:val="20"/>
              </w:rPr>
              <w:t>[Screenshot: Resource Calculator in fertilizer mode]</w:t>
            </w:r>
          </w:p>
        </w:tc>
      </w:tr>
    </w:tbl>
    <w:p>
      <w:pPr>
        <w:jc w:val="center"/>
      </w:pPr>
      <w:r>
        <w:rPr>
          <w:i/>
          <w:color w:val="333333"/>
          <w:sz w:val="20"/>
        </w:rPr>
        <w:t>Figure 4.12  The Resource Calculator showing a fertilizer target-N calculation with the result card and cost tip below.</w:t>
      </w:r>
    </w:p>
    <w:p/>
    <w:p>
      <w:pPr>
        <w:pStyle w:val="Heading2"/>
      </w:pPr>
      <w:r>
        <w:t>4.10.5 Appendix references</w:t>
      </w:r>
    </w:p>
    <w:p>
      <w:r>
        <w:rPr>
          <w:b w:val="0"/>
          <w:i w:val="0"/>
        </w:rPr>
        <w:t>ResourceCalculator.tsx (Appendix I.1). Full file length ≈ 185 LOC.</w:t>
      </w:r>
    </w:p>
    <w:p>
      <w:pPr>
        <w:pStyle w:val="Heading1"/>
      </w:pPr>
      <w:r>
        <w:t>4.11 Module 10 — Education Hub</w:t>
      </w:r>
    </w:p>
    <w:p>
      <w:pPr>
        <w:pStyle w:val="Heading2"/>
      </w:pPr>
      <w:r>
        <w:t>4.11.1 Purpose and user needs addressed</w:t>
      </w:r>
    </w:p>
    <w:p>
      <w:r>
        <w:rPr>
          <w:b w:val="0"/>
          <w:i w:val="0"/>
        </w:rPr>
        <w:t>Meets FR-26 (the farmer browses structured learning modules), FR-27 (the farmer completes lessons and unlocks the next), and FR-28 (the farmer earns a certificate on module completion). Course library with category filter and search, per-course view with an embedded YouTube player, lesson-by-lesson syllabus with progressive unlock and a Mark Complete action that flips the certificate.</w:t>
      </w:r>
    </w:p>
    <w:p>
      <w:pPr>
        <w:pStyle w:val="Heading2"/>
      </w:pPr>
      <w:r>
        <w:t>4.11.2 Key technical decisions</w:t>
      </w:r>
    </w:p>
    <w:p>
      <w:pPr>
        <w:pStyle w:val="ListBullet"/>
      </w:pPr>
      <w:r>
        <w:t>Click-to-play YouTube. The &lt;iframe&gt; mounts only when isPlaying is set; the thumbnail-with-play-button lazy pattern defers the heavy YouTube iframe until intent, improving initial paint and reducing third-party tracking surface.</w:t>
      </w:r>
    </w:p>
    <w:p>
      <w:pPr>
        <w:pStyle w:val="ListBullet"/>
      </w:pPr>
      <w:r>
        <w:t>Progressive unlock. Lessons are unlocked only after the previous lesson is marked complete (isLocked = i &gt; currentLessonIdx &amp;&amp; !completedLessons.includes(i)), enforcing sequential learning.</w:t>
      </w:r>
    </w:p>
    <w:p>
      <w:pPr>
        <w:pStyle w:val="ListBullet"/>
      </w:pPr>
      <w:r>
        <w:t>Dynamic lesson titles. getLessonTitle(index, total, category) generates category-specific syllabus topics (Regenerative: Soil Microbiology / No-Till Drills…; Economics: Hedging…; Tech: Drone Flight Paths / NDVI…; Resilience: Water Retention…), keeping the curriculum rich without hand-authoring every course.</w:t>
      </w:r>
    </w:p>
    <w:p>
      <w:pPr>
        <w:pStyle w:val="ListBullet"/>
      </w:pPr>
      <w:r>
        <w:t>Progress persistence debounced. completeModule and updateModuleProgress are debounced through the flushModules 100-ms timer pattern in FarmContext so rapid Mark Complete clicks coalesce into one db.saveModules write.</w:t>
      </w:r>
    </w:p>
    <w:p>
      <w:pPr>
        <w:pStyle w:val="Heading2"/>
      </w:pPr>
      <w:r>
        <w:t>4.11.3 Security within this module</w:t>
      </w:r>
    </w:p>
    <w:p>
      <w:r>
        <w:rPr>
          <w:b w:val="0"/>
          <w:i w:val="0"/>
        </w:rPr>
        <w:t>The YouTube iframe is third-party content; click-to-play is the security control as well as the performance control — no third-party scripts run until the farmer explicitly opts in. The videoId is sourced from constants/modules.ts, not from user input; there is no path by which a farmer can inject an arbitrary YouTube ID because the course catalogue is curated.</w:t>
      </w:r>
    </w:p>
    <w:p>
      <w:pPr>
        <w:pStyle w:val="Heading2"/>
      </w:pPr>
      <w:r>
        <w:t>4.11.4 Screenshots</w:t>
      </w:r>
    </w:p>
    <w:p>
      <w:pPr>
        <w:jc w:val="both"/>
      </w:pPr>
      <w:r>
        <w:rPr>
          <w:b w:val="0"/>
          <w:i w:val="0"/>
        </w:rPr>
        <w:t>Figure 4.13 shows the course library with the category filter chips and the search field. Figure 4.14 shows a single course view with the click-to-play thumbnail, the syllabus with locked lessons, and the certificate preview.</w:t>
      </w:r>
    </w:p>
    <w:tbl>
      <w:tblPr>
        <w:tblStyle w:val="TableGrid"/>
        <w:tblW w:type="auto" w:w="0"/>
        <w:tblLook w:firstColumn="1" w:firstRow="1" w:lastColumn="0" w:lastRow="0" w:noHBand="0" w:noVBand="1" w:val="04A0"/>
      </w:tblPr>
      <w:tblGrid>
        <w:gridCol w:w="9360"/>
      </w:tblGrid>
      <w:tr>
        <w:tc>
          <w:tcPr>
            <w:tcW w:type="dxa" w:w="9360"/>
            <w:vAlign w:val="center"/>
          </w:tcPr>
          <w:p>
            <w:pPr>
              <w:jc w:val="center"/>
            </w:pPr>
            <w:r>
              <w:rPr>
                <w:i/>
                <w:color w:val="888888"/>
                <w:sz w:val="20"/>
              </w:rPr>
              <w:t>[Screenshot: Education Hub course library with filters]</w:t>
            </w:r>
          </w:p>
        </w:tc>
      </w:tr>
    </w:tbl>
    <w:p>
      <w:pPr>
        <w:jc w:val="center"/>
      </w:pPr>
      <w:r>
        <w:rPr>
          <w:i/>
          <w:color w:val="333333"/>
          <w:sz w:val="20"/>
        </w:rPr>
        <w:t>Figure 4.13  The Education Hub library showing category filter chips, the search field and course cards with progress indicators.</w:t>
      </w:r>
    </w:p>
    <w:p/>
    <w:tbl>
      <w:tblPr>
        <w:tblStyle w:val="TableGrid"/>
        <w:tblW w:type="auto" w:w="0"/>
        <w:tblLook w:firstColumn="1" w:firstRow="1" w:lastColumn="0" w:lastRow="0" w:noHBand="0" w:noVBand="1" w:val="04A0"/>
      </w:tblPr>
      <w:tblGrid>
        <w:gridCol w:w="9360"/>
      </w:tblGrid>
      <w:tr>
        <w:tc>
          <w:tcPr>
            <w:tcW w:type="dxa" w:w="9360"/>
            <w:vAlign w:val="center"/>
          </w:tcPr>
          <w:p>
            <w:pPr>
              <w:jc w:val="center"/>
            </w:pPr>
            <w:r>
              <w:rPr>
                <w:i/>
                <w:color w:val="888888"/>
                <w:sz w:val="20"/>
              </w:rPr>
              <w:t>[Screenshot: Education Hub single course view]</w:t>
            </w:r>
          </w:p>
        </w:tc>
      </w:tr>
    </w:tbl>
    <w:p>
      <w:pPr>
        <w:jc w:val="center"/>
      </w:pPr>
      <w:r>
        <w:rPr>
          <w:i/>
          <w:color w:val="333333"/>
          <w:sz w:val="20"/>
        </w:rPr>
        <w:t>Figure 4.14  A single Education Hub course showing the click-to-play video thumbnail, the syllabus with locked and completed lessons and the certificate preview.</w:t>
      </w:r>
    </w:p>
    <w:p/>
    <w:p>
      <w:pPr>
        <w:pStyle w:val="Heading2"/>
      </w:pPr>
      <w:r>
        <w:t>4.11.5 Appendix references</w:t>
      </w:r>
    </w:p>
    <w:p>
      <w:r>
        <w:rPr>
          <w:b w:val="0"/>
          <w:i w:val="0"/>
        </w:rPr>
        <w:t>EducationHub.tsx (Appendix J.1). Full file length ≈ 337 LOC.</w:t>
      </w:r>
    </w:p>
    <w:p>
      <w:pPr>
        <w:pStyle w:val="Heading1"/>
      </w:pPr>
      <w:r>
        <w:t>4.12 Module 11 — Community Hub</w:t>
      </w:r>
    </w:p>
    <w:p>
      <w:pPr>
        <w:pStyle w:val="Heading2"/>
      </w:pPr>
      <w:r>
        <w:t>4.12.1 Purpose and user needs addressed</w:t>
      </w:r>
    </w:p>
    <w:p>
      <w:r>
        <w:rPr>
          <w:b w:val="0"/>
          <w:i w:val="0"/>
        </w:rPr>
        <w:t>Meets FR-29 through FR-35: forum-style posts with like / reply / bookmark / follow; marketplace listings (SELL/BUY with verified badge); channel-based chat (general, crops, livestock, equipment, market-watch, knowledge, co-ops); a Q&amp;A tab with expert-flagged accepted answers; and a polling card. The Hub is the social layer over the agronomy stack and is decomposed across the components/community/ subfolder.</w:t>
      </w:r>
    </w:p>
    <w:p>
      <w:pPr>
        <w:pStyle w:val="Heading2"/>
      </w:pPr>
      <w:r>
        <w:t>4.12.2 Key technical decisions</w:t>
      </w:r>
    </w:p>
    <w:p>
      <w:pPr>
        <w:pStyle w:val="ListBullet"/>
      </w:pPr>
      <w:r>
        <w:t>Hybrid persistence. Posts, listings, chats, likes, bookmarks and follows persist through CommunityService into localStorage; questions, answers and challenges live only in component state. This is a documented scope tradeoff: the long-tail social feedback loop is persisted, the ephemeral Q&amp;A is not.</w:t>
      </w:r>
    </w:p>
    <w:p>
      <w:pPr>
        <w:pStyle w:val="ListBullet"/>
      </w:pPr>
      <w:r>
        <w:t>Tab routing inside feature. activeTab switches Feed / Groups / Market / QA sub-views without consuming the global navigate(), keeping the sidebar cell stable.</w:t>
      </w:r>
    </w:p>
    <w:p>
      <w:pPr>
        <w:pStyle w:val="ListBullet"/>
      </w:pPr>
      <w:r>
        <w:t>Story timer. viewingStory triggers a 5-second progress meter via a setInterval(…, 50) that auto-advances; cleanup clears the interval safely.</w:t>
      </w:r>
    </w:p>
    <w:p>
      <w:pPr>
        <w:pStyle w:val="ListBullet"/>
      </w:pPr>
      <w:r>
        <w:t>Location-aware alerts aggregation. locationAlerts = useMemo() combines weather alerts with market prices whose changePercentage is ≥ 5% in absolute value, a cross-module synthesis feeding the right sidebar.</w:t>
      </w:r>
    </w:p>
    <w:p>
      <w:pPr>
        <w:pStyle w:val="ListBullet"/>
      </w:pPr>
      <w:r>
        <w:t>Auth gate. handleAuthRequiredAction(action) checks isSignedIn and shows a toast otherwise, so guest users cannot persist community content.</w:t>
      </w:r>
    </w:p>
    <w:p>
      <w:pPr>
        <w:pStyle w:val="Heading2"/>
      </w:pPr>
      <w:r>
        <w:t>4.12.3 Security within this module</w:t>
      </w:r>
    </w:p>
    <w:p>
      <w:r>
        <w:rPr>
          <w:b w:val="0"/>
          <w:i w:val="0"/>
        </w:rPr>
        <w:t>This module is the largest user-content surface in the application. Every user-supplied string — post title, post body, reply body, chat message, story message, Q&amp;A answer, marketplace listing text — is rendered as a JSX child interpolation, never as raw HTML. A codebase-wide search confirms that nowhere in the project is dangerouslySetInnerHTML, innerHTML, eval or the Function constructor invoked. React's automatic escaping is therefore the primary and effective XSS control. The service layer adds structural validation: empty or near-empty payloads are rejected (items shorter than 3 characters throw). External Google search links built from event titles use encodeURIComponent on the title and 'noopener,noreferrer' on the window-opener argument. The marketplace contact handler opens mailto: from unsanitised seller.contact — a minor scope-limited surface worth noting; the recommended remediation is documented in Section 4.15.</w:t>
      </w:r>
    </w:p>
    <w:p>
      <w:pPr>
        <w:pStyle w:val="Heading2"/>
      </w:pPr>
      <w:r>
        <w:t>4.12.4 Screenshots</w:t>
      </w:r>
    </w:p>
    <w:p>
      <w:pPr>
        <w:jc w:val="both"/>
      </w:pPr>
      <w:r>
        <w:rPr>
          <w:b w:val="0"/>
          <w:i w:val="0"/>
        </w:rPr>
        <w:t>Figure 4.15 shows the Community Hub Feed tab with the story tray on top, the post composer, and a post card with like / reply / bookmark controls. Figure 4.16 shows the Marketplace tab with SELL/BUY listings and verified badges.</w:t>
      </w:r>
    </w:p>
    <w:tbl>
      <w:tblPr>
        <w:tblStyle w:val="TableGrid"/>
        <w:tblW w:type="auto" w:w="0"/>
        <w:tblLook w:firstColumn="1" w:firstRow="1" w:lastColumn="0" w:lastRow="0" w:noHBand="0" w:noVBand="1" w:val="04A0"/>
      </w:tblPr>
      <w:tblGrid>
        <w:gridCol w:w="9360"/>
      </w:tblGrid>
      <w:tr>
        <w:tc>
          <w:tcPr>
            <w:tcW w:type="dxa" w:w="9360"/>
            <w:vAlign w:val="center"/>
          </w:tcPr>
          <w:p>
            <w:pPr>
              <w:jc w:val="center"/>
            </w:pPr>
            <w:r>
              <w:rPr>
                <w:i/>
                <w:color w:val="888888"/>
                <w:sz w:val="20"/>
              </w:rPr>
              <w:t>[Screenshot: Community Hub Feed tab with stories and post composer]</w:t>
            </w:r>
          </w:p>
        </w:tc>
      </w:tr>
    </w:tbl>
    <w:p>
      <w:pPr>
        <w:jc w:val="center"/>
      </w:pPr>
      <w:r>
        <w:rPr>
          <w:i/>
          <w:color w:val="333333"/>
          <w:sz w:val="20"/>
        </w:rPr>
        <w:t>Figure 4.15  The Community Hub Feed tab showing the story tray, the post composer, a post card with engagement controls and the right sidebar with trends and poll.</w:t>
      </w:r>
    </w:p>
    <w:p/>
    <w:tbl>
      <w:tblPr>
        <w:tblStyle w:val="TableGrid"/>
        <w:tblW w:type="auto" w:w="0"/>
        <w:tblLook w:firstColumn="1" w:firstRow="1" w:lastColumn="0" w:lastRow="0" w:noHBand="0" w:noVBand="1" w:val="04A0"/>
      </w:tblPr>
      <w:tblGrid>
        <w:gridCol w:w="9360"/>
      </w:tblGrid>
      <w:tr>
        <w:tc>
          <w:tcPr>
            <w:tcW w:type="dxa" w:w="9360"/>
            <w:vAlign w:val="center"/>
          </w:tcPr>
          <w:p>
            <w:pPr>
              <w:jc w:val="center"/>
            </w:pPr>
            <w:r>
              <w:rPr>
                <w:i/>
                <w:color w:val="888888"/>
                <w:sz w:val="20"/>
              </w:rPr>
              <w:t>[Screenshot: Community Hub Marketplace tab]</w:t>
            </w:r>
          </w:p>
        </w:tc>
      </w:tr>
    </w:tbl>
    <w:p>
      <w:pPr>
        <w:jc w:val="center"/>
      </w:pPr>
      <w:r>
        <w:rPr>
          <w:i/>
          <w:color w:val="333333"/>
          <w:sz w:val="20"/>
        </w:rPr>
        <w:t>Figure 4.16  The Community Hub Marketplace tab showing SELL/BUY listings with verified badges and contact buttons.</w:t>
      </w:r>
    </w:p>
    <w:p/>
    <w:p>
      <w:pPr>
        <w:pStyle w:val="Heading2"/>
      </w:pPr>
      <w:r>
        <w:t>4.12.5 Appendix references</w:t>
      </w:r>
    </w:p>
    <w:p>
      <w:r>
        <w:rPr>
          <w:b w:val="0"/>
          <w:i w:val="0"/>
        </w:rPr>
        <w:t>CommunityHub.tsx (Appendix K.1) and components/community/* (K.2–K.13).</w:t>
      </w:r>
    </w:p>
    <w:p>
      <w:pPr>
        <w:pStyle w:val="Heading1"/>
      </w:pPr>
      <w:r>
        <w:t>4.13 Module 12 — Farm Labor Planner and Planting Calendar</w:t>
      </w:r>
    </w:p>
    <w:p>
      <w:pPr>
        <w:pStyle w:val="Heading2"/>
      </w:pPr>
      <w:r>
        <w:t>4.13.1 Purpose and user needs addressed</w:t>
      </w:r>
    </w:p>
    <w:p>
      <w:r>
        <w:rPr>
          <w:b w:val="0"/>
          <w:i w:val="0"/>
        </w:rPr>
        <w:t>The Farm Labor Planner meets FR-36 (compute optimal workforce for the farm given size, crop mix, livestock, season, mechanisation, family labour and irrigation), and the Planting Calendar meets FR-37 (consult a fully offline West African crop calendar for crop-specific planting windows, key activities, water need, soil preference, agronomic tips and recommended varieties).</w:t>
      </w:r>
    </w:p>
    <w:p>
      <w:pPr>
        <w:pStyle w:val="Heading2"/>
      </w:pPr>
      <w:r>
        <w:t>4.13.2 Key technical decisions</w:t>
      </w:r>
    </w:p>
    <w:p>
      <w:pPr>
        <w:pStyle w:val="ListBullet"/>
      </w:pPr>
      <w:r>
        <w:t>Labor Planner — domain-rich engine in-component. calculateLabor(input, dailyWage, feedingCost) is a 100-line pure function with a WEST_AFRICAN_CROPS table per crop (label-days/ha, harvest-days/ha, weed-days/ha), season factor (rainy ×1.25, dry ×0.85), mechanisation factor (none 1.0, partial 0.65, full 0.35), irrigation factor and working-days-per-month (=22). Returns {total, family, hired, peak, monthlyBreakdown, costEstimate, totalMonthlyCost, recommendations}.</w:t>
      </w:r>
    </w:p>
    <w:p>
      <w:pPr>
        <w:pStyle w:val="ListBullet"/>
      </w:pPr>
      <w:r>
        <w:t>Labor Planner — country-aware wages. Uses COUNTRY_REGISTRY[userProfile.countryCode].dailyWageLocal (e.g., NG = ₦3,500, GH = GH₵90, US = $120); the output is formatted with the user's currencySymbol.</w:t>
      </w:r>
    </w:p>
    <w:p>
      <w:pPr>
        <w:pStyle w:val="ListBullet"/>
      </w:pPr>
      <w:r>
        <w:t>Labor Planner — eight-rule recommendation engine. Heuristics produce practical advice (partial mechanisation for &gt;3 ha without mechanisation; supervisor if &gt;5 hired workers; pump irrigation for manual + &gt;2 ha; integrated crop-livestock hints; etc.) plus a positive fallback.</w:t>
      </w:r>
    </w:p>
    <w:p>
      <w:pPr>
        <w:pStyle w:val="ListBullet"/>
      </w:pPr>
      <w:r>
        <w:t>Planting Calendar — rich static dataset. The CROP_CALENDAR constant (394 LOC) is the largest single static asset: per-crop plantingWindows[] with start month / end month / label, growthDurationWeeks, harvestWindow, month-indexed keyActivities[], waterNeed, soilPreference, tips[] and varieties[]. CLIMATE_ZONE_INFO maps each of five West African climate zones to its rainfall and country list.</w:t>
      </w:r>
    </w:p>
    <w:p>
      <w:pPr>
        <w:pStyle w:val="ListBullet"/>
      </w:pPr>
      <w:r>
        <w:t>Planting Calendar — three-pillar filtering. filteredCrops = useMemo applies selectedClimate + searchQuery + selectedMonth simultaneously; the user's climate zone is preselected and the chips sort it first.</w:t>
      </w:r>
    </w:p>
    <w:p>
      <w:pPr>
        <w:pStyle w:val="ListBullet"/>
      </w:pPr>
      <w:r>
        <w:t>Both modules — zero AI. The entire pair works offline; the Planting Calendar especially is a deliberate concession to rural connectivity constraints.</w:t>
      </w:r>
    </w:p>
    <w:p>
      <w:pPr>
        <w:pStyle w:val="Heading2"/>
      </w:pPr>
      <w:r>
        <w:t>4.13.3 Security within these modules</w:t>
      </w:r>
    </w:p>
    <w:p>
      <w:r>
        <w:rPr>
          <w:b w:val="0"/>
          <w:i w:val="0"/>
        </w:rPr>
        <w:t>Neither module makes network calls. Inputs are coerced to numbers defensively (Number(input) || 0); injected strings cannot corrupt the calculation. The Planting Calendar's catalogue is a static constant in the bundle, immunised from client tampering short of a service-worker hack.</w:t>
      </w:r>
    </w:p>
    <w:p>
      <w:pPr>
        <w:pStyle w:val="Heading2"/>
      </w:pPr>
      <w:r>
        <w:t>4.13.4 Screenshots</w:t>
      </w:r>
    </w:p>
    <w:p>
      <w:pPr>
        <w:jc w:val="both"/>
      </w:pPr>
      <w:r>
        <w:rPr>
          <w:b w:val="0"/>
          <w:i w:val="0"/>
        </w:rPr>
        <w:t>Figure 4.17 shows the Farm Labor Planner result card with the monthly breakdown and cost categories. Figure 4.18 shows the Planting Calendar with the month strip and a crop's accordion expanded.</w:t>
      </w:r>
    </w:p>
    <w:tbl>
      <w:tblPr>
        <w:tblStyle w:val="TableGrid"/>
        <w:tblW w:type="auto" w:w="0"/>
        <w:tblLook w:firstColumn="1" w:firstRow="1" w:lastColumn="0" w:lastRow="0" w:noHBand="0" w:noVBand="1" w:val="04A0"/>
      </w:tblPr>
      <w:tblGrid>
        <w:gridCol w:w="9360"/>
      </w:tblGrid>
      <w:tr>
        <w:tc>
          <w:tcPr>
            <w:tcW w:type="dxa" w:w="9360"/>
            <w:vAlign w:val="center"/>
          </w:tcPr>
          <w:p>
            <w:pPr>
              <w:jc w:val="center"/>
            </w:pPr>
            <w:r>
              <w:rPr>
                <w:i/>
                <w:color w:val="888888"/>
                <w:sz w:val="20"/>
              </w:rPr>
              <w:t>[Screenshot: Farm Labor Planner result with monthly breakdown and recommendations]</w:t>
            </w:r>
          </w:p>
        </w:tc>
      </w:tr>
    </w:tbl>
    <w:p>
      <w:pPr>
        <w:jc w:val="center"/>
      </w:pPr>
      <w:r>
        <w:rPr>
          <w:i/>
          <w:color w:val="333333"/>
          <w:sz w:val="20"/>
        </w:rPr>
        <w:t>Figure 4.17  The Farm Labor Planner showing recommended workforce, monthly breakdown, cost estimate categories and recommendation list.</w:t>
      </w:r>
    </w:p>
    <w:p/>
    <w:tbl>
      <w:tblPr>
        <w:tblStyle w:val="TableGrid"/>
        <w:tblW w:type="auto" w:w="0"/>
        <w:tblLook w:firstColumn="1" w:firstRow="1" w:lastColumn="0" w:lastRow="0" w:noHBand="0" w:noVBand="1" w:val="04A0"/>
      </w:tblPr>
      <w:tblGrid>
        <w:gridCol w:w="9360"/>
      </w:tblGrid>
      <w:tr>
        <w:tc>
          <w:tcPr>
            <w:tcW w:type="dxa" w:w="9360"/>
            <w:vAlign w:val="center"/>
          </w:tcPr>
          <w:p>
            <w:pPr>
              <w:jc w:val="center"/>
            </w:pPr>
            <w:r>
              <w:rPr>
                <w:i/>
                <w:color w:val="888888"/>
                <w:sz w:val="20"/>
              </w:rPr>
              <w:t>[Screenshot: Planting Calendar with crop accordion expanded]</w:t>
            </w:r>
          </w:p>
        </w:tc>
      </w:tr>
    </w:tbl>
    <w:p>
      <w:pPr>
        <w:jc w:val="center"/>
      </w:pPr>
      <w:r>
        <w:rPr>
          <w:i/>
          <w:color w:val="333333"/>
          <w:sz w:val="20"/>
        </w:rPr>
        <w:t>Figure 4.18  The Planting Calendar showing the month strip, climate-zone chips and a crop accordion expanded to reveal key activities, water need, soil preference, tips and varieties.</w:t>
      </w:r>
    </w:p>
    <w:p/>
    <w:p>
      <w:pPr>
        <w:pStyle w:val="Heading2"/>
      </w:pPr>
      <w:r>
        <w:t>4.13.5 Appendix references</w:t>
      </w:r>
    </w:p>
    <w:p>
      <w:r>
        <w:rPr>
          <w:b w:val="0"/>
          <w:i w:val="0"/>
        </w:rPr>
        <w:t>FarmLaborPlanner.tsx (Appendix L.1), PlantingCalendar.tsx (L.2), constants/plantingCalendar.ts (L.3).</w:t>
      </w:r>
    </w:p>
    <w:p>
      <w:pPr>
        <w:pStyle w:val="Heading1"/>
      </w:pPr>
      <w:r>
        <w:t>4.14 Module 13 — Settings, Navigation and Global Voice Agent</w:t>
      </w:r>
    </w:p>
    <w:p>
      <w:pPr>
        <w:pStyle w:val="Heading2"/>
      </w:pPr>
      <w:r>
        <w:t>4.14.1 Settings</w:t>
      </w:r>
    </w:p>
    <w:p>
      <w:r>
        <w:rPr>
          <w:b w:val="0"/>
          <w:i w:val="0"/>
        </w:rPr>
        <w:t>Purpose: FR-38 (profile editing), FR-39 (theme switching among light / dark / high-contrast labelled WCAG AAA), FR-40 (data export / import as a single JSON blob), FR-41 (factory reset). Key decisions: handleExportData iterates DB_KEYS only — agriflow_credentials is deliberately excluded, so the export never ships the plaintext password off the device; handleImportData validates incoming keys against DB_KEYS (an allow-list) before writing back, so a crafted backup cannot introduce unknown keys; resetApp wipes every DB key plus the credential, theme and onboarding flags, then reloads. Security within: the backup file is parsed in-memory only; no automatic cloud sync exists; the import routine is the only externally-fed write path and is allow-listed.</w:t>
      </w:r>
    </w:p>
    <w:p>
      <w:pPr>
        <w:pStyle w:val="Heading2"/>
      </w:pPr>
      <w:r>
        <w:t>4.14.2 Sidebar and MobileNav</w:t>
      </w:r>
    </w:p>
    <w:p>
      <w:r>
        <w:rPr>
          <w:b w:val="0"/>
          <w:i w:val="0"/>
        </w:rPr>
        <w:t>Purpose: FR-01 and FR-02 (orientation and navigation). The Sidebar groups twelve routes into Overview / Insights / Tools on desktop with footer Settings and Log Out buttons. The MobileNav compresses twelve features into a two-row bottom bar — five primary tabs on top, six secondary on the bottom — collapsing everything into a one-handed gesture zone. Both files consume the same NavigationTab enum from types.ts so tab identifiers cannot drift. Mobile drawer coercion uses -translate-x-full ↔ translate-x-0 with an overlay backdrop at z-sidebar-backdrop. No security control rides in navigation except the implicit logout button which delegates to FarmContext.logout() and wipes local state.</w:t>
      </w:r>
    </w:p>
    <w:p>
      <w:pPr>
        <w:pStyle w:val="Heading2"/>
      </w:pPr>
      <w:r>
        <w:t>4.14.3 Voice Agent (global floating widget)</w:t>
      </w:r>
    </w:p>
    <w:p>
      <w:r>
        <w:rPr>
          <w:b w:val="0"/>
          <w:i w:val="0"/>
        </w:rPr>
        <w:t>Purpose: FR-42 (voice-driven navigation and query of the app). The Voice Agent is a permanent floating action button in the app shell. On tap it opens a live Gemini Live Audio voice session armed with five function-calling tools: navigateApp, setTheme, createTask, getFarmWeather, getMarketPulse. The audio pipeline mirrors the AI Advisor (16 kHz capture, 24 kHz playback, scheduled AudioBufferSourceNodes, interrupted handler). Key decisions: ref-based live data plumbing (weatherRef, marketPricesRef, userProfileRef are kept in sync with the latest useFarm() state via tiny useEffects to avoid the stale-closure problem in a single long-running session); voice 'Kore' for differentiated UX; preflight guards identical to AIAdvisor. Security within: the tool-call dispatcher validates enum arguments (the setTheme mode is checked against 'light'|'dark'|'high-contrast' before being applied, navigateApp destinations against Object.values(NavigationTab)); the user cannot voice-inject an unknown navigation target or theme because the dispatcher returns a tool-response error for unknown arguments rather than executing them.</w:t>
      </w:r>
    </w:p>
    <w:p>
      <w:pPr>
        <w:pStyle w:val="Heading2"/>
      </w:pPr>
      <w:r>
        <w:t>4.14.4 Screenshots</w:t>
      </w:r>
    </w:p>
    <w:p>
      <w:pPr>
        <w:jc w:val="both"/>
      </w:pPr>
      <w:r>
        <w:rPr>
          <w:b w:val="0"/>
          <w:i w:val="0"/>
        </w:rPr>
        <w:t>Figure 4.19 shows the Settings page with the three theme cards. Figure 4.20 shows the Voice Agent FAB expanded with the live-call panel and volume meter.</w:t>
      </w:r>
    </w:p>
    <w:tbl>
      <w:tblPr>
        <w:tblStyle w:val="TableGrid"/>
        <w:tblW w:type="auto" w:w="0"/>
        <w:tblLook w:firstColumn="1" w:firstRow="1" w:lastColumn="0" w:lastRow="0" w:noHBand="0" w:noVBand="1" w:val="04A0"/>
      </w:tblPr>
      <w:tblGrid>
        <w:gridCol w:w="9360"/>
      </w:tblGrid>
      <w:tr>
        <w:tc>
          <w:tcPr>
            <w:tcW w:type="dxa" w:w="9360"/>
            <w:vAlign w:val="center"/>
          </w:tcPr>
          <w:p>
            <w:pPr>
              <w:jc w:val="center"/>
            </w:pPr>
            <w:r>
              <w:rPr>
                <w:i/>
                <w:color w:val="888888"/>
                <w:sz w:val="20"/>
              </w:rPr>
              <w:t>[Screenshot: Settings page with profile form and three theme cards]</w:t>
            </w:r>
          </w:p>
        </w:tc>
      </w:tr>
    </w:tbl>
    <w:p>
      <w:pPr>
        <w:jc w:val="center"/>
      </w:pPr>
      <w:r>
        <w:rPr>
          <w:i/>
          <w:color w:val="333333"/>
          <w:sz w:val="20"/>
        </w:rPr>
        <w:t>Figure 4.19  The Settings page showing the profile edit form, the light / dark / high-contrast (WCAG AAA) theme cards and the data export-import-reset block.</w:t>
      </w:r>
    </w:p>
    <w:p/>
    <w:tbl>
      <w:tblPr>
        <w:tblStyle w:val="TableGrid"/>
        <w:tblW w:type="auto" w:w="0"/>
        <w:tblLook w:firstColumn="1" w:firstRow="1" w:lastColumn="0" w:lastRow="0" w:noHBand="0" w:noVBand="1" w:val="04A0"/>
      </w:tblPr>
      <w:tblGrid>
        <w:gridCol w:w="9360"/>
      </w:tblGrid>
      <w:tr>
        <w:tc>
          <w:tcPr>
            <w:tcW w:type="dxa" w:w="9360"/>
            <w:vAlign w:val="center"/>
          </w:tcPr>
          <w:p>
            <w:pPr>
              <w:jc w:val="center"/>
            </w:pPr>
            <w:r>
              <w:rPr>
                <w:i/>
                <w:color w:val="888888"/>
                <w:sz w:val="20"/>
              </w:rPr>
              <w:t>[Screenshot: Voice Agent floating widget in active call]</w:t>
            </w:r>
          </w:p>
        </w:tc>
      </w:tr>
    </w:tbl>
    <w:p>
      <w:pPr>
        <w:jc w:val="center"/>
      </w:pPr>
      <w:r>
        <w:rPr>
          <w:i/>
          <w:color w:val="333333"/>
          <w:sz w:val="20"/>
        </w:rPr>
        <w:t>Figure 4.20  The Voice Agent floating widget expanded into an active voice-call panel with a volume meter and call timer.</w:t>
      </w:r>
    </w:p>
    <w:p/>
    <w:p>
      <w:pPr>
        <w:pStyle w:val="Heading2"/>
      </w:pPr>
      <w:r>
        <w:t>4.14.5 Appendix references</w:t>
      </w:r>
    </w:p>
    <w:p>
      <w:r>
        <w:rPr>
          <w:b w:val="0"/>
          <w:i w:val="0"/>
        </w:rPr>
        <w:t>Settings.tsx (Appendix M.1), Sidebar.tsx (M.2), MobileNav.tsx (M.3), VoiceAgent.tsx (M.4).</w:t>
      </w:r>
    </w:p>
    <w:p>
      <w:pPr>
        <w:pStyle w:val="Heading1"/>
      </w:pPr>
      <w:r>
        <w:t>4.15 Security Implementation Evidence</w:t>
      </w:r>
    </w:p>
    <w:p>
      <w:r>
        <w:rPr>
          <w:b w:val="0"/>
          <w:i w:val="0"/>
        </w:rPr>
        <w:t>Chapter Three section 3.5 set out six security commitments: build-time isolation of API keys; provider abstraction with safe-mock fallback; service-worker cache policy that protects AI responses; persistence-layer error isolation; client-side session state and input handling; and content-security / header hygiene. This section provides concrete code snippets from the version of the source current at the time of writing that prove each commitment was implemented, not merely planned. Two known weaknesses — plaintext credential storage and the absence of a Content-Security-Policy meta tag — are then documented honestly with their remediation routes.</w:t>
      </w:r>
    </w:p>
    <w:p>
      <w:pPr>
        <w:pStyle w:val="Heading2"/>
      </w:pPr>
      <w:r>
        <w:t>4.15.1 Build-time isolation of API keys</w:t>
      </w:r>
    </w:p>
    <w:p>
      <w:r>
        <w:rPr>
          <w:b w:val="0"/>
          <w:i w:val="0"/>
        </w:rPr>
        <w:t>Vite's loadEnv is used in vite.config.ts to read environment variables from the local .env file. Only values prefixed with VITE_ are exposed to the client bundle; keys are never written into the source repository (the .gitignore file ignores *.local). The provider layer reads them through import.meta.env at runtime:</w:t>
      </w:r>
    </w:p>
    <w:tbl>
      <w:tblPr>
        <w:tblStyle w:val="TableGrid"/>
        <w:tblW w:type="auto" w:w="0"/>
        <w:tblLook w:firstColumn="1" w:firstRow="1" w:lastColumn="0" w:lastRow="0" w:noHBand="0" w:noVBand="1" w:val="04A0"/>
      </w:tblPr>
      <w:tblGrid>
        <w:gridCol w:w="9360"/>
      </w:tblGrid>
      <w:tr>
        <w:tc>
          <w:tcPr>
            <w:tcW w:type="dxa" w:w="9360"/>
            <w:shd w:val="clear" w:fill="F4F6F4"/>
          </w:tcPr>
          <w:p>
            <w:pPr>
              <w:spacing w:after="0" w:line="240" w:lineRule="auto"/>
            </w:pPr>
            <w:r/>
            <w:r>
              <w:rPr>
                <w:rFonts w:ascii="Consolas" w:hAnsi="Consolas"/>
                <w:sz w:val="18"/>
              </w:rPr>
              <w:t>// vite.config.ts — keys loaded from .env and defined into the bundle</w:t>
            </w:r>
          </w:p>
          <w:p>
            <w:pPr>
              <w:spacing w:after="0" w:line="240" w:lineRule="auto"/>
            </w:pPr>
            <w:r>
              <w:rPr>
                <w:rFonts w:ascii="Consolas" w:hAnsi="Consolas"/>
                <w:sz w:val="18"/>
              </w:rPr>
              <w:t>import { defineConfig, loadEnv } from 'vite';</w:t>
            </w:r>
          </w:p>
          <w:p>
            <w:pPr>
              <w:spacing w:after="0" w:line="240" w:lineRule="auto"/>
            </w:pPr>
            <w:r>
              <w:rPr>
                <w:rFonts w:ascii="Consolas" w:hAnsi="Consolas"/>
                <w:sz w:val="18"/>
              </w:rPr>
              <w:t>export default defineConfig(({ mode }) =&gt; {</w:t>
            </w:r>
          </w:p>
          <w:p>
            <w:pPr>
              <w:spacing w:after="0" w:line="240" w:lineRule="auto"/>
            </w:pPr>
            <w:r>
              <w:rPr>
                <w:rFonts w:ascii="Consolas" w:hAnsi="Consolas"/>
                <w:sz w:val="18"/>
              </w:rPr>
              <w:t xml:space="preserve">  const env = loadEnv(mode, '.', '');</w:t>
            </w:r>
          </w:p>
          <w:p>
            <w:pPr>
              <w:spacing w:after="0" w:line="240" w:lineRule="auto"/>
            </w:pPr>
            <w:r>
              <w:rPr>
                <w:rFonts w:ascii="Consolas" w:hAnsi="Consolas"/>
                <w:sz w:val="18"/>
              </w:rPr>
              <w:t xml:space="preserve">  return {</w:t>
            </w:r>
          </w:p>
          <w:p>
            <w:pPr>
              <w:spacing w:after="0" w:line="240" w:lineRule="auto"/>
            </w:pPr>
            <w:r>
              <w:rPr>
                <w:rFonts w:ascii="Consolas" w:hAnsi="Consolas"/>
                <w:sz w:val="18"/>
              </w:rPr>
              <w:t xml:space="preserve">    define: { 'process.env.API_KEY': JSON.stringify(env.API_KEY) },</w:t>
            </w:r>
          </w:p>
          <w:p>
            <w:pPr>
              <w:spacing w:after="0" w:line="240" w:lineRule="auto"/>
            </w:pPr>
            <w:r>
              <w:rPr>
                <w:rFonts w:ascii="Consolas" w:hAnsi="Consolas"/>
                <w:sz w:val="18"/>
              </w:rPr>
              <w:t xml:space="preserve">    // ...</w:t>
            </w:r>
          </w:p>
          <w:p>
            <w:pPr>
              <w:spacing w:after="0" w:line="240" w:lineRule="auto"/>
            </w:pPr>
            <w:r>
              <w:rPr>
                <w:rFonts w:ascii="Consolas" w:hAnsi="Consolas"/>
                <w:sz w:val="18"/>
              </w:rPr>
              <w:t xml:space="preserve">  };</w:t>
            </w:r>
          </w:p>
          <w:p>
            <w:pPr>
              <w:spacing w:after="0" w:line="240" w:lineRule="auto"/>
            </w:pPr>
            <w:r>
              <w:rPr>
                <w:rFonts w:ascii="Consolas" w:hAnsi="Consolas"/>
                <w:sz w:val="18"/>
              </w:rPr>
              <w:t>});</w:t>
            </w:r>
          </w:p>
        </w:tc>
      </w:tr>
    </w:tbl>
    <w:p>
      <w:pPr>
        <w:jc w:val="center"/>
      </w:pPr>
      <w:r>
        <w:rPr>
          <w:i/>
          <w:color w:val="555555"/>
          <w:sz w:val="18"/>
        </w:rPr>
        <w:t>Listing 4.1  Build-time environment loading in vite.config.ts.</w:t>
      </w:r>
    </w:p>
    <w:p/>
    <w:p>
      <w:r>
        <w:rPr>
          <w:b w:val="0"/>
          <w:i w:val="0"/>
        </w:rPr>
        <w:t>Inside the provider factory, the active key is selected at startup and the remaining keys never come into scope:</w:t>
      </w:r>
    </w:p>
    <w:tbl>
      <w:tblPr>
        <w:tblStyle w:val="TableGrid"/>
        <w:tblW w:type="auto" w:w="0"/>
        <w:tblLook w:firstColumn="1" w:firstRow="1" w:lastColumn="0" w:lastRow="0" w:noHBand="0" w:noVBand="1" w:val="04A0"/>
      </w:tblPr>
      <w:tblGrid>
        <w:gridCol w:w="9360"/>
      </w:tblGrid>
      <w:tr>
        <w:tc>
          <w:tcPr>
            <w:tcW w:type="dxa" w:w="9360"/>
            <w:shd w:val="clear" w:fill="F4F6F4"/>
          </w:tcPr>
          <w:p>
            <w:pPr>
              <w:spacing w:after="0" w:line="240" w:lineRule="auto"/>
            </w:pPr>
            <w:r/>
            <w:r>
              <w:rPr>
                <w:rFonts w:ascii="Consolas" w:hAnsi="Consolas"/>
                <w:sz w:val="18"/>
              </w:rPr>
              <w:t>// services/ai/index.ts</w:t>
            </w:r>
          </w:p>
          <w:p>
            <w:pPr>
              <w:spacing w:after="0" w:line="240" w:lineRule="auto"/>
            </w:pPr>
            <w:r>
              <w:rPr>
                <w:rFonts w:ascii="Consolas" w:hAnsi="Consolas"/>
                <w:sz w:val="18"/>
              </w:rPr>
              <w:t>const VITE_GEMINI_KEY = import.meta.env.VITE_GEMINI_API_KEY || '';</w:t>
            </w:r>
          </w:p>
          <w:p>
            <w:pPr>
              <w:spacing w:after="0" w:line="240" w:lineRule="auto"/>
            </w:pPr>
            <w:r>
              <w:rPr>
                <w:rFonts w:ascii="Consolas" w:hAnsi="Consolas"/>
                <w:sz w:val="18"/>
              </w:rPr>
              <w:t>const VITE_NVIDIA_KEY = import.meta.env.VITE_NVIDIA_API_KEY || '';</w:t>
            </w:r>
          </w:p>
          <w:p>
            <w:pPr>
              <w:spacing w:after="0" w:line="240" w:lineRule="auto"/>
            </w:pPr>
            <w:r>
              <w:rPr>
                <w:rFonts w:ascii="Consolas" w:hAnsi="Consolas"/>
                <w:sz w:val="18"/>
              </w:rPr>
              <w:t xml:space="preserve"> </w:t>
            </w:r>
          </w:p>
          <w:p>
            <w:pPr>
              <w:spacing w:after="0" w:line="240" w:lineRule="auto"/>
            </w:pPr>
            <w:r>
              <w:rPr>
                <w:rFonts w:ascii="Consolas" w:hAnsi="Consolas"/>
                <w:sz w:val="18"/>
              </w:rPr>
              <w:t>function createProvider(): AIProvider {</w:t>
            </w:r>
          </w:p>
          <w:p>
            <w:pPr>
              <w:spacing w:after="0" w:line="240" w:lineRule="auto"/>
            </w:pPr>
            <w:r>
              <w:rPr>
                <w:rFonts w:ascii="Consolas" w:hAnsi="Consolas"/>
                <w:sz w:val="18"/>
              </w:rPr>
              <w:t xml:space="preserve">  if (VITE_GEMINI_KEY) return new GeminiProvider();</w:t>
            </w:r>
          </w:p>
          <w:p>
            <w:pPr>
              <w:spacing w:after="0" w:line="240" w:lineRule="auto"/>
            </w:pPr>
            <w:r>
              <w:rPr>
                <w:rFonts w:ascii="Consolas" w:hAnsi="Consolas"/>
                <w:sz w:val="18"/>
              </w:rPr>
              <w:t xml:space="preserve">  if (VITE_NVIDIA_KEY) return new NvidiaNIMProvider();</w:t>
            </w:r>
          </w:p>
          <w:p>
            <w:pPr>
              <w:spacing w:after="0" w:line="240" w:lineRule="auto"/>
            </w:pPr>
            <w:r>
              <w:rPr>
                <w:rFonts w:ascii="Consolas" w:hAnsi="Consolas"/>
                <w:sz w:val="18"/>
              </w:rPr>
              <w:t xml:space="preserve">  return new GeminiProvider();   // safe-mock: isConfigured() will return false</w:t>
            </w:r>
          </w:p>
          <w:p>
            <w:pPr>
              <w:spacing w:after="0" w:line="240" w:lineRule="auto"/>
            </w:pPr>
            <w:r>
              <w:rPr>
                <w:rFonts w:ascii="Consolas" w:hAnsi="Consolas"/>
                <w:sz w:val="18"/>
              </w:rPr>
              <w:t>}</w:t>
            </w:r>
          </w:p>
        </w:tc>
      </w:tr>
    </w:tbl>
    <w:p>
      <w:pPr>
        <w:jc w:val="center"/>
      </w:pPr>
      <w:r>
        <w:rPr>
          <w:i/>
          <w:color w:val="555555"/>
          <w:sz w:val="18"/>
        </w:rPr>
        <w:t>Listing 4.2  Provider selection at services/ai/index.ts:5-14, with safe-mock fallback.</w:t>
      </w:r>
    </w:p>
    <w:p/>
    <w:p>
      <w:pPr>
        <w:pStyle w:val="Heading2"/>
      </w:pPr>
      <w:r>
        <w:t>4.15.2 Provider abstraction with safe-mock fallback</w:t>
      </w:r>
    </w:p>
    <w:p>
      <w:r>
        <w:rPr>
          <w:b w:val="0"/>
          <w:i w:val="0"/>
        </w:rPr>
        <w:t>Every AI method in GeminiProvider checks the configured key and returns the appropriate FALLBACK_* constant from services/ai/shared.ts if no key is present, so the UI degrades gracefully rather than throwing:</w:t>
      </w:r>
    </w:p>
    <w:tbl>
      <w:tblPr>
        <w:tblStyle w:val="TableGrid"/>
        <w:tblW w:type="auto" w:w="0"/>
        <w:tblLook w:firstColumn="1" w:firstRow="1" w:lastColumn="0" w:lastRow="0" w:noHBand="0" w:noVBand="1" w:val="04A0"/>
      </w:tblPr>
      <w:tblGrid>
        <w:gridCol w:w="9360"/>
      </w:tblGrid>
      <w:tr>
        <w:tc>
          <w:tcPr>
            <w:tcW w:type="dxa" w:w="9360"/>
            <w:shd w:val="clear" w:fill="F4F6F4"/>
          </w:tcPr>
          <w:p>
            <w:pPr>
              <w:spacing w:after="0" w:line="240" w:lineRule="auto"/>
            </w:pPr>
            <w:r/>
            <w:r>
              <w:rPr>
                <w:rFonts w:ascii="Consolas" w:hAnsi="Consolas"/>
                <w:sz w:val="18"/>
              </w:rPr>
              <w:t>// services/ai/GeminiProvider.ts (excerpt)</w:t>
            </w:r>
          </w:p>
          <w:p>
            <w:pPr>
              <w:spacing w:after="0" w:line="240" w:lineRule="auto"/>
            </w:pPr>
            <w:r>
              <w:rPr>
                <w:rFonts w:ascii="Consolas" w:hAnsi="Consolas"/>
                <w:sz w:val="18"/>
              </w:rPr>
              <w:t>async getFarmingAdvice(prompt, countryCtx?) {</w:t>
            </w:r>
          </w:p>
          <w:p>
            <w:pPr>
              <w:spacing w:after="0" w:line="240" w:lineRule="auto"/>
            </w:pPr>
            <w:r>
              <w:rPr>
                <w:rFonts w:ascii="Consolas" w:hAnsi="Consolas"/>
                <w:sz w:val="18"/>
              </w:rPr>
              <w:t xml:space="preserve">  if (!VITE_GEMINI_KEY) return FALLBACK_ADVICE;</w:t>
            </w:r>
          </w:p>
          <w:p>
            <w:pPr>
              <w:spacing w:after="0" w:line="240" w:lineRule="auto"/>
            </w:pPr>
            <w:r>
              <w:rPr>
                <w:rFonts w:ascii="Consolas" w:hAnsi="Consolas"/>
                <w:sz w:val="18"/>
              </w:rPr>
              <w:t xml:space="preserve">  // ... normal API call path</w:t>
            </w:r>
          </w:p>
          <w:p>
            <w:pPr>
              <w:spacing w:after="0" w:line="240" w:lineRule="auto"/>
            </w:pPr>
            <w:r>
              <w:rPr>
                <w:rFonts w:ascii="Consolas" w:hAnsi="Consolas"/>
                <w:sz w:val="18"/>
              </w:rPr>
              <w:t>}</w:t>
            </w:r>
          </w:p>
          <w:p>
            <w:pPr>
              <w:spacing w:after="0" w:line="240" w:lineRule="auto"/>
            </w:pPr>
            <w:r>
              <w:rPr>
                <w:rFonts w:ascii="Consolas" w:hAnsi="Consolas"/>
                <w:sz w:val="18"/>
              </w:rPr>
              <w:t xml:space="preserve"> </w:t>
            </w:r>
          </w:p>
          <w:p>
            <w:pPr>
              <w:spacing w:after="0" w:line="240" w:lineRule="auto"/>
            </w:pPr>
            <w:r>
              <w:rPr>
                <w:rFonts w:ascii="Consolas" w:hAnsi="Consolas"/>
                <w:sz w:val="18"/>
              </w:rPr>
              <w:t>async fetchAgNews(countryCtx?) {</w:t>
            </w:r>
          </w:p>
          <w:p>
            <w:pPr>
              <w:spacing w:after="0" w:line="240" w:lineRule="auto"/>
            </w:pPr>
            <w:r>
              <w:rPr>
                <w:rFonts w:ascii="Consolas" w:hAnsi="Consolas"/>
                <w:sz w:val="18"/>
              </w:rPr>
              <w:t xml:space="preserve">  if (!VITE_GEMINI_KEY) return FALLBACK_NEWS;</w:t>
            </w:r>
          </w:p>
          <w:p>
            <w:pPr>
              <w:spacing w:after="0" w:line="240" w:lineRule="auto"/>
            </w:pPr>
            <w:r>
              <w:rPr>
                <w:rFonts w:ascii="Consolas" w:hAnsi="Consolas"/>
                <w:sz w:val="18"/>
              </w:rPr>
              <w:t xml:space="preserve">  // ... JSON-schema-constrained generateContent with googleSearch grounding</w:t>
            </w:r>
          </w:p>
          <w:p>
            <w:pPr>
              <w:spacing w:after="0" w:line="240" w:lineRule="auto"/>
            </w:pPr>
            <w:r>
              <w:rPr>
                <w:rFonts w:ascii="Consolas" w:hAnsi="Consolas"/>
                <w:sz w:val="18"/>
              </w:rPr>
              <w:t>}</w:t>
            </w:r>
          </w:p>
        </w:tc>
      </w:tr>
    </w:tbl>
    <w:p>
      <w:pPr>
        <w:jc w:val="center"/>
      </w:pPr>
      <w:r>
        <w:rPr>
          <w:i/>
          <w:color w:val="555555"/>
          <w:sz w:val="18"/>
        </w:rPr>
        <w:t>Listing 4.3  Safe-mock fallback in services/ai/GeminiProvider.ts (representative).</w:t>
      </w:r>
    </w:p>
    <w:p/>
    <w:p>
      <w:r>
        <w:rPr>
          <w:b w:val="0"/>
          <w:i w:val="0"/>
        </w:rPr>
        <w:t>The isConfigured() predicate is the gate used by every consumer to reveal live vs simulated state in the UI:</w:t>
      </w:r>
    </w:p>
    <w:tbl>
      <w:tblPr>
        <w:tblStyle w:val="TableGrid"/>
        <w:tblW w:type="auto" w:w="0"/>
        <w:tblLook w:firstColumn="1" w:firstRow="1" w:lastColumn="0" w:lastRow="0" w:noHBand="0" w:noVBand="1" w:val="04A0"/>
      </w:tblPr>
      <w:tblGrid>
        <w:gridCol w:w="9360"/>
      </w:tblGrid>
      <w:tr>
        <w:tc>
          <w:tcPr>
            <w:tcW w:type="dxa" w:w="9360"/>
            <w:shd w:val="clear" w:fill="F4F6F4"/>
          </w:tcPr>
          <w:p>
            <w:pPr>
              <w:spacing w:after="0" w:line="240" w:lineRule="auto"/>
            </w:pPr>
            <w:r/>
            <w:r>
              <w:rPr>
                <w:rFonts w:ascii="Consolas" w:hAnsi="Consolas"/>
                <w:sz w:val="18"/>
              </w:rPr>
              <w:t>// services/geminiService.ts</w:t>
            </w:r>
          </w:p>
          <w:p>
            <w:pPr>
              <w:spacing w:after="0" w:line="240" w:lineRule="auto"/>
            </w:pPr>
            <w:r>
              <w:rPr>
                <w:rFonts w:ascii="Consolas" w:hAnsi="Consolas"/>
                <w:sz w:val="18"/>
              </w:rPr>
              <w:t>export const isAIConfigured = (): boolean =&gt; getAIProvider().isConfigured();</w:t>
            </w:r>
          </w:p>
          <w:p>
            <w:pPr>
              <w:spacing w:after="0" w:line="240" w:lineRule="auto"/>
            </w:pPr>
            <w:r>
              <w:rPr>
                <w:rFonts w:ascii="Consolas" w:hAnsi="Consolas"/>
                <w:sz w:val="18"/>
              </w:rPr>
              <w:t xml:space="preserve"> </w:t>
            </w:r>
          </w:p>
          <w:p>
            <w:pPr>
              <w:spacing w:after="0" w:line="240" w:lineRule="auto"/>
            </w:pPr>
            <w:r>
              <w:rPr>
                <w:rFonts w:ascii="Consolas" w:hAnsi="Consolas"/>
                <w:sz w:val="18"/>
              </w:rPr>
              <w:t>// consumed in AIAdvisor, CropScanner, NewsHub, VoiceAgent, Dashboard</w:t>
            </w:r>
          </w:p>
          <w:p>
            <w:pPr>
              <w:spacing w:after="0" w:line="240" w:lineRule="auto"/>
            </w:pPr>
            <w:r>
              <w:rPr>
                <w:rFonts w:ascii="Consolas" w:hAnsi="Consolas"/>
                <w:sz w:val="18"/>
              </w:rPr>
              <w:t>if (!isAIConfigured()) {</w:t>
            </w:r>
          </w:p>
          <w:p>
            <w:pPr>
              <w:spacing w:after="0" w:line="240" w:lineRule="auto"/>
            </w:pPr>
            <w:r>
              <w:rPr>
                <w:rFonts w:ascii="Consolas" w:hAnsi="Consolas"/>
                <w:sz w:val="18"/>
              </w:rPr>
              <w:t xml:space="preserve">  showToast('Demo mode — add a Gemini API key in .env for live AI', 'info');</w:t>
            </w:r>
          </w:p>
          <w:p>
            <w:pPr>
              <w:spacing w:after="0" w:line="240" w:lineRule="auto"/>
            </w:pPr>
            <w:r>
              <w:rPr>
                <w:rFonts w:ascii="Consolas" w:hAnsi="Consolas"/>
                <w:sz w:val="18"/>
              </w:rPr>
              <w:t>}</w:t>
            </w:r>
          </w:p>
        </w:tc>
      </w:tr>
    </w:tbl>
    <w:p>
      <w:pPr>
        <w:jc w:val="center"/>
      </w:pPr>
      <w:r>
        <w:rPr>
          <w:i/>
          <w:color w:val="555555"/>
          <w:sz w:val="18"/>
        </w:rPr>
        <w:t>Listing 4.4  isConfigured gate re-used by every AI consumer.</w:t>
      </w:r>
    </w:p>
    <w:p/>
    <w:p>
      <w:pPr>
        <w:pStyle w:val="Heading2"/>
      </w:pPr>
      <w:r>
        <w:t>4.15.3 Service-worker cache policy that protects AI responses</w:t>
      </w:r>
    </w:p>
    <w:p>
      <w:r>
        <w:rPr>
          <w:b w:val="0"/>
          <w:i w:val="0"/>
        </w:rPr>
        <w:t>public/sw.js implements four distinct caching strategies and deliberately partitions the cache. Static same-origin assets use cache-first; navigations use network-first with offline fallback; cross-origin API requests use a 15-minute TTL network-first policy with cache-timestamp tagging; other cross-origin requests use network-only. Critically, only GET requests are intercepted and AI hostnames are allow-listed — the Bearer-header SDK traffic cannot be served stale from this SW:</w:t>
      </w:r>
    </w:p>
    <w:tbl>
      <w:tblPr>
        <w:tblStyle w:val="TableGrid"/>
        <w:tblW w:type="auto" w:w="0"/>
        <w:tblLook w:firstColumn="1" w:firstRow="1" w:lastColumn="0" w:lastRow="0" w:noHBand="0" w:noVBand="1" w:val="04A0"/>
      </w:tblPr>
      <w:tblGrid>
        <w:gridCol w:w="9360"/>
      </w:tblGrid>
      <w:tr>
        <w:tc>
          <w:tcPr>
            <w:tcW w:type="dxa" w:w="9360"/>
            <w:shd w:val="clear" w:fill="F4F6F4"/>
          </w:tcPr>
          <w:p>
            <w:pPr>
              <w:spacing w:after="0" w:line="240" w:lineRule="auto"/>
            </w:pPr>
            <w:r/>
            <w:r>
              <w:rPr>
                <w:rFonts w:ascii="Consolas" w:hAnsi="Consolas"/>
                <w:sz w:val="18"/>
              </w:rPr>
              <w:t>// public/sw.js</w:t>
            </w:r>
          </w:p>
          <w:p>
            <w:pPr>
              <w:spacing w:after="0" w:line="240" w:lineRule="auto"/>
            </w:pPr>
            <w:r>
              <w:rPr>
                <w:rFonts w:ascii="Consolas" w:hAnsi="Consolas"/>
                <w:sz w:val="18"/>
              </w:rPr>
              <w:t>self.addEventListener('fetch', (event) =&gt; {</w:t>
            </w:r>
          </w:p>
          <w:p>
            <w:pPr>
              <w:spacing w:after="0" w:line="240" w:lineRule="auto"/>
            </w:pPr>
            <w:r>
              <w:rPr>
                <w:rFonts w:ascii="Consolas" w:hAnsi="Consolas"/>
                <w:sz w:val="18"/>
              </w:rPr>
              <w:t xml:space="preserve">  const { request } = event;</w:t>
            </w:r>
          </w:p>
          <w:p>
            <w:pPr>
              <w:spacing w:after="0" w:line="240" w:lineRule="auto"/>
            </w:pPr>
            <w:r>
              <w:rPr>
                <w:rFonts w:ascii="Consolas" w:hAnsi="Consolas"/>
                <w:sz w:val="18"/>
              </w:rPr>
              <w:t xml:space="preserve">  const url = new URL(request.url);</w:t>
            </w:r>
          </w:p>
          <w:p>
            <w:pPr>
              <w:spacing w:after="0" w:line="240" w:lineRule="auto"/>
            </w:pPr>
            <w:r>
              <w:rPr>
                <w:rFonts w:ascii="Consolas" w:hAnsi="Consolas"/>
                <w:sz w:val="18"/>
              </w:rPr>
              <w:t xml:space="preserve">  if (request.method !== 'GET') return;            // never cache POSTs</w:t>
            </w:r>
          </w:p>
          <w:p>
            <w:pPr>
              <w:spacing w:after="0" w:line="240" w:lineRule="auto"/>
            </w:pPr>
            <w:r>
              <w:rPr>
                <w:rFonts w:ascii="Consolas" w:hAnsi="Consolas"/>
                <w:sz w:val="18"/>
              </w:rPr>
              <w:t xml:space="preserve">  if (url.origin !== self.location.origin) {</w:t>
            </w:r>
          </w:p>
          <w:p>
            <w:pPr>
              <w:spacing w:after="0" w:line="240" w:lineRule="auto"/>
            </w:pPr>
            <w:r>
              <w:rPr>
                <w:rFonts w:ascii="Consolas" w:hAnsi="Consolas"/>
                <w:sz w:val="18"/>
              </w:rPr>
              <w:t xml:space="preserve">    if (isApiRequest(url)) {</w:t>
            </w:r>
          </w:p>
          <w:p>
            <w:pPr>
              <w:spacing w:after="0" w:line="240" w:lineRule="auto"/>
            </w:pPr>
            <w:r>
              <w:rPr>
                <w:rFonts w:ascii="Consolas" w:hAnsi="Consolas"/>
                <w:sz w:val="18"/>
              </w:rPr>
              <w:t xml:space="preserve">      event.respondWith(networkFirstWithApiCache(request));   // 15-min TTL</w:t>
            </w:r>
          </w:p>
          <w:p>
            <w:pPr>
              <w:spacing w:after="0" w:line="240" w:lineRule="auto"/>
            </w:pPr>
            <w:r>
              <w:rPr>
                <w:rFonts w:ascii="Consolas" w:hAnsi="Consolas"/>
                <w:sz w:val="18"/>
              </w:rPr>
              <w:t xml:space="preserve">      return;</w:t>
            </w:r>
          </w:p>
          <w:p>
            <w:pPr>
              <w:spacing w:after="0" w:line="240" w:lineRule="auto"/>
            </w:pPr>
            <w:r>
              <w:rPr>
                <w:rFonts w:ascii="Consolas" w:hAnsi="Consolas"/>
                <w:sz w:val="18"/>
              </w:rPr>
              <w:t xml:space="preserve">    }</w:t>
            </w:r>
          </w:p>
          <w:p>
            <w:pPr>
              <w:spacing w:after="0" w:line="240" w:lineRule="auto"/>
            </w:pPr>
            <w:r>
              <w:rPr>
                <w:rFonts w:ascii="Consolas" w:hAnsi="Consolas"/>
                <w:sz w:val="18"/>
              </w:rPr>
              <w:t xml:space="preserve">    event.respondWith(networkOnly(request));                  // no cache</w:t>
            </w:r>
          </w:p>
          <w:p>
            <w:pPr>
              <w:spacing w:after="0" w:line="240" w:lineRule="auto"/>
            </w:pPr>
            <w:r>
              <w:rPr>
                <w:rFonts w:ascii="Consolas" w:hAnsi="Consolas"/>
                <w:sz w:val="18"/>
              </w:rPr>
              <w:t xml:space="preserve">    return;</w:t>
            </w:r>
          </w:p>
          <w:p>
            <w:pPr>
              <w:spacing w:after="0" w:line="240" w:lineRule="auto"/>
            </w:pPr>
            <w:r>
              <w:rPr>
                <w:rFonts w:ascii="Consolas" w:hAnsi="Consolas"/>
                <w:sz w:val="18"/>
              </w:rPr>
              <w:t xml:space="preserve">  }</w:t>
            </w:r>
          </w:p>
          <w:p>
            <w:pPr>
              <w:spacing w:after="0" w:line="240" w:lineRule="auto"/>
            </w:pPr>
            <w:r>
              <w:rPr>
                <w:rFonts w:ascii="Consolas" w:hAnsi="Consolas"/>
                <w:sz w:val="18"/>
              </w:rPr>
              <w:t xml:space="preserve">  // ... same-origin strategies</w:t>
            </w:r>
          </w:p>
          <w:p>
            <w:pPr>
              <w:spacing w:after="0" w:line="240" w:lineRule="auto"/>
            </w:pPr>
            <w:r>
              <w:rPr>
                <w:rFonts w:ascii="Consolas" w:hAnsi="Consolas"/>
                <w:sz w:val="18"/>
              </w:rPr>
              <w:t>});</w:t>
            </w:r>
          </w:p>
          <w:p>
            <w:pPr>
              <w:spacing w:after="0" w:line="240" w:lineRule="auto"/>
            </w:pPr>
            <w:r>
              <w:rPr>
                <w:rFonts w:ascii="Consolas" w:hAnsi="Consolas"/>
                <w:sz w:val="18"/>
              </w:rPr>
              <w:t xml:space="preserve"> </w:t>
            </w:r>
          </w:p>
          <w:p>
            <w:pPr>
              <w:spacing w:after="0" w:line="240" w:lineRule="auto"/>
            </w:pPr>
            <w:r>
              <w:rPr>
                <w:rFonts w:ascii="Consolas" w:hAnsi="Consolas"/>
                <w:sz w:val="18"/>
              </w:rPr>
              <w:t>function isApiRequest(url) {</w:t>
            </w:r>
          </w:p>
          <w:p>
            <w:pPr>
              <w:spacing w:after="0" w:line="240" w:lineRule="auto"/>
            </w:pPr>
            <w:r>
              <w:rPr>
                <w:rFonts w:ascii="Consolas" w:hAnsi="Consolas"/>
                <w:sz w:val="18"/>
              </w:rPr>
              <w:t xml:space="preserve">  const apiHosts = [</w:t>
            </w:r>
          </w:p>
          <w:p>
            <w:pPr>
              <w:spacing w:after="0" w:line="240" w:lineRule="auto"/>
            </w:pPr>
            <w:r>
              <w:rPr>
                <w:rFonts w:ascii="Consolas" w:hAnsi="Consolas"/>
                <w:sz w:val="18"/>
              </w:rPr>
              <w:t xml:space="preserve">    'generativelanguage.googleapis.com',</w:t>
            </w:r>
          </w:p>
          <w:p>
            <w:pPr>
              <w:spacing w:after="0" w:line="240" w:lineRule="auto"/>
            </w:pPr>
            <w:r>
              <w:rPr>
                <w:rFonts w:ascii="Consolas" w:hAnsi="Consolas"/>
                <w:sz w:val="18"/>
              </w:rPr>
              <w:t xml:space="preserve">    'integrate.api.nvidia.com',</w:t>
            </w:r>
          </w:p>
          <w:p>
            <w:pPr>
              <w:spacing w:after="0" w:line="240" w:lineRule="auto"/>
            </w:pPr>
            <w:r>
              <w:rPr>
                <w:rFonts w:ascii="Consolas" w:hAnsi="Consolas"/>
                <w:sz w:val="18"/>
              </w:rPr>
              <w:t xml:space="preserve">    'api.openweathermap.org'</w:t>
            </w:r>
          </w:p>
          <w:p>
            <w:pPr>
              <w:spacing w:after="0" w:line="240" w:lineRule="auto"/>
            </w:pPr>
            <w:r>
              <w:rPr>
                <w:rFonts w:ascii="Consolas" w:hAnsi="Consolas"/>
                <w:sz w:val="18"/>
              </w:rPr>
              <w:t xml:space="preserve">  ];</w:t>
            </w:r>
          </w:p>
          <w:p>
            <w:pPr>
              <w:spacing w:after="0" w:line="240" w:lineRule="auto"/>
            </w:pPr>
            <w:r>
              <w:rPr>
                <w:rFonts w:ascii="Consolas" w:hAnsi="Consolas"/>
                <w:sz w:val="18"/>
              </w:rPr>
              <w:t xml:space="preserve">  return apiHosts.some((host) =&gt; url.hostname.includes(host));</w:t>
            </w:r>
          </w:p>
          <w:p>
            <w:pPr>
              <w:spacing w:after="0" w:line="240" w:lineRule="auto"/>
            </w:pPr>
            <w:r>
              <w:rPr>
                <w:rFonts w:ascii="Consolas" w:hAnsi="Consolas"/>
                <w:sz w:val="18"/>
              </w:rPr>
              <w:t>}</w:t>
            </w:r>
          </w:p>
        </w:tc>
      </w:tr>
    </w:tbl>
    <w:p>
      <w:pPr>
        <w:jc w:val="center"/>
      </w:pPr>
      <w:r>
        <w:rPr>
          <w:i/>
          <w:color w:val="555555"/>
          <w:sz w:val="18"/>
        </w:rPr>
        <w:t>Listing 4.5  Service-worker fetch routing and API allow-list in public/sw.js:34-68.</w:t>
      </w:r>
    </w:p>
    <w:p/>
    <w:p>
      <w:pPr>
        <w:pStyle w:val="Heading2"/>
      </w:pPr>
      <w:r>
        <w:t>4.15.4 Persistence-layer error isolation</w:t>
      </w:r>
    </w:p>
    <w:p>
      <w:r>
        <w:rPr>
          <w:b w:val="0"/>
          <w:i w:val="0"/>
        </w:rPr>
        <w:t>PersistenceService wraps every read in a try/catch and logs the failure to console.error before returning the supplied default, rather than throwing; a write failure (typically a quota error) returns false rather than crashing the caller. This pattern prevents a single corrupted key from bringing down the application:</w:t>
      </w:r>
    </w:p>
    <w:tbl>
      <w:tblPr>
        <w:tblStyle w:val="TableGrid"/>
        <w:tblW w:type="auto" w:w="0"/>
        <w:tblLook w:firstColumn="1" w:firstRow="1" w:lastColumn="0" w:lastRow="0" w:noHBand="0" w:noVBand="1" w:val="04A0"/>
      </w:tblPr>
      <w:tblGrid>
        <w:gridCol w:w="9360"/>
      </w:tblGrid>
      <w:tr>
        <w:tc>
          <w:tcPr>
            <w:tcW w:type="dxa" w:w="9360"/>
            <w:shd w:val="clear" w:fill="F4F6F4"/>
          </w:tcPr>
          <w:p>
            <w:pPr>
              <w:spacing w:after="0" w:line="240" w:lineRule="auto"/>
            </w:pPr>
            <w:r/>
            <w:r>
              <w:rPr>
                <w:rFonts w:ascii="Consolas" w:hAnsi="Consolas"/>
                <w:sz w:val="18"/>
              </w:rPr>
              <w:t>// services/persistence.ts</w:t>
            </w:r>
          </w:p>
          <w:p>
            <w:pPr>
              <w:spacing w:after="0" w:line="240" w:lineRule="auto"/>
            </w:pPr>
            <w:r>
              <w:rPr>
                <w:rFonts w:ascii="Consolas" w:hAnsi="Consolas"/>
                <w:sz w:val="18"/>
              </w:rPr>
              <w:t>private getItem&lt;T&gt;(key: string, defaultValue: T): T {</w:t>
            </w:r>
          </w:p>
          <w:p>
            <w:pPr>
              <w:spacing w:after="0" w:line="240" w:lineRule="auto"/>
            </w:pPr>
            <w:r>
              <w:rPr>
                <w:rFonts w:ascii="Consolas" w:hAnsi="Consolas"/>
                <w:sz w:val="18"/>
              </w:rPr>
              <w:t xml:space="preserve">  try {</w:t>
            </w:r>
          </w:p>
          <w:p>
            <w:pPr>
              <w:spacing w:after="0" w:line="240" w:lineRule="auto"/>
            </w:pPr>
            <w:r>
              <w:rPr>
                <w:rFonts w:ascii="Consolas" w:hAnsi="Consolas"/>
                <w:sz w:val="18"/>
              </w:rPr>
              <w:t xml:space="preserve">    const item = localStorage.getItem(key);</w:t>
            </w:r>
          </w:p>
          <w:p>
            <w:pPr>
              <w:spacing w:after="0" w:line="240" w:lineRule="auto"/>
            </w:pPr>
            <w:r>
              <w:rPr>
                <w:rFonts w:ascii="Consolas" w:hAnsi="Consolas"/>
                <w:sz w:val="18"/>
              </w:rPr>
              <w:t xml:space="preserve">    return item ? JSON.parse(item) : defaultValue;</w:t>
            </w:r>
          </w:p>
          <w:p>
            <w:pPr>
              <w:spacing w:after="0" w:line="240" w:lineRule="auto"/>
            </w:pPr>
            <w:r>
              <w:rPr>
                <w:rFonts w:ascii="Consolas" w:hAnsi="Consolas"/>
                <w:sz w:val="18"/>
              </w:rPr>
              <w:t xml:space="preserve">  } catch (error) {</w:t>
            </w:r>
          </w:p>
          <w:p>
            <w:pPr>
              <w:spacing w:after="0" w:line="240" w:lineRule="auto"/>
            </w:pPr>
            <w:r>
              <w:rPr>
                <w:rFonts w:ascii="Consolas" w:hAnsi="Consolas"/>
                <w:sz w:val="18"/>
              </w:rPr>
              <w:t xml:space="preserve">    console.error(`[DB Read Error] Key: ${key}`, error);</w:t>
            </w:r>
          </w:p>
          <w:p>
            <w:pPr>
              <w:spacing w:after="0" w:line="240" w:lineRule="auto"/>
            </w:pPr>
            <w:r>
              <w:rPr>
                <w:rFonts w:ascii="Consolas" w:hAnsi="Consolas"/>
                <w:sz w:val="18"/>
              </w:rPr>
              <w:t xml:space="preserve">    return defaultValue;</w:t>
            </w:r>
          </w:p>
          <w:p>
            <w:pPr>
              <w:spacing w:after="0" w:line="240" w:lineRule="auto"/>
            </w:pPr>
            <w:r>
              <w:rPr>
                <w:rFonts w:ascii="Consolas" w:hAnsi="Consolas"/>
                <w:sz w:val="18"/>
              </w:rPr>
              <w:t xml:space="preserve">  }</w:t>
            </w:r>
          </w:p>
          <w:p>
            <w:pPr>
              <w:spacing w:after="0" w:line="240" w:lineRule="auto"/>
            </w:pPr>
            <w:r>
              <w:rPr>
                <w:rFonts w:ascii="Consolas" w:hAnsi="Consolas"/>
                <w:sz w:val="18"/>
              </w:rPr>
              <w:t>}</w:t>
            </w:r>
          </w:p>
          <w:p>
            <w:pPr>
              <w:spacing w:after="0" w:line="240" w:lineRule="auto"/>
            </w:pPr>
            <w:r>
              <w:rPr>
                <w:rFonts w:ascii="Consolas" w:hAnsi="Consolas"/>
                <w:sz w:val="18"/>
              </w:rPr>
              <w:t xml:space="preserve"> </w:t>
            </w:r>
          </w:p>
          <w:p>
            <w:pPr>
              <w:spacing w:after="0" w:line="240" w:lineRule="auto"/>
            </w:pPr>
            <w:r>
              <w:rPr>
                <w:rFonts w:ascii="Consolas" w:hAnsi="Consolas"/>
                <w:sz w:val="18"/>
              </w:rPr>
              <w:t>private setItem&lt;T&gt;(key: string, value: T): boolean {</w:t>
            </w:r>
          </w:p>
          <w:p>
            <w:pPr>
              <w:spacing w:after="0" w:line="240" w:lineRule="auto"/>
            </w:pPr>
            <w:r>
              <w:rPr>
                <w:rFonts w:ascii="Consolas" w:hAnsi="Consolas"/>
                <w:sz w:val="18"/>
              </w:rPr>
              <w:t xml:space="preserve">  try {</w:t>
            </w:r>
          </w:p>
          <w:p>
            <w:pPr>
              <w:spacing w:after="0" w:line="240" w:lineRule="auto"/>
            </w:pPr>
            <w:r>
              <w:rPr>
                <w:rFonts w:ascii="Consolas" w:hAnsi="Consolas"/>
                <w:sz w:val="18"/>
              </w:rPr>
              <w:t xml:space="preserve">    localStorage.setItem(key, JSON.stringify(value));</w:t>
            </w:r>
          </w:p>
          <w:p>
            <w:pPr>
              <w:spacing w:after="0" w:line="240" w:lineRule="auto"/>
            </w:pPr>
            <w:r>
              <w:rPr>
                <w:rFonts w:ascii="Consolas" w:hAnsi="Consolas"/>
                <w:sz w:val="18"/>
              </w:rPr>
              <w:t xml:space="preserve">    return true;</w:t>
            </w:r>
          </w:p>
          <w:p>
            <w:pPr>
              <w:spacing w:after="0" w:line="240" w:lineRule="auto"/>
            </w:pPr>
            <w:r>
              <w:rPr>
                <w:rFonts w:ascii="Consolas" w:hAnsi="Consolas"/>
                <w:sz w:val="18"/>
              </w:rPr>
              <w:t xml:space="preserve">  } catch (error) {</w:t>
            </w:r>
          </w:p>
          <w:p>
            <w:pPr>
              <w:spacing w:after="0" w:line="240" w:lineRule="auto"/>
            </w:pPr>
            <w:r>
              <w:rPr>
                <w:rFonts w:ascii="Consolas" w:hAnsi="Consolas"/>
                <w:sz w:val="18"/>
              </w:rPr>
              <w:t xml:space="preserve">    console.error(`[DB Write Error] Key: ${key}`, error);</w:t>
            </w:r>
          </w:p>
          <w:p>
            <w:pPr>
              <w:spacing w:after="0" w:line="240" w:lineRule="auto"/>
            </w:pPr>
            <w:r>
              <w:rPr>
                <w:rFonts w:ascii="Consolas" w:hAnsi="Consolas"/>
                <w:sz w:val="18"/>
              </w:rPr>
              <w:t xml:space="preserve">    return false;</w:t>
            </w:r>
          </w:p>
          <w:p>
            <w:pPr>
              <w:spacing w:after="0" w:line="240" w:lineRule="auto"/>
            </w:pPr>
            <w:r>
              <w:rPr>
                <w:rFonts w:ascii="Consolas" w:hAnsi="Consolas"/>
                <w:sz w:val="18"/>
              </w:rPr>
              <w:t xml:space="preserve">  }</w:t>
            </w:r>
          </w:p>
          <w:p>
            <w:pPr>
              <w:spacing w:after="0" w:line="240" w:lineRule="auto"/>
            </w:pPr>
            <w:r>
              <w:rPr>
                <w:rFonts w:ascii="Consolas" w:hAnsi="Consolas"/>
                <w:sz w:val="18"/>
              </w:rPr>
              <w:t>}</w:t>
            </w:r>
          </w:p>
        </w:tc>
      </w:tr>
    </w:tbl>
    <w:p>
      <w:pPr>
        <w:jc w:val="center"/>
      </w:pPr>
      <w:r>
        <w:rPr>
          <w:i/>
          <w:color w:val="555555"/>
          <w:sz w:val="18"/>
        </w:rPr>
        <w:t>Listing 4.6  PersistenceService defensive read/write in services/persistence.ts:46-65.</w:t>
      </w:r>
    </w:p>
    <w:p/>
    <w:p>
      <w:r>
        <w:rPr>
          <w:b w:val="0"/>
          <w:i w:val="0"/>
        </w:rPr>
        <w:t>Migration-on-read defaults also defend against incomplete persisted state — new fields added late (biodiversityScore, priority, status, grazingType) get sensible defaults so old persisted records do not break new UI:</w:t>
      </w:r>
    </w:p>
    <w:tbl>
      <w:tblPr>
        <w:tblStyle w:val="TableGrid"/>
        <w:tblW w:type="auto" w:w="0"/>
        <w:tblLook w:firstColumn="1" w:firstRow="1" w:lastColumn="0" w:lastRow="0" w:noHBand="0" w:noVBand="1" w:val="04A0"/>
      </w:tblPr>
      <w:tblGrid>
        <w:gridCol w:w="9360"/>
      </w:tblGrid>
      <w:tr>
        <w:tc>
          <w:tcPr>
            <w:tcW w:type="dxa" w:w="9360"/>
            <w:shd w:val="clear" w:fill="F4F6F4"/>
          </w:tcPr>
          <w:p>
            <w:pPr>
              <w:spacing w:after="0" w:line="240" w:lineRule="auto"/>
            </w:pPr>
            <w:r/>
            <w:r>
              <w:rPr>
                <w:rFonts w:ascii="Consolas" w:hAnsi="Consolas"/>
                <w:sz w:val="18"/>
              </w:rPr>
              <w:t>// services/persistence.ts — getCrops migration example (truncated)</w:t>
            </w:r>
          </w:p>
          <w:p>
            <w:pPr>
              <w:spacing w:after="0" w:line="240" w:lineRule="auto"/>
            </w:pPr>
            <w:r>
              <w:rPr>
                <w:rFonts w:ascii="Consolas" w:hAnsi="Consolas"/>
                <w:sz w:val="18"/>
              </w:rPr>
              <w:t>const crops = this.getItem&lt;Crop[]&gt;(DB_KEYS.CROPS, []);</w:t>
            </w:r>
          </w:p>
          <w:p>
            <w:pPr>
              <w:spacing w:after="0" w:line="240" w:lineRule="auto"/>
            </w:pPr>
            <w:r>
              <w:rPr>
                <w:rFonts w:ascii="Consolas" w:hAnsi="Consolas"/>
                <w:sz w:val="18"/>
              </w:rPr>
              <w:t>return crops.map(c =&gt; ({</w:t>
            </w:r>
          </w:p>
          <w:p>
            <w:pPr>
              <w:spacing w:after="0" w:line="240" w:lineRule="auto"/>
            </w:pPr>
            <w:r>
              <w:rPr>
                <w:rFonts w:ascii="Consolas" w:hAnsi="Consolas"/>
                <w:sz w:val="18"/>
              </w:rPr>
              <w:t xml:space="preserve">  biodiversityScore: 0,                          // default for older records</w:t>
            </w:r>
          </w:p>
          <w:p>
            <w:pPr>
              <w:spacing w:after="0" w:line="240" w:lineRule="auto"/>
            </w:pPr>
            <w:r>
              <w:rPr>
                <w:rFonts w:ascii="Consolas" w:hAnsi="Consolas"/>
                <w:sz w:val="18"/>
              </w:rPr>
              <w:t xml:space="preserve">  imageUrl: c.imageUrl || '',</w:t>
            </w:r>
          </w:p>
          <w:p>
            <w:pPr>
              <w:spacing w:after="0" w:line="240" w:lineRule="auto"/>
            </w:pPr>
            <w:r>
              <w:rPr>
                <w:rFonts w:ascii="Consolas" w:hAnsi="Consolas"/>
                <w:sz w:val="18"/>
              </w:rPr>
              <w:t xml:space="preserve">  soilHealth: c.soilHealth || 'Unknown',</w:t>
            </w:r>
          </w:p>
          <w:p>
            <w:pPr>
              <w:spacing w:after="0" w:line="240" w:lineRule="auto"/>
            </w:pPr>
            <w:r>
              <w:rPr>
                <w:rFonts w:ascii="Consolas" w:hAnsi="Consolas"/>
                <w:sz w:val="18"/>
              </w:rPr>
              <w:t xml:space="preserve">  waterEfficiency: c.waterEfficiency || 'Moderate',</w:t>
            </w:r>
          </w:p>
          <w:p>
            <w:pPr>
              <w:spacing w:after="0" w:line="240" w:lineRule="auto"/>
            </w:pPr>
            <w:r>
              <w:rPr>
                <w:rFonts w:ascii="Consolas" w:hAnsi="Consolas"/>
                <w:sz w:val="18"/>
              </w:rPr>
              <w:t xml:space="preserve">  ...c,</w:t>
            </w:r>
          </w:p>
          <w:p>
            <w:pPr>
              <w:spacing w:after="0" w:line="240" w:lineRule="auto"/>
            </w:pPr>
            <w:r>
              <w:rPr>
                <w:rFonts w:ascii="Consolas" w:hAnsi="Consolas"/>
                <w:sz w:val="18"/>
              </w:rPr>
              <w:t>}));</w:t>
            </w:r>
          </w:p>
        </w:tc>
      </w:tr>
    </w:tbl>
    <w:p>
      <w:pPr>
        <w:jc w:val="center"/>
      </w:pPr>
      <w:r>
        <w:rPr>
          <w:i/>
          <w:color w:val="555555"/>
          <w:sz w:val="18"/>
        </w:rPr>
        <w:t>Listing 4.7  Migration-on-read defaults in services/persistence.ts (getCrops).</w:t>
      </w:r>
    </w:p>
    <w:p/>
    <w:p>
      <w:pPr>
        <w:pStyle w:val="Heading2"/>
      </w:pPr>
      <w:r>
        <w:t>4.15.5 Client-side session state and input handling</w:t>
      </w:r>
    </w:p>
    <w:p>
      <w:r>
        <w:rPr>
          <w:b w:val="0"/>
          <w:i w:val="0"/>
        </w:rPr>
        <w:t>Sign-in compares a stored credential blob under 'agriflow_credentials' with the submitted email and password. Sign-up validation enforces an email regex, a 6-character password minimum, a matching confirmation and a required country. Navigation targets are allow-listed against the NavigationTab enum before the hash is rewritten:</w:t>
      </w:r>
    </w:p>
    <w:tbl>
      <w:tblPr>
        <w:tblStyle w:val="TableGrid"/>
        <w:tblW w:type="auto" w:w="0"/>
        <w:tblLook w:firstColumn="1" w:firstRow="1" w:lastColumn="0" w:lastRow="0" w:noHBand="0" w:noVBand="1" w:val="04A0"/>
      </w:tblPr>
      <w:tblGrid>
        <w:gridCol w:w="9360"/>
      </w:tblGrid>
      <w:tr>
        <w:tc>
          <w:tcPr>
            <w:tcW w:type="dxa" w:w="9360"/>
            <w:shd w:val="clear" w:fill="F4F6F4"/>
          </w:tcPr>
          <w:p>
            <w:pPr>
              <w:spacing w:after="0" w:line="240" w:lineRule="auto"/>
            </w:pPr>
            <w:r/>
            <w:r>
              <w:rPr>
                <w:rFonts w:ascii="Consolas" w:hAnsi="Consolas"/>
                <w:sz w:val="18"/>
              </w:rPr>
              <w:t>// contexts/FarmContext.tsx — navigate() allow-list (lines 308-320)</w:t>
            </w:r>
          </w:p>
          <w:p>
            <w:pPr>
              <w:spacing w:after="0" w:line="240" w:lineRule="auto"/>
            </w:pPr>
            <w:r>
              <w:rPr>
                <w:rFonts w:ascii="Consolas" w:hAnsi="Consolas"/>
                <w:sz w:val="18"/>
              </w:rPr>
              <w:t>const VALID_TABS = new Set(Object.values(NavigationTab));</w:t>
            </w:r>
          </w:p>
          <w:p>
            <w:pPr>
              <w:spacing w:after="0" w:line="240" w:lineRule="auto"/>
            </w:pPr>
            <w:r>
              <w:rPr>
                <w:rFonts w:ascii="Consolas" w:hAnsi="Consolas"/>
                <w:sz w:val="18"/>
              </w:rPr>
              <w:t>const navigate = useCallback((view: NavigationTab) =&gt; {</w:t>
            </w:r>
          </w:p>
          <w:p>
            <w:pPr>
              <w:spacing w:after="0" w:line="240" w:lineRule="auto"/>
            </w:pPr>
            <w:r>
              <w:rPr>
                <w:rFonts w:ascii="Consolas" w:hAnsi="Consolas"/>
                <w:sz w:val="18"/>
              </w:rPr>
              <w:t xml:space="preserve">  if (!VALID_TABS.has(view)) {</w:t>
            </w:r>
          </w:p>
          <w:p>
            <w:pPr>
              <w:spacing w:after="0" w:line="240" w:lineRule="auto"/>
            </w:pPr>
            <w:r>
              <w:rPr>
                <w:rFonts w:ascii="Consolas" w:hAnsi="Consolas"/>
                <w:sz w:val="18"/>
              </w:rPr>
              <w:t xml:space="preserve">    console.warn(`[AgriFlow] Invalid navigation target: "${view}"`);</w:t>
            </w:r>
          </w:p>
          <w:p>
            <w:pPr>
              <w:spacing w:after="0" w:line="240" w:lineRule="auto"/>
            </w:pPr>
            <w:r>
              <w:rPr>
                <w:rFonts w:ascii="Consolas" w:hAnsi="Consolas"/>
                <w:sz w:val="18"/>
              </w:rPr>
              <w:t xml:space="preserve">    view = NavigationTab.DASHBOARD;</w:t>
            </w:r>
          </w:p>
          <w:p>
            <w:pPr>
              <w:spacing w:after="0" w:line="240" w:lineRule="auto"/>
            </w:pPr>
            <w:r>
              <w:rPr>
                <w:rFonts w:ascii="Consolas" w:hAnsi="Consolas"/>
                <w:sz w:val="18"/>
              </w:rPr>
              <w:t xml:space="preserve">  }</w:t>
            </w:r>
          </w:p>
          <w:p>
            <w:pPr>
              <w:spacing w:after="0" w:line="240" w:lineRule="auto"/>
            </w:pPr>
            <w:r>
              <w:rPr>
                <w:rFonts w:ascii="Consolas" w:hAnsi="Consolas"/>
                <w:sz w:val="18"/>
              </w:rPr>
              <w:t xml:space="preserve">  setCurrentView(view);</w:t>
            </w:r>
          </w:p>
          <w:p>
            <w:pPr>
              <w:spacing w:after="0" w:line="240" w:lineRule="auto"/>
            </w:pPr>
            <w:r>
              <w:rPr>
                <w:rFonts w:ascii="Consolas" w:hAnsi="Consolas"/>
                <w:sz w:val="18"/>
              </w:rPr>
              <w:t xml:space="preserve">  window.history.pushState(null, '', `#${VIEW_HASH[view] || 'dashboard'}`);</w:t>
            </w:r>
          </w:p>
          <w:p>
            <w:pPr>
              <w:spacing w:after="0" w:line="240" w:lineRule="auto"/>
            </w:pPr>
            <w:r>
              <w:rPr>
                <w:rFonts w:ascii="Consolas" w:hAnsi="Consolas"/>
                <w:sz w:val="18"/>
              </w:rPr>
              <w:t>}, []);</w:t>
            </w:r>
          </w:p>
        </w:tc>
      </w:tr>
    </w:tbl>
    <w:p>
      <w:pPr>
        <w:jc w:val="center"/>
      </w:pPr>
      <w:r>
        <w:rPr>
          <w:i/>
          <w:color w:val="555555"/>
          <w:sz w:val="18"/>
        </w:rPr>
        <w:t>Listing 4.8  Navigation allow-list in contexts/FarmContext.tsx:308-320.</w:t>
      </w:r>
    </w:p>
    <w:p/>
    <w:p>
      <w:r>
        <w:rPr>
          <w:b w:val="0"/>
          <w:i w:val="0"/>
        </w:rPr>
        <w:t>Voice-driven navigation re-validates the destination:</w:t>
      </w:r>
    </w:p>
    <w:tbl>
      <w:tblPr>
        <w:tblStyle w:val="TableGrid"/>
        <w:tblW w:type="auto" w:w="0"/>
        <w:tblLook w:firstColumn="1" w:firstRow="1" w:lastColumn="0" w:lastRow="0" w:noHBand="0" w:noVBand="1" w:val="04A0"/>
      </w:tblPr>
      <w:tblGrid>
        <w:gridCol w:w="9360"/>
      </w:tblGrid>
      <w:tr>
        <w:tc>
          <w:tcPr>
            <w:tcW w:type="dxa" w:w="9360"/>
            <w:shd w:val="clear" w:fill="F4F6F4"/>
          </w:tcPr>
          <w:p>
            <w:pPr>
              <w:spacing w:after="0" w:line="240" w:lineRule="auto"/>
            </w:pPr>
            <w:r/>
            <w:r>
              <w:rPr>
                <w:rFonts w:ascii="Consolas" w:hAnsi="Consolas"/>
                <w:sz w:val="18"/>
              </w:rPr>
              <w:t>// components/VoiceAgent.tsx — tool-call dispatcher (excerpt)</w:t>
            </w:r>
          </w:p>
          <w:p>
            <w:pPr>
              <w:spacing w:after="0" w:line="240" w:lineRule="auto"/>
            </w:pPr>
            <w:r>
              <w:rPr>
                <w:rFonts w:ascii="Consolas" w:hAnsi="Consolas"/>
                <w:sz w:val="18"/>
              </w:rPr>
              <w:t>if (name === 'navigateApp') {</w:t>
            </w:r>
          </w:p>
          <w:p>
            <w:pPr>
              <w:spacing w:after="0" w:line="240" w:lineRule="auto"/>
            </w:pPr>
            <w:r>
              <w:rPr>
                <w:rFonts w:ascii="Consolas" w:hAnsi="Consolas"/>
                <w:sz w:val="18"/>
              </w:rPr>
              <w:t xml:space="preserve">  const dest = (fc.args as any).destination;</w:t>
            </w:r>
          </w:p>
          <w:p>
            <w:pPr>
              <w:spacing w:after="0" w:line="240" w:lineRule="auto"/>
            </w:pPr>
            <w:r>
              <w:rPr>
                <w:rFonts w:ascii="Consolas" w:hAnsi="Consolas"/>
                <w:sz w:val="18"/>
              </w:rPr>
              <w:t xml:space="preserve">  if (Object.values(NavigationTab).includes(dest)) {</w:t>
            </w:r>
          </w:p>
          <w:p>
            <w:pPr>
              <w:spacing w:after="0" w:line="240" w:lineRule="auto"/>
            </w:pPr>
            <w:r>
              <w:rPr>
                <w:rFonts w:ascii="Consolas" w:hAnsi="Consolas"/>
                <w:sz w:val="18"/>
              </w:rPr>
              <w:t xml:space="preserve">    navigate(dest as NavigationTab);</w:t>
            </w:r>
          </w:p>
          <w:p>
            <w:pPr>
              <w:spacing w:after="0" w:line="240" w:lineRule="auto"/>
            </w:pPr>
            <w:r>
              <w:rPr>
                <w:rFonts w:ascii="Consolas" w:hAnsi="Consolas"/>
                <w:sz w:val="18"/>
              </w:rPr>
              <w:t xml:space="preserve">    result = { output: `Navigating to ${dest}.` };</w:t>
            </w:r>
          </w:p>
          <w:p>
            <w:pPr>
              <w:spacing w:after="0" w:line="240" w:lineRule="auto"/>
            </w:pPr>
            <w:r>
              <w:rPr>
                <w:rFonts w:ascii="Consolas" w:hAnsi="Consolas"/>
                <w:sz w:val="18"/>
              </w:rPr>
              <w:t xml:space="preserve">  } else {</w:t>
            </w:r>
          </w:p>
          <w:p>
            <w:pPr>
              <w:spacing w:after="0" w:line="240" w:lineRule="auto"/>
            </w:pPr>
            <w:r>
              <w:rPr>
                <w:rFonts w:ascii="Consolas" w:hAnsi="Consolas"/>
                <w:sz w:val="18"/>
              </w:rPr>
              <w:t xml:space="preserve">    result = { output: `Unknown destination: ${dest}` };</w:t>
            </w:r>
          </w:p>
          <w:p>
            <w:pPr>
              <w:spacing w:after="0" w:line="240" w:lineRule="auto"/>
            </w:pPr>
            <w:r>
              <w:rPr>
                <w:rFonts w:ascii="Consolas" w:hAnsi="Consolas"/>
                <w:sz w:val="18"/>
              </w:rPr>
              <w:t xml:space="preserve">  }</w:t>
            </w:r>
          </w:p>
          <w:p>
            <w:pPr>
              <w:spacing w:after="0" w:line="240" w:lineRule="auto"/>
            </w:pPr>
            <w:r>
              <w:rPr>
                <w:rFonts w:ascii="Consolas" w:hAnsi="Consolas"/>
                <w:sz w:val="18"/>
              </w:rPr>
              <w:t>}</w:t>
            </w:r>
          </w:p>
        </w:tc>
      </w:tr>
    </w:tbl>
    <w:p>
      <w:pPr>
        <w:jc w:val="center"/>
      </w:pPr>
      <w:r>
        <w:rPr>
          <w:i/>
          <w:color w:val="555555"/>
          <w:sz w:val="18"/>
        </w:rPr>
        <w:t>Listing 4.9  Voice-driven navigation allow-list in components/VoiceAgent.tsx.</w:t>
      </w:r>
    </w:p>
    <w:p/>
    <w:p>
      <w:pPr>
        <w:pStyle w:val="Heading2"/>
      </w:pPr>
      <w:r>
        <w:t>4.15.6 XSS prevention by construction</w:t>
      </w:r>
    </w:p>
    <w:p>
      <w:r>
        <w:rPr>
          <w:b w:val="0"/>
          <w:i w:val="0"/>
        </w:rPr>
        <w:t>A codebase-wide search for dangerouslySetInnerHTML, innerHTML, insertAdjacentHTML, outerHTML, eval and the Function constructor returns zero matches. Every user-supplied string is rendered as a JSX child interpolation, which React escapes on the way into the DOM. This is the single most important XSS mitigation in the app, and it is satisfied:</w:t>
      </w:r>
    </w:p>
    <w:tbl>
      <w:tblPr>
        <w:tblStyle w:val="TableGrid"/>
        <w:tblW w:type="auto" w:w="0"/>
        <w:tblLook w:firstColumn="1" w:firstRow="1" w:lastColumn="0" w:lastRow="0" w:noHBand="0" w:noVBand="1" w:val="04A0"/>
      </w:tblPr>
      <w:tblGrid>
        <w:gridCol w:w="9360"/>
      </w:tblGrid>
      <w:tr>
        <w:tc>
          <w:tcPr>
            <w:tcW w:type="dxa" w:w="9360"/>
            <w:shd w:val="clear" w:fill="F4F6F4"/>
          </w:tcPr>
          <w:p>
            <w:pPr>
              <w:spacing w:after="0" w:line="240" w:lineRule="auto"/>
            </w:pPr>
            <w:r/>
            <w:r>
              <w:rPr>
                <w:rFonts w:ascii="Consolas" w:hAnsi="Consolas"/>
                <w:sz w:val="18"/>
              </w:rPr>
              <w:t>// Example: user-generated post body rendered as a JSX child</w:t>
            </w:r>
          </w:p>
          <w:p>
            <w:pPr>
              <w:spacing w:after="0" w:line="240" w:lineRule="auto"/>
            </w:pPr>
            <w:r>
              <w:rPr>
                <w:rFonts w:ascii="Consolas" w:hAnsi="Consolas"/>
                <w:sz w:val="18"/>
              </w:rPr>
              <w:t>// (from components/community/FeedTab.tsx — illustrative)</w:t>
            </w:r>
          </w:p>
          <w:p>
            <w:pPr>
              <w:spacing w:after="0" w:line="240" w:lineRule="auto"/>
            </w:pPr>
            <w:r>
              <w:rPr>
                <w:rFonts w:ascii="Consolas" w:hAnsi="Consolas"/>
                <w:sz w:val="18"/>
              </w:rPr>
              <w:t>&lt;article&gt;</w:t>
            </w:r>
          </w:p>
          <w:p>
            <w:pPr>
              <w:spacing w:after="0" w:line="240" w:lineRule="auto"/>
            </w:pPr>
            <w:r>
              <w:rPr>
                <w:rFonts w:ascii="Consolas" w:hAnsi="Consolas"/>
                <w:sz w:val="18"/>
              </w:rPr>
              <w:t xml:space="preserve">  &lt;h3&gt;{post.title}&lt;/h3&gt;</w:t>
            </w:r>
          </w:p>
          <w:p>
            <w:pPr>
              <w:spacing w:after="0" w:line="240" w:lineRule="auto"/>
            </w:pPr>
            <w:r>
              <w:rPr>
                <w:rFonts w:ascii="Consolas" w:hAnsi="Consolas"/>
                <w:sz w:val="18"/>
              </w:rPr>
              <w:t xml:space="preserve">  &lt;p className="whitespace-pre-wrap"&gt;{post.content}&lt;/p&gt;</w:t>
            </w:r>
          </w:p>
          <w:p>
            <w:pPr>
              <w:spacing w:after="0" w:line="240" w:lineRule="auto"/>
            </w:pPr>
            <w:r>
              <w:rPr>
                <w:rFonts w:ascii="Consolas" w:hAnsi="Consolas"/>
                <w:sz w:val="18"/>
              </w:rPr>
              <w:t>&lt;/article&gt;</w:t>
            </w:r>
          </w:p>
          <w:p>
            <w:pPr>
              <w:spacing w:after="0" w:line="240" w:lineRule="auto"/>
            </w:pPr>
            <w:r>
              <w:rPr>
                <w:rFonts w:ascii="Consolas" w:hAnsi="Consolas"/>
                <w:sz w:val="18"/>
              </w:rPr>
              <w:t xml:space="preserve"> </w:t>
            </w:r>
          </w:p>
          <w:p>
            <w:pPr>
              <w:spacing w:after="0" w:line="240" w:lineRule="auto"/>
            </w:pPr>
            <w:r>
              <w:rPr>
                <w:rFonts w:ascii="Consolas" w:hAnsi="Consolas"/>
                <w:sz w:val="18"/>
              </w:rPr>
              <w:t>// React converts &lt;script&gt;...&lt;/script&gt; in post.content to the literal string</w:t>
            </w:r>
          </w:p>
          <w:p>
            <w:pPr>
              <w:spacing w:after="0" w:line="240" w:lineRule="auto"/>
            </w:pPr>
            <w:r>
              <w:rPr>
                <w:rFonts w:ascii="Consolas" w:hAnsi="Consolas"/>
                <w:sz w:val="18"/>
              </w:rPr>
              <w:t>// &lt;script&gt;...&lt;/script&gt; on the way into the DOM. No script executes.</w:t>
            </w:r>
          </w:p>
        </w:tc>
      </w:tr>
    </w:tbl>
    <w:p>
      <w:pPr>
        <w:jc w:val="center"/>
      </w:pPr>
      <w:r>
        <w:rPr>
          <w:i/>
          <w:color w:val="555555"/>
          <w:sz w:val="18"/>
        </w:rPr>
        <w:t>Listing 4.10  User content rendered as JSX children (no dangerouslySetInnerHTML).</w:t>
      </w:r>
    </w:p>
    <w:p/>
    <w:p>
      <w:r>
        <w:rPr>
          <w:b w:val="0"/>
          <w:i w:val="0"/>
        </w:rPr>
        <w:t>Image onError handlers always fall back to a hardcoded Unsplash or ui-avatars URL — never to a user-controlled string:</w:t>
      </w:r>
    </w:p>
    <w:tbl>
      <w:tblPr>
        <w:tblStyle w:val="TableGrid"/>
        <w:tblW w:type="auto" w:w="0"/>
        <w:tblLook w:firstColumn="1" w:firstRow="1" w:lastColumn="0" w:lastRow="0" w:noHBand="0" w:noVBand="1" w:val="04A0"/>
      </w:tblPr>
      <w:tblGrid>
        <w:gridCol w:w="9360"/>
      </w:tblGrid>
      <w:tr>
        <w:tc>
          <w:tcPr>
            <w:tcW w:type="dxa" w:w="9360"/>
            <w:shd w:val="clear" w:fill="F4F6F4"/>
          </w:tcPr>
          <w:p>
            <w:pPr>
              <w:spacing w:after="0" w:line="240" w:lineRule="auto"/>
            </w:pPr>
            <w:r/>
            <w:r>
              <w:rPr>
                <w:rFonts w:ascii="Consolas" w:hAnsi="Consolas"/>
                <w:sz w:val="18"/>
              </w:rPr>
              <w:t>// App.tsx:392-403 — global header avatar fallback</w:t>
            </w:r>
          </w:p>
          <w:p>
            <w:pPr>
              <w:spacing w:after="0" w:line="240" w:lineRule="auto"/>
            </w:pPr>
            <w:r>
              <w:rPr>
                <w:rFonts w:ascii="Consolas" w:hAnsi="Consolas"/>
                <w:sz w:val="18"/>
              </w:rPr>
              <w:t>&lt;img</w:t>
            </w:r>
          </w:p>
          <w:p>
            <w:pPr>
              <w:spacing w:after="0" w:line="240" w:lineRule="auto"/>
            </w:pPr>
            <w:r>
              <w:rPr>
                <w:rFonts w:ascii="Consolas" w:hAnsi="Consolas"/>
                <w:sz w:val="18"/>
              </w:rPr>
              <w:t xml:space="preserve">  src={userProfile.avatar}</w:t>
            </w:r>
          </w:p>
          <w:p>
            <w:pPr>
              <w:spacing w:after="0" w:line="240" w:lineRule="auto"/>
            </w:pPr>
            <w:r>
              <w:rPr>
                <w:rFonts w:ascii="Consolas" w:hAnsi="Consolas"/>
                <w:sz w:val="18"/>
              </w:rPr>
              <w:t xml:space="preserve">  onError={(e) =&gt; {</w:t>
            </w:r>
          </w:p>
          <w:p>
            <w:pPr>
              <w:spacing w:after="0" w:line="240" w:lineRule="auto"/>
            </w:pPr>
            <w:r>
              <w:rPr>
                <w:rFonts w:ascii="Consolas" w:hAnsi="Consolas"/>
                <w:sz w:val="18"/>
              </w:rPr>
              <w:t xml:space="preserve">    e.currentTarget.src =</w:t>
            </w:r>
          </w:p>
          <w:p>
            <w:pPr>
              <w:spacing w:after="0" w:line="240" w:lineRule="auto"/>
            </w:pPr>
            <w:r>
              <w:rPr>
                <w:rFonts w:ascii="Consolas" w:hAnsi="Consolas"/>
                <w:sz w:val="18"/>
              </w:rPr>
              <w:t xml:space="preserve">      `https://ui-avatars.com/api/?name=${encodeURIComponent(userProfile.name)}` +</w:t>
            </w:r>
          </w:p>
          <w:p>
            <w:pPr>
              <w:spacing w:after="0" w:line="240" w:lineRule="auto"/>
            </w:pPr>
            <w:r>
              <w:rPr>
                <w:rFonts w:ascii="Consolas" w:hAnsi="Consolas"/>
                <w:sz w:val="18"/>
              </w:rPr>
              <w:t xml:space="preserve">      `&amp;background=random`;</w:t>
            </w:r>
          </w:p>
          <w:p>
            <w:pPr>
              <w:spacing w:after="0" w:line="240" w:lineRule="auto"/>
            </w:pPr>
            <w:r>
              <w:rPr>
                <w:rFonts w:ascii="Consolas" w:hAnsi="Consolas"/>
                <w:sz w:val="18"/>
              </w:rPr>
              <w:t xml:space="preserve">  }}</w:t>
            </w:r>
          </w:p>
          <w:p>
            <w:pPr>
              <w:spacing w:after="0" w:line="240" w:lineRule="auto"/>
            </w:pPr>
            <w:r>
              <w:rPr>
                <w:rFonts w:ascii="Consolas" w:hAnsi="Consolas"/>
                <w:sz w:val="18"/>
              </w:rPr>
              <w:t>/&gt;</w:t>
            </w:r>
          </w:p>
        </w:tc>
      </w:tr>
    </w:tbl>
    <w:p>
      <w:pPr>
        <w:jc w:val="center"/>
      </w:pPr>
      <w:r>
        <w:rPr>
          <w:i/>
          <w:color w:val="555555"/>
          <w:sz w:val="18"/>
        </w:rPr>
        <w:t>Listing 4.11  Avatar onError fallback uses encodeURIComponent, never a user URL.</w:t>
      </w:r>
    </w:p>
    <w:p/>
    <w:p>
      <w:pPr>
        <w:pStyle w:val="Heading2"/>
      </w:pPr>
      <w:r>
        <w:t>4.15.7 Error containment</w:t>
      </w:r>
    </w:p>
    <w:p>
      <w:r>
        <w:rPr>
          <w:b w:val="0"/>
          <w:i w:val="0"/>
        </w:rPr>
        <w:t>Two React error boundaries are wired into the app. The global ErrorBoundary in index.tsx catches mount-time failures; the per-route RouteErrorBoundary in App.tsx confines a render-time crash to one screen while the rest of the app keeps running:</w:t>
      </w:r>
    </w:p>
    <w:tbl>
      <w:tblPr>
        <w:tblStyle w:val="TableGrid"/>
        <w:tblW w:type="auto" w:w="0"/>
        <w:tblLook w:firstColumn="1" w:firstRow="1" w:lastColumn="0" w:lastRow="0" w:noHBand="0" w:noVBand="1" w:val="04A0"/>
      </w:tblPr>
      <w:tblGrid>
        <w:gridCol w:w="9360"/>
      </w:tblGrid>
      <w:tr>
        <w:tc>
          <w:tcPr>
            <w:tcW w:type="dxa" w:w="9360"/>
            <w:shd w:val="clear" w:fill="F4F6F4"/>
          </w:tcPr>
          <w:p>
            <w:pPr>
              <w:spacing w:after="0" w:line="240" w:lineRule="auto"/>
            </w:pPr>
            <w:r/>
            <w:r>
              <w:rPr>
                <w:rFonts w:ascii="Consolas" w:hAnsi="Consolas"/>
                <w:sz w:val="18"/>
              </w:rPr>
              <w:t>// components/RouteErrorBoundary.tsx</w:t>
            </w:r>
          </w:p>
          <w:p>
            <w:pPr>
              <w:spacing w:after="0" w:line="240" w:lineRule="auto"/>
            </w:pPr>
            <w:r>
              <w:rPr>
                <w:rFonts w:ascii="Consolas" w:hAnsi="Consolas"/>
                <w:sz w:val="18"/>
              </w:rPr>
              <w:t>export class RouteErrorBoundary extends Component&lt;Props, State&gt; {</w:t>
            </w:r>
          </w:p>
          <w:p>
            <w:pPr>
              <w:spacing w:after="0" w:line="240" w:lineRule="auto"/>
            </w:pPr>
            <w:r>
              <w:rPr>
                <w:rFonts w:ascii="Consolas" w:hAnsi="Consolas"/>
                <w:sz w:val="18"/>
              </w:rPr>
              <w:t xml:space="preserve">  state = { hasError: false, error: null };</w:t>
            </w:r>
          </w:p>
          <w:p>
            <w:pPr>
              <w:spacing w:after="0" w:line="240" w:lineRule="auto"/>
            </w:pPr>
            <w:r>
              <w:rPr>
                <w:rFonts w:ascii="Consolas" w:hAnsi="Consolas"/>
                <w:sz w:val="18"/>
              </w:rPr>
              <w:t xml:space="preserve">  static getDerivedStateFromError(error: Error) {</w:t>
            </w:r>
          </w:p>
          <w:p>
            <w:pPr>
              <w:spacing w:after="0" w:line="240" w:lineRule="auto"/>
            </w:pPr>
            <w:r>
              <w:rPr>
                <w:rFonts w:ascii="Consolas" w:hAnsi="Consolas"/>
                <w:sz w:val="18"/>
              </w:rPr>
              <w:t xml:space="preserve">    return { hasError: true, error };</w:t>
            </w:r>
          </w:p>
          <w:p>
            <w:pPr>
              <w:spacing w:after="0" w:line="240" w:lineRule="auto"/>
            </w:pPr>
            <w:r>
              <w:rPr>
                <w:rFonts w:ascii="Consolas" w:hAnsi="Consolas"/>
                <w:sz w:val="18"/>
              </w:rPr>
              <w:t xml:space="preserve">  }</w:t>
            </w:r>
          </w:p>
          <w:p>
            <w:pPr>
              <w:spacing w:after="0" w:line="240" w:lineRule="auto"/>
            </w:pPr>
            <w:r>
              <w:rPr>
                <w:rFonts w:ascii="Consolas" w:hAnsi="Consolas"/>
                <w:sz w:val="18"/>
              </w:rPr>
              <w:t xml:space="preserve">  componentDidCatch(error: Error, info: ErrorInfo) {</w:t>
            </w:r>
          </w:p>
          <w:p>
            <w:pPr>
              <w:spacing w:after="0" w:line="240" w:lineRule="auto"/>
            </w:pPr>
            <w:r>
              <w:rPr>
                <w:rFonts w:ascii="Consolas" w:hAnsi="Consolas"/>
                <w:sz w:val="18"/>
              </w:rPr>
              <w:t xml:space="preserve">    console.error(`[RouteErrorBoundary:${error.name}]`, error, info);</w:t>
            </w:r>
          </w:p>
          <w:p>
            <w:pPr>
              <w:spacing w:after="0" w:line="240" w:lineRule="auto"/>
            </w:pPr>
            <w:r>
              <w:rPr>
                <w:rFonts w:ascii="Consolas" w:hAnsi="Consolas"/>
                <w:sz w:val="18"/>
              </w:rPr>
              <w:t xml:space="preserve">  }</w:t>
            </w:r>
          </w:p>
          <w:p>
            <w:pPr>
              <w:spacing w:after="0" w:line="240" w:lineRule="auto"/>
            </w:pPr>
            <w:r>
              <w:rPr>
                <w:rFonts w:ascii="Consolas" w:hAnsi="Consolas"/>
                <w:sz w:val="18"/>
              </w:rPr>
              <w:t xml:space="preserve">  handleRetry = () =&gt; this.setState({ hasError: false, error: null });</w:t>
            </w:r>
          </w:p>
          <w:p>
            <w:pPr>
              <w:spacing w:after="0" w:line="240" w:lineRule="auto"/>
            </w:pPr>
            <w:r>
              <w:rPr>
                <w:rFonts w:ascii="Consolas" w:hAnsi="Consolas"/>
                <w:sz w:val="18"/>
              </w:rPr>
              <w:t xml:space="preserve">  // render() shows a recovery UI with Retry / Go Home buttons</w:t>
            </w:r>
          </w:p>
          <w:p>
            <w:pPr>
              <w:spacing w:after="0" w:line="240" w:lineRule="auto"/>
            </w:pPr>
            <w:r>
              <w:rPr>
                <w:rFonts w:ascii="Consolas" w:hAnsi="Consolas"/>
                <w:sz w:val="18"/>
              </w:rPr>
              <w:t>}</w:t>
            </w:r>
          </w:p>
        </w:tc>
      </w:tr>
    </w:tbl>
    <w:p>
      <w:pPr>
        <w:jc w:val="center"/>
      </w:pPr>
      <w:r>
        <w:rPr>
          <w:i/>
          <w:color w:val="555555"/>
          <w:sz w:val="18"/>
        </w:rPr>
        <w:t>Listing 4.12  Per-route error boundary in components/RouteErrorBoundary.tsx.</w:t>
      </w:r>
    </w:p>
    <w:p/>
    <w:p>
      <w:pPr>
        <w:pStyle w:val="Heading2"/>
      </w:pPr>
      <w:r>
        <w:t>4.15.8 Microphone / camera / geolocation permission handling</w:t>
      </w:r>
    </w:p>
    <w:p>
      <w:r>
        <w:rPr>
          <w:b w:val="0"/>
          <w:i w:val="0"/>
        </w:rPr>
        <w:t>Geolocation is requested on first run with enableHighAccuracy and a 15-second timeout; every denial / unavailable / timeout error is mapped to a user-facing message stored in userLocation.error. The microphone is only requested after a user gesture (Call/Voice button) and after the isAIConfigured and hasLiveVoice preflight gates have both passed; on disconnect every MediaStreamTrack is stopped, every AudioBufferSourceNode is released, and the AudioContext is closed:</w:t>
      </w:r>
    </w:p>
    <w:tbl>
      <w:tblPr>
        <w:tblStyle w:val="TableGrid"/>
        <w:tblW w:type="auto" w:w="0"/>
        <w:tblLook w:firstColumn="1" w:firstRow="1" w:lastColumn="0" w:lastRow="0" w:noHBand="0" w:noVBand="1" w:val="04A0"/>
      </w:tblPr>
      <w:tblGrid>
        <w:gridCol w:w="9360"/>
      </w:tblGrid>
      <w:tr>
        <w:tc>
          <w:tcPr>
            <w:tcW w:type="dxa" w:w="9360"/>
            <w:shd w:val="clear" w:fill="F4F6F4"/>
          </w:tcPr>
          <w:p>
            <w:pPr>
              <w:spacing w:after="0" w:line="240" w:lineRule="auto"/>
            </w:pPr>
            <w:r/>
            <w:r>
              <w:rPr>
                <w:rFonts w:ascii="Consolas" w:hAnsi="Consolas"/>
                <w:sz w:val="18"/>
              </w:rPr>
              <w:t>// components/AIAdvisor.tsx — microphone teardown (illustrative)</w:t>
            </w:r>
          </w:p>
          <w:p>
            <w:pPr>
              <w:spacing w:after="0" w:line="240" w:lineRule="auto"/>
            </w:pPr>
            <w:r>
              <w:rPr>
                <w:rFonts w:ascii="Consolas" w:hAnsi="Consolas"/>
                <w:sz w:val="18"/>
              </w:rPr>
              <w:t>function endCall() {</w:t>
            </w:r>
          </w:p>
          <w:p>
            <w:pPr>
              <w:spacing w:after="0" w:line="240" w:lineRule="auto"/>
            </w:pPr>
            <w:r>
              <w:rPr>
                <w:rFonts w:ascii="Consolas" w:hAnsi="Consolas"/>
                <w:sz w:val="18"/>
              </w:rPr>
              <w:t xml:space="preserve">  mediaStreamRef.current?.getTracks().forEach(t =&gt; t.stop());</w:t>
            </w:r>
          </w:p>
          <w:p>
            <w:pPr>
              <w:spacing w:after="0" w:line="240" w:lineRule="auto"/>
            </w:pPr>
            <w:r>
              <w:rPr>
                <w:rFonts w:ascii="Consolas" w:hAnsi="Consolas"/>
                <w:sz w:val="18"/>
              </w:rPr>
              <w:t xml:space="preserve">  mediaStreamRef.current = null;</w:t>
            </w:r>
          </w:p>
          <w:p>
            <w:pPr>
              <w:spacing w:after="0" w:line="240" w:lineRule="auto"/>
            </w:pPr>
            <w:r>
              <w:rPr>
                <w:rFonts w:ascii="Consolas" w:hAnsi="Consolas"/>
                <w:sz w:val="18"/>
              </w:rPr>
              <w:t xml:space="preserve">  sourceNodeRef.current?.disconnect();</w:t>
            </w:r>
          </w:p>
          <w:p>
            <w:pPr>
              <w:spacing w:after="0" w:line="240" w:lineRule="auto"/>
            </w:pPr>
            <w:r>
              <w:rPr>
                <w:rFonts w:ascii="Consolas" w:hAnsi="Consolas"/>
                <w:sz w:val="18"/>
              </w:rPr>
              <w:t xml:space="preserve">  processorRef.current?.disconnect();</w:t>
            </w:r>
          </w:p>
          <w:p>
            <w:pPr>
              <w:spacing w:after="0" w:line="240" w:lineRule="auto"/>
            </w:pPr>
            <w:r>
              <w:rPr>
                <w:rFonts w:ascii="Consolas" w:hAnsi="Consolas"/>
                <w:sz w:val="18"/>
              </w:rPr>
              <w:t xml:space="preserve">  if (audioContextRef.current?.state !== 'closed') {</w:t>
            </w:r>
          </w:p>
          <w:p>
            <w:pPr>
              <w:spacing w:after="0" w:line="240" w:lineRule="auto"/>
            </w:pPr>
            <w:r>
              <w:rPr>
                <w:rFonts w:ascii="Consolas" w:hAnsi="Consolas"/>
                <w:sz w:val="18"/>
              </w:rPr>
              <w:t xml:space="preserve">    audioContextRef.current?.close().catch(() =&gt; {});</w:t>
            </w:r>
          </w:p>
          <w:p>
            <w:pPr>
              <w:spacing w:after="0" w:line="240" w:lineRule="auto"/>
            </w:pPr>
            <w:r>
              <w:rPr>
                <w:rFonts w:ascii="Consolas" w:hAnsi="Consolas"/>
                <w:sz w:val="18"/>
              </w:rPr>
              <w:t xml:space="preserve">  }</w:t>
            </w:r>
          </w:p>
          <w:p>
            <w:pPr>
              <w:spacing w:after="0" w:line="240" w:lineRule="auto"/>
            </w:pPr>
            <w:r>
              <w:rPr>
                <w:rFonts w:ascii="Consolas" w:hAnsi="Consolas"/>
                <w:sz w:val="18"/>
              </w:rPr>
              <w:t xml:space="preserve">  activeSourcesRef.current.forEach(s =&gt; { try { s.stop(); } catch {} });</w:t>
            </w:r>
          </w:p>
          <w:p>
            <w:pPr>
              <w:spacing w:after="0" w:line="240" w:lineRule="auto"/>
            </w:pPr>
            <w:r>
              <w:rPr>
                <w:rFonts w:ascii="Consolas" w:hAnsi="Consolas"/>
                <w:sz w:val="18"/>
              </w:rPr>
              <w:t xml:space="preserve">  activeSourcesRef.current.clear();</w:t>
            </w:r>
          </w:p>
          <w:p>
            <w:pPr>
              <w:spacing w:after="0" w:line="240" w:lineRule="auto"/>
            </w:pPr>
            <w:r>
              <w:rPr>
                <w:rFonts w:ascii="Consolas" w:hAnsi="Consolas"/>
                <w:sz w:val="18"/>
              </w:rPr>
              <w:t>}</w:t>
            </w:r>
          </w:p>
        </w:tc>
      </w:tr>
    </w:tbl>
    <w:p>
      <w:pPr>
        <w:jc w:val="center"/>
      </w:pPr>
      <w:r>
        <w:rPr>
          <w:i/>
          <w:color w:val="555555"/>
          <w:sz w:val="18"/>
        </w:rPr>
        <w:t>Listing 4.13  Microphone and Web Audio resource teardown in AIAdvisor / VoiceAgent.</w:t>
      </w:r>
    </w:p>
    <w:p/>
    <w:p>
      <w:r>
        <w:rPr>
          <w:b w:val="0"/>
          <w:i w:val="0"/>
        </w:rPr>
        <w:t>The Crop / Livestock scanner uses a file-input rather than a forced getUserMedia call (see Section 4.1.1) — the divergence from the planned live-camera path, justified on robustness grounds for low-end Android devices.</w:t>
      </w:r>
    </w:p>
    <w:p>
      <w:pPr>
        <w:pStyle w:val="Heading2"/>
      </w:pPr>
      <w:r>
        <w:t>4.15.9 Known weaknesses and their remediation routes</w:t>
      </w:r>
    </w:p>
    <w:p>
      <w:r>
        <w:rPr>
          <w:b w:val="0"/>
          <w:i w:val="0"/>
        </w:rPr>
        <w:t>Two weaknesses are documented honestly, both already conceded in Chapter Three Section 3.5.5.</w:t>
      </w:r>
    </w:p>
    <w:p>
      <w:pPr>
        <w:pStyle w:val="ListBullet"/>
      </w:pPr>
      <w:r>
        <w:t>Plaintext credential storage. agriflow_credentials stores {email, password} in localStorage in cleartext. This is inherent to a client-side demo with no identity backend; Chapter Three already conceded that production deployment would require Firebase Auth or Supabase Auth. The remediation path is to remove the credential write from App.tsx:210 and substitute the chosen identity provider at the single signIn/login seam in FarmContext.tsx. No other code change is required because the rest of the app consumes only userProfile and isSignedIn.</w:t>
      </w:r>
    </w:p>
    <w:p>
      <w:pPr>
        <w:pStyle w:val="ListBullet"/>
      </w:pPr>
      <w:r>
        <w:t>No Content-Security-Policy. index.html declares a theme-color, an apple-mobile-web-app-capable=yes, and a viewport meta with user-scalable=0 (the latter prevents zoom-bypass on iOS). It does not currently declare a CSP meta. The recommended baseline CSP for the next iteration is: default-src 'self'; script-src 'self'; connect-src 'self' https://generativelanguage.googleapis.com https://integrate.api.nvidia.com https://api.openweathermap.org; img-src 'self' data: https:; style-src 'self' 'unsafe-inline' https://fonts.googleapis.com; font-src 'self' https://fonts.gstatic.com; frame-src https://www.youtube.com. This would not break any current functionality and would close the residual script-injection surface.</w:t>
      </w:r>
    </w:p>
    <w:p>
      <w:pPr>
        <w:pStyle w:val="Heading1"/>
      </w:pPr>
      <w:r>
        <w:t>4.16 Demonstration Scenarios</w:t>
      </w:r>
    </w:p>
    <w:p>
      <w:r>
        <w:rPr>
          <w:b w:val="0"/>
          <w:i w:val="0"/>
        </w:rPr>
        <w:t>This section documents three end-to-end demonstration scenarios that exercise representative real-world use cases of AgriFlow 2.0. Each scenario follows the same template: a title and description, the initial conditions, the step-by-step actions performed, the expected output, the actual observed output with a screenshot figure reference, and a pass / fail assessment against the expected output.</w:t>
      </w:r>
    </w:p>
    <w:p>
      <w:pPr>
        <w:pStyle w:val="Heading2"/>
      </w:pPr>
      <w:r>
        <w:t>4.16.1 Scenario 1 — A new Nigerian farmer signs up and sees a localised dashboard</w:t>
      </w:r>
    </w:p>
    <w:p>
      <w:pPr>
        <w:pStyle w:val="Heading3"/>
      </w:pPr>
      <w:r>
        <w:t>4.16.1.1 Title and description</w:t>
      </w:r>
    </w:p>
    <w:p>
      <w:r>
        <w:rPr>
          <w:b w:val="0"/>
          <w:i w:val="0"/>
        </w:rPr>
        <w:t>A prospective farmer in Kaduna State, Nigeria, opens AgriFlow for the first time, signs up selecting Nigeria as country, mixed as farm type and hectares as area unit, and expects the Dashboard and every module to be pre-loaded with Nigerian crops, livestock, prices, alerts, modules and currency.</w:t>
      </w:r>
    </w:p>
    <w:p>
      <w:pPr>
        <w:pStyle w:val="Heading3"/>
      </w:pPr>
      <w:r>
        <w:t>4.16.1.2 Initial conditions</w:t>
      </w:r>
    </w:p>
    <w:p>
      <w:pPr>
        <w:pStyle w:val="ListBullet"/>
      </w:pPr>
      <w:r>
        <w:t>Clean browser profile (localStorage cleared), modern Chromium browser.</w:t>
      </w:r>
    </w:p>
    <w:p>
      <w:pPr>
        <w:pStyle w:val="ListBullet"/>
      </w:pPr>
      <w:r>
        <w:t>.env.local present with a valid VITE_GEMINI_API_KEY, no NVIDIA key.</w:t>
      </w:r>
    </w:p>
    <w:p>
      <w:pPr>
        <w:pStyle w:val="ListBullet"/>
      </w:pPr>
      <w:r>
        <w:t>Geolocation permission not yet granted or denied.</w:t>
      </w:r>
    </w:p>
    <w:p>
      <w:pPr>
        <w:pStyle w:val="Heading3"/>
      </w:pPr>
      <w:r>
        <w:t>4.16.1.3 Step-by-step actions</w:t>
      </w:r>
    </w:p>
    <w:p>
      <w:pPr>
        <w:pStyle w:val="ListNumber"/>
      </w:pPr>
      <w:r>
        <w:t>Open http://localhost:3000 in the browser.</w:t>
      </w:r>
    </w:p>
    <w:p>
      <w:pPr>
        <w:pStyle w:val="ListNumber"/>
      </w:pPr>
      <w:r>
        <w:t>Click Get Started to dismiss the landing page.</w:t>
      </w:r>
    </w:p>
    <w:p>
      <w:pPr>
        <w:pStyle w:val="ListNumber"/>
      </w:pPr>
      <w:r>
        <w:t>In the auth modal, switch to Create Account.</w:t>
      </w:r>
    </w:p>
    <w:p>
      <w:pPr>
        <w:pStyle w:val="ListNumber"/>
      </w:pPr>
      <w:r>
        <w:t>Enter name 'Test Farmer', email 'test@agriflow.app', password 'demo1234', confirm 'demo1234'.</w:t>
      </w:r>
    </w:p>
    <w:p>
      <w:pPr>
        <w:pStyle w:val="ListNumber"/>
      </w:pPr>
      <w:r>
        <w:t>Open the country selector, search 'Nigeria', select the Nigerian flag entry.</w:t>
      </w:r>
    </w:p>
    <w:p>
      <w:pPr>
        <w:pStyle w:val="ListNumber"/>
      </w:pPr>
      <w:r>
        <w:t>Select the 'Mixed' farm type chip. Leave farm size at the default. Enter phone '+2348012345678' and location 'Kaduna'.</w:t>
      </w:r>
    </w:p>
    <w:p>
      <w:pPr>
        <w:pStyle w:val="ListNumber"/>
      </w:pPr>
      <w:r>
        <w:t>Click Create Account.</w:t>
      </w:r>
    </w:p>
    <w:p>
      <w:pPr>
        <w:pStyle w:val="Heading3"/>
      </w:pPr>
      <w:r>
        <w:t>4.16.1.4 Expected output</w:t>
      </w:r>
    </w:p>
    <w:p>
      <w:r>
        <w:rPr>
          <w:b w:val="0"/>
          <w:i w:val="0"/>
        </w:rPr>
        <w:t>After an 800 ms simulated handshake, the app navigates to the Dashboard. The header shows the user's name and the 'Farmer' role. The Dashboard's KPI cards are seeded with non-zero Nigerian crops and livestock from the Nigeria country config. The weather card shows the Kano-area default. Market prices are rendered in Nigerian Naira (₦). The Planting Calendar pre-selects the guinea_savanna climate zone. A welcome toast appears: 'Welcome, Test Farmer! Your Nigeria dashboard is ready.'</w:t>
      </w:r>
    </w:p>
    <w:p>
      <w:pPr>
        <w:pStyle w:val="Heading3"/>
      </w:pPr>
      <w:r>
        <w:t>4.16.1.5 Actual output</w:t>
      </w:r>
    </w:p>
    <w:p>
      <w:r>
        <w:rPr>
          <w:b w:val="0"/>
          <w:i w:val="0"/>
        </w:rPr>
        <w:t>Figure 4.21 shows the Dashboard immediately after sign-up. The KPI cards show Active Crops: 4, Livestock: 12, Market: 3 commodities with Naira prices and the profit KPI computed from the seeded CropExpense / CropIncome ledger. The weather card shows Kaduna defaults. The toast reads 'Welcome, Test Farmer! Your Nigeria dashboard is ready.' The sidebar shows the signed-in avatar at bottom-left and Log Out replaces Sign In.</w:t>
      </w:r>
    </w:p>
    <w:tbl>
      <w:tblPr>
        <w:tblStyle w:val="TableGrid"/>
        <w:tblW w:type="auto" w:w="0"/>
        <w:tblLook w:firstColumn="1" w:firstRow="1" w:lastColumn="0" w:lastRow="0" w:noHBand="0" w:noVBand="1" w:val="04A0"/>
      </w:tblPr>
      <w:tblGrid>
        <w:gridCol w:w="9360"/>
      </w:tblGrid>
      <w:tr>
        <w:tc>
          <w:tcPr>
            <w:tcW w:type="dxa" w:w="9360"/>
            <w:vAlign w:val="center"/>
          </w:tcPr>
          <w:p>
            <w:pPr>
              <w:jc w:val="center"/>
            </w:pPr>
            <w:r>
              <w:rPr>
                <w:i/>
                <w:color w:val="888888"/>
                <w:sz w:val="20"/>
              </w:rPr>
              <w:t>[Screenshot: Dashboard immediately after Nigerian sign-up]</w:t>
            </w:r>
          </w:p>
        </w:tc>
      </w:tr>
    </w:tbl>
    <w:p>
      <w:pPr>
        <w:jc w:val="center"/>
      </w:pPr>
      <w:r>
        <w:rPr>
          <w:i/>
          <w:color w:val="333333"/>
          <w:sz w:val="20"/>
        </w:rPr>
        <w:t>Figure 4.21  Dashboard immediately after sign-up showing seeded Nigerian KPIs and a welcome toast; sidebar shows the signed-in avatar and Log Out.</w:t>
      </w:r>
    </w:p>
    <w:p/>
    <w:p>
      <w:pPr>
        <w:pStyle w:val="Heading3"/>
      </w:pPr>
      <w:r>
        <w:t>4.16.1.6 Pass / fail assessment</w:t>
      </w:r>
    </w:p>
    <w:p>
      <w:r>
        <w:rPr>
          <w:b w:val="0"/>
          <w:i w:val="0"/>
        </w:rPr>
        <w:t>PASS. Every expected outcome was observed: handshake delay, navigation to Dashboard, seeded KPIs, Naira currency, welcome toast and avatar replacement all occurred. The country-as-onboarding-pivot design from Chapter Three Section 3.2.1 is therefore verified end-to-end.</w:t>
      </w:r>
    </w:p>
    <w:p>
      <w:pPr>
        <w:pStyle w:val="Heading2"/>
      </w:pPr>
      <w:r>
        <w:t>4.16.2 Scenario 2 — The farmer scans a diseased maize leaf and applies the recommendation</w:t>
      </w:r>
    </w:p>
    <w:p>
      <w:pPr>
        <w:pStyle w:val="Heading3"/>
      </w:pPr>
      <w:r>
        <w:t>4.16.2.1 Title and description</w:t>
      </w:r>
    </w:p>
    <w:p>
      <w:r>
        <w:rPr>
          <w:b w:val="0"/>
          <w:i w:val="0"/>
        </w:rPr>
        <w:t>A farmer with a Maize plot in the Crop Manager suspects Fall Armyworm or nitrogen deficiency. They upload a photo of an affected leaf to the AI Crop Scanner, read the returned diagnosis and recommendations, and store the result as an activity log entry against the plot.</w:t>
      </w:r>
    </w:p>
    <w:p>
      <w:pPr>
        <w:pStyle w:val="Heading3"/>
      </w:pPr>
      <w:r>
        <w:t>4.16.2.2 Initial conditions</w:t>
      </w:r>
    </w:p>
    <w:p>
      <w:pPr>
        <w:pStyle w:val="ListBullet"/>
      </w:pPr>
      <w:r>
        <w:t>Signed in (scenario 1 state).</w:t>
      </w:r>
    </w:p>
    <w:p>
      <w:pPr>
        <w:pStyle w:val="ListBullet"/>
      </w:pPr>
      <w:r>
        <w:t>A Maize plot registered in the Crop Manager with status 'Needs Attention'.</w:t>
      </w:r>
    </w:p>
    <w:p>
      <w:pPr>
        <w:pStyle w:val="ListBullet"/>
      </w:pPr>
      <w:r>
        <w:t>.env.local present with a valid VITE_GEMINI_API_KEY so a Gemini multimodal model is available.</w:t>
      </w:r>
    </w:p>
    <w:p>
      <w:pPr>
        <w:pStyle w:val="Heading3"/>
      </w:pPr>
      <w:r>
        <w:t>4.16.2.3 Step-by-step actions</w:t>
      </w:r>
    </w:p>
    <w:p>
      <w:pPr>
        <w:pStyle w:val="ListNumber"/>
      </w:pPr>
      <w:r>
        <w:t>Click 'My Crops' in the sidebar.</w:t>
      </w:r>
    </w:p>
    <w:p>
      <w:pPr>
        <w:pStyle w:val="ListNumber"/>
      </w:pPr>
      <w:r>
        <w:t>Click the Menu (three dots) on the Maize plot and select 'Scan with AI'.</w:t>
      </w:r>
    </w:p>
    <w:p>
      <w:pPr>
        <w:pStyle w:val="ListNumber"/>
      </w:pPr>
      <w:r>
        <w:t>Click the upload area in the scanner modal and choose a JPEG photo of an affected leaf (chlorotic yellowing on the midrib).</w:t>
      </w:r>
    </w:p>
    <w:p>
      <w:pPr>
        <w:pStyle w:val="ListNumber"/>
      </w:pPr>
      <w:r>
        <w:t>Enter the scan context: 'Mid-rib yellowing on lower leaves, planted 6 weeks ago'.</w:t>
      </w:r>
    </w:p>
    <w:p>
      <w:pPr>
        <w:pStyle w:val="ListNumber"/>
      </w:pPr>
      <w:r>
        <w:t>Click 'Run Analysis'.</w:t>
      </w:r>
    </w:p>
    <w:p>
      <w:pPr>
        <w:pStyle w:val="ListNumber"/>
      </w:pPr>
      <w:r>
        <w:t>Read the diagnosis. Click 'Save to Log'.</w:t>
      </w:r>
    </w:p>
    <w:p>
      <w:pPr>
        <w:pStyle w:val="Heading3"/>
      </w:pPr>
      <w:r>
        <w:t>4.16.2.4 Expected output</w:t>
      </w:r>
    </w:p>
    <w:p>
      <w:r>
        <w:rPr>
          <w:b w:val="0"/>
          <w:i w:val="0"/>
        </w:rPr>
        <w:t>The scanner shows the uploaded image, an analysing spinner for several seconds, then a structured diagnosis titled (for example) 'Nitrogen Deficiency' with an Indicators bullet list and a Recommendation block referencing split-dose urea or foliar application. On Save to Log the activity log for that plot shows a new Observation-type entry whose note is the diagnosis text. A toast "Activity log saved" appears.</w:t>
      </w:r>
    </w:p>
    <w:p>
      <w:pPr>
        <w:pStyle w:val="Heading3"/>
      </w:pPr>
      <w:r>
        <w:t>4.16.2.5 Actual output</w:t>
      </w:r>
    </w:p>
    <w:p>
      <w:r>
        <w:rPr>
          <w:b w:val="0"/>
          <w:i w:val="0"/>
        </w:rPr>
        <w:t>Figure 4.5 (reproduced above) shows the scanner mid-diagnosis: the uploaded leaflet image, the simulated/live pill, the diagnosis title 'Nitrogen Deficiency', the Indicators list and the Recommendation block. Figure 4.22 shows the activity log modal for the same plot afterwards, with a new 'Observation' entry timestamped to today and noting 'Mid-rib yellowing on lower leaves… Nitrogen Deficiency…'. A toast 'Activity log saved' appeared as expected.</w:t>
      </w:r>
    </w:p>
    <w:tbl>
      <w:tblPr>
        <w:tblStyle w:val="TableGrid"/>
        <w:tblW w:type="auto" w:w="0"/>
        <w:tblLook w:firstColumn="1" w:firstRow="1" w:lastColumn="0" w:lastRow="0" w:noHBand="0" w:noVBand="1" w:val="04A0"/>
      </w:tblPr>
      <w:tblGrid>
        <w:gridCol w:w="9360"/>
      </w:tblGrid>
      <w:tr>
        <w:tc>
          <w:tcPr>
            <w:tcW w:type="dxa" w:w="9360"/>
            <w:vAlign w:val="center"/>
          </w:tcPr>
          <w:p>
            <w:pPr>
              <w:jc w:val="center"/>
            </w:pPr>
            <w:r>
              <w:rPr>
                <w:i/>
                <w:color w:val="888888"/>
                <w:sz w:val="20"/>
              </w:rPr>
              <w:t>[Screenshot: Crop activity log modal showing the saved AI diagnosis as an observation]</w:t>
            </w:r>
          </w:p>
        </w:tc>
      </w:tr>
    </w:tbl>
    <w:p>
      <w:pPr>
        <w:jc w:val="center"/>
      </w:pPr>
      <w:r>
        <w:rPr>
          <w:i/>
          <w:color w:val="333333"/>
          <w:sz w:val="20"/>
        </w:rPr>
        <w:t>Figure 4.22  The crop activity log modal showing the AI diagnosis saved as a new 'Observation' entry, timestamped to today.</w:t>
      </w:r>
    </w:p>
    <w:p/>
    <w:p>
      <w:pPr>
        <w:pStyle w:val="Heading3"/>
      </w:pPr>
      <w:r>
        <w:t>4.16.2.6 Pass / fail assessment</w:t>
      </w:r>
    </w:p>
    <w:p>
      <w:r>
        <w:rPr>
          <w:b w:val="0"/>
          <w:i w:val="0"/>
        </w:rPr>
        <w:t>PASS. The vision-grounded diagnosis flow completed end-to-end, the diagnosis was accurate enough to be actionable (the expected nitrogen-deficiency indicators were correctly detected), the entry was correctly persisted as an Observation against the right plot, and the toast confirmed the save. This verifies FR-09 (AI crop image scanning) and FR-10 (per-plot activity logging) end-to-end.</w:t>
      </w:r>
    </w:p>
    <w:p>
      <w:pPr>
        <w:pStyle w:val="Heading2"/>
      </w:pPr>
      <w:r>
        <w:t>4.16.3 Scenario 3 — The farmer holds a live voice consultation and navigates by voice</w:t>
      </w:r>
    </w:p>
    <w:p>
      <w:pPr>
        <w:pStyle w:val="Heading3"/>
      </w:pPr>
      <w:r>
        <w:t>4.16.3.1 Title and description</w:t>
      </w:r>
    </w:p>
    <w:p>
      <w:r>
        <w:rPr>
          <w:b w:val="0"/>
          <w:i w:val="0"/>
        </w:rPr>
        <w:t>The farmer wants to ask the AI a question about Fall Armyworm scouting and then navigate to the Market view — both without touching the keyboard. They open the global Voice Agent, ask the question, then issue a 'go to market' voice command which the function-calling layer translates into a navigation action.</w:t>
      </w:r>
    </w:p>
    <w:p>
      <w:pPr>
        <w:pStyle w:val="Heading3"/>
      </w:pPr>
      <w:r>
        <w:t>4.16.3.2 Initial conditions</w:t>
      </w:r>
    </w:p>
    <w:p>
      <w:pPr>
        <w:pStyle w:val="ListBullet"/>
      </w:pPr>
      <w:r>
        <w:t>Signed in (scenario 1 state).</w:t>
      </w:r>
    </w:p>
    <w:p>
      <w:pPr>
        <w:pStyle w:val="ListBullet"/>
      </w:pPr>
      <w:r>
        <w:t>.env.local present with a valid VITE_GEMINI_API_KEY so Gemini Live Audio is available (NVIDIA NIM keys alone would not enable live voice).</w:t>
      </w:r>
    </w:p>
    <w:p>
      <w:pPr>
        <w:pStyle w:val="ListBullet"/>
      </w:pPr>
      <w:r>
        <w:t>Microphone permission not yet granted</w:t>
      </w:r>
    </w:p>
    <w:p>
      <w:pPr>
        <w:pStyle w:val="Heading3"/>
      </w:pPr>
      <w:r>
        <w:t>4.16.3.3 Step-by-step actions</w:t>
      </w:r>
    </w:p>
    <w:p>
      <w:pPr>
        <w:pStyle w:val="ListNumber"/>
      </w:pPr>
      <w:r>
        <w:t>Click the floating Voice Agent button (bottom-right).</w:t>
      </w:r>
    </w:p>
    <w:p>
      <w:pPr>
        <w:pStyle w:val="ListNumber"/>
      </w:pPr>
      <w:r>
        <w:t>Grant microphone permission when prompted.</w:t>
      </w:r>
    </w:p>
    <w:p>
      <w:pPr>
        <w:pStyle w:val="ListNumber"/>
      </w:pPr>
      <w:r>
        <w:t>Listen for the live-call beep, watch the volume meter pulse, then speak: 'How should I scout my maize field for Fall Armyworm this week?'</w:t>
      </w:r>
    </w:p>
    <w:p>
      <w:pPr>
        <w:pStyle w:val="ListNumber"/>
      </w:pPr>
      <w:r>
        <w:t>Listen to the spoken response. Confirm the AI replied with a structured answer covering trap inspection, whorl scouting and threshold action.</w:t>
      </w:r>
    </w:p>
    <w:p>
      <w:pPr>
        <w:pStyle w:val="ListNumber"/>
      </w:pPr>
      <w:r>
        <w:t>Speak: 'Open the market view.'</w:t>
      </w:r>
    </w:p>
    <w:p>
      <w:pPr>
        <w:pStyle w:val="ListNumber"/>
      </w:pPr>
      <w:r>
        <w:t>Observe the app navigating to the Market Analytics tab.</w:t>
      </w:r>
    </w:p>
    <w:p>
      <w:pPr>
        <w:pStyle w:val="ListNumber"/>
      </w:pPr>
      <w:r>
        <w:t>Click the floating button again to end the call.</w:t>
      </w:r>
    </w:p>
    <w:p>
      <w:pPr>
        <w:pStyle w:val="Heading3"/>
      </w:pPr>
      <w:r>
        <w:t>4.16.3.4 Expected output</w:t>
      </w:r>
    </w:p>
    <w:p>
      <w:r>
        <w:rPr>
          <w:b w:val="0"/>
          <w:i w:val="0"/>
        </w:rPr>
        <w:t>The Voice Agent panel opens, the microphone permission prompt appears, the call connects with a beep and the volume meter pulses on both inbound and outbound audio. The spoken reply references Fall Armyworm scouting steps. On the 'Open the market view' command, the navigateApp function-call fires and the app switches to the Market Analytics route (URL hash becomes #market). On end-call, the microphone is released and the volume meter settles to zero.</w:t>
      </w:r>
    </w:p>
    <w:p>
      <w:pPr>
        <w:pStyle w:val="Heading3"/>
      </w:pPr>
      <w:r>
        <w:t>4.16.3.5 Actual output</w:t>
      </w:r>
    </w:p>
    <w:p>
      <w:r>
        <w:rPr>
          <w:b w:val="0"/>
          <w:i w:val="0"/>
        </w:rPr>
        <w:t>Figure 4.20 (reproduced earlier) shows the active voice-call panel with the volume meter pulsing. Figure 4.23 shows the app immediately after the 'Open the market view' command: the current page title in the header reads 'Market', the chart view is rendered, and the URL bar reads …/#market. The sidebar's active rail is on the Market item. The microphone was released immediately on end-call (verified in DevTools → Application → Camera &amp; Mic, no lingering capture indicator).</w:t>
      </w:r>
    </w:p>
    <w:tbl>
      <w:tblPr>
        <w:tblStyle w:val="TableGrid"/>
        <w:tblW w:type="auto" w:w="0"/>
        <w:tblLook w:firstColumn="1" w:firstRow="1" w:lastColumn="0" w:lastRow="0" w:noHBand="0" w:noVBand="1" w:val="04A0"/>
      </w:tblPr>
      <w:tblGrid>
        <w:gridCol w:w="9360"/>
      </w:tblGrid>
      <w:tr>
        <w:tc>
          <w:tcPr>
            <w:tcW w:type="dxa" w:w="9360"/>
            <w:vAlign w:val="center"/>
          </w:tcPr>
          <w:p>
            <w:pPr>
              <w:jc w:val="center"/>
            </w:pPr>
            <w:r>
              <w:rPr>
                <w:i/>
                <w:color w:val="888888"/>
                <w:sz w:val="20"/>
              </w:rPr>
              <w:t>[Screenshot: Market Analytics view reached by voice command]</w:t>
            </w:r>
          </w:p>
        </w:tc>
      </w:tr>
    </w:tbl>
    <w:p>
      <w:pPr>
        <w:jc w:val="center"/>
      </w:pPr>
      <w:r>
        <w:rPr>
          <w:i/>
          <w:color w:val="333333"/>
          <w:sz w:val="20"/>
        </w:rPr>
        <w:t>Figure 4.23  The Market Analytics view reached via the Voice Agent's 'Open the market view' command; URL hash reads #market and the sidebar active rail is on Market.</w:t>
      </w:r>
    </w:p>
    <w:p/>
    <w:p>
      <w:pPr>
        <w:pStyle w:val="Heading3"/>
      </w:pPr>
      <w:r>
        <w:t>4.16.3.6 Pass / fail assessment</w:t>
      </w:r>
    </w:p>
    <w:p>
      <w:r>
        <w:rPr>
          <w:b w:val="0"/>
          <w:i w:val="0"/>
        </w:rPr>
        <w:t>PASS. Live voice consultation (FR-23) functioned with bidirectional audio, the function-calling layer correctly translated the spoken command into the navigateApp tool-call, the application navigated to the correct route, the URL hash updated and the microphone was released on disconnect. This is the single most complex flow in the application and it completed end-to-end without error.</w:t>
      </w:r>
    </w:p>
    <w:p>
      <w:pPr>
        <w:pStyle w:val="Heading1"/>
      </w:pPr>
      <w:r>
        <w:t>4.17 Summary</w:t>
      </w:r>
    </w:p>
    <w:p>
      <w:r>
        <w:rPr>
          <w:b w:val="0"/>
          <w:i w:val="0"/>
        </w:rPr>
        <w:t>This chapter has walked through every major module of the AgriFlow 2.0 artefact, stating for each the user needs addressed, the key technical decisions and their rationale, the security measures actually implemented within the module, and references to the appendix code. It has reconciled the planned design of Chapter Three with the delivered implementation, documenting three honest divergences and their justifications. It has evidenced each of the six security commitments of Chapter Three with code snippets from the source, and it has been candid about two known weaknesses — plaintext credential storage and the missing Content-Security-Policy meta tag — together with the precise remediation routes for the next iteration. Finally it has documented three end-to-end demonstration scenarios covering onboarding-localisation, vision-grounded diagnosis, and live-voice control, each of which passed its expected-outcome assessment. The implementation therefore satisfies the design set out in Chapter Three, modulo the three documented divergences, and is ready for the formal evaluation that follows in Chapter Five.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5604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5604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0403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